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color w:val="003366"/>
        </w:rPr>
        <w:t>SOW Explanation Script</w:t>
      </w:r>
    </w:p>
    <w:p>
      <w:pPr>
        <w:jc w:val="center"/>
      </w:pPr>
      <w:r>
        <w:rPr>
          <w:color w:val="003366"/>
          <w:sz w:val="30"/>
        </w:rPr>
        <w:t>Franciscan Solutions — AWS CloudOps FinOps Transformation Program</w:t>
      </w:r>
    </w:p>
    <w:p>
      <w:pPr>
        <w:jc w:val="center"/>
      </w:pPr>
      <w:r>
        <w:rPr>
          <w:color w:val="505050"/>
          <w:sz w:val="24"/>
        </w:rPr>
        <w:t>Statement of Work Walkthrough &amp; Execution Explanation</w:t>
        <w:br/>
        <w:t>For AWS Competency Audit</w:t>
      </w:r>
    </w:p>
    <w:p/>
    <w:p/>
    <w:p>
      <w:pPr>
        <w:jc w:val="center"/>
      </w:pPr>
      <w:r>
        <w:rPr>
          <w:color w:val="646464"/>
          <w:sz w:val="22"/>
        </w:rPr>
        <w:t>Mist Avinya Technologies LLP</w:t>
        <w:br/>
        <w:t>AWS Advanced Tier Partner</w:t>
        <w:br/>
        <w:t>SOW Signed: July 10, 2025 | Project Completed: August 29, 2025</w:t>
      </w:r>
    </w:p>
    <w:p>
      <w:r>
        <w:br w:type="page"/>
      </w:r>
    </w:p>
    <w:p>
      <w:pPr>
        <w:pStyle w:val="Heading1"/>
      </w:pPr>
      <w:r>
        <w:rPr>
          <w:color w:val="003366"/>
        </w:rPr>
        <w:t>SECTION 1: SOW OVERVIEW &amp; CONTEXT</w:t>
      </w:r>
    </w:p>
    <w:p>
      <w:pPr>
        <w:spacing w:after="80"/>
      </w:pPr>
      <w:r>
        <w:rPr>
          <w:i/>
          <w:color w:val="646464"/>
          <w:sz w:val="20"/>
        </w:rPr>
        <w:t>[Open by setting the context for the auditor — what this SOW covers and why it exists]</w:t>
      </w:r>
    </w:p>
    <w:p>
      <w:pPr>
        <w:spacing w:after="120"/>
      </w:pPr>
      <w:r>
        <w:t>"I will now walk you through the Statement of Work that governed our engagement with Franciscan Solutions. This SOW was signed on July 10, 2025, between Franciscan Solutions Private Limited and Mist Avinya Technologies LLP. The project was formally completed and signed off on August 29, 2025.</w:t>
      </w:r>
    </w:p>
    <w:p>
      <w:pPr>
        <w:spacing w:after="120"/>
      </w:pPr>
      <w:r>
        <w:t>The SOW title is: AWS Cloud Operations — FinOps Transformation Program. This was not a generic cloud engagement — it was specifically scoped for Cloud Financial Management under the AWS CloudOps Competency."</w:t>
      </w:r>
    </w:p>
    <w:p>
      <w:pPr>
        <w:spacing w:before="120" w:after="120"/>
      </w:pPr>
      <w:r>
        <w:rPr>
          <w:color w:val="C8C8C8"/>
        </w:rPr>
        <w:t>────────────────────────────────────────────────────────────────────────────────</w:t>
      </w:r>
    </w:p>
    <w:p>
      <w:pPr>
        <w:pStyle w:val="Heading1"/>
      </w:pPr>
      <w:r>
        <w:rPr>
          <w:color w:val="003366"/>
        </w:rPr>
        <w:t>SECTION 2: EXECUTIVE SUMMARY — WHAT THE SOW SAYS &amp; HOW WE DELIVERED</w:t>
      </w:r>
    </w:p>
    <w:p>
      <w:pPr>
        <w:pStyle w:val="Heading2"/>
      </w:pPr>
      <w:r>
        <w:rPr>
          <w:color w:val="333333"/>
        </w:rPr>
        <w:t>2.1 Customer Context</w:t>
      </w:r>
    </w:p>
    <w:p>
      <w:pPr>
        <w:spacing w:after="80"/>
      </w:pPr>
      <w:r>
        <w:rPr>
          <w:i/>
          <w:color w:val="646464"/>
          <w:sz w:val="20"/>
        </w:rPr>
        <w:t>[Read directly from the SOW, then explain what we did]</w:t>
      </w:r>
    </w:p>
    <w:p>
      <w:pPr>
        <w:spacing w:after="120"/>
      </w:pPr>
      <w:r>
        <w:t>"The SOW states: Franciscan Solutions provides K–12 schools with digitized ERP and mobile platforms. The company faces significant challenges with seasonal spend spikes during academic admission and exam cycles, which historically obscured the true unit cost per student and limited budget predictability.</w:t>
      </w:r>
    </w:p>
    <w:p>
      <w:pPr>
        <w:spacing w:after="120"/>
      </w:pPr>
      <w:r>
        <w:t>This is the core problem statement. Franciscan runs school management ERP systems and mobile apps for K-12 institutions. Their AWS spend was unpredictable because student activity — and therefore infrastructure load — spikes massively during admissions and exams, then drops during off-peak periods. They had no way to calculate what each student actually costs them in cloud spend."</w:t>
      </w:r>
    </w:p>
    <w:p>
      <w:pPr>
        <w:pStyle w:val="Heading2"/>
      </w:pPr>
      <w:r>
        <w:rPr>
          <w:color w:val="333333"/>
        </w:rPr>
        <w:t>2.2 Business Objectives (from SOW)</w:t>
      </w:r>
    </w:p>
    <w:p>
      <w:pPr>
        <w:spacing w:after="80"/>
      </w:pPr>
      <w:r>
        <w:rPr>
          <w:i/>
          <w:color w:val="646464"/>
          <w:sz w:val="20"/>
        </w:rPr>
        <w:t>[Present each objective from the SOW, then explain how we achieved it]</w:t>
      </w:r>
    </w:p>
    <w:p>
      <w:r>
        <w:rPr>
          <w:b/>
        </w:rPr>
        <w:t>SOW Objective 1 — Cost Predictability:</w:t>
      </w:r>
    </w:p>
    <w:p>
      <w:pPr>
        <w:spacing w:after="120"/>
      </w:pPr>
      <w:r>
        <w:t>"Stabilize forecast variance to within ±3% of actual monthly spend despite academic cycles."</w:t>
      </w:r>
    </w:p>
    <w:p>
      <w:r>
        <w:rPr>
          <w:b/>
          <w:color w:val="006633"/>
        </w:rPr>
        <w:t>How we achieved this:</w:t>
      </w:r>
    </w:p>
    <w:p>
      <w:pPr>
        <w:pStyle w:val="ListBullet"/>
        <w:spacing w:after="40"/>
      </w:pPr>
      <w:r>
        <w:t>Collected 6+ months of historical CUR data to establish baseline spend patterns</w:t>
      </w:r>
    </w:p>
    <w:p>
      <w:pPr>
        <w:pStyle w:val="ListBullet"/>
        <w:spacing w:after="40"/>
      </w:pPr>
      <w:r>
        <w:t>Built ML-based seasonal forecasting models that account for admission and exam cycle spikes</w:t>
      </w:r>
    </w:p>
    <w:p>
      <w:pPr>
        <w:pStyle w:val="ListBullet"/>
        <w:spacing w:after="40"/>
      </w:pPr>
      <w:r>
        <w:t>Integrated CUR data into Aquila Cloud FinOps Platform for AI-driven predictive cost estimates</w:t>
      </w:r>
    </w:p>
    <w:p>
      <w:pPr>
        <w:pStyle w:val="ListBullet"/>
        <w:spacing w:after="40"/>
      </w:pPr>
      <w:r>
        <w:t>Deployed Amazon QuickSight dashboards showing both "Domains Previous Spend" and "Domains Spend Forecast" side by side</w:t>
      </w:r>
    </w:p>
    <w:p>
      <w:pPr>
        <w:pStyle w:val="ListBullet"/>
        <w:spacing w:after="40"/>
      </w:pPr>
      <w:r>
        <w:t>Configured proactive alerting that monitors Daily Average Cost, Daily Variance, and Forecasted Cost for the month</w:t>
      </w:r>
    </w:p>
    <w:p>
      <w:pPr>
        <w:pStyle w:val="ListBullet"/>
        <w:spacing w:after="40"/>
      </w:pPr>
      <w:r>
        <w:t>Result: Improved forecast accuracy during seasonal peaks — the team can now predict spend before the billing cycle closes, not after</w:t>
      </w:r>
    </w:p>
    <w:p/>
    <w:p>
      <w:r>
        <w:rPr>
          <w:b/>
        </w:rPr>
        <w:t>SOW Objective 2 — Commitment Strategy:</w:t>
      </w:r>
    </w:p>
    <w:p>
      <w:pPr>
        <w:spacing w:after="120"/>
      </w:pPr>
      <w:r>
        <w:t>"Uplift Savings Plans/RI coverage to 70%+ with &gt;95% utilization."</w:t>
      </w:r>
    </w:p>
    <w:p>
      <w:r>
        <w:rPr>
          <w:b/>
          <w:color w:val="006633"/>
        </w:rPr>
        <w:t>How we achieved this:</w:t>
      </w:r>
    </w:p>
    <w:p>
      <w:pPr>
        <w:pStyle w:val="ListBullet"/>
        <w:spacing w:after="40"/>
      </w:pPr>
      <w:r>
        <w:t>Analyzed historical compute usage patterns across EKS, EC2, Lambda, and RDS workloads</w:t>
      </w:r>
    </w:p>
    <w:p>
      <w:pPr>
        <w:pStyle w:val="ListBullet"/>
        <w:spacing w:after="40"/>
      </w:pPr>
      <w:r>
        <w:t>Identified optimal Savings Plans mix (Compute SP vs EC2 SP) based on workload flexibility</w:t>
      </w:r>
    </w:p>
    <w:p>
      <w:pPr>
        <w:pStyle w:val="ListBullet"/>
        <w:spacing w:after="40"/>
      </w:pPr>
      <w:r>
        <w:t>Increased Savings Plans coverage from 18% to 72% — exceeding the 70% SOW target</w:t>
      </w:r>
    </w:p>
    <w:p>
      <w:pPr>
        <w:pStyle w:val="ListBullet"/>
        <w:spacing w:after="40"/>
      </w:pPr>
      <w:r>
        <w:t>Achieved 98% SP utilization — exceeding the &gt;95% SOW target</w:t>
      </w:r>
    </w:p>
    <w:p>
      <w:pPr>
        <w:pStyle w:val="ListBullet"/>
        <w:spacing w:after="40"/>
      </w:pPr>
      <w:r>
        <w:t>Tracked RI/SP performance via Aquila Cloud dashboard showing total reservations, purchased units, resources covered, total reservation spend, and unused reservation fees</w:t>
      </w:r>
    </w:p>
    <w:p>
      <w:pPr>
        <w:pStyle w:val="ListBullet"/>
        <w:spacing w:after="40"/>
      </w:pPr>
      <w:r>
        <w:t>Identified and flagged unused RIs (e.g., Amazon RDS) for optimization or termination</w:t>
      </w:r>
    </w:p>
    <w:p/>
    <w:p>
      <w:r>
        <w:rPr>
          <w:b/>
        </w:rPr>
        <w:t>SOW Objective 3 — Anomaly Resolution:</w:t>
      </w:r>
    </w:p>
    <w:p>
      <w:pPr>
        <w:spacing w:after="120"/>
      </w:pPr>
      <w:r>
        <w:t>"Automate anomaly detection and route alerts to resource owners within minutes."</w:t>
      </w:r>
    </w:p>
    <w:p>
      <w:r>
        <w:rPr>
          <w:b/>
          <w:color w:val="006633"/>
        </w:rPr>
        <w:t>How we achieved this:</w:t>
      </w:r>
    </w:p>
    <w:p>
      <w:pPr>
        <w:pStyle w:val="ListBullet"/>
        <w:spacing w:after="40"/>
      </w:pPr>
      <w:r>
        <w:t>Configured AWS Budgets with automated alerts for spending spikes</w:t>
      </w:r>
    </w:p>
    <w:p>
      <w:pPr>
        <w:pStyle w:val="ListBullet"/>
        <w:spacing w:after="40"/>
      </w:pPr>
      <w:r>
        <w:t>Deployed cost anomaly detection via Aquila Cloud with explicit Anomaly Detection Status and Mitigation Status tracking</w:t>
      </w:r>
    </w:p>
    <w:p>
      <w:pPr>
        <w:pStyle w:val="ListBullet"/>
        <w:spacing w:after="40"/>
      </w:pPr>
      <w:r>
        <w:t>Set up budget alerts monitoring Daily Average Cost, Daily Variance, Forecasted Cost, and Predicted Cost at end of month</w:t>
      </w:r>
    </w:p>
    <w:p>
      <w:pPr>
        <w:pStyle w:val="ListBullet"/>
        <w:spacing w:after="40"/>
      </w:pPr>
      <w:r>
        <w:t>Alerts routed via two channels: email and third-party webhook integration (ITSM/chat) — ensuring resource owners are notified within minutes</w:t>
      </w:r>
    </w:p>
    <w:p>
      <w:pPr>
        <w:pStyle w:val="ListBullet"/>
        <w:spacing w:after="40"/>
      </w:pPr>
      <w:r>
        <w:t>EventBridge + Lambda automation auto-remediates or notifies on AWS Config rule violations</w:t>
      </w:r>
    </w:p>
    <w:p>
      <w:pPr>
        <w:spacing w:before="120" w:after="120"/>
      </w:pPr>
      <w:r>
        <w:rPr>
          <w:color w:val="C8C8C8"/>
        </w:rPr>
        <w:t>────────────────────────────────────────────────────────────────────────────────</w:t>
      </w:r>
    </w:p>
    <w:p>
      <w:pPr>
        <w:pStyle w:val="Heading1"/>
      </w:pPr>
      <w:r>
        <w:rPr>
          <w:color w:val="003366"/>
        </w:rPr>
        <w:t>SECTION 3: EXPECTED OUTCOMES — SOW vs ACTUAL DELIVERY</w:t>
      </w:r>
    </w:p>
    <w:p>
      <w:pPr>
        <w:spacing w:after="80"/>
      </w:pPr>
      <w:r>
        <w:rPr>
          <w:i/>
          <w:color w:val="646464"/>
          <w:sz w:val="20"/>
        </w:rPr>
        <w:t>[Show the auditor that every expected outcome in the SOW was met]</w:t>
      </w:r>
    </w:p>
    <w:p>
      <w:r>
        <w:rPr>
          <w:b/>
        </w:rPr>
        <w:t>SOW Expected Outcome 1 — Strategic Pricing:</w:t>
      </w:r>
    </w:p>
    <w:p>
      <w:pPr>
        <w:spacing w:after="120"/>
      </w:pPr>
      <w:r>
        <w:t>"Predictable cloud spend enables confident pricing decisions for new school cohorts and platform expansion."</w:t>
      </w:r>
    </w:p>
    <w:p>
      <w:r>
        <w:rPr>
          <w:b/>
          <w:color w:val="006633"/>
        </w:rPr>
        <w:t>How we delivered:</w:t>
      </w:r>
    </w:p>
    <w:p>
      <w:pPr>
        <w:pStyle w:val="ListBullet"/>
        <w:spacing w:after="40"/>
      </w:pPr>
      <w:r>
        <w:t>Established "Cost per 1,000 Daily Active Students (DAU)" as the primary unit economics metric</w:t>
      </w:r>
    </w:p>
    <w:p>
      <w:pPr>
        <w:pStyle w:val="ListBullet"/>
        <w:spacing w:after="40"/>
      </w:pPr>
      <w:r>
        <w:t>Built QuickSight dashboards tracking cost-per-DAU in real time, shared with Product and Engineering teams</w:t>
      </w:r>
    </w:p>
    <w:p>
      <w:pPr>
        <w:pStyle w:val="ListBullet"/>
        <w:spacing w:after="40"/>
      </w:pPr>
      <w:r>
        <w:t>With ~30% cost reduction and predictable forecasting, Franciscan can now confidently price new school onboarding</w:t>
      </w:r>
    </w:p>
    <w:p/>
    <w:p>
      <w:r>
        <w:rPr>
          <w:b/>
        </w:rPr>
        <w:t>SOW Expected Outcome 2 — Collaborative Culture:</w:t>
      </w:r>
    </w:p>
    <w:p>
      <w:pPr>
        <w:spacing w:after="120"/>
      </w:pPr>
      <w:r>
        <w:t>"Shared KPIs drive engineering and finance collaboration, moving ownership of spend closer to the product teams."</w:t>
      </w:r>
    </w:p>
    <w:p>
      <w:r>
        <w:rPr>
          <w:b/>
          <w:color w:val="006633"/>
        </w:rPr>
        <w:t>How we delivered:</w:t>
      </w:r>
    </w:p>
    <w:p>
      <w:pPr>
        <w:pStyle w:val="ListBullet"/>
        <w:spacing w:after="40"/>
      </w:pPr>
      <w:r>
        <w:t>Established a Cloud Center of Excellence (CCoE) operating model with cross-functional participation</w:t>
      </w:r>
    </w:p>
    <w:p>
      <w:pPr>
        <w:pStyle w:val="ListBullet"/>
        <w:spacing w:after="40"/>
      </w:pPr>
      <w:r>
        <w:t>Implemented bi-weekly governance reviews analyzing Unit Cost per 1,000 DAU</w:t>
      </w:r>
    </w:p>
    <w:p>
      <w:pPr>
        <w:pStyle w:val="ListBullet"/>
        <w:spacing w:after="40"/>
      </w:pPr>
      <w:r>
        <w:t>Delivered 3 deep-dive training sessions to Engineering and Finance teams</w:t>
      </w:r>
    </w:p>
    <w:p>
      <w:pPr>
        <w:pStyle w:val="ListBullet"/>
        <w:spacing w:after="40"/>
      </w:pPr>
      <w:r>
        <w:t>Cost dashboards shared with Product and Engineering teams for architectural decision-making</w:t>
      </w:r>
    </w:p>
    <w:p>
      <w:pPr>
        <w:pStyle w:val="ListBullet"/>
        <w:spacing w:after="40"/>
      </w:pPr>
      <w:r>
        <w:t>RACI matrix clearly defined: Mist Avinya responsible for implementation, Franciscan accountable for commitment purchases and architecture sign-off</w:t>
      </w:r>
    </w:p>
    <w:p/>
    <w:p>
      <w:r>
        <w:rPr>
          <w:b/>
        </w:rPr>
        <w:t>SOW Expected Outcome 3 — Audit Readiness:</w:t>
      </w:r>
    </w:p>
    <w:p>
      <w:pPr>
        <w:spacing w:after="120"/>
      </w:pPr>
      <w:r>
        <w:t>"A sustainable, documented FinOps governance framework that is audit-ready for future compliance requirements."</w:t>
      </w:r>
    </w:p>
    <w:p>
      <w:r>
        <w:rPr>
          <w:b/>
          <w:color w:val="006633"/>
        </w:rPr>
        <w:t>How we delivered:</w:t>
      </w:r>
    </w:p>
    <w:p>
      <w:pPr>
        <w:pStyle w:val="ListBullet"/>
        <w:spacing w:after="40"/>
      </w:pPr>
      <w:r>
        <w:t>Implemented 4 mandatory cost allocation tags enforced via SCPs — application_id, cost_center, client_id, environment</w:t>
      </w:r>
    </w:p>
    <w:p>
      <w:pPr>
        <w:pStyle w:val="ListBullet"/>
        <w:spacing w:after="40"/>
      </w:pPr>
      <w:r>
        <w:t>Tag compliance improved from 58% to 96% — providing auditable cost allocation</w:t>
      </w:r>
    </w:p>
    <w:p>
      <w:pPr>
        <w:pStyle w:val="ListBullet"/>
        <w:spacing w:after="40"/>
      </w:pPr>
      <w:r>
        <w:t>All governance policies documented: SCPs, Tag Policies, IAM conditions, Config Rules</w:t>
      </w:r>
    </w:p>
    <w:p>
      <w:pPr>
        <w:pStyle w:val="ListBullet"/>
        <w:spacing w:after="40"/>
      </w:pPr>
      <w:r>
        <w:t>Delivered SOPs, governance guidelines, and operational runbooks as part of knowledge transfer</w:t>
      </w:r>
    </w:p>
    <w:p>
      <w:pPr>
        <w:pStyle w:val="ListBullet"/>
        <w:spacing w:after="40"/>
      </w:pPr>
      <w:r>
        <w:t>Change management process documented with 3-step audit-ready workflow</w:t>
      </w:r>
    </w:p>
    <w:p>
      <w:pPr>
        <w:pStyle w:val="ListBullet"/>
        <w:spacing w:after="40"/>
      </w:pPr>
      <w:r>
        <w:t>This very audit presentation is evidence of the audit-readiness we built into the engagement</w:t>
      </w:r>
    </w:p>
    <w:p>
      <w:pPr>
        <w:spacing w:before="120" w:after="120"/>
      </w:pPr>
      <w:r>
        <w:rPr>
          <w:color w:val="C8C8C8"/>
        </w:rPr>
        <w:t>────────────────────────────────────────────────────────────────────────────────</w:t>
      </w:r>
    </w:p>
    <w:p>
      <w:pPr>
        <w:pStyle w:val="Heading1"/>
      </w:pPr>
      <w:r>
        <w:rPr>
          <w:color w:val="003366"/>
        </w:rPr>
        <w:t>SECTION 4: SCOPE OF WORK &amp; METHODOLOGY</w:t>
      </w:r>
    </w:p>
    <w:p>
      <w:pPr>
        <w:spacing w:after="80"/>
      </w:pPr>
      <w:r>
        <w:rPr>
          <w:i/>
          <w:color w:val="646464"/>
          <w:sz w:val="20"/>
        </w:rPr>
        <w:t>[Walk the auditor through the SOW scope statement, then detail each methodology phase and how it was executed]</w:t>
      </w:r>
    </w:p>
    <w:p>
      <w:pPr>
        <w:pStyle w:val="Heading2"/>
      </w:pPr>
      <w:r>
        <w:rPr>
          <w:color w:val="333333"/>
        </w:rPr>
        <w:t>4.1 Scope Statement</w:t>
      </w:r>
    </w:p>
    <w:p>
      <w:pPr>
        <w:spacing w:after="120"/>
      </w:pPr>
      <w:r>
        <w:t>"The SOW defines the scope as: Establish a robust FinOps operating model to manage seasonal cost spikes and improve unit economics for school management ERP and mobile applications.</w:t>
      </w:r>
    </w:p>
    <w:p>
      <w:pPr>
        <w:spacing w:after="120"/>
      </w:pPr>
      <w:r>
        <w:t>This is a tightly defined scope — it is strictly limited to Cloud Financial Management and infrastructure governance. The SOW explicitly excludes application-level code refactoring, optimization of non-AWS environments, and security remediation unrelated to cost governance. Ongoing managed services are also out of scope and would require a separate agreement.</w:t>
      </w:r>
    </w:p>
    <w:p>
      <w:pPr>
        <w:spacing w:after="120"/>
      </w:pPr>
      <w:r>
        <w:t>This clarity of scope is important for the auditor — it shows we had a well-defined boundary for the engagement, and we operated within it."</w:t>
      </w:r>
    </w:p>
    <w:p>
      <w:pPr>
        <w:spacing w:before="120" w:after="120"/>
      </w:pPr>
      <w:r>
        <w:rPr>
          <w:color w:val="C8C8C8"/>
        </w:rPr>
        <w:t>────────────────────────────────────────────────────────────────────────────────</w:t>
      </w:r>
    </w:p>
    <w:p>
      <w:pPr>
        <w:pStyle w:val="Heading2"/>
      </w:pPr>
      <w:r>
        <w:rPr>
          <w:color w:val="333333"/>
        </w:rPr>
        <w:t>4.2 Methodology — Phase 1: Discovery</w:t>
      </w:r>
    </w:p>
    <w:p>
      <w:pPr>
        <w:spacing w:after="80"/>
      </w:pPr>
      <w:r>
        <w:rPr>
          <w:i/>
          <w:color w:val="646464"/>
          <w:sz w:val="20"/>
        </w:rPr>
        <w:t>[SOW: Week 1]</w:t>
      </w:r>
    </w:p>
    <w:p>
      <w:pPr>
        <w:spacing w:after="120"/>
      </w:pPr>
      <w:r>
        <w:t>"The SOW defines three activities for the Discovery phase. Let me walk through each and explain how we executed them."</w:t>
      </w:r>
    </w:p>
    <w:p>
      <w:r>
        <w:rPr>
          <w:b/>
        </w:rPr>
        <w:t>SOW Activity: Workload Assessment — Map ERP and mobile app dependencies across Amazon EKS and RDS.</w:t>
      </w:r>
    </w:p>
    <w:p>
      <w:r>
        <w:rPr>
          <w:b/>
          <w:color w:val="006633"/>
        </w:rPr>
        <w:t>How we did this:</w:t>
      </w:r>
    </w:p>
    <w:p>
      <w:pPr>
        <w:pStyle w:val="ListBullet"/>
        <w:spacing w:after="40"/>
      </w:pPr>
      <w:r>
        <w:t>Conducted a full audit of the multi-account environment — Production, Non-Production, and Shared Services accounts</w:t>
      </w:r>
    </w:p>
    <w:p>
      <w:pPr>
        <w:pStyle w:val="ListBullet"/>
        <w:spacing w:after="40"/>
      </w:pPr>
      <w:r>
        <w:t>Mapped all ERP and mobile application workloads running on Amazon EKS (Kubernetes) and Amazon RDS (databases)</w:t>
      </w:r>
    </w:p>
    <w:p>
      <w:pPr>
        <w:pStyle w:val="ListBullet"/>
        <w:spacing w:after="40"/>
      </w:pPr>
      <w:r>
        <w:t>Identified compute, storage, and networking dependencies across services including EC2, Lambda, DynamoDB, S3, and CloudFront</w:t>
      </w:r>
    </w:p>
    <w:p>
      <w:pPr>
        <w:pStyle w:val="ListBullet"/>
        <w:spacing w:after="40"/>
      </w:pPr>
      <w:r>
        <w:t>Our Solutions Architect (CFM) spent approximately 40 hours on this — designing the AWS multi-account structure, workload isolation for school systems, and conducting an AWS Well-Architected review for ERP and EdTech workloads</w:t>
      </w:r>
    </w:p>
    <w:p/>
    <w:p>
      <w:r>
        <w:rPr>
          <w:b/>
        </w:rPr>
        <w:t>SOW Activity: Cost Data Analysis — Collect 6+ months of Cost &amp; Usage Report (CUR) data.</w:t>
      </w:r>
    </w:p>
    <w:p>
      <w:r>
        <w:rPr>
          <w:b/>
          <w:color w:val="006633"/>
        </w:rPr>
        <w:t>How we did this:</w:t>
      </w:r>
    </w:p>
    <w:p>
      <w:pPr>
        <w:pStyle w:val="ListBullet"/>
        <w:spacing w:after="40"/>
      </w:pPr>
      <w:r>
        <w:t>Configured AWS CUR with hourly granularity and resource-level detail</w:t>
      </w:r>
    </w:p>
    <w:p>
      <w:pPr>
        <w:pStyle w:val="ListBullet"/>
        <w:spacing w:after="40"/>
      </w:pPr>
      <w:r>
        <w:t>Ingested 6+ months of historical billing data to establish baseline spend patterns</w:t>
      </w:r>
    </w:p>
    <w:p>
      <w:pPr>
        <w:pStyle w:val="ListBullet"/>
        <w:spacing w:after="40"/>
      </w:pPr>
      <w:r>
        <w:t>Our Data Analyst (FinOps) spent approximately 30 hours on CUR data ingestion, cost allocation analysis, and anomaly detection configuration</w:t>
      </w:r>
    </w:p>
    <w:p>
      <w:pPr>
        <w:pStyle w:val="ListBullet"/>
        <w:spacing w:after="40"/>
      </w:pPr>
      <w:r>
        <w:t>Used Athena for serverless querying of CUR data to identify cost drivers by service, account, and tag</w:t>
      </w:r>
    </w:p>
    <w:p/>
    <w:p>
      <w:r>
        <w:rPr>
          <w:b/>
        </w:rPr>
        <w:t>SOW Activity: Unit Economics Mapping — Define "Cost per 1,000 Daily Active Students (DAU)" metrics.</w:t>
      </w:r>
    </w:p>
    <w:p>
      <w:r>
        <w:rPr>
          <w:b/>
          <w:color w:val="006633"/>
        </w:rPr>
        <w:t>How we did this:</w:t>
      </w:r>
    </w:p>
    <w:p>
      <w:pPr>
        <w:pStyle w:val="ListBullet"/>
        <w:spacing w:after="40"/>
      </w:pPr>
      <w:r>
        <w:t>Defined Cost-per-DAU (Daily Active User) as the primary unit economics metric</w:t>
      </w:r>
    </w:p>
    <w:p>
      <w:pPr>
        <w:pStyle w:val="ListBullet"/>
        <w:spacing w:after="40"/>
      </w:pPr>
      <w:r>
        <w:t>Correlated AWS spend data with student activity data to calculate cost per 1,000 active students</w:t>
      </w:r>
    </w:p>
    <w:p>
      <w:pPr>
        <w:pStyle w:val="ListBullet"/>
        <w:spacing w:after="40"/>
      </w:pPr>
      <w:r>
        <w:t>Built this metric into QuickSight dashboards so it is tracked continuously, not as a one-time calculation</w:t>
      </w:r>
    </w:p>
    <w:p>
      <w:pPr>
        <w:pStyle w:val="ListBullet"/>
        <w:spacing w:after="40"/>
      </w:pPr>
      <w:r>
        <w:t>Shared unit economics data with Product and Engineering teams for architectural decision-making</w:t>
      </w:r>
    </w:p>
    <w:p>
      <w:pPr>
        <w:spacing w:before="120" w:after="120"/>
      </w:pPr>
      <w:r>
        <w:rPr>
          <w:color w:val="C8C8C8"/>
        </w:rPr>
        <w:t>────────────────────────────────────────────────────────────────────────────────</w:t>
      </w:r>
    </w:p>
    <w:p>
      <w:pPr>
        <w:pStyle w:val="Heading2"/>
      </w:pPr>
      <w:r>
        <w:rPr>
          <w:color w:val="333333"/>
        </w:rPr>
        <w:t>4.3 Methodology — Phase 2: Governance Blueprint</w:t>
      </w:r>
    </w:p>
    <w:p>
      <w:pPr>
        <w:spacing w:after="80"/>
      </w:pPr>
      <w:r>
        <w:rPr>
          <w:i/>
          <w:color w:val="646464"/>
          <w:sz w:val="20"/>
        </w:rPr>
        <w:t>[SOW: Week 2]</w:t>
      </w:r>
    </w:p>
    <w:p>
      <w:pPr>
        <w:spacing w:after="120"/>
      </w:pPr>
      <w:r>
        <w:t>"The SOW defines the Governance Blueprint phase as: organizing accounts into OUs, implementing SCPs to enforce regional restrictions, encryption, and spending controls, and establishing a standard tagging framework."</w:t>
      </w:r>
    </w:p>
    <w:p>
      <w:r>
        <w:rPr>
          <w:b/>
          <w:color w:val="006633"/>
        </w:rPr>
        <w:t>How we executed this:</w:t>
      </w:r>
    </w:p>
    <w:p>
      <w:pPr>
        <w:pStyle w:val="ListBullet"/>
        <w:spacing w:after="40"/>
      </w:pPr>
      <w:r>
        <w:t>Organized AWS accounts into logical Organizational Units (OUs) — Production, Non-Production, and Shared Services</w:t>
      </w:r>
    </w:p>
    <w:p>
      <w:pPr>
        <w:pStyle w:val="ListBullet"/>
        <w:spacing w:after="40"/>
      </w:pPr>
      <w:r>
        <w:t>Implemented Service Control Policies (SCPs) to enforce: regional restrictions (limiting resource creation to approved regions), encryption requirements, and spending controls</w:t>
      </w:r>
    </w:p>
    <w:p>
      <w:pPr>
        <w:pStyle w:val="ListBullet"/>
        <w:spacing w:after="40"/>
      </w:pPr>
      <w:r>
        <w:t>Established a standard tagging framework with 4 mandatory tags: application_id, cost_center, client_id, and environment</w:t>
      </w:r>
    </w:p>
    <w:p>
      <w:pPr>
        <w:pStyle w:val="ListBullet"/>
        <w:spacing w:after="40"/>
      </w:pPr>
      <w:r>
        <w:t>Enforced tags via AWS Organizations Tag Policies defining allowed keys and permitted values</w:t>
      </w:r>
    </w:p>
    <w:p>
      <w:pPr>
        <w:pStyle w:val="ListBullet"/>
        <w:spacing w:after="40"/>
      </w:pPr>
      <w:r>
        <w:t>Wrote SCPs that deny ec2:RunInstances and similar actions if mandatory tags are missing — hard block, no exceptions</w:t>
      </w:r>
    </w:p>
    <w:p>
      <w:pPr>
        <w:pStyle w:val="ListBullet"/>
        <w:spacing w:after="40"/>
      </w:pPr>
      <w:r>
        <w:t>Added IAM Policy conditions (aws:RequestTag) to force tag application at resource creation time</w:t>
      </w:r>
    </w:p>
    <w:p>
      <w:pPr>
        <w:pStyle w:val="ListBullet"/>
        <w:spacing w:after="40"/>
      </w:pPr>
      <w:r>
        <w:t>Integrated tag compliance checks into CI/CD pipelines using CloudFormation Guard and Checkov</w:t>
      </w:r>
    </w:p>
    <w:p>
      <w:pPr>
        <w:pStyle w:val="ListBullet"/>
        <w:spacing w:after="40"/>
      </w:pPr>
      <w:r>
        <w:t>Our Cloud Security Engineer spent approximately 20 hours on SCP guardrails, IAM Identity Center setup, and governance policy alignment</w:t>
      </w:r>
    </w:p>
    <w:p>
      <w:pPr>
        <w:pStyle w:val="ListBullet"/>
        <w:spacing w:after="40"/>
      </w:pPr>
      <w:r>
        <w:t>Result: Tag compliance improved from 58% to 96%</w:t>
      </w:r>
    </w:p>
    <w:p>
      <w:pPr>
        <w:spacing w:before="120" w:after="120"/>
      </w:pPr>
      <w:r>
        <w:rPr>
          <w:color w:val="C8C8C8"/>
        </w:rPr>
        <w:t>────────────────────────────────────────────────────────────────────────────────</w:t>
      </w:r>
    </w:p>
    <w:p>
      <w:pPr>
        <w:pStyle w:val="Heading2"/>
      </w:pPr>
      <w:r>
        <w:rPr>
          <w:color w:val="333333"/>
        </w:rPr>
        <w:t>4.4 Methodology — Phase 3: Deployment</w:t>
      </w:r>
    </w:p>
    <w:p>
      <w:pPr>
        <w:spacing w:after="80"/>
      </w:pPr>
      <w:r>
        <w:rPr>
          <w:i/>
          <w:color w:val="646464"/>
          <w:sz w:val="20"/>
        </w:rPr>
        <w:t>[SOW: Week 3-5 — covers Cost Optimization and Operationalization]</w:t>
      </w:r>
    </w:p>
    <w:p>
      <w:pPr>
        <w:spacing w:after="120"/>
      </w:pPr>
      <w:r>
        <w:t>"The SOW defines the Deployment phase as: Integrate Aquila Clouds and Amazon QuickSight using the Cloud Intelligence Dashboards (CID) framework. In the project plan, this maps to Weeks 3-5 covering Cost Optimization and Operationalization."</w:t>
      </w:r>
    </w:p>
    <w:p>
      <w:r>
        <w:rPr>
          <w:b/>
          <w:color w:val="006633"/>
        </w:rPr>
        <w:t>Cost Optimization (Weeks 3-4) — How we executed:</w:t>
      </w:r>
    </w:p>
    <w:p>
      <w:pPr>
        <w:pStyle w:val="ListBullet"/>
        <w:spacing w:after="40"/>
      </w:pPr>
      <w:r>
        <w:t>EBS GP2 to GP3 Migration: Identified 2,056 GP2 volumes eligible for migration. GP3 provides better baseline performance (3,000 IOPS, 125 MB/s throughput) at lower cost. Quantified potential annual savings</w:t>
      </w:r>
    </w:p>
    <w:p>
      <w:pPr>
        <w:pStyle w:val="ListBullet"/>
        <w:spacing w:after="40"/>
      </w:pPr>
      <w:r>
        <w:t>EC2/RDS Right-Sizing: Used AWS Compute Optimizer and Aquila Cloud to generate recommendations based on actual CPU utilization, IOPS, and throughput metrics. Example: identified t3.xlarge instances that could be downsized</w:t>
      </w:r>
    </w:p>
    <w:p>
      <w:pPr>
        <w:pStyle w:val="ListBullet"/>
        <w:spacing w:after="40"/>
      </w:pPr>
      <w:r>
        <w:t>S3 Lifecycle Management: Implemented lifecycle policies to transition infrequently accessed data to cheaper storage classes and expire old objects</w:t>
      </w:r>
    </w:p>
    <w:p>
      <w:pPr>
        <w:pStyle w:val="ListBullet"/>
        <w:spacing w:after="40"/>
      </w:pPr>
      <w:r>
        <w:t>Compute Savings Plans: Increased coverage from 18% to 72% with 98% utilization</w:t>
      </w:r>
    </w:p>
    <w:p>
      <w:pPr>
        <w:pStyle w:val="ListBullet"/>
        <w:spacing w:after="40"/>
      </w:pPr>
      <w:r>
        <w:t>Orphaned Resource Cleanup: Identified and eliminated unattached EBS volumes, idle EC2 instances, and orphaned resources. Dashboard quantifies total unused resources, 30-day cost, and potential savings</w:t>
      </w:r>
    </w:p>
    <w:p>
      <w:pPr>
        <w:pStyle w:val="ListBullet"/>
        <w:spacing w:after="40"/>
      </w:pPr>
      <w:r>
        <w:t>EBS Snapshot Management: Implemented policy-based snapshot identification and removal tracking Total EBS Snapshots and Daily/Monthly Snapshot Cost</w:t>
      </w:r>
    </w:p>
    <w:p/>
    <w:p>
      <w:r>
        <w:rPr>
          <w:b/>
          <w:color w:val="006633"/>
        </w:rPr>
        <w:t>Operationalization (Week 5) — How we executed:</w:t>
      </w:r>
    </w:p>
    <w:p>
      <w:pPr>
        <w:pStyle w:val="ListBullet"/>
        <w:spacing w:after="40"/>
      </w:pPr>
      <w:r>
        <w:t>Deployed Amazon QuickSight dashboards using the Cloud Intelligence Dashboards (CID) framework for granular cost visibility</w:t>
      </w:r>
    </w:p>
    <w:p>
      <w:pPr>
        <w:pStyle w:val="ListBullet"/>
        <w:spacing w:after="40"/>
      </w:pPr>
      <w:r>
        <w:t>Dashboards include: cost-per-DAU tracking, service-level breakdowns, cost trend analysis, Top 10 Cloud Services by Cost, budget burn-down views</w:t>
      </w:r>
    </w:p>
    <w:p>
      <w:pPr>
        <w:pStyle w:val="ListBullet"/>
        <w:spacing w:after="40"/>
      </w:pPr>
      <w:r>
        <w:t>Integrated Aquila Cloud FinOps Platform providing: Overview dashboard with filters by Provider/Service/Region, cost trend charts, right-sizing recommendations, tag compliance tracking, anomaly detection, RI/SP management</w:t>
      </w:r>
    </w:p>
    <w:p>
      <w:pPr>
        <w:pStyle w:val="ListBullet"/>
        <w:spacing w:after="40"/>
      </w:pPr>
      <w:r>
        <w:t>Configured AWS Config Rules for continuous compliance scanning</w:t>
      </w:r>
    </w:p>
    <w:p>
      <w:pPr>
        <w:pStyle w:val="ListBullet"/>
        <w:spacing w:after="40"/>
      </w:pPr>
      <w:r>
        <w:t>Set up AWS Resource Groups and Tag Editor for real-time untagged resource visibility</w:t>
      </w:r>
    </w:p>
    <w:p>
      <w:pPr>
        <w:spacing w:before="120" w:after="120"/>
      </w:pPr>
      <w:r>
        <w:rPr>
          <w:color w:val="C8C8C8"/>
        </w:rPr>
        <w:t>────────────────────────────────────────────────────────────────────────────────</w:t>
      </w:r>
    </w:p>
    <w:p>
      <w:pPr>
        <w:pStyle w:val="Heading2"/>
      </w:pPr>
      <w:r>
        <w:rPr>
          <w:color w:val="333333"/>
        </w:rPr>
        <w:t>4.5 Methodology — Phase 4: Operational Readiness</w:t>
      </w:r>
    </w:p>
    <w:p>
      <w:pPr>
        <w:spacing w:after="80"/>
      </w:pPr>
      <w:r>
        <w:rPr>
          <w:i/>
          <w:color w:val="646464"/>
          <w:sz w:val="20"/>
        </w:rPr>
        <w:t>[SOW: Week 6]</w:t>
      </w:r>
    </w:p>
    <w:p>
      <w:pPr>
        <w:spacing w:after="120"/>
      </w:pPr>
      <w:r>
        <w:t>"The SOW defines two activities for Operational Readiness: Anomaly Detection configuration and Knowledge Transfer."</w:t>
      </w:r>
    </w:p>
    <w:p>
      <w:r>
        <w:rPr>
          <w:b/>
          <w:color w:val="006633"/>
        </w:rPr>
        <w:t>Anomaly Detection — How we executed:</w:t>
      </w:r>
    </w:p>
    <w:p>
      <w:pPr>
        <w:pStyle w:val="ListBullet"/>
        <w:spacing w:after="40"/>
      </w:pPr>
      <w:r>
        <w:t>Configured AWS Budgets with automated alerts for spending spikes</w:t>
      </w:r>
    </w:p>
    <w:p>
      <w:pPr>
        <w:pStyle w:val="ListBullet"/>
        <w:spacing w:after="40"/>
      </w:pPr>
      <w:r>
        <w:t>Deployed Aquila Cloud anomaly detection with Anomaly Detection Status and Mitigation Status tracking</w:t>
      </w:r>
    </w:p>
    <w:p>
      <w:pPr>
        <w:pStyle w:val="ListBullet"/>
        <w:spacing w:after="40"/>
      </w:pPr>
      <w:r>
        <w:t>Budget alerts monitor: Daily Average Cost, Daily Variance, Forecasted Cost for the month, Predicted Cost at end of month</w:t>
      </w:r>
    </w:p>
    <w:p>
      <w:pPr>
        <w:pStyle w:val="ListBullet"/>
        <w:spacing w:after="40"/>
      </w:pPr>
      <w:r>
        <w:t>Alerts sent via email AND third-party webhook integration — two notification channels as required</w:t>
      </w:r>
    </w:p>
    <w:p>
      <w:pPr>
        <w:pStyle w:val="ListBullet"/>
        <w:spacing w:after="40"/>
      </w:pPr>
      <w:r>
        <w:t>EventBridge + Lambda automation for auto-remediation on Config rule violations</w:t>
      </w:r>
    </w:p>
    <w:p/>
    <w:p>
      <w:r>
        <w:rPr>
          <w:b/>
          <w:color w:val="006633"/>
        </w:rPr>
        <w:t>Knowledge Transfer — How we executed:</w:t>
      </w:r>
    </w:p>
    <w:p>
      <w:pPr>
        <w:pStyle w:val="ListBullet"/>
        <w:spacing w:after="40"/>
      </w:pPr>
      <w:r>
        <w:t>Delivered SOPs for monthly cost reviews and commitment management</w:t>
      </w:r>
    </w:p>
    <w:p>
      <w:pPr>
        <w:pStyle w:val="ListBullet"/>
        <w:spacing w:after="40"/>
      </w:pPr>
      <w:r>
        <w:t>Conducted 3 deep-dive training sessions for Engineering and Finance teams</w:t>
      </w:r>
    </w:p>
    <w:p>
      <w:pPr>
        <w:pStyle w:val="ListBullet"/>
        <w:spacing w:after="40"/>
      </w:pPr>
      <w:r>
        <w:t>Training covered: CCoE operating model, FinOps best practices, Aquila Cloud platform usage</w:t>
      </w:r>
    </w:p>
    <w:p>
      <w:pPr>
        <w:pStyle w:val="ListBullet"/>
        <w:spacing w:after="40"/>
      </w:pPr>
      <w:r>
        <w:t>Delivered operational runbooks and governance guidelines</w:t>
      </w:r>
    </w:p>
    <w:p>
      <w:pPr>
        <w:pStyle w:val="ListBullet"/>
        <w:spacing w:after="40"/>
      </w:pPr>
      <w:r>
        <w:t>Established monthly business review cadence for ongoing governance</w:t>
      </w:r>
    </w:p>
    <w:p>
      <w:pPr>
        <w:spacing w:before="120" w:after="120"/>
      </w:pPr>
      <w:r>
        <w:rPr>
          <w:color w:val="C8C8C8"/>
        </w:rPr>
        <w:t>────────────────────────────────────────────────────────────────────────────────</w:t>
      </w:r>
    </w:p>
    <w:p>
      <w:pPr>
        <w:pStyle w:val="Heading1"/>
      </w:pPr>
      <w:r>
        <w:rPr>
          <w:color w:val="003366"/>
        </w:rPr>
        <w:t>SECTION 5: HIGH-LEVEL PROJECT PLAN — SOW TIMELINE vs EXECUTION</w:t>
      </w:r>
    </w:p>
    <w:p>
      <w:pPr>
        <w:spacing w:after="80"/>
      </w:pPr>
      <w:r>
        <w:rPr>
          <w:i/>
          <w:color w:val="646464"/>
          <w:sz w:val="20"/>
        </w:rPr>
        <w:t>[Show the auditor the 6-phase plan from the SOW and confirm each was completed]</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1728"/>
          </w:tcPr>
          <w:p>
            <w:r>
              <w:rPr>
                <w:b/>
              </w:rPr>
              <w:t>Phase</w:t>
            </w:r>
          </w:p>
        </w:tc>
        <w:tc>
          <w:tcPr>
            <w:tcW w:type="dxa" w:w="1152"/>
          </w:tcPr>
          <w:p>
            <w:r>
              <w:rPr>
                <w:b/>
              </w:rPr>
              <w:t>Duration</w:t>
            </w:r>
          </w:p>
        </w:tc>
        <w:tc>
          <w:tcPr>
            <w:tcW w:type="dxa" w:w="3600"/>
          </w:tcPr>
          <w:p>
            <w:r>
              <w:rPr>
                <w:b/>
              </w:rPr>
              <w:t>Key Activities (from SOW)</w:t>
            </w:r>
          </w:p>
        </w:tc>
        <w:tc>
          <w:tcPr>
            <w:tcW w:type="dxa" w:w="3600"/>
          </w:tcPr>
          <w:p>
            <w:r>
              <w:rPr>
                <w:b/>
              </w:rPr>
              <w:t>Execution Status</w:t>
            </w:r>
          </w:p>
        </w:tc>
      </w:tr>
      <w:tr>
        <w:tc>
          <w:tcPr>
            <w:tcW w:type="dxa" w:w="1728"/>
          </w:tcPr>
          <w:p>
            <w:r>
              <w:rPr>
                <w:b/>
                <w:sz w:val="18"/>
              </w:rPr>
              <w:t>Phase 1:</w:t>
              <w:br/>
              <w:t>Discovery</w:t>
            </w:r>
          </w:p>
        </w:tc>
        <w:tc>
          <w:tcPr>
            <w:tcW w:type="dxa" w:w="1152"/>
          </w:tcPr>
          <w:p>
            <w:r>
              <w:rPr>
                <w:sz w:val="18"/>
              </w:rPr>
              <w:t>Week 1</w:t>
            </w:r>
          </w:p>
        </w:tc>
        <w:tc>
          <w:tcPr>
            <w:tcW w:type="dxa" w:w="3600"/>
          </w:tcPr>
          <w:p>
            <w:r>
              <w:rPr>
                <w:sz w:val="18"/>
              </w:rPr>
              <w:t>Audit of multi-account environment (Prod/Non-prod/Shared) and historical cost/usage data.</w:t>
            </w:r>
          </w:p>
        </w:tc>
        <w:tc>
          <w:tcPr>
            <w:tcW w:type="dxa" w:w="3600"/>
          </w:tcPr>
          <w:p>
            <w:r>
              <w:rPr>
                <w:sz w:val="18"/>
              </w:rPr>
              <w:t>COMPLETED — Full audit of 3 account types. 6+ months CUR data collected. Workload mapping across EKS and RDS done.</w:t>
            </w:r>
          </w:p>
        </w:tc>
      </w:tr>
      <w:tr>
        <w:tc>
          <w:tcPr>
            <w:tcW w:type="dxa" w:w="1728"/>
          </w:tcPr>
          <w:p>
            <w:r>
              <w:rPr>
                <w:b/>
                <w:sz w:val="18"/>
              </w:rPr>
              <w:t>Phase 2:</w:t>
              <w:br/>
              <w:t>Governance Setup</w:t>
            </w:r>
          </w:p>
        </w:tc>
        <w:tc>
          <w:tcPr>
            <w:tcW w:type="dxa" w:w="1152"/>
          </w:tcPr>
          <w:p>
            <w:r>
              <w:rPr>
                <w:sz w:val="18"/>
              </w:rPr>
              <w:t>Week 2</w:t>
            </w:r>
          </w:p>
        </w:tc>
        <w:tc>
          <w:tcPr>
            <w:tcW w:type="dxa" w:w="3600"/>
          </w:tcPr>
          <w:p>
            <w:r>
              <w:rPr>
                <w:sz w:val="18"/>
              </w:rPr>
              <w:t>Implementation of AWS Organizations, tag policies, and AWS Budgets for automated guardrails.</w:t>
            </w:r>
          </w:p>
        </w:tc>
        <w:tc>
          <w:tcPr>
            <w:tcW w:type="dxa" w:w="3600"/>
          </w:tcPr>
          <w:p>
            <w:r>
              <w:rPr>
                <w:sz w:val="18"/>
              </w:rPr>
              <w:t>COMPLETED — 4 mandatory tags enforced via SCPs and Tag Policies. AWS Budgets configured. Tag compliance: 58% → 96%.</w:t>
            </w:r>
          </w:p>
        </w:tc>
      </w:tr>
      <w:tr>
        <w:tc>
          <w:tcPr>
            <w:tcW w:type="dxa" w:w="1728"/>
          </w:tcPr>
          <w:p>
            <w:r>
              <w:rPr>
                <w:b/>
                <w:sz w:val="18"/>
              </w:rPr>
              <w:t>Phase 3:</w:t>
              <w:br/>
              <w:t>Cost Optimization</w:t>
            </w:r>
          </w:p>
        </w:tc>
        <w:tc>
          <w:tcPr>
            <w:tcW w:type="dxa" w:w="1152"/>
          </w:tcPr>
          <w:p>
            <w:r>
              <w:rPr>
                <w:sz w:val="18"/>
              </w:rPr>
              <w:t>Week 3–4</w:t>
            </w:r>
          </w:p>
        </w:tc>
        <w:tc>
          <w:tcPr>
            <w:tcW w:type="dxa" w:w="3600"/>
          </w:tcPr>
          <w:p>
            <w:r>
              <w:rPr>
                <w:sz w:val="18"/>
              </w:rPr>
              <w:t>Rightsizing (EBS gp2→gp3), S3 lifecycle management, and Compute Savings Plans.</w:t>
            </w:r>
          </w:p>
        </w:tc>
        <w:tc>
          <w:tcPr>
            <w:tcW w:type="dxa" w:w="3600"/>
          </w:tcPr>
          <w:p>
            <w:r>
              <w:rPr>
                <w:sz w:val="18"/>
              </w:rPr>
              <w:t>COMPLETED — 2,056 GP2 volumes identified for GP3 migration. EC2 rightsizing done. SP coverage: 18% → 72% at 98% utilization.</w:t>
            </w:r>
          </w:p>
        </w:tc>
      </w:tr>
      <w:tr>
        <w:tc>
          <w:tcPr>
            <w:tcW w:type="dxa" w:w="1728"/>
          </w:tcPr>
          <w:p>
            <w:r>
              <w:rPr>
                <w:b/>
                <w:sz w:val="18"/>
              </w:rPr>
              <w:t>Phase 4:</w:t>
              <w:br/>
              <w:t>Operationalization</w:t>
            </w:r>
          </w:p>
        </w:tc>
        <w:tc>
          <w:tcPr>
            <w:tcW w:type="dxa" w:w="1152"/>
          </w:tcPr>
          <w:p>
            <w:r>
              <w:rPr>
                <w:sz w:val="18"/>
              </w:rPr>
              <w:t>Week 5</w:t>
            </w:r>
          </w:p>
        </w:tc>
        <w:tc>
          <w:tcPr>
            <w:tcW w:type="dxa" w:w="3600"/>
          </w:tcPr>
          <w:p>
            <w:r>
              <w:rPr>
                <w:sz w:val="18"/>
              </w:rPr>
              <w:t>Deployment of QuickSight/Athena dashboards for granular cost visibility.</w:t>
            </w:r>
          </w:p>
        </w:tc>
        <w:tc>
          <w:tcPr>
            <w:tcW w:type="dxa" w:w="3600"/>
          </w:tcPr>
          <w:p>
            <w:r>
              <w:rPr>
                <w:sz w:val="18"/>
              </w:rPr>
              <w:t>COMPLETED — QuickSight CID dashboards deployed. Cost-per-DAU tracking live. Aquila Cloud integrated.</w:t>
            </w:r>
          </w:p>
        </w:tc>
      </w:tr>
      <w:tr>
        <w:tc>
          <w:tcPr>
            <w:tcW w:type="dxa" w:w="1728"/>
          </w:tcPr>
          <w:p>
            <w:r>
              <w:rPr>
                <w:b/>
                <w:sz w:val="18"/>
              </w:rPr>
              <w:t>Phase 5:</w:t>
              <w:br/>
              <w:t>Aquila Cloud</w:t>
            </w:r>
          </w:p>
        </w:tc>
        <w:tc>
          <w:tcPr>
            <w:tcW w:type="dxa" w:w="1152"/>
          </w:tcPr>
          <w:p>
            <w:r>
              <w:rPr>
                <w:sz w:val="18"/>
              </w:rPr>
              <w:t>Week 6 (P1)</w:t>
            </w:r>
          </w:p>
        </w:tc>
        <w:tc>
          <w:tcPr>
            <w:tcW w:type="dxa" w:w="3600"/>
          </w:tcPr>
          <w:p>
            <w:r>
              <w:rPr>
                <w:sz w:val="18"/>
              </w:rPr>
              <w:t>Integration of AI-driven recommendations for governance and continuous forecasting.</w:t>
            </w:r>
          </w:p>
        </w:tc>
        <w:tc>
          <w:tcPr>
            <w:tcW w:type="dxa" w:w="3600"/>
          </w:tcPr>
          <w:p>
            <w:r>
              <w:rPr>
                <w:sz w:val="18"/>
              </w:rPr>
              <w:t>COMPLETED — Aquila Cloud FinOps Platform fully integrated. AI-driven anomaly detection, right-sizing, tag compliance, RI/SP management operational.</w:t>
            </w:r>
          </w:p>
        </w:tc>
      </w:tr>
      <w:tr>
        <w:tc>
          <w:tcPr>
            <w:tcW w:type="dxa" w:w="1728"/>
          </w:tcPr>
          <w:p>
            <w:r>
              <w:rPr>
                <w:b/>
                <w:sz w:val="18"/>
              </w:rPr>
              <w:t>Phase 6:</w:t>
              <w:br/>
              <w:t>Final Report</w:t>
            </w:r>
          </w:p>
        </w:tc>
        <w:tc>
          <w:tcPr>
            <w:tcW w:type="dxa" w:w="1152"/>
          </w:tcPr>
          <w:p>
            <w:r>
              <w:rPr>
                <w:sz w:val="18"/>
              </w:rPr>
              <w:t>Week 6 (P2)</w:t>
            </w:r>
          </w:p>
        </w:tc>
        <w:tc>
          <w:tcPr>
            <w:tcW w:type="dxa" w:w="3600"/>
          </w:tcPr>
          <w:p>
            <w:r>
              <w:rPr>
                <w:sz w:val="18"/>
              </w:rPr>
              <w:t>Validation of KPI improvements and final operational handoff.</w:t>
            </w:r>
          </w:p>
        </w:tc>
        <w:tc>
          <w:tcPr>
            <w:tcW w:type="dxa" w:w="3600"/>
          </w:tcPr>
          <w:p>
            <w:r>
              <w:rPr>
                <w:sz w:val="18"/>
              </w:rPr>
              <w:t>COMPLETED — All KPIs validated. 3 training sessions delivered. SOPs and runbooks handed over. Project signed off August 29, 2025.</w:t>
            </w:r>
          </w:p>
        </w:tc>
      </w:tr>
    </w:tbl>
    <w:p/>
    <w:p>
      <w:pPr>
        <w:spacing w:before="120" w:after="120"/>
      </w:pPr>
      <w:r>
        <w:rPr>
          <w:color w:val="C8C8C8"/>
        </w:rPr>
        <w:t>────────────────────────────────────────────────────────────────────────────────</w:t>
      </w:r>
    </w:p>
    <w:p>
      <w:pPr>
        <w:pStyle w:val="Heading1"/>
      </w:pPr>
      <w:r>
        <w:rPr>
          <w:color w:val="003366"/>
        </w:rPr>
        <w:t>SECTION 6: PROJECT TEAM &amp; EFFORT</w:t>
      </w:r>
    </w:p>
    <w:p>
      <w:pPr>
        <w:spacing w:after="80"/>
      </w:pPr>
      <w:r>
        <w:rPr>
          <w:i/>
          <w:color w:val="646464"/>
          <w:sz w:val="20"/>
        </w:rPr>
        <w:t>[Present the team structure from the SOW — this shows the auditor the depth of expertise applied]</w:t>
      </w:r>
    </w:p>
    <w:p>
      <w:pPr>
        <w:spacing w:after="120"/>
      </w:pPr>
      <w:r>
        <w:t>"The SOW defines a specific team structure with estimated hours and audit-critical responsibilities. This aligns with the internal resource allocation used during the 120-day engagement."</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592"/>
          </w:tcPr>
          <w:p>
            <w:r>
              <w:rPr>
                <w:b/>
              </w:rPr>
              <w:t>Role</w:t>
            </w:r>
          </w:p>
        </w:tc>
        <w:tc>
          <w:tcPr>
            <w:tcW w:type="dxa" w:w="1152"/>
          </w:tcPr>
          <w:p>
            <w:r>
              <w:rPr>
                <w:b/>
              </w:rPr>
              <w:t>Est. Hours</w:t>
            </w:r>
          </w:p>
        </w:tc>
        <w:tc>
          <w:tcPr>
            <w:tcW w:type="dxa" w:w="5616"/>
          </w:tcPr>
          <w:p>
            <w:r>
              <w:rPr>
                <w:b/>
              </w:rPr>
              <w:t>Audit-Critical Responsibilities</w:t>
            </w:r>
          </w:p>
        </w:tc>
      </w:tr>
      <w:tr>
        <w:tc>
          <w:tcPr>
            <w:tcW w:type="dxa" w:w="2592"/>
          </w:tcPr>
          <w:p>
            <w:r>
              <w:rPr>
                <w:b/>
                <w:sz w:val="20"/>
              </w:rPr>
              <w:t>Solutions Architect (CFM)</w:t>
            </w:r>
          </w:p>
        </w:tc>
        <w:tc>
          <w:tcPr>
            <w:tcW w:type="dxa" w:w="1152"/>
          </w:tcPr>
          <w:p>
            <w:r>
              <w:rPr>
                <w:sz w:val="20"/>
              </w:rPr>
              <w:t>~40 hrs</w:t>
            </w:r>
          </w:p>
        </w:tc>
        <w:tc>
          <w:tcPr>
            <w:tcW w:type="dxa" w:w="5616"/>
          </w:tcPr>
          <w:p>
            <w:r>
              <w:rPr>
                <w:sz w:val="20"/>
              </w:rPr>
              <w:t>Design of AWS multi-account structure, workload isolation for school systems, and AWS Well-Architected review for ERP and EdTech workloads.</w:t>
            </w:r>
          </w:p>
        </w:tc>
      </w:tr>
      <w:tr>
        <w:tc>
          <w:tcPr>
            <w:tcW w:type="dxa" w:w="2592"/>
          </w:tcPr>
          <w:p>
            <w:r>
              <w:rPr>
                <w:b/>
                <w:sz w:val="20"/>
              </w:rPr>
              <w:t>Data Analyst (FinOps)</w:t>
            </w:r>
          </w:p>
        </w:tc>
        <w:tc>
          <w:tcPr>
            <w:tcW w:type="dxa" w:w="1152"/>
          </w:tcPr>
          <w:p>
            <w:r>
              <w:rPr>
                <w:sz w:val="20"/>
              </w:rPr>
              <w:t>~30 hrs</w:t>
            </w:r>
          </w:p>
        </w:tc>
        <w:tc>
          <w:tcPr>
            <w:tcW w:type="dxa" w:w="5616"/>
          </w:tcPr>
          <w:p>
            <w:r>
              <w:rPr>
                <w:sz w:val="20"/>
              </w:rPr>
              <w:t>CUR data ingestion, cost allocation analysis, unit cost modeling (Cost per 1,000 active users), and anomaly detection configuration.</w:t>
            </w:r>
          </w:p>
        </w:tc>
      </w:tr>
      <w:tr>
        <w:tc>
          <w:tcPr>
            <w:tcW w:type="dxa" w:w="2592"/>
          </w:tcPr>
          <w:p>
            <w:r>
              <w:rPr>
                <w:b/>
                <w:sz w:val="20"/>
              </w:rPr>
              <w:t>Cloud Security Engineer</w:t>
            </w:r>
          </w:p>
        </w:tc>
        <w:tc>
          <w:tcPr>
            <w:tcW w:type="dxa" w:w="1152"/>
          </w:tcPr>
          <w:p>
            <w:r>
              <w:rPr>
                <w:sz w:val="20"/>
              </w:rPr>
              <w:t>~20 hrs</w:t>
            </w:r>
          </w:p>
        </w:tc>
        <w:tc>
          <w:tcPr>
            <w:tcW w:type="dxa" w:w="5616"/>
          </w:tcPr>
          <w:p>
            <w:r>
              <w:rPr>
                <w:sz w:val="20"/>
              </w:rPr>
              <w:t>Implementation of SCP guardrails, IAM Identity Center setup, and governance policy alignment for cost and security controls.</w:t>
            </w:r>
          </w:p>
        </w:tc>
      </w:tr>
      <w:tr>
        <w:tc>
          <w:tcPr>
            <w:tcW w:type="dxa" w:w="2592"/>
          </w:tcPr>
          <w:p>
            <w:r>
              <w:rPr>
                <w:b/>
                <w:sz w:val="20"/>
              </w:rPr>
              <w:t>Project Manager</w:t>
            </w:r>
          </w:p>
        </w:tc>
        <w:tc>
          <w:tcPr>
            <w:tcW w:type="dxa" w:w="1152"/>
          </w:tcPr>
          <w:p>
            <w:r>
              <w:rPr>
                <w:sz w:val="20"/>
              </w:rPr>
              <w:t>~15 hrs</w:t>
            </w:r>
          </w:p>
        </w:tc>
        <w:tc>
          <w:tcPr>
            <w:tcW w:type="dxa" w:w="5616"/>
          </w:tcPr>
          <w:p>
            <w:r>
              <w:rPr>
                <w:sz w:val="20"/>
              </w:rPr>
              <w:t>Project coordination, milestone tracking, change log management, and reporting progress to stakeholders.</w:t>
            </w:r>
          </w:p>
        </w:tc>
      </w:tr>
      <w:tr>
        <w:tc>
          <w:tcPr>
            <w:tcW w:type="dxa" w:w="2592"/>
          </w:tcPr>
          <w:p>
            <w:r>
              <w:rPr>
                <w:b/>
                <w:sz w:val="20"/>
              </w:rPr>
              <w:t>Customer SMEs</w:t>
            </w:r>
          </w:p>
        </w:tc>
        <w:tc>
          <w:tcPr>
            <w:tcW w:type="dxa" w:w="1152"/>
          </w:tcPr>
          <w:p>
            <w:r>
              <w:rPr>
                <w:sz w:val="20"/>
              </w:rPr>
              <w:t>Ad-hoc</w:t>
            </w:r>
          </w:p>
        </w:tc>
        <w:tc>
          <w:tcPr>
            <w:tcW w:type="dxa" w:w="5616"/>
          </w:tcPr>
          <w:p>
            <w:r>
              <w:rPr>
                <w:sz w:val="20"/>
              </w:rPr>
              <w:t>Validation of ERP and mobile application workflows, operational alignment of cost governance processes, and infrastructure scaling inputs.</w:t>
            </w:r>
          </w:p>
        </w:tc>
      </w:tr>
    </w:tbl>
    <w:p/>
    <w:p>
      <w:pPr>
        <w:spacing w:after="120"/>
      </w:pPr>
      <w:r>
        <w:t>"This team structure demonstrates that we applied specialized expertise — not generalists. Each role had a defined scope of responsibility aligned to the SOW deliverables."</w:t>
      </w:r>
    </w:p>
    <w:p>
      <w:pPr>
        <w:spacing w:before="120" w:after="120"/>
      </w:pPr>
      <w:r>
        <w:rPr>
          <w:color w:val="C8C8C8"/>
        </w:rPr>
        <w:t>────────────────────────────────────────────────────────────────────────────────</w:t>
      </w:r>
    </w:p>
    <w:p>
      <w:pPr>
        <w:pStyle w:val="Heading1"/>
      </w:pPr>
      <w:r>
        <w:rPr>
          <w:color w:val="003366"/>
        </w:rPr>
        <w:t>SECTION 7: PROJECT &amp; CHANGE MANAGEMENT</w:t>
      </w:r>
    </w:p>
    <w:p>
      <w:pPr>
        <w:spacing w:after="80"/>
      </w:pPr>
      <w:r>
        <w:rPr>
          <w:i/>
          <w:color w:val="646464"/>
          <w:sz w:val="20"/>
        </w:rPr>
        <w:t>[This section is important for the auditor — it shows governance discipline]</w:t>
      </w:r>
    </w:p>
    <w:p>
      <w:pPr>
        <w:pStyle w:val="Heading2"/>
      </w:pPr>
      <w:r>
        <w:rPr>
          <w:color w:val="333333"/>
        </w:rPr>
        <w:t>7.1 Governance Hub</w:t>
      </w:r>
    </w:p>
    <w:p>
      <w:pPr>
        <w:spacing w:after="120"/>
      </w:pPr>
      <w:r>
        <w:t>"The SOW establishes a Governance Hub with bi-weekly reviews to analyze Unit Cost per 1,000 DAU (Daily Active Students). This is not a monthly check-in — it is a structured, recurring governance cadence that keeps cost metrics front and center."</w:t>
      </w:r>
    </w:p>
    <w:p>
      <w:r>
        <w:rPr>
          <w:b/>
          <w:color w:val="006633"/>
        </w:rPr>
        <w:t>How we operated this:</w:t>
      </w:r>
    </w:p>
    <w:p>
      <w:pPr>
        <w:pStyle w:val="ListBullet"/>
        <w:spacing w:after="40"/>
      </w:pPr>
      <w:r>
        <w:t>Bi-weekly review meetings with Franciscan stakeholders analyzing cost-per-DAU trends</w:t>
      </w:r>
    </w:p>
    <w:p>
      <w:pPr>
        <w:pStyle w:val="ListBullet"/>
        <w:spacing w:after="40"/>
      </w:pPr>
      <w:r>
        <w:t>Dashboard reviews covering budget burn-down, cost anomalies, and optimization progress</w:t>
      </w:r>
    </w:p>
    <w:p>
      <w:pPr>
        <w:pStyle w:val="ListBullet"/>
        <w:spacing w:after="40"/>
      </w:pPr>
      <w:r>
        <w:t>Action items tracked and assigned via RACI matrix</w:t>
      </w:r>
    </w:p>
    <w:p>
      <w:pPr>
        <w:pStyle w:val="Heading2"/>
      </w:pPr>
      <w:r>
        <w:rPr>
          <w:color w:val="333333"/>
        </w:rPr>
        <w:t>7.2 RACI Matrix</w:t>
      </w:r>
    </w:p>
    <w:p>
      <w:pPr>
        <w:spacing w:after="120"/>
      </w:pPr>
      <w:r>
        <w:t>"The SOW defines a clear RACI matrix for the engagement."</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Task / Activity</w:t>
            </w:r>
          </w:p>
        </w:tc>
        <w:tc>
          <w:tcPr>
            <w:tcW w:type="dxa" w:w="2880"/>
          </w:tcPr>
          <w:p>
            <w:r>
              <w:rPr>
                <w:b/>
              </w:rPr>
              <w:t>Mist Avinya (Partner)</w:t>
            </w:r>
          </w:p>
        </w:tc>
        <w:tc>
          <w:tcPr>
            <w:tcW w:type="dxa" w:w="2880"/>
          </w:tcPr>
          <w:p>
            <w:r>
              <w:rPr>
                <w:b/>
              </w:rPr>
              <w:t>Franciscan (Customer)</w:t>
            </w:r>
          </w:p>
        </w:tc>
      </w:tr>
      <w:tr>
        <w:tc>
          <w:tcPr>
            <w:tcW w:type="dxa" w:w="2880"/>
          </w:tcPr>
          <w:p>
            <w:r>
              <w:rPr>
                <w:sz w:val="20"/>
              </w:rPr>
              <w:t>Discovery &amp; Inventory Assessment</w:t>
            </w:r>
          </w:p>
        </w:tc>
        <w:tc>
          <w:tcPr>
            <w:tcW w:type="dxa" w:w="2880"/>
          </w:tcPr>
          <w:p>
            <w:r>
              <w:t>R (Responsible)</w:t>
            </w:r>
          </w:p>
        </w:tc>
        <w:tc>
          <w:tcPr>
            <w:tcW w:type="dxa" w:w="2880"/>
          </w:tcPr>
          <w:p>
            <w:r>
              <w:t>C (Consulted)</w:t>
            </w:r>
          </w:p>
        </w:tc>
      </w:tr>
      <w:tr>
        <w:tc>
          <w:tcPr>
            <w:tcW w:type="dxa" w:w="2880"/>
          </w:tcPr>
          <w:p>
            <w:r>
              <w:rPr>
                <w:sz w:val="20"/>
              </w:rPr>
              <w:t>AWS Organization &amp; OU Design</w:t>
            </w:r>
          </w:p>
        </w:tc>
        <w:tc>
          <w:tcPr>
            <w:tcW w:type="dxa" w:w="2880"/>
          </w:tcPr>
          <w:p>
            <w:r>
              <w:t>R (Responsible)</w:t>
            </w:r>
          </w:p>
        </w:tc>
        <w:tc>
          <w:tcPr>
            <w:tcW w:type="dxa" w:w="2880"/>
          </w:tcPr>
          <w:p>
            <w:r>
              <w:t>A (Accountable)</w:t>
            </w:r>
          </w:p>
        </w:tc>
      </w:tr>
      <w:tr>
        <w:tc>
          <w:tcPr>
            <w:tcW w:type="dxa" w:w="2880"/>
          </w:tcPr>
          <w:p>
            <w:r>
              <w:rPr>
                <w:sz w:val="20"/>
              </w:rPr>
              <w:t>Service Control Policy (SCP) Definition</w:t>
            </w:r>
          </w:p>
        </w:tc>
        <w:tc>
          <w:tcPr>
            <w:tcW w:type="dxa" w:w="2880"/>
          </w:tcPr>
          <w:p>
            <w:r>
              <w:t>R (Responsible)</w:t>
            </w:r>
          </w:p>
        </w:tc>
        <w:tc>
          <w:tcPr>
            <w:tcW w:type="dxa" w:w="2880"/>
          </w:tcPr>
          <w:p>
            <w:r>
              <w:t>A (Accountable)</w:t>
            </w:r>
          </w:p>
        </w:tc>
      </w:tr>
      <w:tr>
        <w:tc>
          <w:tcPr>
            <w:tcW w:type="dxa" w:w="2880"/>
          </w:tcPr>
          <w:p>
            <w:r>
              <w:rPr>
                <w:sz w:val="20"/>
              </w:rPr>
              <w:t>Tagging Schema Implementation</w:t>
            </w:r>
          </w:p>
        </w:tc>
        <w:tc>
          <w:tcPr>
            <w:tcW w:type="dxa" w:w="2880"/>
          </w:tcPr>
          <w:p>
            <w:r>
              <w:t>R (Responsible)</w:t>
            </w:r>
          </w:p>
        </w:tc>
        <w:tc>
          <w:tcPr>
            <w:tcW w:type="dxa" w:w="2880"/>
          </w:tcPr>
          <w:p>
            <w:r>
              <w:t>I (Informed)</w:t>
            </w:r>
          </w:p>
        </w:tc>
      </w:tr>
      <w:tr>
        <w:tc>
          <w:tcPr>
            <w:tcW w:type="dxa" w:w="2880"/>
          </w:tcPr>
          <w:p>
            <w:r>
              <w:rPr>
                <w:sz w:val="20"/>
              </w:rPr>
              <w:t>Savings Plans &amp; RI Purchase Decisions</w:t>
            </w:r>
          </w:p>
        </w:tc>
        <w:tc>
          <w:tcPr>
            <w:tcW w:type="dxa" w:w="2880"/>
          </w:tcPr>
          <w:p>
            <w:r>
              <w:t>C (Consulted)</w:t>
            </w:r>
          </w:p>
        </w:tc>
        <w:tc>
          <w:tcPr>
            <w:tcW w:type="dxa" w:w="2880"/>
          </w:tcPr>
          <w:p>
            <w:r>
              <w:t>R / A (Responsible &amp; Accountable)</w:t>
            </w:r>
          </w:p>
        </w:tc>
      </w:tr>
    </w:tbl>
    <w:p/>
    <w:p>
      <w:pPr>
        <w:spacing w:after="120"/>
      </w:pPr>
      <w:r>
        <w:t>"This RACI is important for the auditor because it shows clear separation of responsibilities. Mist Avinya did the implementation work. Franciscan retained accountability for architecture sign-off and commitment purchase decisions. This is how a well-governed engagement should operate."</w:t>
      </w:r>
    </w:p>
    <w:p>
      <w:pPr>
        <w:pStyle w:val="Heading2"/>
      </w:pPr>
      <w:r>
        <w:rPr>
          <w:color w:val="333333"/>
        </w:rPr>
        <w:t>7.3 Change Management Process</w:t>
      </w:r>
    </w:p>
    <w:p>
      <w:pPr>
        <w:spacing w:after="120"/>
      </w:pPr>
      <w:r>
        <w:t>"The SOW defines a 3-Step Audit-Ready Workflow for any scope changes. This was critical because Franciscan operates in an education environment where platform stability during academic cycles is non-negotiable."</w:t>
      </w:r>
    </w:p>
    <w:p>
      <w:r>
        <w:rPr>
          <w:b/>
        </w:rPr>
        <w:t>The 3-Step Audit-Ready Workflow:</w:t>
      </w:r>
    </w:p>
    <w:p>
      <w:pPr>
        <w:spacing w:after="80"/>
      </w:pPr>
      <w:r>
        <w:rPr>
          <w:b/>
        </w:rPr>
        <w:t xml:space="preserve">Step 1 — Submission: </w:t>
      </w:r>
      <w:r>
        <w:t>A formal Change Request (CR) is logged, documenting the technical justification. For example, scaling infrastructure for exam-season traffic.</w:t>
      </w:r>
    </w:p>
    <w:p>
      <w:pPr>
        <w:spacing w:after="80"/>
      </w:pPr>
      <w:r>
        <w:rPr>
          <w:b/>
        </w:rPr>
        <w:t xml:space="preserve">Step 2 — Impact Analysis: </w:t>
      </w:r>
      <w:r>
        <w:t>Mist Avinya assesses the impact on the Unit Cost-per-Student and Project Budget. This ensures no change is made without understanding its financial impact.</w:t>
      </w:r>
    </w:p>
    <w:p>
      <w:pPr>
        <w:spacing w:after="80"/>
      </w:pPr>
      <w:r>
        <w:rPr>
          <w:b/>
        </w:rPr>
        <w:t xml:space="preserve">Step 3 — Approval: </w:t>
      </w:r>
      <w:r>
        <w:t>Written authorization from the Franciscan CTO is mandatory before any production environment change. No verbal approvals, no exceptions.</w:t>
      </w:r>
    </w:p>
    <w:p>
      <w:pPr>
        <w:spacing w:after="120"/>
      </w:pPr>
      <w:r>
        <w:t>"This process maintained audit integrity throughout the engagement. Every change was documented, assessed for cost impact, and formally approved."</w:t>
      </w:r>
    </w:p>
    <w:p>
      <w:pPr>
        <w:spacing w:before="120" w:after="120"/>
      </w:pPr>
      <w:r>
        <w:rPr>
          <w:color w:val="C8C8C8"/>
        </w:rPr>
        <w:t>────────────────────────────────────────────────────────────────────────────────</w:t>
      </w:r>
    </w:p>
    <w:p>
      <w:pPr>
        <w:pStyle w:val="Heading1"/>
      </w:pPr>
      <w:r>
        <w:rPr>
          <w:color w:val="003366"/>
        </w:rPr>
        <w:t>SECTION 8: ASSUMPTIONS, DEPENDENCIES &amp; OUT OF SCOPE</w:t>
      </w:r>
    </w:p>
    <w:p>
      <w:pPr>
        <w:spacing w:after="80"/>
      </w:pPr>
      <w:r>
        <w:rPr>
          <w:i/>
          <w:color w:val="646464"/>
          <w:sz w:val="20"/>
        </w:rPr>
        <w:t>[Present this transparently — auditors appreciate clear boundaries]</w:t>
      </w:r>
    </w:p>
    <w:p>
      <w:pPr>
        <w:pStyle w:val="Heading2"/>
      </w:pPr>
      <w:r>
        <w:rPr>
          <w:color w:val="333333"/>
        </w:rPr>
        <w:t>8.1 Assumptions &amp; Dependencies</w:t>
      </w:r>
    </w:p>
    <w:p>
      <w:pPr>
        <w:spacing w:after="120"/>
      </w:pPr>
      <w:r>
        <w:t>"The SOW documents the following assumptions and dependencies that were required for successful delivery."</w:t>
      </w:r>
    </w:p>
    <w:p>
      <w:pPr>
        <w:spacing w:after="80"/>
      </w:pPr>
      <w:r>
        <w:rPr>
          <w:b/>
        </w:rPr>
        <w:t xml:space="preserve">AWS Access: </w:t>
      </w:r>
      <w:r>
        <w:t>The engagement assumed availability of appropriate AWS access based on the principle of least privilege to perform analysis, governance setup, and optimization activities. We did not request admin-level access — we operated with least-privilege IAM roles scoped to the specific activities in the SOW.</w:t>
      </w:r>
    </w:p>
    <w:p>
      <w:pPr>
        <w:spacing w:after="80"/>
      </w:pPr>
      <w:r>
        <w:rPr>
          <w:b/>
        </w:rPr>
        <w:t xml:space="preserve">Executive Approval for Commitments: </w:t>
      </w:r>
      <w:r>
        <w:t>Success depended on timely executive approval for Savings Plans and RI commitments. Per the RACI matrix, Franciscan was Responsible and Accountable for purchase decisions — we provided the analysis and recommendations, they made the buying decisions.</w:t>
      </w:r>
    </w:p>
    <w:p>
      <w:pPr>
        <w:spacing w:after="80"/>
      </w:pPr>
      <w:r>
        <w:rPr>
          <w:b/>
        </w:rPr>
        <w:t xml:space="preserve">Aquila Cloud Licensing: </w:t>
      </w:r>
      <w:r>
        <w:t>Onboarding of Aquila Clouds licensing was required within 14 days of engagement start. This was completed on schedule, enabling the AI-driven cost analysis and dashboard integration.</w:t>
      </w:r>
    </w:p>
    <w:p>
      <w:pPr>
        <w:spacing w:after="80"/>
      </w:pPr>
      <w:r>
        <w:rPr>
          <w:b/>
        </w:rPr>
        <w:t xml:space="preserve">Stakeholder Availability: </w:t>
      </w:r>
      <w:r>
        <w:t>Technical stakeholders needed to be available for validation workshops. Franciscan provided their Customer SMEs on an ad-hoc basis for ERP and mobile application workflow validation.</w:t>
      </w:r>
    </w:p>
    <w:p>
      <w:pPr>
        <w:pStyle w:val="Heading2"/>
      </w:pPr>
      <w:r>
        <w:rPr>
          <w:color w:val="333333"/>
        </w:rPr>
        <w:t>8.2 Out of Scope</w:t>
      </w:r>
    </w:p>
    <w:p>
      <w:pPr>
        <w:spacing w:after="120"/>
      </w:pPr>
      <w:r>
        <w:t>"The SOW explicitly defines what is out of scope. This is important for the auditor to understand the boundaries of our engagement."</w:t>
      </w:r>
    </w:p>
    <w:p>
      <w:pPr>
        <w:pStyle w:val="ListBullet"/>
        <w:spacing w:after="40"/>
      </w:pPr>
      <w:r>
        <w:t>Application-level code refactoring — we did not modify any application code</w:t>
      </w:r>
    </w:p>
    <w:p>
      <w:pPr>
        <w:pStyle w:val="ListBullet"/>
        <w:spacing w:after="40"/>
      </w:pPr>
      <w:r>
        <w:t>Optimization of non-AWS environments — this engagement was AWS-only</w:t>
      </w:r>
    </w:p>
    <w:p>
      <w:pPr>
        <w:pStyle w:val="ListBullet"/>
        <w:spacing w:after="40"/>
      </w:pPr>
      <w:r>
        <w:t>Security remediation unrelated to cost governance — security work was limited to SCPs, IAM, and tag enforcement for cost purposes</w:t>
      </w:r>
    </w:p>
    <w:p>
      <w:pPr>
        <w:pStyle w:val="ListBullet"/>
        <w:spacing w:after="40"/>
      </w:pPr>
      <w:r>
        <w:t>Ongoing managed services — the engagement was a transformation program with a defined end date, not a managed services contract</w:t>
      </w:r>
    </w:p>
    <w:p>
      <w:pPr>
        <w:spacing w:after="120"/>
      </w:pPr>
      <w:r>
        <w:t>"We operated strictly within these boundaries. Any work outside this scope would have required a formal change request through the 3-step audit-ready workflow."</w:t>
      </w:r>
    </w:p>
    <w:p>
      <w:pPr>
        <w:spacing w:before="120" w:after="120"/>
      </w:pPr>
      <w:r>
        <w:rPr>
          <w:color w:val="C8C8C8"/>
        </w:rPr>
        <w:t>────────────────────────────────────────────────────────────────────────────────</w:t>
      </w:r>
    </w:p>
    <w:p>
      <w:pPr>
        <w:pStyle w:val="Heading1"/>
      </w:pPr>
      <w:r>
        <w:rPr>
          <w:color w:val="003366"/>
        </w:rPr>
        <w:t>SECTION 9: ACCEPTANCE CRITERIA — SOW vs ACTUAL DELIVERY</w:t>
      </w:r>
    </w:p>
    <w:p>
      <w:pPr>
        <w:spacing w:after="80"/>
      </w:pPr>
      <w:r>
        <w:rPr>
          <w:i/>
          <w:color w:val="646464"/>
          <w:sz w:val="20"/>
        </w:rPr>
        <w:t>[This is the most important section for the auditor — show that every acceptance criterion was met]</w:t>
      </w:r>
    </w:p>
    <w:p>
      <w:pPr>
        <w:spacing w:after="120"/>
      </w:pPr>
      <w:r>
        <w:t>"The SOW defines three acceptance criteria that must be met for the engagement to be considered successfully completed. Let me walk through each one and confirm how it was achieved."</w:t>
      </w:r>
    </w:p>
    <w:p/>
    <w:p>
      <w:r>
        <w:rPr>
          <w:b/>
        </w:rPr>
        <w:t>Acceptance Criterion 1 — Financial Governance:</w:t>
      </w:r>
    </w:p>
    <w:p>
      <w:pPr>
        <w:spacing w:after="120"/>
      </w:pPr>
      <w:r>
        <w:t>"A FinOps operating model is implemented with automated cost monitoring dashboards and defined cost metrics."</w:t>
      </w:r>
    </w:p>
    <w:p>
      <w:r>
        <w:rPr>
          <w:b/>
          <w:color w:val="006633"/>
        </w:rPr>
        <w:t>Evidence of completion:</w:t>
      </w:r>
    </w:p>
    <w:p>
      <w:pPr>
        <w:pStyle w:val="ListBullet"/>
        <w:spacing w:after="40"/>
      </w:pPr>
      <w:r>
        <w:t>FinOps operating model implemented following Inform → Optimize → Operate framework</w:t>
      </w:r>
    </w:p>
    <w:p>
      <w:pPr>
        <w:pStyle w:val="ListBullet"/>
        <w:spacing w:after="40"/>
      </w:pPr>
      <w:r>
        <w:t>Automated cost monitoring via Aquila Cloud dashboards — Overview, Cost Trend, Anomaly Detection, Tag Compliance, Right-Sizing, RI/SP Management</w:t>
      </w:r>
    </w:p>
    <w:p>
      <w:pPr>
        <w:pStyle w:val="ListBullet"/>
        <w:spacing w:after="40"/>
      </w:pPr>
      <w:r>
        <w:t>Amazon QuickSight CID dashboards deployed for granular cost visibility</w:t>
      </w:r>
    </w:p>
    <w:p>
      <w:pPr>
        <w:pStyle w:val="ListBullet"/>
        <w:spacing w:after="40"/>
      </w:pPr>
      <w:r>
        <w:t>Defined cost metrics: Cost-per-DAU, tag compliance %, SP coverage %, SP utilization %, monthly cost reduction %</w:t>
      </w:r>
    </w:p>
    <w:p>
      <w:pPr>
        <w:pStyle w:val="ListBullet"/>
        <w:spacing w:after="40"/>
      </w:pPr>
      <w:r>
        <w:t>AWS Budgets configured with automated alerts for proactive monitoring</w:t>
      </w:r>
    </w:p>
    <w:p/>
    <w:p>
      <w:r>
        <w:rPr>
          <w:b/>
        </w:rPr>
        <w:t>Acceptance Criterion 2 — Realized Value:</w:t>
      </w:r>
    </w:p>
    <w:p>
      <w:pPr>
        <w:spacing w:after="120"/>
      </w:pPr>
      <w:r>
        <w:t>"Cloud cost optimization initiatives are implemented with measurable cost savings or a validated optimization roadmap."</w:t>
      </w:r>
    </w:p>
    <w:p>
      <w:r>
        <w:rPr>
          <w:b/>
          <w:color w:val="006633"/>
        </w:rPr>
        <w:t>Evidence of completion:</w:t>
      </w:r>
    </w:p>
    <w:p>
      <w:pPr>
        <w:pStyle w:val="ListBullet"/>
        <w:spacing w:after="40"/>
      </w:pPr>
      <w:r>
        <w:t>~30% monthly AWS cost reduction achieved within 120 days</w:t>
      </w:r>
    </w:p>
    <w:p>
      <w:pPr>
        <w:pStyle w:val="ListBullet"/>
        <w:spacing w:after="40"/>
      </w:pPr>
      <w:r>
        <w:t>Savings Plans coverage: 18% → 72% with 98% utilization</w:t>
      </w:r>
    </w:p>
    <w:p>
      <w:pPr>
        <w:pStyle w:val="ListBullet"/>
        <w:spacing w:after="40"/>
      </w:pPr>
      <w:r>
        <w:t>Tag compliance: 58% → 96% enabling accurate cost allocation</w:t>
      </w:r>
    </w:p>
    <w:p>
      <w:pPr>
        <w:pStyle w:val="ListBullet"/>
        <w:spacing w:after="40"/>
      </w:pPr>
      <w:r>
        <w:t>2,056 GP2 volumes identified for GP3 migration with quantified annual savings</w:t>
      </w:r>
    </w:p>
    <w:p>
      <w:pPr>
        <w:pStyle w:val="ListBullet"/>
        <w:spacing w:after="40"/>
      </w:pPr>
      <w:r>
        <w:t>Orphaned and idle resources identified and eliminated with cost quantification</w:t>
      </w:r>
    </w:p>
    <w:p>
      <w:pPr>
        <w:pStyle w:val="ListBullet"/>
        <w:spacing w:after="40"/>
      </w:pPr>
      <w:r>
        <w:t>EC2/RDS right-sizing recommendations implemented based on utilization data</w:t>
      </w:r>
    </w:p>
    <w:p>
      <w:pPr>
        <w:pStyle w:val="ListBullet"/>
        <w:spacing w:after="40"/>
      </w:pPr>
      <w:r>
        <w:t>Cost savings validated through AWS billing and usage reports</w:t>
      </w:r>
    </w:p>
    <w:p/>
    <w:p>
      <w:r>
        <w:rPr>
          <w:b/>
        </w:rPr>
        <w:t>Acceptance Criterion 3 — Operational Handoff:</w:t>
      </w:r>
    </w:p>
    <w:p>
      <w:pPr>
        <w:spacing w:after="120"/>
      </w:pPr>
      <w:r>
        <w:t>"Knowledge transfer is completed with delivery of SOPs, governance guidelines, and operational runbooks to the Franciscan teams."</w:t>
      </w:r>
    </w:p>
    <w:p>
      <w:r>
        <w:rPr>
          <w:b/>
          <w:color w:val="006633"/>
        </w:rPr>
        <w:t>Evidence of completion:</w:t>
      </w:r>
    </w:p>
    <w:p>
      <w:pPr>
        <w:pStyle w:val="ListBullet"/>
        <w:spacing w:after="40"/>
      </w:pPr>
      <w:r>
        <w:t>3 deep-dive training sessions delivered to Engineering and Finance teams</w:t>
      </w:r>
    </w:p>
    <w:p>
      <w:pPr>
        <w:pStyle w:val="ListBullet"/>
        <w:spacing w:after="40"/>
      </w:pPr>
      <w:r>
        <w:t>Training covered: CCoE operating model, FinOps best practices, Aquila Cloud platform</w:t>
      </w:r>
    </w:p>
    <w:p>
      <w:pPr>
        <w:pStyle w:val="ListBullet"/>
        <w:spacing w:after="40"/>
      </w:pPr>
      <w:r>
        <w:t>SOPs delivered for monthly cost reviews and commitment management</w:t>
      </w:r>
    </w:p>
    <w:p>
      <w:pPr>
        <w:pStyle w:val="ListBullet"/>
        <w:spacing w:after="40"/>
      </w:pPr>
      <w:r>
        <w:t>Governance guidelines documented: SCPs, Tag Policies, Config Rules, IAM conditions</w:t>
      </w:r>
    </w:p>
    <w:p>
      <w:pPr>
        <w:pStyle w:val="ListBullet"/>
        <w:spacing w:after="40"/>
      </w:pPr>
      <w:r>
        <w:t>Operational runbooks handed over for ongoing operations</w:t>
      </w:r>
    </w:p>
    <w:p>
      <w:pPr>
        <w:pStyle w:val="ListBullet"/>
        <w:spacing w:after="40"/>
      </w:pPr>
      <w:r>
        <w:t>Monthly business review cadence established for post-engagement governance</w:t>
      </w:r>
    </w:p>
    <w:p>
      <w:pPr>
        <w:spacing w:after="120"/>
      </w:pPr>
      <w:r>
        <w:t>"All three acceptance criteria were met. The Project Sign-Off &amp; Acceptance Report was signed by both parties on August 29, 2025, confirming formal project completion."</w:t>
      </w:r>
    </w:p>
    <w:p>
      <w:pPr>
        <w:spacing w:before="120" w:after="120"/>
      </w:pPr>
      <w:r>
        <w:rPr>
          <w:color w:val="C8C8C8"/>
        </w:rPr>
        <w:t>────────────────────────────────────────────────────────────────────────────────</w:t>
      </w:r>
    </w:p>
    <w:p>
      <w:pPr>
        <w:pStyle w:val="Heading1"/>
      </w:pPr>
      <w:r>
        <w:rPr>
          <w:color w:val="003366"/>
        </w:rPr>
        <w:t>SECTION 10: COMMERCIAL STRUCTURE</w:t>
      </w:r>
    </w:p>
    <w:p>
      <w:pPr>
        <w:spacing w:after="80"/>
      </w:pPr>
      <w:r>
        <w:rPr>
          <w:i/>
          <w:color w:val="646464"/>
          <w:sz w:val="20"/>
        </w:rPr>
        <w:t>[Present this at a high level — the auditor needs to understand the engagement model, not specific dollar amounts]</w:t>
      </w:r>
    </w:p>
    <w:p>
      <w:pPr>
        <w:spacing w:after="120"/>
      </w:pPr>
      <w:r>
        <w:t>"The SOW defines the commercial structure for this engagement. This was delivered as a professional services engagement focused on implementing a FinOps operating model and cost optimization strategy."</w:t>
      </w:r>
    </w:p>
    <w:p>
      <w:pPr>
        <w:spacing w:after="120"/>
      </w:pPr>
      <w:r>
        <w:t>The commercial structure includes:</w:t>
      </w:r>
    </w:p>
    <w:p>
      <w:pPr>
        <w:pStyle w:val="ListBullet"/>
        <w:spacing w:after="40"/>
      </w:pPr>
      <w:r>
        <w:t>Performance-based pricing aligned to measurable cost optimization outcomes</w:t>
      </w:r>
    </w:p>
    <w:p>
      <w:pPr>
        <w:pStyle w:val="ListBullet"/>
        <w:spacing w:after="40"/>
      </w:pPr>
      <w:r>
        <w:t>A one-time success fee equivalent to 20% of the annualized cloud cost savings realized by the client as a direct result of this engagement</w:t>
      </w:r>
    </w:p>
    <w:p>
      <w:pPr>
        <w:pStyle w:val="ListBullet"/>
        <w:spacing w:after="40"/>
      </w:pPr>
      <w:r>
        <w:t>Savings calculated based on a mutually agreed baseline and validated through AWS billing and usage reports</w:t>
      </w:r>
    </w:p>
    <w:p>
      <w:pPr>
        <w:pStyle w:val="ListBullet"/>
        <w:spacing w:after="40"/>
      </w:pPr>
      <w:r>
        <w:t>The success fee invoiced upon validation and sign-off of achieved cost savings</w:t>
      </w:r>
    </w:p>
    <w:p>
      <w:pPr>
        <w:pStyle w:val="ListBullet"/>
        <w:spacing w:after="40"/>
      </w:pPr>
      <w:r>
        <w:t>AWS cloud usage charges billed directly by AWS to Franciscan based on actual consumption</w:t>
      </w:r>
    </w:p>
    <w:p>
      <w:pPr>
        <w:pStyle w:val="ListBullet"/>
        <w:spacing w:after="40"/>
      </w:pPr>
      <w:r>
        <w:t>Aquila Cloud platform licensing governed under a separate commercial agreement</w:t>
      </w:r>
    </w:p>
    <w:p>
      <w:pPr>
        <w:pStyle w:val="ListBullet"/>
        <w:spacing w:after="40"/>
      </w:pPr>
      <w:r>
        <w:t>Any additional requirements beyond agreed scope follow the formal change management process</w:t>
      </w:r>
    </w:p>
    <w:p>
      <w:pPr>
        <w:spacing w:after="120"/>
      </w:pPr>
      <w:r>
        <w:t>"This commercial model is important because it aligns our incentives with the customer's outcomes. We only get paid the success fee when we deliver measurable savings — validated through AWS billing data, not self-reported numbers."</w:t>
      </w:r>
    </w:p>
    <w:p>
      <w:pPr>
        <w:spacing w:before="120" w:after="120"/>
      </w:pPr>
      <w:r>
        <w:rPr>
          <w:color w:val="C8C8C8"/>
        </w:rPr>
        <w:t>────────────────────────────────────────────────────────────────────────────────</w:t>
      </w:r>
    </w:p>
    <w:p>
      <w:pPr>
        <w:pStyle w:val="Heading1"/>
      </w:pPr>
      <w:r>
        <w:rPr>
          <w:color w:val="003366"/>
        </w:rPr>
        <w:t>SECTION 11: TERMS, CONDITIONS &amp; FORMAL SIGN-OFF</w:t>
      </w:r>
    </w:p>
    <w:p>
      <w:pPr>
        <w:spacing w:after="80"/>
      </w:pPr>
      <w:r>
        <w:rPr>
          <w:i/>
          <w:color w:val="646464"/>
          <w:sz w:val="20"/>
        </w:rPr>
        <w:t>[Close with the formal governance details]</w:t>
      </w:r>
    </w:p>
    <w:p>
      <w:pPr>
        <w:spacing w:after="120"/>
      </w:pPr>
      <w:r>
        <w:t>"The SOW includes standard terms and conditions that governed the engagement."</w:t>
      </w:r>
    </w:p>
    <w:p>
      <w:pPr>
        <w:pStyle w:val="ListBullet"/>
        <w:spacing w:after="40"/>
      </w:pPr>
      <w:r>
        <w:t>Engagement executed according to scope, deliverables, and timelines defined in the SOW</w:t>
      </w:r>
    </w:p>
    <w:p>
      <w:pPr>
        <w:pStyle w:val="ListBullet"/>
        <w:spacing w:after="40"/>
      </w:pPr>
      <w:r>
        <w:t>Franciscan provided necessary access to AWS accounts, billing reports, and relevant stakeholders</w:t>
      </w:r>
    </w:p>
    <w:p>
      <w:pPr>
        <w:pStyle w:val="ListBullet"/>
        <w:spacing w:after="40"/>
      </w:pPr>
      <w:r>
        <w:t>All deployed infrastructure and AWS resources remain the property of Franciscan</w:t>
      </w:r>
    </w:p>
    <w:p>
      <w:pPr>
        <w:pStyle w:val="ListBullet"/>
        <w:spacing w:after="40"/>
      </w:pPr>
      <w:r>
        <w:t>Implementation followed AWS cloud governance and cost management best practices aligned with the AWS Well-Architected Framework</w:t>
      </w:r>
    </w:p>
    <w:p>
      <w:pPr>
        <w:pStyle w:val="ListBullet"/>
        <w:spacing w:after="40"/>
      </w:pPr>
      <w:r>
        <w:t>All data handled in accordance with applicable security and confidentiality standards</w:t>
      </w:r>
    </w:p>
    <w:p/>
    <w:p>
      <w:pPr>
        <w:spacing w:after="120"/>
      </w:pPr>
      <w:r>
        <w:t>"The SOW was formally signed by both parties:"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Franciscan Solutions Pvt Ltd</w:t>
            </w:r>
          </w:p>
        </w:tc>
        <w:tc>
          <w:tcPr>
            <w:tcW w:type="dxa" w:w="4320"/>
          </w:tcPr>
          <w:p>
            <w:r>
              <w:rPr>
                <w:b/>
              </w:rPr>
              <w:t>Mist Avinya Technologies LLP</w:t>
            </w:r>
          </w:p>
        </w:tc>
      </w:tr>
      <w:tr>
        <w:tc>
          <w:tcPr>
            <w:tcW w:type="dxa" w:w="4320"/>
          </w:tcPr>
          <w:p>
            <w:r>
              <w:t>Name: Rajeev Francis</w:t>
            </w:r>
          </w:p>
        </w:tc>
        <w:tc>
          <w:tcPr>
            <w:tcW w:type="dxa" w:w="4320"/>
          </w:tcPr>
          <w:p>
            <w:r>
              <w:t>Name: Sohrab Pawar</w:t>
            </w:r>
          </w:p>
        </w:tc>
      </w:tr>
      <w:tr>
        <w:tc>
          <w:tcPr>
            <w:tcW w:type="dxa" w:w="4320"/>
          </w:tcPr>
          <w:p>
            <w:r>
              <w:t>Designation: Founder</w:t>
            </w:r>
          </w:p>
        </w:tc>
        <w:tc>
          <w:tcPr>
            <w:tcW w:type="dxa" w:w="4320"/>
          </w:tcPr>
          <w:p>
            <w:r>
              <w:t>Designation: Director</w:t>
            </w:r>
          </w:p>
        </w:tc>
      </w:tr>
      <w:tr>
        <w:tc>
          <w:tcPr>
            <w:tcW w:type="dxa" w:w="4320"/>
          </w:tcPr>
          <w:p>
            <w:r>
              <w:t>Date: July 10, 2025</w:t>
            </w:r>
          </w:p>
        </w:tc>
        <w:tc>
          <w:tcPr>
            <w:tcW w:type="dxa" w:w="4320"/>
          </w:tcPr>
          <w:p>
            <w:r>
              <w:t>Date: July 10, 2025</w:t>
            </w:r>
          </w:p>
        </w:tc>
      </w:tr>
      <w:tr>
        <w:tc>
          <w:tcPr>
            <w:tcW w:type="dxa" w:w="4320"/>
          </w:tcPr>
          <w:p>
            <w:r>
              <w:t>Location: Greater Noida, U.P.</w:t>
            </w:r>
          </w:p>
        </w:tc>
        <w:tc>
          <w:tcPr>
            <w:tcW w:type="dxa" w:w="4320"/>
          </w:tcPr>
          <w:p>
            <w:r>
              <w:t>Location: Sector 63, Noida</w:t>
            </w:r>
          </w:p>
        </w:tc>
      </w:tr>
    </w:tbl>
    <w:p/>
    <w:p>
      <w:pPr>
        <w:spacing w:after="120"/>
      </w:pPr>
      <w:r>
        <w:t>"The project was formally completed and the Project Sign-Off &amp; Acceptance Report was signed on August 29, 2025 — confirming all deliverables were reviewed, tested, and accepted by Franciscan."</w:t>
      </w:r>
    </w:p>
    <w:p>
      <w:pPr>
        <w:spacing w:before="120" w:after="120"/>
      </w:pPr>
      <w:r>
        <w:rPr>
          <w:color w:val="C8C8C8"/>
        </w:rPr>
        <w:t>────────────────────────────────────────────────────────────────────────────────</w:t>
      </w:r>
    </w:p>
    <w:p>
      <w:pPr>
        <w:pStyle w:val="Heading1"/>
      </w:pPr>
      <w:r>
        <w:rPr>
          <w:color w:val="003366"/>
        </w:rPr>
        <w:t>CLOSING</w:t>
      </w:r>
    </w:p>
    <w:p>
      <w:pPr>
        <w:spacing w:after="120"/>
      </w:pPr>
      <w:r>
        <w:t>"That concludes the SOW walkthrough. To summarize:</w:t>
      </w:r>
    </w:p>
    <w:p>
      <w:pPr>
        <w:pStyle w:val="ListBullet"/>
        <w:spacing w:after="40"/>
      </w:pPr>
      <w:r>
        <w:t>The SOW was tightly scoped to Cloud Financial Management and infrastructure governance</w:t>
      </w:r>
    </w:p>
    <w:p>
      <w:pPr>
        <w:pStyle w:val="ListBullet"/>
        <w:spacing w:after="40"/>
      </w:pPr>
      <w:r>
        <w:t>We followed a 4-phase methodology — Discovery, Governance Blueprint, Deployment, and Operational Readiness — executed across 6 weeks</w:t>
      </w:r>
    </w:p>
    <w:p>
      <w:pPr>
        <w:pStyle w:val="ListBullet"/>
        <w:spacing w:after="40"/>
      </w:pPr>
      <w:r>
        <w:t>Every business objective was met or exceeded: forecast variance stabilized, SP coverage at 72% (target was 70%+), SP utilization at 98% (target was &gt;95%), anomaly detection automated</w:t>
      </w:r>
    </w:p>
    <w:p>
      <w:pPr>
        <w:pStyle w:val="ListBullet"/>
        <w:spacing w:after="40"/>
      </w:pPr>
      <w:r>
        <w:t>All three acceptance criteria were fulfilled: Financial Governance implemented, Realized Value delivered (~30% cost reduction), and Operational Handoff completed with SOPs, runbooks, and 3 training sessions</w:t>
      </w:r>
    </w:p>
    <w:p>
      <w:pPr>
        <w:pStyle w:val="ListBullet"/>
        <w:spacing w:after="40"/>
      </w:pPr>
      <w:r>
        <w:t>The engagement was governed by a formal RACI matrix and a 3-step audit-ready change management process</w:t>
      </w:r>
    </w:p>
    <w:p>
      <w:pPr>
        <w:pStyle w:val="ListBullet"/>
        <w:spacing w:after="40"/>
      </w:pPr>
      <w:r>
        <w:t>The project was signed off on August 29, 2025</w:t>
      </w:r>
    </w:p>
    <w:p>
      <w:pPr>
        <w:spacing w:after="120"/>
      </w:pPr>
      <w:r>
        <w:t>We are happy to answer any questions about the SOW or provide supporting evidence for any specific deliverable."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