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1B4F86"/>
          <w:sz w:val="16"/>
        </w:rPr>
        <w:t>CONDENSED COMPANION · V1.0 · SEPT–OCT 2026</w:t>
      </w:r>
    </w:p>
    <w:p>
      <w:pPr>
        <w:pStyle w:val="Heading1"/>
        <w:pBdr>
          <w:bottom w:val="single" w:sz="12" w:space="5" w:color="1B4F86"/>
        </w:pBdr>
        <w:spacing w:after="160"/>
      </w:pPr>
      <w:r>
        <w:rPr>
          <w:rFonts w:ascii="Calibri Light" w:hAnsi="Calibri Light"/>
          <w:b/>
          <w:color w:val="0F2B4C"/>
          <w:sz w:val="38"/>
        </w:rPr>
        <w:t>SAP Migration — Field Pocket Reference</w:t>
      </w:r>
    </w:p>
    <w:p>
      <w:pPr>
        <w:spacing w:after="200"/>
      </w:pPr>
      <w:r>
        <w:rPr>
          <w:rFonts w:ascii="Calibri" w:hAnsi="Calibri"/>
          <w:i/>
          <w:color w:val="5B7288"/>
          <w:sz w:val="21"/>
        </w:rPr>
        <w:t>The one document to carry into a cutover bridge: the sequence, the checks, the return codes and the decision gates. Full rationale, theory and evidence strategy live in the SAP Migration Training Handbook v1.0 — this card deck does not replace 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DCE3EC"/>
          <w:insideV w:val="single" w:sz="6" w:space="0" w:color="DCE3E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506"/>
        <w:gridCol w:w="7132"/>
      </w:tblGrid>
      <w:tr>
        <w:trPr>
          <w:tblHeader/>
          <w:cantSplit/>
        </w:trPr>
        <w:tc>
          <w:tcPr>
            <w:tcW w:type="dxa" w:w="2506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132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506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Document ID</w:t>
            </w:r>
          </w:p>
        </w:tc>
        <w:tc>
          <w:tcPr>
            <w:tcW w:type="dxa" w:w="713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SAP-MIG-TRN-PR-001</w:t>
            </w:r>
          </w:p>
        </w:tc>
      </w:tr>
      <w:tr>
        <w:trPr>
          <w:cantSplit/>
        </w:trPr>
        <w:tc>
          <w:tcPr>
            <w:tcW w:type="dxa" w:w="2506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Companion to</w:t>
            </w:r>
          </w:p>
        </w:tc>
        <w:tc>
          <w:tcPr>
            <w:tcW w:type="dxa" w:w="713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SAP-MIG-TRN-HB-001 v1.0 (Training Handbook)</w:t>
            </w:r>
          </w:p>
        </w:tc>
      </w:tr>
      <w:tr>
        <w:trPr>
          <w:cantSplit/>
        </w:trPr>
        <w:tc>
          <w:tcPr>
            <w:tcW w:type="dxa" w:w="2506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Owner</w:t>
            </w:r>
          </w:p>
        </w:tc>
        <w:tc>
          <w:tcPr>
            <w:tcW w:type="dxa" w:w="713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Amit Prajapati — primary trainer</w:t>
            </w:r>
          </w:p>
        </w:tc>
      </w:tr>
      <w:tr>
        <w:trPr>
          <w:cantSplit/>
        </w:trPr>
        <w:tc>
          <w:tcPr>
            <w:tcW w:type="dxa" w:w="2506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Use</w:t>
            </w:r>
          </w:p>
        </w:tc>
        <w:tc>
          <w:tcPr>
            <w:tcW w:type="dxa" w:w="713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Cutover bridge, validation desks, hypercare desk</w:t>
            </w:r>
          </w:p>
        </w:tc>
      </w:tr>
      <w:tr>
        <w:trPr>
          <w:cantSplit/>
        </w:trPr>
        <w:tc>
          <w:tcPr>
            <w:tcW w:type="dxa" w:w="2506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Status</w:t>
            </w:r>
          </w:p>
        </w:tc>
        <w:tc>
          <w:tcPr>
            <w:tcW w:type="dxa" w:w="713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Issued with handbook v1.0</w:t>
            </w:r>
          </w:p>
        </w:tc>
      </w:tr>
    </w:tbl>
    <w:p>
      <w:pPr>
        <w:spacing w:after="40"/>
      </w:pPr>
    </w:p>
    <w:p>
      <w:pPr>
        <w:spacing w:before="180" w:after="40"/>
        <w:shd w:val="clear" w:color="auto" w:fill="FFFBFB"/>
        <w:pBdr>
          <w:left w:val="single" w:sz="6" w:space="6" w:color="C8434B"/>
          <w:top w:val="single" w:sz="6" w:space="6" w:color="C8434B"/>
          <w:right w:val="single" w:sz="6" w:space="6" w:color="C8434B"/>
        </w:pBdr>
        <w:keepNext/>
      </w:pPr>
      <w:r>
        <w:rPr>
          <w:rFonts w:ascii="Calibri" w:hAnsi="Calibri"/>
          <w:b/>
          <w:color w:val="C8434B"/>
          <w:sz w:val="16"/>
        </w:rPr>
        <w:t>THREE RULES THAT OVERRIDE EVERYTHING ELSE ON THESE PAGES</w:t>
      </w:r>
    </w:p>
    <w:p>
      <w:pPr>
        <w:spacing w:after="120"/>
        <w:ind w:left="170"/>
        <w:shd w:val="clear" w:color="auto" w:fill="FFFBFB"/>
        <w:pBdr>
          <w:left w:val="single" w:sz="6" w:space="6" w:color="C8434B"/>
          <w:right w:val="single" w:sz="6" w:space="6" w:color="C8434B"/>
        </w:pBdr>
      </w:pPr>
      <w:r>
        <w:rPr>
          <w:rFonts w:ascii="Calibri" w:hAnsi="Calibri"/>
          <w:b w:val="0"/>
          <w:i w:val="0"/>
          <w:color w:val="334E68"/>
          <w:sz w:val="18"/>
        </w:rPr>
        <w:t>1. Nothing advances past a gate without evidence and a named approval.</w:t>
      </w:r>
    </w:p>
    <w:p>
      <w:pPr>
        <w:spacing w:after="120"/>
        <w:ind w:left="170"/>
        <w:shd w:val="clear" w:color="auto" w:fill="FFFBFB"/>
        <w:pBdr>
          <w:left w:val="single" w:sz="6" w:space="6" w:color="C8434B"/>
          <w:right w:val="single" w:sz="6" w:space="6" w:color="C8434B"/>
        </w:pBdr>
      </w:pPr>
      <w:r>
        <w:rPr>
          <w:rFonts w:ascii="Calibri" w:hAnsi="Calibri"/>
          <w:b w:val="0"/>
          <w:i w:val="0"/>
          <w:color w:val="334E68"/>
          <w:sz w:val="18"/>
        </w:rPr>
        <w:t>2. The source stays available until the required final backup activity succeeds.</w:t>
      </w:r>
    </w:p>
    <w:p>
      <w:pPr>
        <w:spacing w:after="40"/>
        <w:ind w:left="170"/>
        <w:shd w:val="clear" w:color="auto" w:fill="FFFBFB"/>
        <w:pBdr>
          <w:left w:val="single" w:sz="6" w:space="6" w:color="C8434B"/>
          <w:bottom w:val="single" w:sz="6" w:space="6" w:color="C8434B"/>
          <w:right w:val="single" w:sz="6" w:space="6" w:color="C8434B"/>
        </w:pBdr>
      </w:pPr>
      <w:r>
        <w:rPr>
          <w:rFonts w:ascii="Calibri" w:hAnsi="Calibri"/>
          <w:b w:val="0"/>
          <w:i w:val="0"/>
          <w:color w:val="334E68"/>
          <w:sz w:val="18"/>
        </w:rPr>
        <w:t xml:space="preserve">3. If </w:t>
      </w:r>
      <w:r>
        <w:rPr>
          <w:rFonts w:ascii="Consolas" w:hAnsi="Consolas"/>
          <w:b w:val="0"/>
          <w:i w:val="0"/>
          <w:color w:val="123A63"/>
          <w:sz w:val="18"/>
          <w:shd w:val="clear" w:color="auto" w:fill="EEF2F7"/>
        </w:rPr>
        <w:t>R3trans -d</w:t>
      </w:r>
      <w:r>
        <w:rPr>
          <w:rFonts w:ascii="Calibri" w:hAnsi="Calibri"/>
          <w:b w:val="0"/>
          <w:i w:val="0"/>
          <w:color w:val="334E68"/>
          <w:sz w:val="18"/>
        </w:rPr>
        <w:t xml:space="preserve"> is not </w:t>
      </w:r>
      <w:r>
        <w:rPr>
          <w:rFonts w:ascii="Consolas" w:hAnsi="Consolas"/>
          <w:b w:val="0"/>
          <w:i w:val="0"/>
          <w:color w:val="123A63"/>
          <w:sz w:val="18"/>
          <w:shd w:val="clear" w:color="auto" w:fill="EEF2F7"/>
        </w:rPr>
        <w:t>0000</w:t>
      </w:r>
      <w:r>
        <w:rPr>
          <w:rFonts w:ascii="Calibri" w:hAnsi="Calibri"/>
          <w:b w:val="0"/>
          <w:i w:val="0"/>
          <w:color w:val="334E68"/>
          <w:sz w:val="18"/>
        </w:rPr>
        <w:t>, SAP does not start.</w:t>
      </w:r>
    </w:p>
    <w:p>
      <w:r>
        <w:br w:type="page"/>
      </w:r>
    </w:p>
    <w:p>
      <w:pPr>
        <w:spacing w:after="20"/>
      </w:pPr>
      <w:r>
        <w:rPr>
          <w:rFonts w:ascii="Calibri" w:hAnsi="Calibri"/>
          <w:b/>
          <w:color w:val="1B4F86"/>
          <w:sz w:val="16"/>
        </w:rPr>
        <w:t>POCKET REFERENCE · SECTION 1</w:t>
      </w:r>
    </w:p>
    <w:p>
      <w:pPr>
        <w:pStyle w:val="Heading1"/>
        <w:pBdr>
          <w:bottom w:val="single" w:sz="12" w:space="5" w:color="1B4F86"/>
        </w:pBdr>
        <w:spacing w:after="160"/>
      </w:pPr>
      <w:r>
        <w:rPr>
          <w:rFonts w:ascii="Calibri Light" w:hAnsi="Calibri Light"/>
          <w:b/>
          <w:color w:val="0F2B4C"/>
          <w:sz w:val="38"/>
        </w:rPr>
        <w:t>1  Cutover run-card</w:t>
      </w:r>
    </w:p>
    <w:p>
      <w:pPr>
        <w:spacing w:after="200"/>
      </w:pPr>
      <w:r>
        <w:rPr>
          <w:rFonts w:ascii="Calibri" w:hAnsi="Calibri"/>
          <w:i/>
          <w:color w:val="5B7288"/>
          <w:sz w:val="21"/>
        </w:rPr>
        <w:t>Four lanes, one direction of travel. Each handover is announced on the bridge and recorded in the change log with a timestamp.</w:t>
      </w:r>
    </w:p>
    <w:p>
      <w:pPr>
        <w:spacing w:after="60" w:before="160"/>
        <w:keepNext/>
      </w:pPr>
      <w:r>
        <w:rPr>
          <w:rFonts w:ascii="Calibri" w:hAnsi="Calibri"/>
          <w:b/>
          <w:color w:val="5B7288"/>
          <w:sz w:val="15"/>
        </w:rPr>
        <w:t>LANE SEQUENCE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DCE3EC"/>
          <w:insideV w:val="single" w:sz="6" w:space="0" w:color="DCE3E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409"/>
        <w:gridCol w:w="2409"/>
        <w:gridCol w:w="2891"/>
        <w:gridCol w:w="1928"/>
      </w:tblGrid>
      <w:tr>
        <w:trPr>
          <w:tblHeader/>
          <w:cantSplit/>
        </w:trPr>
        <w:tc>
          <w:tcPr>
            <w:tcW w:type="dxa" w:w="2409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APPLICATION</w:t>
            </w:r>
          </w:p>
        </w:tc>
        <w:tc>
          <w:tcPr>
            <w:tcW w:type="dxa" w:w="2409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DBA</w:t>
            </w:r>
          </w:p>
        </w:tc>
        <w:tc>
          <w:tcPr>
            <w:tcW w:type="dxa" w:w="2891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BASIS / MIGRATION</w:t>
            </w:r>
          </w:p>
        </w:tc>
        <w:tc>
          <w:tcPr>
            <w:tcW w:type="dxa" w:w="1928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FUNCTIONAL + PMO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1 Cooldown / ramp-up complete 2 Application + web services stopped 3 Handover to DBA confirmed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4 Final backup + AWS snapshot 5 Switchover or HANA recovery 6 DBVERIFY, RMAN, DB validation</w:t>
            </w:r>
          </w:p>
        </w:tc>
        <w:tc>
          <w:tcPr>
            <w:tcW w:type="dxa" w:w="289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7 rsync global directory; clean host/IPAM 8 Profile parameters, kernel permissions, root scripts 9 R3trans -d must return 0000 10 Start SAP; validate SNC/SSO, Gateway, RFC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11 Business transaction tests, interfaces, printers, evidence</w:t>
            </w:r>
          </w:p>
        </w:tc>
      </w:tr>
    </w:tbl>
    <w:p>
      <w:pPr>
        <w:spacing w:after="40"/>
      </w:pPr>
    </w:p>
    <w:p>
      <w:pPr>
        <w:spacing w:before="120" w:after="0"/>
        <w:ind w:left="170"/>
        <w:shd w:val="clear" w:color="auto" w:fill="0E2340"/>
        <w:pBdr>
          <w:left w:val="single" w:sz="18" w:space="4" w:color="1B4F86"/>
        </w:pBdr>
      </w:pPr>
      <w:r>
        <w:rPr>
          <w:rFonts w:ascii="Consolas" w:hAnsi="Consolas"/>
          <w:color w:val="7FA2C8"/>
          <w:sz w:val="16"/>
        </w:rPr>
        <w:t># the gate before SAP start</w:t>
      </w:r>
    </w:p>
    <w:p>
      <w:pPr>
        <w:spacing w:before="0" w:after="0"/>
        <w:ind w:left="170"/>
        <w:shd w:val="clear" w:color="auto" w:fill="0E2340"/>
        <w:pBdr>
          <w:left w:val="single" w:sz="18" w:space="4" w:color="1B4F86"/>
        </w:pBdr>
      </w:pPr>
      <w:r>
        <w:rPr>
          <w:rFonts w:ascii="Consolas" w:hAnsi="Consolas"/>
          <w:color w:val="D6E4F5"/>
          <w:sz w:val="16"/>
        </w:rPr>
        <w:t>su - &amp;lt;sid&amp;gt;adm</w:t>
      </w:r>
    </w:p>
    <w:p>
      <w:pPr>
        <w:spacing w:before="0" w:after="0"/>
        <w:ind w:left="170"/>
        <w:shd w:val="clear" w:color="auto" w:fill="0E2340"/>
        <w:pBdr>
          <w:left w:val="single" w:sz="18" w:space="4" w:color="1B4F86"/>
        </w:pBdr>
      </w:pPr>
      <w:r>
        <w:rPr>
          <w:rFonts w:ascii="Consolas" w:hAnsi="Consolas"/>
          <w:color w:val="D6E4F5"/>
          <w:sz w:val="16"/>
        </w:rPr>
        <w:t>R3trans -d        # expect: R3trans finished (0000)</w:t>
      </w:r>
    </w:p>
    <w:p>
      <w:pPr>
        <w:spacing w:before="0" w:after="0"/>
        <w:ind w:left="170"/>
        <w:shd w:val="clear" w:color="auto" w:fill="0E2340"/>
        <w:pBdr>
          <w:left w:val="single" w:sz="18" w:space="4" w:color="1B4F86"/>
        </w:pBdr>
      </w:pPr>
      <w:r>
        <w:rPr>
          <w:rFonts w:ascii="Consolas" w:hAnsi="Consolas"/>
          <w:color w:val="D6E4F5"/>
          <w:sz w:val="16"/>
        </w:rPr>
        <w:t>cat trans.log     # first place to look if not 0000</w:t>
      </w:r>
    </w:p>
    <w:p>
      <w:pPr>
        <w:spacing w:before="0" w:after="0"/>
        <w:ind w:left="170"/>
        <w:shd w:val="clear" w:color="auto" w:fill="0E2340"/>
        <w:pBdr>
          <w:left w:val="single" w:sz="18" w:space="4" w:color="1B4F86"/>
        </w:pBdr>
      </w:pPr>
      <w:r>
        <w:rPr>
          <w:rFonts w:ascii="Consolas" w:hAnsi="Consolas"/>
          <w:color w:val="7FA2C8"/>
          <w:sz w:val="16"/>
        </w:rPr>
        <w:t># instance state without the GUI</w:t>
      </w:r>
    </w:p>
    <w:p>
      <w:pPr>
        <w:spacing w:before="0" w:after="0"/>
        <w:ind w:left="170"/>
        <w:shd w:val="clear" w:color="auto" w:fill="0E2340"/>
        <w:pBdr>
          <w:left w:val="single" w:sz="18" w:space="4" w:color="1B4F86"/>
        </w:pBdr>
      </w:pPr>
      <w:r>
        <w:rPr>
          <w:rFonts w:ascii="Consolas" w:hAnsi="Consolas"/>
          <w:color w:val="D6E4F5"/>
          <w:sz w:val="16"/>
        </w:rPr>
        <w:t>sapcontrol -nr &lt;nn&gt; -function GetProcessList</w:t>
      </w:r>
    </w:p>
    <w:p>
      <w:pPr>
        <w:spacing w:before="0" w:after="120"/>
        <w:ind w:left="170"/>
        <w:shd w:val="clear" w:color="auto" w:fill="0E2340"/>
        <w:pBdr>
          <w:left w:val="single" w:sz="18" w:space="4" w:color="1B4F86"/>
        </w:pBdr>
      </w:pPr>
      <w:r>
        <w:rPr>
          <w:rFonts w:ascii="Consolas" w:hAnsi="Consolas"/>
          <w:color w:val="D6E4F5"/>
          <w:sz w:val="16"/>
        </w:rPr>
        <w:t>sapcontrol -nr &lt;nn&gt; -function GetSystemInstanceList</w:t>
      </w:r>
    </w:p>
    <w:p>
      <w:pPr>
        <w:spacing w:after="60" w:before="160"/>
        <w:keepNext/>
      </w:pPr>
      <w:r>
        <w:rPr>
          <w:rFonts w:ascii="Calibri" w:hAnsi="Calibri"/>
          <w:b/>
          <w:color w:val="5B7288"/>
          <w:sz w:val="15"/>
        </w:rPr>
        <w:t>GO/NO-GO GATE INPUTS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DCE3EC"/>
          <w:insideV w:val="single" w:sz="6" w:space="0" w:color="DCE3E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506"/>
        <w:gridCol w:w="7132"/>
      </w:tblGrid>
      <w:tr>
        <w:trPr>
          <w:tblHeader/>
          <w:cantSplit/>
        </w:trPr>
        <w:tc>
          <w:tcPr>
            <w:tcW w:type="dxa" w:w="2506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Go/No-Go input</w:t>
            </w:r>
          </w:p>
        </w:tc>
        <w:tc>
          <w:tcPr>
            <w:tcW w:type="dxa" w:w="7132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Must be true to vote Go</w:t>
            </w:r>
          </w:p>
        </w:tc>
      </w:tr>
      <w:tr>
        <w:trPr>
          <w:cantSplit/>
        </w:trPr>
        <w:tc>
          <w:tcPr>
            <w:tcW w:type="dxa" w:w="2506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Technical validation</w:t>
            </w:r>
          </w:p>
        </w:tc>
        <w:tc>
          <w:tcPr>
            <w:tcW w:type="dxa" w:w="713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Module 4 + Module 6 checks complete, or formally deferred with owner, impact, date</w:t>
            </w:r>
          </w:p>
        </w:tc>
      </w:tr>
      <w:tr>
        <w:trPr>
          <w:cantSplit/>
        </w:trPr>
        <w:tc>
          <w:tcPr>
            <w:tcW w:type="dxa" w:w="2506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Functional validation</w:t>
            </w:r>
          </w:p>
        </w:tc>
        <w:tc>
          <w:tcPr>
            <w:tcW w:type="dxa" w:w="713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Named business transactions passed by the functional team</w:t>
            </w:r>
          </w:p>
        </w:tc>
      </w:tr>
      <w:tr>
        <w:trPr>
          <w:cantSplit/>
        </w:trPr>
        <w:tc>
          <w:tcPr>
            <w:tcW w:type="dxa" w:w="2506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Evidence</w:t>
            </w:r>
          </w:p>
        </w:tc>
        <w:tc>
          <w:tcPr>
            <w:tcW w:type="dxa" w:w="713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Source and target captured, compared, attached to the change record</w:t>
            </w:r>
          </w:p>
        </w:tc>
      </w:tr>
      <w:tr>
        <w:trPr>
          <w:cantSplit/>
        </w:trPr>
        <w:tc>
          <w:tcPr>
            <w:tcW w:type="dxa" w:w="2506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Rollback readiness</w:t>
            </w:r>
          </w:p>
        </w:tc>
        <w:tc>
          <w:tcPr>
            <w:tcW w:type="dxa" w:w="713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Snapshot / final backup verified; DNS rollback path defined; owner on the bridge</w:t>
            </w:r>
          </w:p>
        </w:tc>
      </w:tr>
      <w:tr>
        <w:trPr>
          <w:cantSplit/>
        </w:trPr>
        <w:tc>
          <w:tcPr>
            <w:tcW w:type="dxa" w:w="2506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Approvals</w:t>
            </w:r>
          </w:p>
        </w:tc>
        <w:tc>
          <w:tcPr>
            <w:tcW w:type="dxa" w:w="713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Basis, application, functional, system owner, PMO — recorded by name</w:t>
            </w:r>
          </w:p>
        </w:tc>
      </w:tr>
      <w:tr>
        <w:trPr>
          <w:cantSplit/>
        </w:trPr>
        <w:tc>
          <w:tcPr>
            <w:tcW w:type="dxa" w:w="2506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Open risks</w:t>
            </w:r>
          </w:p>
        </w:tc>
        <w:tc>
          <w:tcPr>
            <w:tcW w:type="dxa" w:w="713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Every item classified; no unexplained critical</w:t>
            </w:r>
          </w:p>
        </w:tc>
      </w:tr>
      <w:tr>
        <w:trPr>
          <w:cantSplit/>
        </w:trPr>
        <w:tc>
          <w:tcPr>
            <w:tcW w:type="dxa" w:w="2506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Support readiness</w:t>
            </w:r>
          </w:p>
        </w:tc>
        <w:tc>
          <w:tcPr>
            <w:tcW w:type="dxa" w:w="713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Hypercare roster, escalation path, ticket routing live</w:t>
            </w:r>
          </w:p>
        </w:tc>
      </w:tr>
    </w:tbl>
    <w:p>
      <w:pPr>
        <w:spacing w:after="40"/>
      </w:pPr>
    </w:p>
    <w:p>
      <w:pPr>
        <w:spacing w:before="180" w:after="40"/>
        <w:shd w:val="clear" w:color="auto" w:fill="FFFDF5"/>
        <w:pBdr>
          <w:left w:val="single" w:sz="6" w:space="6" w:color="D9A520"/>
          <w:top w:val="single" w:sz="6" w:space="6" w:color="D9A520"/>
          <w:right w:val="single" w:sz="6" w:space="6" w:color="D9A520"/>
        </w:pBdr>
        <w:keepNext/>
      </w:pPr>
      <w:r>
        <w:rPr>
          <w:rFonts w:ascii="Calibri" w:hAnsi="Calibri"/>
          <w:b/>
          <w:color w:val="D9A520"/>
          <w:sz w:val="16"/>
        </w:rPr>
        <w:t>ROLLBACK PATH (EXECUTED ON NO-GO OR AN UNSAFE CUTOVER)</w:t>
      </w:r>
    </w:p>
    <w:p>
      <w:pPr>
        <w:spacing w:after="40"/>
        <w:ind w:left="567" w:hanging="227"/>
        <w:shd w:val="clear" w:color="auto" w:fill="FFFDF5"/>
      </w:pPr>
      <w:r>
        <w:rPr>
          <w:rFonts w:ascii="Calibri" w:hAnsi="Calibri"/>
          <w:b/>
          <w:color w:val="1B4F86"/>
          <w:sz w:val="19"/>
        </w:rPr>
        <w:t xml:space="preserve">▪  </w:t>
      </w:r>
      <w:r>
        <w:rPr>
          <w:rFonts w:ascii="Calibri" w:hAnsi="Calibri"/>
          <w:b w:val="0"/>
          <w:i w:val="0"/>
          <w:color w:val="334E68"/>
          <w:sz w:val="19"/>
        </w:rPr>
        <w:t>Restore the snapshot or recover the source; revert DNS/CNAME to the source.</w:t>
      </w:r>
    </w:p>
    <w:p>
      <w:pPr>
        <w:spacing w:after="40"/>
        <w:ind w:left="567" w:hanging="227"/>
        <w:shd w:val="clear" w:color="auto" w:fill="FFFDF5"/>
      </w:pPr>
      <w:r>
        <w:rPr>
          <w:rFonts w:ascii="Calibri" w:hAnsi="Calibri"/>
          <w:b/>
          <w:color w:val="1B4F86"/>
          <w:sz w:val="19"/>
        </w:rPr>
        <w:t xml:space="preserve">▪  </w:t>
      </w:r>
      <w:r>
        <w:rPr>
          <w:rFonts w:ascii="Calibri" w:hAnsi="Calibri"/>
          <w:b w:val="0"/>
          <w:i w:val="0"/>
          <w:color w:val="334E68"/>
          <w:sz w:val="19"/>
        </w:rPr>
        <w:t>Restart source database and SAP; re-validate connectivity (</w:t>
      </w:r>
      <w:r>
        <w:rPr>
          <w:rFonts w:ascii="Consolas" w:hAnsi="Consolas"/>
          <w:b w:val="0"/>
          <w:i w:val="0"/>
          <w:color w:val="123A63"/>
          <w:sz w:val="19"/>
          <w:shd w:val="clear" w:color="auto" w:fill="EEF2F7"/>
        </w:rPr>
        <w:t>R3trans -d</w:t>
      </w:r>
      <w:r>
        <w:rPr>
          <w:rFonts w:ascii="Calibri" w:hAnsi="Calibri"/>
          <w:b w:val="0"/>
          <w:i w:val="0"/>
          <w:color w:val="334E68"/>
          <w:sz w:val="19"/>
        </w:rPr>
        <w:t>).</w:t>
      </w:r>
    </w:p>
    <w:p>
      <w:pPr>
        <w:spacing w:after="40"/>
        <w:ind w:left="567" w:hanging="227"/>
        <w:shd w:val="clear" w:color="auto" w:fill="FFFDF5"/>
      </w:pPr>
      <w:r>
        <w:rPr>
          <w:rFonts w:ascii="Calibri" w:hAnsi="Calibri"/>
          <w:b/>
          <w:color w:val="1B4F86"/>
          <w:sz w:val="19"/>
        </w:rPr>
        <w:t xml:space="preserve">▪  </w:t>
      </w:r>
      <w:r>
        <w:rPr>
          <w:rFonts w:ascii="Calibri" w:hAnsi="Calibri"/>
          <w:b w:val="0"/>
          <w:i w:val="0"/>
          <w:color w:val="334E68"/>
          <w:sz w:val="19"/>
        </w:rPr>
        <w:t>Announce decision, time and reason on the bridge; record evidence of the attempt.</w:t>
      </w:r>
    </w:p>
    <w:p>
      <w:pPr>
        <w:spacing w:after="40"/>
        <w:ind w:left="567" w:hanging="227"/>
        <w:shd w:val="clear" w:color="auto" w:fill="FFFDF5"/>
      </w:pPr>
      <w:r>
        <w:rPr>
          <w:rFonts w:ascii="Calibri" w:hAnsi="Calibri"/>
          <w:b/>
          <w:color w:val="1B4F86"/>
          <w:sz w:val="19"/>
        </w:rPr>
        <w:t xml:space="preserve">▪  </w:t>
      </w:r>
      <w:r>
        <w:rPr>
          <w:rFonts w:ascii="Calibri" w:hAnsi="Calibri"/>
          <w:b w:val="0"/>
          <w:i w:val="0"/>
          <w:color w:val="334E68"/>
          <w:sz w:val="19"/>
        </w:rPr>
        <w:t>Confirm with the business what data (if any) was created on the target.</w:t>
      </w:r>
    </w:p>
    <w:p>
      <w:pPr>
        <w:shd w:val="clear" w:color="auto" w:fill="FFFDF5"/>
        <w:pBdr>
          <w:left w:val="single" w:sz="6" w:space="6" w:color="D9A520"/>
          <w:bottom w:val="single" w:sz="6" w:space="6" w:color="D9A520"/>
          <w:right w:val="single" w:sz="6" w:space="6" w:color="D9A520"/>
        </w:pBd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020" w:right="1134" w:bottom="1020" w:left="1134" w:header="567" w:footer="567" w:gutter="0"/>
          <w:cols w:space="720"/>
          <w:titlePg/>
          <w:docGrid w:linePitch="360"/>
        </w:sectPr>
      </w:pPr>
    </w:p>
    <w:p>
      <w:pPr>
        <w:spacing w:before="160" w:after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8892000" cy="61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-cut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61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5B7288"/>
          <w:sz w:val="17"/>
        </w:rPr>
        <w:t>Figure 6. Cutover execution sequence with the Go/No-Go decision and rollback path (from the handbook).</w:t>
      </w:r>
    </w:p>
    <w:p>
      <w:pPr>
        <w:sectPr>
          <w:pgSz w:w="16838" w:h="11906" w:orient="landscape"/>
          <w:pgMar w:top="1020" w:right="1134" w:bottom="1020" w:left="1134" w:header="567" w:footer="567" w:gutter="0"/>
          <w:cols w:space="720"/>
          <w:titlePg/>
          <w:docGrid w:linePitch="360"/>
        </w:sectPr>
      </w:pPr>
    </w:p>
    <w:p>
      <w:r>
        <w:br w:type="page"/>
      </w:r>
    </w:p>
    <w:p>
      <w:pPr>
        <w:spacing w:after="20"/>
      </w:pPr>
      <w:r>
        <w:rPr>
          <w:rFonts w:ascii="Calibri" w:hAnsi="Calibri"/>
          <w:b/>
          <w:color w:val="1B4F86"/>
          <w:sz w:val="16"/>
        </w:rPr>
        <w:t>POCKET REFERENCE · SECTION 2</w:t>
      </w:r>
    </w:p>
    <w:p>
      <w:pPr>
        <w:pStyle w:val="Heading1"/>
        <w:pBdr>
          <w:bottom w:val="single" w:sz="12" w:space="5" w:color="1B4F86"/>
        </w:pBdr>
        <w:spacing w:after="160"/>
      </w:pPr>
      <w:r>
        <w:rPr>
          <w:rFonts w:ascii="Calibri Light" w:hAnsi="Calibri Light"/>
          <w:b/>
          <w:color w:val="0F2B4C"/>
          <w:sz w:val="38"/>
        </w:rPr>
        <w:t>2  Validation checklists — field copy</w:t>
      </w:r>
    </w:p>
    <w:p>
      <w:pPr>
        <w:spacing w:after="200"/>
      </w:pPr>
      <w:r>
        <w:rPr>
          <w:rFonts w:ascii="Calibri" w:hAnsi="Calibri"/>
          <w:i/>
          <w:color w:val="5B7288"/>
          <w:sz w:val="21"/>
        </w:rPr>
        <w:t>Tick, status, evidence reference. Transfer results into the change record before sign-off; an unexplained N/A is an audit finding.</w:t>
      </w:r>
    </w:p>
    <w:p>
      <w:pPr>
        <w:pStyle w:val="Heading2"/>
        <w:pBdr>
          <w:bottom w:val="single" w:sz="6" w:space="3" w:color="E8EDF3"/>
        </w:pBdr>
      </w:pPr>
      <w:r>
        <w:rPr>
          <w:rFonts w:ascii="Calibri" w:hAnsi="Calibri"/>
          <w:b/>
          <w:color w:val="0F2B4C"/>
          <w:sz w:val="26"/>
        </w:rPr>
        <w:t>2.1  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DCE3EC"/>
          <w:insideV w:val="single" w:sz="6" w:space="0" w:color="DCE3E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482"/>
        <w:gridCol w:w="4530"/>
        <w:gridCol w:w="1542"/>
        <w:gridCol w:w="3084"/>
      </w:tblGrid>
      <w:tr>
        <w:trPr>
          <w:tblHeader/>
          <w:cantSplit/>
        </w:trPr>
        <w:tc>
          <w:tcPr>
            <w:tcW w:type="dxa" w:w="482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☐</w:t>
            </w:r>
          </w:p>
        </w:tc>
        <w:tc>
          <w:tcPr>
            <w:tcW w:type="dxa" w:w="4530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42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084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Evidence / remarks</w:t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File systems / mount points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CPU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RAM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Swap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OS version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Kernel version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UID/GID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Libraries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FTP users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OS groups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IP addresses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Hostnames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/etc/hosts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/etc/services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SAP directories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Permissions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6" w:space="3" w:color="E8EDF3"/>
        </w:pBdr>
      </w:pPr>
      <w:r>
        <w:rPr>
          <w:rFonts w:ascii="Calibri" w:hAnsi="Calibri"/>
          <w:b/>
          <w:color w:val="0F2B4C"/>
          <w:sz w:val="26"/>
        </w:rPr>
        <w:t>2.2  SAP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DCE3EC"/>
          <w:insideV w:val="single" w:sz="6" w:space="0" w:color="DCE3E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482"/>
        <w:gridCol w:w="4530"/>
        <w:gridCol w:w="1542"/>
        <w:gridCol w:w="3084"/>
      </w:tblGrid>
      <w:tr>
        <w:trPr>
          <w:tblHeader/>
          <w:cantSplit/>
        </w:trPr>
        <w:tc>
          <w:tcPr>
            <w:tcW w:type="dxa" w:w="482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☐</w:t>
            </w:r>
          </w:p>
        </w:tc>
        <w:tc>
          <w:tcPr>
            <w:tcW w:type="dxa" w:w="4530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42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084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Evidence / remarks</w:t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SAP services active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Auto-start tested (real reboot)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SAP processes green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Application servers available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SM51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SMGW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SM59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RFC report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SNC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STMS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Transport directory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AL11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Printers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Spool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SMICM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SSL/TLS certificates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SAP license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6" w:space="3" w:color="E8EDF3"/>
        </w:pBdr>
      </w:pPr>
      <w:r>
        <w:rPr>
          <w:rFonts w:ascii="Calibri" w:hAnsi="Calibri"/>
          <w:b/>
          <w:color w:val="0F2B4C"/>
          <w:sz w:val="26"/>
        </w:rPr>
        <w:t>2.3  Database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DCE3EC"/>
          <w:insideV w:val="single" w:sz="6" w:space="0" w:color="DCE3E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482"/>
        <w:gridCol w:w="4530"/>
        <w:gridCol w:w="1542"/>
        <w:gridCol w:w="3084"/>
      </w:tblGrid>
      <w:tr>
        <w:trPr>
          <w:tblHeader/>
          <w:cantSplit/>
        </w:trPr>
        <w:tc>
          <w:tcPr>
            <w:tcW w:type="dxa" w:w="482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☐</w:t>
            </w:r>
          </w:p>
        </w:tc>
        <w:tc>
          <w:tcPr>
            <w:tcW w:type="dxa" w:w="4530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42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084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Evidence / remarks</w:t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DB status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DB02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Storage utilization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Tablespaces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Database growth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Latest backup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Backup status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Redo/archive logs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Recovery requirements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6" w:space="3" w:color="E8EDF3"/>
        </w:pBdr>
      </w:pPr>
      <w:r>
        <w:rPr>
          <w:rFonts w:ascii="Calibri" w:hAnsi="Calibri"/>
          <w:b/>
          <w:color w:val="0F2B4C"/>
          <w:sz w:val="26"/>
        </w:rPr>
        <w:t>2.4  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DCE3EC"/>
          <w:insideV w:val="single" w:sz="6" w:space="0" w:color="DCE3E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482"/>
        <w:gridCol w:w="4530"/>
        <w:gridCol w:w="1542"/>
        <w:gridCol w:w="3084"/>
      </w:tblGrid>
      <w:tr>
        <w:trPr>
          <w:tblHeader/>
          <w:cantSplit/>
        </w:trPr>
        <w:tc>
          <w:tcPr>
            <w:tcW w:type="dxa" w:w="482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☐</w:t>
            </w:r>
          </w:p>
        </w:tc>
        <w:tc>
          <w:tcPr>
            <w:tcW w:type="dxa" w:w="4530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42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084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Evidence / remarks</w:t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ST02 memory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Extended memory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Heap/private memory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Buffer utilization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ST03N workload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Response time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Wait time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DB request time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CPU time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Performance trends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6" w:space="3" w:color="E8EDF3"/>
        </w:pBdr>
      </w:pPr>
      <w:r>
        <w:rPr>
          <w:rFonts w:ascii="Calibri" w:hAnsi="Calibri"/>
          <w:b/>
          <w:color w:val="0F2B4C"/>
          <w:sz w:val="26"/>
        </w:rPr>
        <w:t>2.5  Cutover readiness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DCE3EC"/>
          <w:insideV w:val="single" w:sz="6" w:space="0" w:color="DCE3E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482"/>
        <w:gridCol w:w="4530"/>
        <w:gridCol w:w="1542"/>
        <w:gridCol w:w="3084"/>
      </w:tblGrid>
      <w:tr>
        <w:trPr>
          <w:tblHeader/>
          <w:cantSplit/>
        </w:trPr>
        <w:tc>
          <w:tcPr>
            <w:tcW w:type="dxa" w:w="482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☐</w:t>
            </w:r>
          </w:p>
        </w:tc>
        <w:tc>
          <w:tcPr>
            <w:tcW w:type="dxa" w:w="4530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42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084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Evidence / remarks</w:t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Application shutdown confirmed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DBA handover confirmed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Source/target synchronization confirmed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Snapshot/backup confirmed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DNS/IPAM plan confirmed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Evidence captured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Technical validation complete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Functional validation complete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Approvals complete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Rollback ready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  <w:tr>
        <w:trPr>
          <w:cantSplit/>
        </w:trPr>
        <w:tc>
          <w:tcPr>
            <w:tcW w:type="dxa" w:w="48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☐</w:t>
            </w:r>
          </w:p>
        </w:tc>
        <w:tc>
          <w:tcPr>
            <w:tcW w:type="dxa" w:w="45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Go/No-Go decision recorded</w:t>
            </w:r>
          </w:p>
        </w:tc>
        <w:tc>
          <w:tcPr>
            <w:tcW w:type="dxa" w:w="154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  <w:t>Not Started</w:t>
            </w:r>
          </w:p>
        </w:tc>
        <w:tc>
          <w:tcPr>
            <w:tcW w:type="dxa" w:w="308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334E68"/>
                <w:sz w:val="17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20"/>
      </w:pPr>
      <w:r>
        <w:rPr>
          <w:rFonts w:ascii="Calibri" w:hAnsi="Calibri"/>
          <w:b/>
          <w:color w:val="1B4F86"/>
          <w:sz w:val="16"/>
        </w:rPr>
        <w:t>POCKET REFERENCE · SECTION 3</w:t>
      </w:r>
    </w:p>
    <w:p>
      <w:pPr>
        <w:pStyle w:val="Heading1"/>
        <w:pBdr>
          <w:bottom w:val="single" w:sz="12" w:space="5" w:color="1B4F86"/>
        </w:pBdr>
        <w:spacing w:after="160"/>
      </w:pPr>
      <w:r>
        <w:rPr>
          <w:rFonts w:ascii="Calibri Light" w:hAnsi="Calibri Light"/>
          <w:b/>
          <w:color w:val="0F2B4C"/>
          <w:sz w:val="38"/>
        </w:rPr>
        <w:t>3  Transactions, commands and files</w:t>
      </w:r>
    </w:p>
    <w:p>
      <w:pPr>
        <w:spacing w:after="200"/>
      </w:pPr>
      <w:r>
        <w:rPr>
          <w:rFonts w:ascii="Calibri" w:hAnsi="Calibri"/>
          <w:i/>
          <w:color w:val="5B7288"/>
          <w:sz w:val="21"/>
        </w:rPr>
        <w:t>What each item proves. A screenshot you cannot interpret is not evidence.</w:t>
      </w:r>
    </w:p>
    <w:p>
      <w:pPr>
        <w:spacing w:after="60" w:before="160"/>
        <w:keepNext/>
      </w:pPr>
      <w:r>
        <w:rPr>
          <w:rFonts w:ascii="Calibri" w:hAnsi="Calibri"/>
          <w:b/>
          <w:color w:val="5B7288"/>
          <w:sz w:val="15"/>
        </w:rPr>
        <w:t>SAP TRANSACTION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DCE3EC"/>
          <w:insideV w:val="single" w:sz="6" w:space="0" w:color="DCE3E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1157"/>
        <w:gridCol w:w="3662"/>
        <w:gridCol w:w="1157"/>
        <w:gridCol w:w="3662"/>
      </w:tblGrid>
      <w:tr>
        <w:trPr>
          <w:tblHeader/>
          <w:cantSplit/>
        </w:trPr>
        <w:tc>
          <w:tcPr>
            <w:tcW w:type="dxa" w:w="1157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T-code</w:t>
            </w:r>
          </w:p>
        </w:tc>
        <w:tc>
          <w:tcPr>
            <w:tcW w:type="dxa" w:w="3662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Proves</w:t>
            </w:r>
          </w:p>
        </w:tc>
        <w:tc>
          <w:tcPr>
            <w:tcW w:type="dxa" w:w="1157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T-code</w:t>
            </w:r>
          </w:p>
        </w:tc>
        <w:tc>
          <w:tcPr>
            <w:tcW w:type="dxa" w:w="3662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Proves</w:t>
            </w:r>
          </w:p>
        </w:tc>
      </w:tr>
      <w:tr>
        <w:trPr>
          <w:cantSplit/>
        </w:trPr>
        <w:tc>
          <w:tcPr>
            <w:tcW w:type="dxa" w:w="115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SM51</w:t>
            </w:r>
          </w:p>
        </w:tc>
        <w:tc>
          <w:tcPr>
            <w:tcW w:type="dxa" w:w="366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All planned instances active and registered</w:t>
            </w:r>
          </w:p>
        </w:tc>
        <w:tc>
          <w:tcPr>
            <w:tcW w:type="dxa" w:w="115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ST02</w:t>
            </w:r>
          </w:p>
        </w:tc>
        <w:tc>
          <w:tcPr>
            <w:tcW w:type="dxa" w:w="366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EM, heap/private, roll, paging, buffer hit ratio</w:t>
            </w:r>
          </w:p>
        </w:tc>
      </w:tr>
      <w:tr>
        <w:trPr>
          <w:cantSplit/>
        </w:trPr>
        <w:tc>
          <w:tcPr>
            <w:tcW w:type="dxa" w:w="1157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SM59</w:t>
            </w:r>
          </w:p>
        </w:tc>
        <w:tc>
          <w:tcPr>
            <w:tcW w:type="dxa" w:w="366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RFC destinations exist and connect</w:t>
            </w:r>
          </w:p>
        </w:tc>
        <w:tc>
          <w:tcPr>
            <w:tcW w:type="dxa" w:w="1157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ST03/ST03N</w:t>
            </w:r>
          </w:p>
        </w:tc>
        <w:tc>
          <w:tcPr>
            <w:tcW w:type="dxa" w:w="366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Response/DB/CPU/wait time and workload trend</w:t>
            </w:r>
          </w:p>
        </w:tc>
      </w:tr>
      <w:tr>
        <w:trPr>
          <w:cantSplit/>
        </w:trPr>
        <w:tc>
          <w:tcPr>
            <w:tcW w:type="dxa" w:w="115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SMGW</w:t>
            </w:r>
          </w:p>
        </w:tc>
        <w:tc>
          <w:tcPr>
            <w:tcW w:type="dxa" w:w="366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Gateway status and connections</w:t>
            </w:r>
          </w:p>
        </w:tc>
        <w:tc>
          <w:tcPr>
            <w:tcW w:type="dxa" w:w="115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STAD</w:t>
            </w:r>
          </w:p>
        </w:tc>
        <w:tc>
          <w:tcPr>
            <w:tcW w:type="dxa" w:w="366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The individual slow records behind the aggregates</w:t>
            </w:r>
          </w:p>
        </w:tc>
      </w:tr>
      <w:tr>
        <w:trPr>
          <w:cantSplit/>
        </w:trPr>
        <w:tc>
          <w:tcPr>
            <w:tcW w:type="dxa" w:w="1157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SMICM</w:t>
            </w:r>
          </w:p>
        </w:tc>
        <w:tc>
          <w:tcPr>
            <w:tcW w:type="dxa" w:w="366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ICM HTTP/HTTPS services and ports</w:t>
            </w:r>
          </w:p>
        </w:tc>
        <w:tc>
          <w:tcPr>
            <w:tcW w:type="dxa" w:w="1157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RZ10 / RZ11</w:t>
            </w:r>
          </w:p>
        </w:tc>
        <w:tc>
          <w:tcPr>
            <w:tcW w:type="dxa" w:w="366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Persistent profile change / dynamic runtime change</w:t>
            </w:r>
          </w:p>
        </w:tc>
      </w:tr>
      <w:tr>
        <w:trPr>
          <w:cantSplit/>
        </w:trPr>
        <w:tc>
          <w:tcPr>
            <w:tcW w:type="dxa" w:w="115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STMS</w:t>
            </w:r>
          </w:p>
        </w:tc>
        <w:tc>
          <w:tcPr>
            <w:tcW w:type="dxa" w:w="366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Domain, systems, routes, transport directory</w:t>
            </w:r>
          </w:p>
        </w:tc>
        <w:tc>
          <w:tcPr>
            <w:tcW w:type="dxa" w:w="115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DB02</w:t>
            </w:r>
          </w:p>
        </w:tc>
        <w:tc>
          <w:tcPr>
            <w:tcW w:type="dxa" w:w="366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Space, tablespaces, growth, backup status</w:t>
            </w:r>
          </w:p>
        </w:tc>
      </w:tr>
      <w:tr>
        <w:trPr>
          <w:cantSplit/>
        </w:trPr>
        <w:tc>
          <w:tcPr>
            <w:tcW w:type="dxa" w:w="1157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AL11</w:t>
            </w:r>
          </w:p>
        </w:tc>
        <w:tc>
          <w:tcPr>
            <w:tcW w:type="dxa" w:w="366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SAP directories, content, permissions</w:t>
            </w:r>
          </w:p>
        </w:tc>
        <w:tc>
          <w:tcPr>
            <w:tcW w:type="dxa" w:w="1157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SPAD / SP01</w:t>
            </w:r>
          </w:p>
        </w:tc>
        <w:tc>
          <w:tcPr>
            <w:tcW w:type="dxa" w:w="366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Output devices and spool requests</w:t>
            </w:r>
          </w:p>
        </w:tc>
      </w:tr>
      <w:tr>
        <w:trPr>
          <w:cantSplit/>
        </w:trPr>
        <w:tc>
          <w:tcPr>
            <w:tcW w:type="dxa" w:w="1157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STRUST</w:t>
            </w:r>
          </w:p>
        </w:tc>
        <w:tc>
          <w:tcPr>
            <w:tcW w:type="dxa" w:w="366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Certificates: validity, chain, hostname</w:t>
            </w:r>
          </w:p>
        </w:tc>
        <w:tc>
          <w:tcPr>
            <w:tcW w:type="dxa" w:w="115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SLICENSE</w:t>
            </w:r>
          </w:p>
        </w:tc>
        <w:tc>
          <w:tcPr>
            <w:tcW w:type="dxa" w:w="366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License valid for the new hardware key</w:t>
            </w:r>
          </w:p>
        </w:tc>
      </w:tr>
      <w:tr>
        <w:trPr>
          <w:cantSplit/>
        </w:trPr>
        <w:tc>
          <w:tcPr>
            <w:tcW w:type="dxa" w:w="1157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ST22 / SM37</w:t>
            </w:r>
          </w:p>
        </w:tc>
        <w:tc>
          <w:tcPr>
            <w:tcW w:type="dxa" w:w="366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New dumps / job status after go-live</w:t>
            </w:r>
          </w:p>
        </w:tc>
        <w:tc>
          <w:tcPr>
            <w:tcW w:type="dxa" w:w="1157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SM13 / SM12</w:t>
            </w:r>
          </w:p>
        </w:tc>
        <w:tc>
          <w:tcPr>
            <w:tcW w:type="dxa" w:w="366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Update errors / lock entries</w:t>
            </w:r>
          </w:p>
        </w:tc>
      </w:tr>
    </w:tbl>
    <w:p>
      <w:pPr>
        <w:spacing w:after="40"/>
      </w:pPr>
    </w:p>
    <w:p>
      <w:pPr>
        <w:spacing w:after="60" w:before="160"/>
        <w:keepNext/>
      </w:pPr>
      <w:r>
        <w:rPr>
          <w:rFonts w:ascii="Calibri" w:hAnsi="Calibri"/>
          <w:b/>
          <w:color w:val="5B7288"/>
          <w:sz w:val="15"/>
        </w:rPr>
        <w:t>OS COMMAND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DCE3EC"/>
          <w:insideV w:val="single" w:sz="6" w:space="0" w:color="DCE3E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4241"/>
        <w:gridCol w:w="5397"/>
      </w:tblGrid>
      <w:tr>
        <w:trPr>
          <w:tblHeader/>
          <w:cantSplit/>
        </w:trPr>
        <w:tc>
          <w:tcPr>
            <w:tcW w:type="dxa" w:w="4241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5397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Validates</w:t>
            </w:r>
          </w:p>
        </w:tc>
      </w:tr>
      <w:tr>
        <w:trPr>
          <w:cantSplit/>
        </w:trPr>
        <w:tc>
          <w:tcPr>
            <w:tcW w:type="dxa" w:w="4241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df -h</w:t>
            </w:r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mount</w:t>
            </w:r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lsblk</w:t>
            </w:r>
          </w:p>
        </w:tc>
        <w:tc>
          <w:tcPr>
            <w:tcW w:type="dxa" w:w="539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File systems, mounts, sizes, options</w:t>
            </w:r>
          </w:p>
        </w:tc>
      </w:tr>
      <w:tr>
        <w:trPr>
          <w:cantSplit/>
        </w:trPr>
        <w:tc>
          <w:tcPr>
            <w:tcW w:type="dxa" w:w="4241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lscpu</w:t>
            </w:r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free -g</w:t>
            </w:r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swapon -s</w:t>
            </w:r>
          </w:p>
        </w:tc>
        <w:tc>
          <w:tcPr>
            <w:tcW w:type="dxa" w:w="5397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CPU, RAM, swap versus build sheet</w:t>
            </w:r>
          </w:p>
        </w:tc>
      </w:tr>
      <w:tr>
        <w:trPr>
          <w:cantSplit/>
        </w:trPr>
        <w:tc>
          <w:tcPr>
            <w:tcW w:type="dxa" w:w="4241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id</w:t>
            </w:r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getent passwd</w:t>
            </w:r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getent group</w:t>
            </w:r>
          </w:p>
        </w:tc>
        <w:tc>
          <w:tcPr>
            <w:tcW w:type="dxa" w:w="539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Numeric UID/GID consistency</w:t>
            </w:r>
          </w:p>
        </w:tc>
      </w:tr>
      <w:tr>
        <w:trPr>
          <w:cantSplit/>
        </w:trPr>
        <w:tc>
          <w:tcPr>
            <w:tcW w:type="dxa" w:w="4241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ip a</w:t>
            </w:r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ip r</w:t>
            </w:r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hostname -f</w:t>
            </w:r>
          </w:p>
        </w:tc>
        <w:tc>
          <w:tcPr>
            <w:tcW w:type="dxa" w:w="5397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IPs, routes, hostname/FQDN</w:t>
            </w:r>
          </w:p>
        </w:tc>
      </w:tr>
      <w:tr>
        <w:trPr>
          <w:cantSplit/>
        </w:trPr>
        <w:tc>
          <w:tcPr>
            <w:tcW w:type="dxa" w:w="4241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getent hosts</w:t>
            </w:r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nslookup</w:t>
            </w:r>
          </w:p>
        </w:tc>
        <w:tc>
          <w:tcPr>
            <w:tcW w:type="dxa" w:w="539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Resolution — run from the SAP host, not a laptop</w:t>
            </w:r>
          </w:p>
        </w:tc>
      </w:tr>
      <w:tr>
        <w:trPr>
          <w:cantSplit/>
        </w:trPr>
        <w:tc>
          <w:tcPr>
            <w:tcW w:type="dxa" w:w="4241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uname -r</w:t>
            </w:r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/etc/os-release</w:t>
            </w:r>
          </w:p>
        </w:tc>
        <w:tc>
          <w:tcPr>
            <w:tcW w:type="dxa" w:w="5397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Kernel and OS version</w:t>
            </w:r>
          </w:p>
        </w:tc>
      </w:tr>
      <w:tr>
        <w:trPr>
          <w:cantSplit/>
        </w:trPr>
        <w:tc>
          <w:tcPr>
            <w:tcW w:type="dxa" w:w="4241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systemctl status / show</w:t>
            </w:r>
          </w:p>
        </w:tc>
        <w:tc>
          <w:tcPr>
            <w:tcW w:type="dxa" w:w="539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Service state, Result and exit code</w:t>
            </w:r>
          </w:p>
        </w:tc>
      </w:tr>
      <w:tr>
        <w:trPr>
          <w:cantSplit/>
        </w:trPr>
        <w:tc>
          <w:tcPr>
            <w:tcW w:type="dxa" w:w="4241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sapcontrol -nr &lt;nn&gt; -function GetProcessList</w:t>
            </w:r>
          </w:p>
        </w:tc>
        <w:tc>
          <w:tcPr>
            <w:tcW w:type="dxa" w:w="5397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Instance process state from the OS</w:t>
            </w:r>
          </w:p>
        </w:tc>
      </w:tr>
      <w:tr>
        <w:trPr>
          <w:cantSplit/>
        </w:trPr>
        <w:tc>
          <w:tcPr>
            <w:tcW w:type="dxa" w:w="4241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R3trans -d</w:t>
            </w:r>
          </w:p>
        </w:tc>
        <w:tc>
          <w:tcPr>
            <w:tcW w:type="dxa" w:w="539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SAP-to-database connectivity (expect 0000)</w:t>
            </w:r>
          </w:p>
        </w:tc>
      </w:tr>
      <w:tr>
        <w:trPr>
          <w:cantSplit/>
        </w:trPr>
        <w:tc>
          <w:tcPr>
            <w:tcW w:type="dxa" w:w="4241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rsync -avn</w:t>
            </w:r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 xml:space="preserve"> (dry run first)</w:t>
            </w:r>
          </w:p>
        </w:tc>
        <w:tc>
          <w:tcPr>
            <w:tcW w:type="dxa" w:w="5397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Global directory synchronisation</w:t>
            </w:r>
          </w:p>
        </w:tc>
      </w:tr>
    </w:tbl>
    <w:p>
      <w:pPr>
        <w:spacing w:after="40"/>
      </w:pPr>
    </w:p>
    <w:p>
      <w:pPr>
        <w:spacing w:after="60" w:before="160"/>
        <w:keepNext/>
      </w:pPr>
      <w:r>
        <w:rPr>
          <w:rFonts w:ascii="Calibri" w:hAnsi="Calibri"/>
          <w:b/>
          <w:color w:val="5B7288"/>
          <w:sz w:val="15"/>
        </w:rPr>
        <w:t>FILES THAT DECIDE WHETHER A CUTOVER WORKS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DCE3EC"/>
          <w:insideV w:val="single" w:sz="6" w:space="0" w:color="DCE3E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699"/>
        <w:gridCol w:w="6939"/>
      </w:tblGrid>
      <w:tr>
        <w:trPr>
          <w:tblHeader/>
          <w:cantSplit/>
        </w:trPr>
        <w:tc>
          <w:tcPr>
            <w:tcW w:type="dxa" w:w="2699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File / location</w:t>
            </w:r>
          </w:p>
        </w:tc>
        <w:tc>
          <w:tcPr>
            <w:tcW w:type="dxa" w:w="6939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Why it decides the cutover</w:t>
            </w:r>
          </w:p>
        </w:tc>
      </w:tr>
      <w:tr>
        <w:trPr>
          <w:cantSplit/>
        </w:trPr>
        <w:tc>
          <w:tcPr>
            <w:tcW w:type="dxa" w:w="2699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/etc/hosts</w:t>
            </w:r>
          </w:p>
        </w:tc>
        <w:tc>
          <w:tcPr>
            <w:tcW w:type="dxa" w:w="6939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A stale entry silently overrides DNS and reconnects you to the source</w:t>
            </w:r>
          </w:p>
        </w:tc>
      </w:tr>
      <w:tr>
        <w:trPr>
          <w:cantSplit/>
        </w:trPr>
        <w:tc>
          <w:tcPr>
            <w:tcW w:type="dxa" w:w="2699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/etc/services</w:t>
            </w:r>
          </w:p>
        </w:tc>
        <w:tc>
          <w:tcPr>
            <w:tcW w:type="dxa" w:w="6939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sapdp&lt;nn&gt;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sapgw&lt;nn&gt;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 port definitions</w:t>
            </w:r>
          </w:p>
        </w:tc>
      </w:tr>
      <w:tr>
        <w:trPr>
          <w:cantSplit/>
        </w:trPr>
        <w:tc>
          <w:tcPr>
            <w:tcW w:type="dxa" w:w="2699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/etc/fstab</w:t>
            </w:r>
          </w:p>
        </w:tc>
        <w:tc>
          <w:tcPr>
            <w:tcW w:type="dxa" w:w="6939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A missing or misordered mount breaks SAP at boot</w:t>
            </w:r>
          </w:p>
        </w:tc>
      </w:tr>
      <w:tr>
        <w:trPr>
          <w:cantSplit/>
        </w:trPr>
        <w:tc>
          <w:tcPr>
            <w:tcW w:type="dxa" w:w="2699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SAP work/log dirs</w:t>
            </w:r>
          </w:p>
        </w:tc>
        <w:tc>
          <w:tcPr>
            <w:tcW w:type="dxa" w:w="6939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dev_w*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dev_disp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dev_ms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 explain start failures</w:t>
            </w:r>
          </w:p>
        </w:tc>
      </w:tr>
      <w:tr>
        <w:trPr>
          <w:cantSplit/>
        </w:trPr>
        <w:tc>
          <w:tcPr>
            <w:tcW w:type="dxa" w:w="2699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trans.log</w:t>
            </w:r>
          </w:p>
        </w:tc>
        <w:tc>
          <w:tcPr>
            <w:tcW w:type="dxa" w:w="6939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First place to look when </w:t>
            </w:r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R3trans -d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 ≠ 0000</w:t>
            </w:r>
          </w:p>
        </w:tc>
      </w:tr>
      <w:tr>
        <w:trPr>
          <w:cantSplit/>
        </w:trPr>
        <w:tc>
          <w:tcPr>
            <w:tcW w:type="dxa" w:w="2699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HANA INI files</w:t>
            </w:r>
          </w:p>
        </w:tc>
        <w:tc>
          <w:tcPr>
            <w:tcW w:type="dxa" w:w="6939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global.ini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nameserver.ini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 drive recovery</w:t>
            </w:r>
          </w:p>
        </w:tc>
      </w:tr>
      <w:tr>
        <w:trPr>
          <w:cantSplit/>
        </w:trPr>
        <w:tc>
          <w:tcPr>
            <w:tcW w:type="dxa" w:w="269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Oracle network files</w:t>
            </w:r>
          </w:p>
        </w:tc>
        <w:tc>
          <w:tcPr>
            <w:tcW w:type="dxa" w:w="6939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listener.ora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tnsnames.ora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sqlnet.ora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20"/>
      </w:pPr>
      <w:r>
        <w:rPr>
          <w:rFonts w:ascii="Calibri" w:hAnsi="Calibri"/>
          <w:b/>
          <w:color w:val="1B4F86"/>
          <w:sz w:val="16"/>
        </w:rPr>
        <w:t>POCKET REFERENCE · SECTION 4</w:t>
      </w:r>
    </w:p>
    <w:p>
      <w:pPr>
        <w:pStyle w:val="Heading1"/>
        <w:pBdr>
          <w:bottom w:val="single" w:sz="12" w:space="5" w:color="1B4F86"/>
        </w:pBdr>
        <w:spacing w:after="160"/>
      </w:pPr>
      <w:r>
        <w:rPr>
          <w:rFonts w:ascii="Calibri Light" w:hAnsi="Calibri Light"/>
          <w:b/>
          <w:color w:val="0F2B4C"/>
          <w:sz w:val="38"/>
        </w:rPr>
        <w:t>4  Return codes and first diagnostics</w:t>
      </w:r>
    </w:p>
    <w:p>
      <w:pPr>
        <w:spacing w:after="200"/>
      </w:pPr>
      <w:r>
        <w:rPr>
          <w:rFonts w:ascii="Calibri" w:hAnsi="Calibri"/>
          <w:i/>
          <w:color w:val="5B7288"/>
          <w:sz w:val="21"/>
        </w:rPr>
        <w:t>Diagnose before you retry, and never raise a memory parameter before finding what consumes the memory.</w:t>
      </w:r>
    </w:p>
    <w:p>
      <w:pPr>
        <w:spacing w:after="60" w:before="160"/>
        <w:keepNext/>
      </w:pPr>
      <w:r>
        <w:rPr>
          <w:rFonts w:ascii="Calibri" w:hAnsi="Calibri"/>
          <w:b/>
          <w:color w:val="5B7288"/>
          <w:sz w:val="15"/>
        </w:rPr>
        <w:t>CODES YOU WILL ACTUALLY SEE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DCE3EC"/>
          <w:insideV w:val="single" w:sz="6" w:space="0" w:color="DCE3E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1542"/>
        <w:gridCol w:w="2891"/>
        <w:gridCol w:w="5204"/>
      </w:tblGrid>
      <w:tr>
        <w:trPr>
          <w:tblHeader/>
          <w:cantSplit/>
        </w:trPr>
        <w:tc>
          <w:tcPr>
            <w:tcW w:type="dxa" w:w="1542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891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5204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First actions</w:t>
            </w:r>
          </w:p>
        </w:tc>
      </w:tr>
      <w:tr>
        <w:trPr>
          <w:cantSplit/>
        </w:trPr>
        <w:tc>
          <w:tcPr>
            <w:tcW w:type="dxa" w:w="154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 xml:space="preserve">Service </w:t>
            </w:r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0</w:t>
            </w:r>
          </w:p>
        </w:tc>
        <w:tc>
          <w:tcPr>
            <w:tcW w:type="dxa" w:w="289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Success</w:t>
            </w:r>
          </w:p>
        </w:tc>
        <w:tc>
          <w:tcPr>
            <w:tcW w:type="dxa" w:w="52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Still confirm instances in </w:t>
            </w:r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SM51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 — zero exit ≠ usable SAP</w:t>
            </w:r>
          </w:p>
        </w:tc>
      </w:tr>
      <w:tr>
        <w:trPr>
          <w:cantSplit/>
        </w:trPr>
        <w:tc>
          <w:tcPr>
            <w:tcW w:type="dxa" w:w="154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 xml:space="preserve">Service </w:t>
            </w:r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127</w:t>
            </w:r>
          </w:p>
        </w:tc>
        <w:tc>
          <w:tcPr>
            <w:tcW w:type="dxa" w:w="2891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Command or shared library not found</w:t>
            </w:r>
          </w:p>
        </w:tc>
        <w:tc>
          <w:tcPr>
            <w:tcW w:type="dxa" w:w="5204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ExecStart path, </w:t>
            </w:r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&lt;sid&gt;adm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 environment, </w:t>
            </w:r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LD_LIBRARY_PATH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, migrated libraries</w:t>
            </w:r>
          </w:p>
        </w:tc>
      </w:tr>
      <w:tr>
        <w:trPr>
          <w:cantSplit/>
        </w:trPr>
        <w:tc>
          <w:tcPr>
            <w:tcW w:type="dxa" w:w="154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 xml:space="preserve">Service </w:t>
            </w:r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255</w:t>
            </w:r>
          </w:p>
        </w:tc>
        <w:tc>
          <w:tcPr>
            <w:tcW w:type="dxa" w:w="289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Generic start-script/SAP failure</w:t>
            </w:r>
          </w:p>
        </w:tc>
        <w:tc>
          <w:tcPr>
            <w:tcW w:type="dxa" w:w="52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Service journal, </w:t>
            </w:r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dev_disp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dev_ms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dev_w0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, DB connect trace</w:t>
            </w:r>
          </w:p>
        </w:tc>
      </w:tr>
      <w:tr>
        <w:trPr>
          <w:cantSplit/>
        </w:trPr>
        <w:tc>
          <w:tcPr>
            <w:tcW w:type="dxa" w:w="154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R3trans 0000</w:t>
            </w:r>
          </w:p>
        </w:tc>
        <w:tc>
          <w:tcPr>
            <w:tcW w:type="dxa" w:w="2891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SAP ↔ database connectivity OK</w:t>
            </w:r>
          </w:p>
        </w:tc>
        <w:tc>
          <w:tcPr>
            <w:tcW w:type="dxa" w:w="5204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Proceed to SAP start</w:t>
            </w:r>
          </w:p>
        </w:tc>
      </w:tr>
      <w:tr>
        <w:trPr>
          <w:cantSplit/>
        </w:trPr>
        <w:tc>
          <w:tcPr>
            <w:tcW w:type="dxa" w:w="154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R3trans 0012</w:t>
            </w:r>
          </w:p>
        </w:tc>
        <w:tc>
          <w:tcPr>
            <w:tcW w:type="dxa" w:w="289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Database connect failed</w:t>
            </w:r>
          </w:p>
        </w:tc>
        <w:tc>
          <w:tcPr>
            <w:tcW w:type="dxa" w:w="52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DB open? listener? DB host entry in profile and </w:t>
            </w:r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/etc/hosts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?</w:t>
            </w:r>
          </w:p>
        </w:tc>
      </w:tr>
      <w:tr>
        <w:trPr>
          <w:cantSplit/>
        </w:trPr>
        <w:tc>
          <w:tcPr>
            <w:tcW w:type="dxa" w:w="154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i w:val="0"/>
                <w:color w:val="123A63"/>
                <w:sz w:val="17"/>
                <w:shd w:val="clear" w:color="auto" w:fill="EEF2F7"/>
              </w:rPr>
              <w:t>R3trans 0018</w:t>
            </w:r>
          </w:p>
        </w:tc>
        <w:tc>
          <w:tcPr>
            <w:tcW w:type="dxa" w:w="2891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DB authorisation / credentials</w:t>
            </w:r>
          </w:p>
        </w:tc>
        <w:tc>
          <w:tcPr>
            <w:tcW w:type="dxa" w:w="5204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User, password, wallet/keystore, credentials handover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B7288"/>
          <w:sz w:val="16"/>
        </w:rPr>
        <w:t>Confirm code meanings against the release and platform in use; treat as a starting point.</w:t>
      </w:r>
    </w:p>
    <w:p>
      <w:pPr>
        <w:spacing w:after="60" w:before="160"/>
        <w:keepNext/>
      </w:pPr>
      <w:r>
        <w:rPr>
          <w:rFonts w:ascii="Calibri" w:hAnsi="Calibri"/>
          <w:b/>
          <w:color w:val="5B7288"/>
          <w:sz w:val="15"/>
        </w:rPr>
        <w:t>MEMORY AND PERFORMANCE SYMPTOM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DCE3EC"/>
          <w:insideV w:val="single" w:sz="6" w:space="0" w:color="DCE3E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313"/>
        <w:gridCol w:w="5012"/>
        <w:gridCol w:w="2313"/>
      </w:tblGrid>
      <w:tr>
        <w:trPr>
          <w:tblHeader/>
          <w:cantSplit/>
        </w:trPr>
        <w:tc>
          <w:tcPr>
            <w:tcW w:type="dxa" w:w="2313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5012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Investigate first</w:t>
            </w:r>
          </w:p>
        </w:tc>
        <w:tc>
          <w:tcPr>
            <w:tcW w:type="dxa" w:w="2313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2313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Processes in PRIVATE mode</w:t>
            </w:r>
          </w:p>
        </w:tc>
        <w:tc>
          <w:tcPr>
            <w:tcW w:type="dxa" w:w="501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EM under-sized, long transactions, memory-heavy custom code</w:t>
            </w:r>
          </w:p>
        </w:tc>
        <w:tc>
          <w:tcPr>
            <w:tcW w:type="dxa" w:w="2313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Basis + ABAP</w:t>
            </w:r>
          </w:p>
        </w:tc>
      </w:tr>
      <w:tr>
        <w:trPr>
          <w:cantSplit/>
        </w:trPr>
        <w:tc>
          <w:tcPr>
            <w:tcW w:type="dxa" w:w="2313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High paging / swaps</w:t>
            </w:r>
          </w:p>
        </w:tc>
        <w:tc>
          <w:tcPr>
            <w:tcW w:type="dxa" w:w="501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Paging area too small, context held too long</w:t>
            </w:r>
          </w:p>
        </w:tc>
        <w:tc>
          <w:tcPr>
            <w:tcW w:type="dxa" w:w="2313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Basis</w:t>
            </w:r>
          </w:p>
        </w:tc>
      </w:tr>
      <w:tr>
        <w:trPr>
          <w:cantSplit/>
        </w:trPr>
        <w:tc>
          <w:tcPr>
            <w:tcW w:type="dxa" w:w="2313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Low buffer hit ratio</w:t>
            </w:r>
          </w:p>
        </w:tc>
        <w:tc>
          <w:tcPr>
            <w:tcW w:type="dxa" w:w="501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Buffer sizing or access patterns bypassing buffers</w:t>
            </w:r>
          </w:p>
        </w:tc>
        <w:tc>
          <w:tcPr>
            <w:tcW w:type="dxa" w:w="2313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Basis + DBA</w:t>
            </w:r>
          </w:p>
        </w:tc>
      </w:tr>
      <w:tr>
        <w:trPr>
          <w:cantSplit/>
        </w:trPr>
        <w:tc>
          <w:tcPr>
            <w:tcW w:type="dxa" w:w="2313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High DB time</w:t>
            </w:r>
          </w:p>
        </w:tc>
        <w:tc>
          <w:tcPr>
            <w:tcW w:type="dxa" w:w="501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Access path, statistics, SQL, app-to-DB latency, storage throughput</w:t>
            </w:r>
          </w:p>
        </w:tc>
        <w:tc>
          <w:tcPr>
            <w:tcW w:type="dxa" w:w="2313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DBA</w:t>
            </w:r>
          </w:p>
        </w:tc>
      </w:tr>
      <w:tr>
        <w:trPr>
          <w:cantSplit/>
        </w:trPr>
        <w:tc>
          <w:tcPr>
            <w:tcW w:type="dxa" w:w="2313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High CPU time</w:t>
            </w:r>
          </w:p>
        </w:tc>
        <w:tc>
          <w:tcPr>
            <w:tcW w:type="dxa" w:w="501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Custom code, data volume, under-sized instance type</w:t>
            </w:r>
          </w:p>
        </w:tc>
        <w:tc>
          <w:tcPr>
            <w:tcW w:type="dxa" w:w="2313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ABAP</w:t>
            </w:r>
          </w:p>
        </w:tc>
      </w:tr>
      <w:tr>
        <w:trPr>
          <w:cantSplit/>
        </w:trPr>
        <w:tc>
          <w:tcPr>
            <w:tcW w:type="dxa" w:w="2313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High wait time</w:t>
            </w:r>
          </w:p>
        </w:tc>
        <w:tc>
          <w:tcPr>
            <w:tcW w:type="dxa" w:w="501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Memory, enqueue, RFC destinations, dispatcher</w:t>
            </w:r>
          </w:p>
        </w:tc>
        <w:tc>
          <w:tcPr>
            <w:tcW w:type="dxa" w:w="2313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Basis + interface owner</w:t>
            </w:r>
          </w:p>
        </w:tc>
      </w:tr>
      <w:tr>
        <w:trPr>
          <w:cantSplit/>
        </w:trPr>
        <w:tc>
          <w:tcPr>
            <w:tcW w:type="dxa" w:w="2313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Slow only at peak</w:t>
            </w:r>
          </w:p>
        </w:tc>
        <w:tc>
          <w:tcPr>
            <w:tcW w:type="dxa" w:w="501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Work process saturation, DB contention</w:t>
            </w:r>
          </w:p>
        </w:tc>
        <w:tc>
          <w:tcPr>
            <w:tcW w:type="dxa" w:w="2313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Basis + DBA</w:t>
            </w:r>
          </w:p>
        </w:tc>
      </w:tr>
    </w:tbl>
    <w:p>
      <w:pPr>
        <w:spacing w:after="40"/>
      </w:pPr>
    </w:p>
    <w:p>
      <w:pPr>
        <w:spacing w:before="180" w:after="40"/>
        <w:shd w:val="clear" w:color="auto" w:fill="FFFDF5"/>
        <w:pBdr>
          <w:left w:val="single" w:sz="6" w:space="6" w:color="D9A520"/>
          <w:top w:val="single" w:sz="6" w:space="6" w:color="D9A520"/>
          <w:right w:val="single" w:sz="6" w:space="6" w:color="D9A520"/>
        </w:pBdr>
        <w:keepNext/>
      </w:pPr>
      <w:r>
        <w:rPr>
          <w:rFonts w:ascii="Calibri" w:hAnsi="Calibri"/>
          <w:b/>
          <w:color w:val="D9A520"/>
          <w:sz w:val="16"/>
        </w:rPr>
        <w:t>THRESHOLD CAUTION</w:t>
      </w:r>
    </w:p>
    <w:p>
      <w:pPr>
        <w:spacing w:after="40"/>
        <w:ind w:left="170"/>
        <w:shd w:val="clear" w:color="auto" w:fill="FFFDF5"/>
        <w:pBdr>
          <w:left w:val="single" w:sz="6" w:space="6" w:color="D9A520"/>
          <w:bottom w:val="single" w:sz="6" w:space="6" w:color="D9A520"/>
          <w:right w:val="single" w:sz="6" w:space="6" w:color="D9A520"/>
        </w:pBdr>
      </w:pPr>
      <w:r>
        <w:rPr>
          <w:rFonts w:ascii="Calibri" w:hAnsi="Calibri"/>
          <w:b w:val="0"/>
          <w:i w:val="0"/>
          <w:color w:val="334E68"/>
          <w:sz w:val="18"/>
        </w:rPr>
        <w:t>≈1200 ms response time and ≈40% average DB request time are discussion values from the training. Validate against the client baseline and the measured source performance before using them as alerting thresholds.</w:t>
      </w:r>
    </w:p>
    <w:p>
      <w:r>
        <w:br w:type="page"/>
      </w:r>
    </w:p>
    <w:p>
      <w:pPr>
        <w:spacing w:after="20"/>
      </w:pPr>
      <w:r>
        <w:rPr>
          <w:rFonts w:ascii="Calibri" w:hAnsi="Calibri"/>
          <w:b/>
          <w:color w:val="1B4F86"/>
          <w:sz w:val="16"/>
        </w:rPr>
        <w:t>POCKET REFERENCE · SECTION 5</w:t>
      </w:r>
    </w:p>
    <w:p>
      <w:pPr>
        <w:pStyle w:val="Heading1"/>
        <w:pBdr>
          <w:bottom w:val="single" w:sz="12" w:space="5" w:color="1B4F86"/>
        </w:pBdr>
        <w:spacing w:after="160"/>
      </w:pPr>
      <w:r>
        <w:rPr>
          <w:rFonts w:ascii="Calibri Light" w:hAnsi="Calibri Light"/>
          <w:b/>
          <w:color w:val="0F2B4C"/>
          <w:sz w:val="38"/>
        </w:rPr>
        <w:t>5  Oracle switchover and HANA recovery cards</w:t>
      </w:r>
    </w:p>
    <w:p>
      <w:pPr>
        <w:spacing w:after="200"/>
      </w:pPr>
      <w:r>
        <w:rPr>
          <w:rFonts w:ascii="Calibri" w:hAnsi="Calibri"/>
          <w:i/>
          <w:color w:val="5B7288"/>
          <w:sz w:val="21"/>
        </w:rPr>
        <w:t>Planned switchover only — a failover is disaster recovery and is not reversible in the same way.</w:t>
      </w:r>
    </w:p>
    <w:p>
      <w:pPr>
        <w:spacing w:after="60" w:before="160"/>
        <w:keepNext/>
      </w:pPr>
      <w:r>
        <w:rPr>
          <w:rFonts w:ascii="Calibri" w:hAnsi="Calibri"/>
          <w:b/>
          <w:color w:val="5B7288"/>
          <w:sz w:val="15"/>
        </w:rPr>
        <w:t>ORACLE DATA GUARD SWITCHOVER SEQUENCE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DCE3EC"/>
          <w:insideV w:val="single" w:sz="6" w:space="0" w:color="DCE3E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482"/>
        <w:gridCol w:w="5301"/>
        <w:gridCol w:w="3855"/>
      </w:tblGrid>
      <w:tr>
        <w:trPr>
          <w:tblHeader/>
          <w:cantSplit/>
        </w:trPr>
        <w:tc>
          <w:tcPr>
            <w:tcW w:type="dxa" w:w="482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5301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3855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Evidence to capture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1</w:t>
            </w:r>
          </w:p>
        </w:tc>
        <w:tc>
          <w:tcPr>
            <w:tcW w:type="dxa" w:w="53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Pre-checks: listener, SQL*Net, DG parameters, SID, Broker, observer, patch alignment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Config outputs</w:t>
            </w:r>
          </w:p>
        </w:tc>
      </w:tr>
      <w:tr>
        <w:trPr>
          <w:cantSplit/>
        </w:trPr>
        <w:tc>
          <w:tcPr>
            <w:tcW w:type="dxa" w:w="48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2</w:t>
            </w:r>
          </w:p>
        </w:tc>
        <w:tc>
          <w:tcPr>
            <w:tcW w:type="dxa" w:w="5301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Review log switching and apply lag (zero gap)</w:t>
            </w:r>
          </w:p>
        </w:tc>
        <w:tc>
          <w:tcPr>
            <w:tcW w:type="dxa" w:w="3855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v$managed_standby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3</w:t>
            </w:r>
          </w:p>
        </w:tc>
        <w:tc>
          <w:tcPr>
            <w:tcW w:type="dxa" w:w="53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Compare source and target SCN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v$database.current_scn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 both sides</w:t>
            </w:r>
          </w:p>
        </w:tc>
      </w:tr>
      <w:tr>
        <w:trPr>
          <w:cantSplit/>
        </w:trPr>
        <w:tc>
          <w:tcPr>
            <w:tcW w:type="dxa" w:w="48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4</w:t>
            </w:r>
          </w:p>
        </w:tc>
        <w:tc>
          <w:tcPr>
            <w:tcW w:type="dxa" w:w="5301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Attach evidence to Jira/change; obtain approval</w:t>
            </w:r>
          </w:p>
        </w:tc>
        <w:tc>
          <w:tcPr>
            <w:tcW w:type="dxa" w:w="3855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Ticket reference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5</w:t>
            </w:r>
          </w:p>
        </w:tc>
        <w:tc>
          <w:tcPr>
            <w:tcW w:type="dxa" w:w="53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AWS disk-level snapshot of the target (rollback point)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Snapshot ID + timestamp</w:t>
            </w:r>
          </w:p>
        </w:tc>
      </w:tr>
      <w:tr>
        <w:trPr>
          <w:cantSplit/>
        </w:trPr>
        <w:tc>
          <w:tcPr>
            <w:tcW w:type="dxa" w:w="48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6</w:t>
            </w:r>
          </w:p>
        </w:tc>
        <w:tc>
          <w:tcPr>
            <w:tcW w:type="dxa" w:w="5301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Application shutdown confirmed; DBA handover accepted</w:t>
            </w:r>
          </w:p>
        </w:tc>
        <w:tc>
          <w:tcPr>
            <w:tcW w:type="dxa" w:w="3855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Bridge log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7</w:t>
            </w:r>
          </w:p>
        </w:tc>
        <w:tc>
          <w:tcPr>
            <w:tcW w:type="dxa" w:w="53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Close source primary; switchover; open new primary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Command output</w:t>
            </w:r>
          </w:p>
        </w:tc>
      </w:tr>
      <w:tr>
        <w:trPr>
          <w:cantSplit/>
        </w:trPr>
        <w:tc>
          <w:tcPr>
            <w:tcW w:type="dxa" w:w="48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8</w:t>
            </w:r>
          </w:p>
        </w:tc>
        <w:tc>
          <w:tcPr>
            <w:tcW w:type="dxa" w:w="5301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Validate new primary; </w:t>
            </w:r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DBVERIFY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RMAN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 backup; OEM agent</w:t>
            </w:r>
          </w:p>
        </w:tc>
        <w:tc>
          <w:tcPr>
            <w:tcW w:type="dxa" w:w="3855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DBVERIFY + RMAN logs</w:t>
            </w:r>
          </w:p>
        </w:tc>
      </w:tr>
    </w:tbl>
    <w:p>
      <w:pPr>
        <w:spacing w:after="40"/>
      </w:pPr>
    </w:p>
    <w:p>
      <w:pPr>
        <w:spacing w:after="60" w:before="160"/>
        <w:keepNext/>
      </w:pPr>
      <w:r>
        <w:rPr>
          <w:rFonts w:ascii="Calibri" w:hAnsi="Calibri"/>
          <w:b/>
          <w:color w:val="5B7288"/>
          <w:sz w:val="15"/>
        </w:rPr>
        <w:t>NAME RESOLUTION AFTER THE ROLE CHANGE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DCE3EC"/>
          <w:insideV w:val="single" w:sz="6" w:space="0" w:color="DCE3E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891"/>
        <w:gridCol w:w="6746"/>
      </w:tblGrid>
      <w:tr>
        <w:trPr>
          <w:tblHeader/>
          <w:cantSplit/>
        </w:trPr>
        <w:tc>
          <w:tcPr>
            <w:tcW w:type="dxa" w:w="2891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DNS / IPAM after switchover</w:t>
            </w:r>
          </w:p>
        </w:tc>
        <w:tc>
          <w:tcPr>
            <w:tcW w:type="dxa" w:w="6746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Virtual hostname</w:t>
            </w:r>
          </w:p>
        </w:tc>
        <w:tc>
          <w:tcPr>
            <w:tcW w:type="dxa" w:w="674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Unchanged — SAP keeps addressing the same name</w:t>
            </w:r>
          </w:p>
        </w:tc>
      </w:tr>
      <w:tr>
        <w:trPr>
          <w:cantSplit/>
        </w:trPr>
        <w:tc>
          <w:tcPr>
            <w:tcW w:type="dxa" w:w="2891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Target IP</w:t>
            </w:r>
          </w:p>
        </w:tc>
        <w:tc>
          <w:tcPr>
            <w:tcW w:type="dxa" w:w="6746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Updated in DNS/IPAM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CNAME</w:t>
            </w:r>
          </w:p>
        </w:tc>
        <w:tc>
          <w:tcPr>
            <w:tcW w:type="dxa" w:w="674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Repointed to the target environment</w:t>
            </w:r>
          </w:p>
        </w:tc>
      </w:tr>
      <w:tr>
        <w:trPr>
          <w:cantSplit/>
        </w:trPr>
        <w:tc>
          <w:tcPr>
            <w:tcW w:type="dxa" w:w="2891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Resolution</w:t>
            </w:r>
          </w:p>
        </w:tc>
        <w:tc>
          <w:tcPr>
            <w:tcW w:type="dxa" w:w="6746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Verified from every consumer with </w:t>
            </w:r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getent hosts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 + a real </w:t>
            </w:r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R3trans -d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Host files</w:t>
            </w:r>
          </w:p>
        </w:tc>
        <w:tc>
          <w:tcPr>
            <w:tcW w:type="dxa" w:w="674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Obsolete entries cleaned — they override DNS</w:t>
            </w:r>
          </w:p>
        </w:tc>
      </w:tr>
    </w:tbl>
    <w:p>
      <w:pPr>
        <w:spacing w:after="40"/>
      </w:pPr>
    </w:p>
    <w:p>
      <w:pPr>
        <w:spacing w:before="120" w:after="160"/>
        <w:shd w:val="clear" w:color="auto" w:fill="F4F7FB"/>
        <w:pBdr>
          <w:left w:val="single" w:sz="18" w:space="6" w:color="1B4F86"/>
        </w:pBdr>
      </w:pPr>
      <w:r>
        <w:rPr>
          <w:rFonts w:ascii="Calibri" w:hAnsi="Calibri"/>
          <w:b/>
          <w:color w:val="0F2B4C"/>
          <w:sz w:val="18"/>
        </w:rPr>
        <w:t>Source backup</w:t>
      </w:r>
      <w:r>
        <w:rPr>
          <w:b/>
          <w:color w:val="9EC3EC"/>
          <w:sz w:val="18"/>
        </w:rPr>
        <w:t xml:space="preserve">  →  </w:t>
      </w:r>
      <w:r>
        <w:rPr>
          <w:rFonts w:ascii="Calibri" w:hAnsi="Calibri"/>
          <w:b/>
          <w:color w:val="0F2B4C"/>
          <w:sz w:val="18"/>
        </w:rPr>
        <w:t>Configuration file</w:t>
      </w:r>
      <w:r>
        <w:rPr>
          <w:b/>
          <w:color w:val="9EC3EC"/>
          <w:sz w:val="18"/>
        </w:rPr>
        <w:t xml:space="preserve">  →  </w:t>
      </w:r>
      <w:r>
        <w:rPr>
          <w:rFonts w:ascii="Calibri" w:hAnsi="Calibri"/>
          <w:b/>
          <w:color w:val="0F2B4C"/>
          <w:sz w:val="18"/>
        </w:rPr>
        <w:t>S3 backend</w:t>
      </w:r>
      <w:r>
        <w:rPr>
          <w:b/>
          <w:color w:val="9EC3EC"/>
          <w:sz w:val="18"/>
        </w:rPr>
        <w:t xml:space="preserve">  →  </w:t>
      </w:r>
      <w:r>
        <w:rPr>
          <w:rFonts w:ascii="Calibri" w:hAnsi="Calibri"/>
          <w:b/>
          <w:color w:val="0F2B4C"/>
          <w:sz w:val="18"/>
        </w:rPr>
        <w:t>Target configuration</w:t>
      </w:r>
      <w:r>
        <w:rPr>
          <w:b/>
          <w:color w:val="9EC3EC"/>
          <w:sz w:val="18"/>
        </w:rPr>
        <w:t xml:space="preserve">  →  </w:t>
      </w:r>
      <w:r>
        <w:rPr>
          <w:rFonts w:ascii="Calibri" w:hAnsi="Calibri"/>
          <w:b/>
          <w:color w:val="0F2B4C"/>
          <w:sz w:val="18"/>
        </w:rPr>
        <w:t>Recovery</w:t>
      </w:r>
      <w:r>
        <w:rPr>
          <w:b/>
          <w:color w:val="9EC3EC"/>
          <w:sz w:val="18"/>
        </w:rPr>
        <w:t xml:space="preserve">  →  </w:t>
      </w:r>
      <w:r>
        <w:rPr>
          <w:rFonts w:ascii="Calibri" w:hAnsi="Calibri"/>
          <w:b/>
          <w:color w:val="0F2B4C"/>
          <w:sz w:val="18"/>
        </w:rPr>
        <w:t>Validation</w:t>
      </w:r>
    </w:p>
    <w:p>
      <w:pPr>
        <w:spacing w:before="180" w:after="40"/>
        <w:shd w:val="clear" w:color="auto" w:fill="F4F7FB"/>
        <w:pBdr>
          <w:left w:val="single" w:sz="6" w:space="6" w:color="0F2B4C"/>
          <w:top w:val="single" w:sz="6" w:space="6" w:color="0F2B4C"/>
          <w:right w:val="single" w:sz="6" w:space="6" w:color="0F2B4C"/>
        </w:pBdr>
        <w:keepNext/>
      </w:pPr>
      <w:r>
        <w:rPr>
          <w:rFonts w:ascii="Calibri" w:hAnsi="Calibri"/>
          <w:b/>
          <w:color w:val="0F2B4C"/>
          <w:sz w:val="16"/>
        </w:rPr>
        <w:t>HANA CONTAINER MODEL IN ONE LINE</w:t>
      </w:r>
    </w:p>
    <w:p>
      <w:pPr>
        <w:spacing w:after="40"/>
        <w:ind w:left="170"/>
        <w:shd w:val="clear" w:color="auto" w:fill="F4F7FB"/>
        <w:pBdr>
          <w:left w:val="single" w:sz="6" w:space="6" w:color="0F2B4C"/>
          <w:bottom w:val="single" w:sz="6" w:space="6" w:color="0F2B4C"/>
          <w:right w:val="single" w:sz="6" w:space="6" w:color="0F2B4C"/>
        </w:pBdr>
      </w:pPr>
      <w:r>
        <w:rPr>
          <w:rFonts w:ascii="Calibri" w:hAnsi="Calibri"/>
          <w:b w:val="0"/>
          <w:i w:val="0"/>
          <w:color w:val="334E68"/>
          <w:sz w:val="18"/>
        </w:rPr>
        <w:t>SystemDB = central management, monitoring and the backup catalogue; TenantDB = the application workload. Separate logins; both can live on one host; neither is HA — HA is HSR plus cluster/storage design.</w:t>
      </w:r>
    </w:p>
    <w:p>
      <w:pPr>
        <w:spacing w:before="180" w:after="40"/>
        <w:shd w:val="clear" w:color="auto" w:fill="FFFBFB"/>
        <w:pBdr>
          <w:left w:val="single" w:sz="6" w:space="6" w:color="C8434B"/>
          <w:top w:val="single" w:sz="6" w:space="6" w:color="C8434B"/>
          <w:right w:val="single" w:sz="6" w:space="6" w:color="C8434B"/>
        </w:pBdr>
        <w:keepNext/>
      </w:pPr>
      <w:r>
        <w:rPr>
          <w:rFonts w:ascii="Calibri" w:hAnsi="Calibri"/>
          <w:b/>
          <w:color w:val="C8434B"/>
          <w:sz w:val="16"/>
        </w:rPr>
        <w:t>CUTOVER RULE</w:t>
      </w:r>
    </w:p>
    <w:p>
      <w:pPr>
        <w:spacing w:after="40"/>
        <w:ind w:left="170"/>
        <w:shd w:val="clear" w:color="auto" w:fill="FFFBFB"/>
        <w:pBdr>
          <w:left w:val="single" w:sz="6" w:space="6" w:color="C8434B"/>
          <w:bottom w:val="single" w:sz="6" w:space="6" w:color="C8434B"/>
          <w:right w:val="single" w:sz="6" w:space="6" w:color="C8434B"/>
        </w:pBdr>
      </w:pPr>
      <w:r>
        <w:rPr>
          <w:rFonts w:ascii="Calibri" w:hAnsi="Calibri"/>
          <w:b w:val="0"/>
          <w:i w:val="0"/>
          <w:color w:val="334E68"/>
          <w:sz w:val="18"/>
        </w:rPr>
        <w:t>Test backup and recovery before cutover. During cutover: final backup → validate it → only then stop the source. The source stays available until that backup succeeds; it is also your rollback anchor.</w:t>
      </w:r>
    </w:p>
    <w:p>
      <w:r>
        <w:br w:type="page"/>
      </w:r>
    </w:p>
    <w:p>
      <w:pPr>
        <w:spacing w:after="20"/>
      </w:pPr>
      <w:r>
        <w:rPr>
          <w:rFonts w:ascii="Calibri" w:hAnsi="Calibri"/>
          <w:b/>
          <w:color w:val="1B4F86"/>
          <w:sz w:val="16"/>
        </w:rPr>
        <w:t>POCKET REFERENCE · SECTION 6</w:t>
      </w:r>
    </w:p>
    <w:p>
      <w:pPr>
        <w:pStyle w:val="Heading1"/>
        <w:pBdr>
          <w:bottom w:val="single" w:sz="12" w:space="5" w:color="1B4F86"/>
        </w:pBdr>
        <w:spacing w:after="160"/>
      </w:pPr>
      <w:r>
        <w:rPr>
          <w:rFonts w:ascii="Calibri Light" w:hAnsi="Calibri Light"/>
          <w:b/>
          <w:color w:val="0F2B4C"/>
          <w:sz w:val="38"/>
        </w:rPr>
        <w:t>6  Evidence, hypercare and escalation</w:t>
      </w:r>
    </w:p>
    <w:p>
      <w:pPr>
        <w:spacing w:after="200"/>
      </w:pPr>
      <w:r>
        <w:rPr>
          <w:rFonts w:ascii="Calibri" w:hAnsi="Calibri"/>
          <w:i/>
          <w:color w:val="5B7288"/>
          <w:sz w:val="21"/>
        </w:rPr>
        <w:t>Working before migration should work after migration — evidence is what makes that provable at 02:00 on a bridge call.</w:t>
      </w:r>
    </w:p>
    <w:p>
      <w:pPr>
        <w:spacing w:before="120" w:after="0"/>
        <w:ind w:left="170"/>
        <w:shd w:val="clear" w:color="auto" w:fill="0E2340"/>
        <w:pBdr>
          <w:left w:val="single" w:sz="18" w:space="4" w:color="1B4F86"/>
        </w:pBdr>
      </w:pPr>
      <w:r>
        <w:rPr>
          <w:rFonts w:ascii="Consolas" w:hAnsi="Consolas"/>
          <w:color w:val="D6E4F5"/>
          <w:sz w:val="16"/>
        </w:rPr>
        <w:t>&amp;lt;SID&amp;gt;_&amp;lt;PHASE&amp;gt;_&amp;lt;CHECK&amp;gt;_&amp;lt;SOURCE|TARGET&amp;gt;_&amp;lt;YYYYMMDD-HHMM&amp;gt;.&amp;lt;ext&amp;gt;</w:t>
      </w:r>
    </w:p>
    <w:p>
      <w:pPr>
        <w:spacing w:before="0" w:after="0"/>
        <w:ind w:left="170"/>
        <w:shd w:val="clear" w:color="auto" w:fill="0E2340"/>
        <w:pBdr>
          <w:left w:val="single" w:sz="18" w:space="4" w:color="1B4F86"/>
        </w:pBdr>
      </w:pPr>
      <w:r>
        <w:rPr>
          <w:rFonts w:ascii="Consolas" w:hAnsi="Consolas"/>
          <w:color w:val="7FA2C8"/>
          <w:sz w:val="16"/>
        </w:rPr>
        <w:t># examples</w:t>
      </w:r>
    </w:p>
    <w:p>
      <w:pPr>
        <w:spacing w:before="0" w:after="0"/>
        <w:ind w:left="170"/>
        <w:shd w:val="clear" w:color="auto" w:fill="0E2340"/>
        <w:pBdr>
          <w:left w:val="single" w:sz="18" w:space="4" w:color="1B4F86"/>
        </w:pBdr>
      </w:pPr>
      <w:r>
        <w:rPr>
          <w:rFonts w:ascii="Consolas" w:hAnsi="Consolas"/>
          <w:color w:val="D6E4F5"/>
          <w:sz w:val="16"/>
        </w:rPr>
        <w:t>PRD_PRECUT_SM59_SOURCE_20261002-1015.pdf</w:t>
      </w:r>
    </w:p>
    <w:p>
      <w:pPr>
        <w:spacing w:before="0" w:after="0"/>
        <w:ind w:left="170"/>
        <w:shd w:val="clear" w:color="auto" w:fill="0E2340"/>
        <w:pBdr>
          <w:left w:val="single" w:sz="18" w:space="4" w:color="1B4F86"/>
        </w:pBdr>
      </w:pPr>
      <w:r>
        <w:rPr>
          <w:rFonts w:ascii="Consolas" w:hAnsi="Consolas"/>
          <w:color w:val="D6E4F5"/>
          <w:sz w:val="16"/>
        </w:rPr>
        <w:t>PRD_CUTOVER_R3TRANS_TARGET_20261005-0212.log</w:t>
      </w:r>
    </w:p>
    <w:p>
      <w:pPr>
        <w:spacing w:before="0" w:after="120"/>
        <w:ind w:left="170"/>
        <w:shd w:val="clear" w:color="auto" w:fill="0E2340"/>
        <w:pBdr>
          <w:left w:val="single" w:sz="18" w:space="4" w:color="1B4F86"/>
        </w:pBdr>
      </w:pPr>
      <w:r>
        <w:rPr>
          <w:rFonts w:ascii="Consolas" w:hAnsi="Consolas"/>
          <w:color w:val="D6E4F5"/>
          <w:sz w:val="16"/>
        </w:rPr>
        <w:t>PRD_CUTOVER_SCN_BOTH_20261005-0140.png</w:t>
      </w:r>
    </w:p>
    <w:p>
      <w:pPr>
        <w:spacing w:after="60" w:before="160"/>
        <w:keepNext/>
      </w:pPr>
      <w:r>
        <w:rPr>
          <w:rFonts w:ascii="Calibri" w:hAnsi="Calibri"/>
          <w:b/>
          <w:color w:val="5B7288"/>
          <w:sz w:val="15"/>
        </w:rPr>
        <w:t>CLASSIFYING A FAILURE IN HYPERCARE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DCE3EC"/>
          <w:insideV w:val="single" w:sz="6" w:space="0" w:color="DCE3E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120"/>
        <w:gridCol w:w="2506"/>
        <w:gridCol w:w="5012"/>
      </w:tblGrid>
      <w:tr>
        <w:trPr>
          <w:tblHeader/>
          <w:cantSplit/>
        </w:trPr>
        <w:tc>
          <w:tcPr>
            <w:tcW w:type="dxa" w:w="2120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Before vs after</w:t>
            </w:r>
          </w:p>
        </w:tc>
        <w:tc>
          <w:tcPr>
            <w:tcW w:type="dxa" w:w="2506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5012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Route</w:t>
            </w:r>
          </w:p>
        </w:tc>
      </w:tr>
      <w:tr>
        <w:trPr>
          <w:cantSplit/>
        </w:trPr>
        <w:tc>
          <w:tcPr>
            <w:tcW w:type="dxa" w:w="21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Working → failing</w:t>
            </w:r>
          </w:p>
        </w:tc>
        <w:tc>
          <w:tcPr>
            <w:tcW w:type="dxa" w:w="250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Migration-related</w:t>
            </w:r>
          </w:p>
        </w:tc>
        <w:tc>
          <w:tcPr>
            <w:tcW w:type="dxa" w:w="501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Owning team corrects, retests, re-captures evidence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Failing → failing</w:t>
            </w:r>
          </w:p>
        </w:tc>
        <w:tc>
          <w:tcPr>
            <w:tcW w:type="dxa" w:w="2506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Pre-existing condition</w:t>
            </w:r>
          </w:p>
        </w:tc>
        <w:tc>
          <w:tcPr>
            <w:tcW w:type="dxa" w:w="501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Document it; route to BAU with baseline evidence</w:t>
            </w:r>
          </w:p>
        </w:tc>
      </w:tr>
      <w:tr>
        <w:trPr>
          <w:cantSplit/>
        </w:trPr>
        <w:tc>
          <w:tcPr>
            <w:tcW w:type="dxa" w:w="21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Failing → working</w:t>
            </w:r>
          </w:p>
        </w:tc>
        <w:tc>
          <w:tcPr>
            <w:tcW w:type="dxa" w:w="250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Improvement</w:t>
            </w:r>
          </w:p>
        </w:tc>
        <w:tc>
          <w:tcPr>
            <w:tcW w:type="dxa" w:w="501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Record it so it is not rolled back later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No baseline</w:t>
            </w:r>
          </w:p>
        </w:tc>
        <w:tc>
          <w:tcPr>
            <w:tcW w:type="dxa" w:w="2506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Unclassifiable</w:t>
            </w:r>
          </w:p>
        </w:tc>
        <w:tc>
          <w:tcPr>
            <w:tcW w:type="dxa" w:w="5012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Escalate — you cannot prove what you did not record</w:t>
            </w:r>
          </w:p>
        </w:tc>
      </w:tr>
    </w:tbl>
    <w:p>
      <w:pPr>
        <w:spacing w:after="40"/>
      </w:pPr>
    </w:p>
    <w:p>
      <w:pPr>
        <w:spacing w:after="60" w:before="160"/>
        <w:keepNext/>
      </w:pPr>
      <w:r>
        <w:rPr>
          <w:rFonts w:ascii="Calibri" w:hAnsi="Calibri"/>
          <w:b/>
          <w:color w:val="5B7288"/>
          <w:sz w:val="15"/>
        </w:rPr>
        <w:t>HYPERCARE MONITORING SET (15 DAYS)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DCE3EC"/>
          <w:insideV w:val="single" w:sz="6" w:space="0" w:color="DCE3E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1928"/>
        <w:gridCol w:w="2506"/>
        <w:gridCol w:w="5204"/>
      </w:tblGrid>
      <w:tr>
        <w:trPr>
          <w:tblHeader/>
          <w:cantSplit/>
        </w:trPr>
        <w:tc>
          <w:tcPr>
            <w:tcW w:type="dxa" w:w="1928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Watch daily</w:t>
            </w:r>
          </w:p>
        </w:tc>
        <w:tc>
          <w:tcPr>
            <w:tcW w:type="dxa" w:w="2506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5204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Bad trend looks like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Short dumps</w:t>
            </w:r>
          </w:p>
        </w:tc>
        <w:tc>
          <w:tcPr>
            <w:tcW w:type="dxa" w:w="250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ST22</w:t>
            </w:r>
          </w:p>
        </w:tc>
        <w:tc>
          <w:tcPr>
            <w:tcW w:type="dxa" w:w="52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New dump types or a rising count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Failed jobs</w:t>
            </w:r>
          </w:p>
        </w:tc>
        <w:tc>
          <w:tcPr>
            <w:tcW w:type="dxa" w:w="2506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SM37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 / Control-M</w:t>
            </w:r>
          </w:p>
        </w:tc>
        <w:tc>
          <w:tcPr>
            <w:tcW w:type="dxa" w:w="5204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Jobs cancelled that previously succeeded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Interfaces / IDocs</w:t>
            </w:r>
          </w:p>
        </w:tc>
        <w:tc>
          <w:tcPr>
            <w:tcW w:type="dxa" w:w="250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SM59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WE02</w:t>
            </w:r>
          </w:p>
        </w:tc>
        <w:tc>
          <w:tcPr>
            <w:tcW w:type="dxa" w:w="52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Rising error status, retries not clearing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Response time</w:t>
            </w:r>
          </w:p>
        </w:tc>
        <w:tc>
          <w:tcPr>
            <w:tcW w:type="dxa" w:w="2506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ST03N</w:t>
            </w:r>
          </w:p>
        </w:tc>
        <w:tc>
          <w:tcPr>
            <w:tcW w:type="dxa" w:w="5204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Sustained rise over baseline, same period type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Memory</w:t>
            </w:r>
          </w:p>
        </w:tc>
        <w:tc>
          <w:tcPr>
            <w:tcW w:type="dxa" w:w="250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ST02</w:t>
            </w:r>
          </w:p>
        </w:tc>
        <w:tc>
          <w:tcPr>
            <w:tcW w:type="dxa" w:w="52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PRIVATE mode, rising paging or swaps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Database</w:t>
            </w:r>
          </w:p>
        </w:tc>
        <w:tc>
          <w:tcPr>
            <w:tcW w:type="dxa" w:w="2506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DB02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, alert log</w:t>
            </w:r>
          </w:p>
        </w:tc>
        <w:tc>
          <w:tcPr>
            <w:tcW w:type="dxa" w:w="5204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Growth beyond forecast, archive filling, backup failures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Updates / locks</w:t>
            </w:r>
          </w:p>
        </w:tc>
        <w:tc>
          <w:tcPr>
            <w:tcW w:type="dxa" w:w="250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SM13</w:t>
            </w:r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SM12</w:t>
            </w:r>
          </w:p>
        </w:tc>
        <w:tc>
          <w:tcPr>
            <w:tcW w:type="dxa" w:w="52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Stuck updates, growing lock entries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Certificates</w:t>
            </w:r>
          </w:p>
        </w:tc>
        <w:tc>
          <w:tcPr>
            <w:tcW w:type="dxa" w:w="2506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i w:val="0"/>
                <w:color w:val="123A63"/>
                <w:sz w:val="17"/>
                <w:shd w:val="clear" w:color="auto" w:fill="EEF2F7"/>
              </w:rPr>
              <w:t>STRUST</w:t>
            </w:r>
          </w:p>
        </w:tc>
        <w:tc>
          <w:tcPr>
            <w:tcW w:type="dxa" w:w="5204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Expiry approaching, SNC handshake failures</w:t>
            </w:r>
          </w:p>
        </w:tc>
      </w:tr>
    </w:tbl>
    <w:p>
      <w:pPr>
        <w:spacing w:after="40"/>
      </w:pPr>
    </w:p>
    <w:p>
      <w:pPr>
        <w:spacing w:after="60" w:before="160"/>
        <w:keepNext/>
      </w:pPr>
      <w:r>
        <w:rPr>
          <w:rFonts w:ascii="Calibri" w:hAnsi="Calibri"/>
          <w:b/>
          <w:color w:val="5B7288"/>
          <w:sz w:val="15"/>
        </w:rPr>
        <w:t>ESCALATION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DCE3EC"/>
          <w:insideV w:val="single" w:sz="6" w:space="0" w:color="DCE3E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1349"/>
        <w:gridCol w:w="3855"/>
        <w:gridCol w:w="4433"/>
      </w:tblGrid>
      <w:tr>
        <w:trPr>
          <w:tblHeader/>
          <w:cantSplit/>
        </w:trPr>
        <w:tc>
          <w:tcPr>
            <w:tcW w:type="dxa" w:w="1349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3855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4433"/>
            <w:shd w:val="clear" w:color="auto" w:fill="0F2B4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Route</w:t>
            </w:r>
          </w:p>
        </w:tc>
      </w:tr>
      <w:tr>
        <w:trPr>
          <w:cantSplit/>
        </w:trPr>
        <w:tc>
          <w:tcPr>
            <w:tcW w:type="dxa" w:w="1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S1 Critical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Cutover blocked, system down, data at risk, rollback decision</w:t>
            </w:r>
          </w:p>
        </w:tc>
        <w:tc>
          <w:tcPr>
            <w:tcW w:type="dxa" w:w="4433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Bridge → module owner → programme lead → stakeholders now</w:t>
            </w:r>
          </w:p>
        </w:tc>
      </w:tr>
      <w:tr>
        <w:trPr>
          <w:cantSplit/>
        </w:trPr>
        <w:tc>
          <w:tcPr>
            <w:tcW w:type="dxa" w:w="1349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S2 High</w:t>
            </w:r>
          </w:p>
        </w:tc>
        <w:tc>
          <w:tcPr>
            <w:tcW w:type="dxa" w:w="3855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Gate cannot pass; validation failure without workaround</w:t>
            </w:r>
          </w:p>
        </w:tc>
        <w:tc>
          <w:tcPr>
            <w:tcW w:type="dxa" w:w="4433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Module owner → team lead; in the change record</w:t>
            </w:r>
          </w:p>
        </w:tc>
      </w:tr>
      <w:tr>
        <w:trPr>
          <w:cantSplit/>
        </w:trPr>
        <w:tc>
          <w:tcPr>
            <w:tcW w:type="dxa" w:w="1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S3 Medium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Deviation with workaround; deferrable</w:t>
            </w:r>
          </w:p>
        </w:tc>
        <w:tc>
          <w:tcPr>
            <w:tcW w:type="dxa" w:w="4433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Owning team; deviation log; before next gate</w:t>
            </w:r>
          </w:p>
        </w:tc>
      </w:tr>
      <w:tr>
        <w:trPr>
          <w:cantSplit/>
        </w:trPr>
        <w:tc>
          <w:tcPr>
            <w:tcW w:type="dxa" w:w="1349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i w:val="0"/>
                <w:color w:val="334E68"/>
                <w:sz w:val="17"/>
              </w:rPr>
              <w:t>S4 Low</w:t>
            </w:r>
          </w:p>
        </w:tc>
        <w:tc>
          <w:tcPr>
            <w:tcW w:type="dxa" w:w="3855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Cosmetic / documentation</w:t>
            </w:r>
          </w:p>
        </w:tc>
        <w:tc>
          <w:tcPr>
            <w:tcW w:type="dxa" w:w="4433"/>
            <w:shd w:val="clear" w:color="auto" w:fill="FAFBFD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i w:val="0"/>
                <w:color w:val="334E68"/>
                <w:sz w:val="17"/>
              </w:rPr>
              <w:t>Deviation log; closed in hypercare</w:t>
            </w:r>
          </w:p>
        </w:tc>
      </w:tr>
    </w:tbl>
    <w:p>
      <w:pPr>
        <w:spacing w:after="40"/>
      </w:pPr>
    </w:p>
    <w:p>
      <w:pPr>
        <w:spacing w:before="180" w:after="40"/>
        <w:shd w:val="clear" w:color="auto" w:fill="F4F7FB"/>
        <w:pBdr>
          <w:left w:val="single" w:sz="6" w:space="6" w:color="0F2B4C"/>
          <w:top w:val="single" w:sz="6" w:space="6" w:color="0F2B4C"/>
          <w:right w:val="single" w:sz="6" w:space="6" w:color="0F2B4C"/>
        </w:pBdr>
        <w:keepNext/>
      </w:pPr>
      <w:r>
        <w:rPr>
          <w:rFonts w:ascii="Calibri" w:hAnsi="Calibri"/>
          <w:b/>
          <w:color w:val="0F2B4C"/>
          <w:sz w:val="16"/>
        </w:rPr>
        <w:t>OWNERSHIP PRINCIPLE</w:t>
      </w:r>
    </w:p>
    <w:p>
      <w:pPr>
        <w:spacing w:after="40"/>
        <w:ind w:left="170"/>
        <w:shd w:val="clear" w:color="auto" w:fill="F4F7FB"/>
        <w:pBdr>
          <w:left w:val="single" w:sz="6" w:space="6" w:color="0F2B4C"/>
          <w:bottom w:val="single" w:sz="6" w:space="6" w:color="0F2B4C"/>
          <w:right w:val="single" w:sz="6" w:space="6" w:color="0F2B4C"/>
        </w:pBdr>
      </w:pPr>
      <w:r>
        <w:rPr>
          <w:rFonts w:ascii="Calibri" w:hAnsi="Calibri"/>
          <w:b w:val="0"/>
          <w:i w:val="0"/>
          <w:color w:val="334E68"/>
          <w:sz w:val="18"/>
        </w:rPr>
        <w:t>One accountable owner per assigned SID, one named guide per owner, controlled change. Multiple engineers must not independently modify the same system.</w:t>
      </w:r>
    </w:p>
    <w:sectPr w:rsidR="00FC693F" w:rsidRPr="0006063C" w:rsidSect="00034616">
      <w:pgSz w:w="11906" w:h="16838"/>
      <w:pgMar w:top="1020" w:right="1134" w:bottom="1020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7D2E0"/>
      </w:pBdr>
    </w:pPr>
    <w:r/>
    <w:r>
      <w:rPr>
        <w:color w:val="5B7288"/>
        <w:sz w:val="16"/>
      </w:rPr>
      <w:t xml:space="preserve">Internal — training use   ·   SAP-MIG-TRN-HB-001   ·   v1.0   ·   Page </w:t>
    </w:r>
    <w:r>
      <w:rPr>
        <w:color w:val="5B7288"/>
        <w:sz w:val="16"/>
      </w:rPr>
      <w:fldChar w:fldCharType="begin"/>
    </w:r>
    <w:r>
      <w:rPr>
        <w:color w:val="5B7288"/>
        <w:sz w:val="16"/>
      </w:rPr>
      <w:instrText xml:space="preserve">PAGE</w:instrText>
    </w:r>
    <w:r>
      <w:rPr>
        <w:color w:val="5B7288"/>
        <w:sz w:val="16"/>
      </w:rPr>
      <w:fldChar w:fldCharType="separate"/>
    </w:r>
    <w:r>
      <w:rPr>
        <w:color w:val="5B7288"/>
        <w:sz w:val="16"/>
      </w:rPr>
      <w:t>1</w:t>
    </w:r>
    <w:r>
      <w:rPr>
        <w:color w:val="5B7288"/>
        <w:sz w:val="16"/>
      </w:rPr>
      <w:fldChar w:fldCharType="end"/>
    </w:r>
    <w:r>
      <w:rPr>
        <w:color w:val="5B7288"/>
        <w:sz w:val="16"/>
      </w:rPr>
      <w:t xml:space="preserve"> of </w:t>
    </w:r>
    <w:r>
      <w:rPr>
        <w:color w:val="5B7288"/>
        <w:sz w:val="16"/>
      </w:rPr>
      <w:fldChar w:fldCharType="begin"/>
    </w:r>
    <w:r>
      <w:rPr>
        <w:color w:val="5B7288"/>
        <w:sz w:val="16"/>
      </w:rPr>
      <w:instrText xml:space="preserve">NUMPAGES</w:instrText>
    </w:r>
    <w:r>
      <w:rPr>
        <w:color w:val="5B7288"/>
        <w:sz w:val="16"/>
      </w:rPr>
      <w:fldChar w:fldCharType="separate"/>
    </w:r>
    <w:r>
      <w:rPr>
        <w:color w:val="5B7288"/>
        <w:sz w:val="16"/>
      </w:rPr>
      <w:t>1</w:t>
    </w:r>
    <w:r>
      <w:rPr>
        <w:color w:val="5B72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C7D2E0"/>
      </w:pBdr>
    </w:pPr>
    <w:r/>
    <w:r>
      <w:rPr>
        <w:rFonts w:ascii="Calibri" w:hAnsi="Calibri"/>
        <w:color w:val="5B7288"/>
        <w:sz w:val="16"/>
      </w:rPr>
      <w:t>SAP Migration Pocket Reference · v1.0 ·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 w:cs="Calibri" w:eastAsia="Calibri"/>
      <w:color w:val="334E6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 Light" w:hAnsi="Calibri Light" w:cs="Calibri Light"/>
      <w:b/>
      <w:bCs/>
      <w:i w:val="0"/>
      <w:color w:val="0F2B4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40"/>
      <w:outlineLvl w:val="1"/>
    </w:pPr>
    <w:rPr>
      <w:rFonts w:asciiTheme="majorHAnsi" w:eastAsiaTheme="majorEastAsia" w:hAnsiTheme="majorHAnsi" w:cstheme="majorBidi" w:ascii="Calibri Light" w:hAnsi="Calibri Light" w:cs="Calibri Light"/>
      <w:b/>
      <w:bCs/>
      <w:i w:val="0"/>
      <w:color w:val="0F2B4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i w:val="0"/>
      <w:color w:val="1B4F8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 w:cs="Calibri"/>
      <w:b/>
      <w:bCs/>
      <w:i w:val="0"/>
      <w:iCs/>
      <w:color w:val="173A6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Migration — Field Pocket Reference</dc:title>
  <dc:subject>Condensed cutover and validation companion to SAP-MIG-TRN-HB-001 v1.0</dc:subject>
  <dc:creator>Amit Prajapati</dc:creator>
  <cp:keywords>SAP, AWS, migration, cutover, checklist, Oracle, HANA, hypercare</cp:keywords>
  <dc:description>Condensed companion to the SAP Migration Training Handbook v1.0. Internal training and cutover use; does not replace approved project runbooks.</dc:description>
  <cp:lastModifiedBy/>
  <cp:revision>1</cp:revision>
  <dcterms:created xsi:type="dcterms:W3CDTF">2013-12-23T23:15:00Z</dcterms:created>
  <dcterms:modified xsi:type="dcterms:W3CDTF">2013-12-23T23:15:00Z</dcterms:modified>
  <cp:category>Field reference card</cp:category>
</cp:coreProperties>
</file>