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left"/>
      </w:pPr>
      <w:r>
        <w:rPr>
          <w:rFonts w:ascii="Calibri" w:hAnsi="Calibri"/>
          <w:b/>
          <w:color w:val="1B4F86"/>
          <w:sz w:val="18"/>
        </w:rPr>
        <w:t>CONSOLIDATED TRAINING MATERIAL · 2026</w:t>
      </w:r>
    </w:p>
    <w:p>
      <w:pPr>
        <w:spacing w:before="200" w:after="40"/>
      </w:pPr>
      <w:r>
        <w:rPr>
          <w:rFonts w:ascii="Calibri Light" w:hAnsi="Calibri Light"/>
          <w:b/>
          <w:color w:val="0F2B4C"/>
          <w:sz w:val="68"/>
        </w:rPr>
        <w:t>SAP Migration</w:t>
      </w:r>
    </w:p>
    <w:p>
      <w:pPr>
        <w:spacing w:after="200"/>
      </w:pPr>
      <w:r>
        <w:rPr>
          <w:rFonts w:ascii="Calibri Light" w:hAnsi="Calibri Light"/>
          <w:b/>
          <w:color w:val="0F2B4C"/>
          <w:sz w:val="68"/>
        </w:rPr>
        <w:t>Training Handbook</w:t>
      </w:r>
    </w:p>
    <w:p>
      <w:pPr>
        <w:spacing w:after="280"/>
        <w:pBdr>
          <w:bottom w:val="single" w:sz="18" w:space="8" w:color="1B4F86"/>
        </w:pBdr>
      </w:pPr>
    </w:p>
    <w:p>
      <w:pPr>
        <w:spacing w:after="320"/>
      </w:pPr>
      <w:r>
        <w:rPr>
          <w:rFonts w:ascii="Calibri" w:hAnsi="Calibri"/>
          <w:color w:val="334E68"/>
          <w:sz w:val="22"/>
        </w:rPr>
        <w:t>A single, evidence-driven reference for engineers executing SAP-to-AWS migrations: preparation and source baselining, target architecture and AWS build validation, SAP HANA MDC backup and recovery, Basis post-migration validation, performance troubleshooting, Oracle Data Guard switchover, cutover, Go/No-Go governance, rollback and hypercare.</w:t>
      </w:r>
    </w:p>
    <w:p>
      <w:pPr>
        <w:spacing w:after="360"/>
      </w:pPr>
      <w:r>
        <w:rPr>
          <w:rFonts w:ascii="Calibri" w:hAnsi="Calibri"/>
          <w:b/>
          <w:color w:val="1B4F86"/>
          <w:sz w:val="18"/>
        </w:rPr>
        <w:t>SAP → AWS Migration</w:t>
      </w:r>
      <w:r>
        <w:rPr>
          <w:color w:val="9EC3EC"/>
          <w:sz w:val="18"/>
        </w:rPr>
        <w:t xml:space="preserve">    ·    </w:t>
      </w:r>
      <w:r>
        <w:rPr>
          <w:rFonts w:ascii="Calibri" w:hAnsi="Calibri"/>
          <w:b/>
          <w:color w:val="1B4F86"/>
          <w:sz w:val="18"/>
        </w:rPr>
        <w:t>SAP HANA MDC</w:t>
      </w:r>
      <w:r>
        <w:rPr>
          <w:color w:val="9EC3EC"/>
          <w:sz w:val="18"/>
        </w:rPr>
        <w:t xml:space="preserve">    ·    </w:t>
      </w:r>
      <w:r>
        <w:rPr>
          <w:rFonts w:ascii="Calibri" w:hAnsi="Calibri"/>
          <w:b/>
          <w:color w:val="1B4F86"/>
          <w:sz w:val="18"/>
        </w:rPr>
        <w:t>Oracle Data Guard</w:t>
      </w:r>
      <w:r>
        <w:rPr>
          <w:color w:val="9EC3EC"/>
          <w:sz w:val="18"/>
        </w:rPr>
        <w:t xml:space="preserve">    ·    </w:t>
      </w:r>
      <w:r>
        <w:rPr>
          <w:rFonts w:ascii="Calibri" w:hAnsi="Calibri"/>
          <w:b/>
          <w:color w:val="1B4F86"/>
          <w:sz w:val="18"/>
        </w:rPr>
        <w:t>Basis Validation</w:t>
      </w:r>
      <w:r>
        <w:rPr>
          <w:color w:val="9EC3EC"/>
          <w:sz w:val="18"/>
        </w:rPr>
        <w:t xml:space="preserve">    ·    </w:t>
      </w:r>
      <w:r>
        <w:rPr>
          <w:rFonts w:ascii="Calibri" w:hAnsi="Calibri"/>
          <w:b/>
          <w:color w:val="1B4F86"/>
          <w:sz w:val="18"/>
        </w:rPr>
        <w:t>Cutover &amp; Go/No-Go</w:t>
      </w:r>
      <w:r>
        <w:rPr>
          <w:color w:val="9EC3EC"/>
          <w:sz w:val="18"/>
        </w:rPr>
        <w:t xml:space="preserve">    ·    </w:t>
      </w:r>
      <w:r>
        <w:rPr>
          <w:rFonts w:ascii="Calibri" w:hAnsi="Calibri"/>
          <w:b/>
          <w:color w:val="1B4F86"/>
          <w:sz w:val="18"/>
        </w:rPr>
        <w:t>Hypercare</w:t>
      </w:r>
      <w:r>
        <w:rPr>
          <w:color w:val="9EC3EC"/>
          <w:sz w:val="18"/>
        </w:rPr>
        <w:t xml:space="preserve">    ·    </w:t>
      </w:r>
      <w:r>
        <w:rPr>
          <w:rFonts w:ascii="Calibri" w:hAnsi="Calibri"/>
          <w:b/>
          <w:color w:val="1B4F86"/>
          <w:sz w:val="18"/>
        </w:rPr>
        <w:t>Evidence Model</w:t>
      </w:r>
    </w:p>
    <w:p>
      <w:pPr>
        <w:spacing w:after="60" w:before="160"/>
        <w:keepNext/>
      </w:pPr>
      <w:r>
        <w:rPr>
          <w:rFonts w:ascii="Calibri" w:hAnsi="Calibri"/>
          <w:b/>
          <w:color w:val="5B7288"/>
          <w:sz w:val="15"/>
        </w:rPr>
        <w:t>DOCUMENT CONTROL</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699"/>
        <w:gridCol w:w="6939"/>
      </w:tblGrid>
      <w:tr>
        <w:trPr>
          <w:tblHeader/>
          <w:cantSplit/>
        </w:trPr>
        <w:tc>
          <w:tcPr>
            <w:tcW w:type="dxa" w:w="2699"/>
            <w:shd w:val="clear" w:color="auto" w:fill="0F2B4C"/>
          </w:tcPr>
          <w:p>
            <w:pPr>
              <w:spacing w:after="20" w:before="20"/>
            </w:pPr>
            <w:r/>
            <w:r>
              <w:rPr>
                <w:rFonts w:ascii="Calibri" w:hAnsi="Calibri"/>
                <w:b/>
                <w:color w:val="FFFFFF"/>
                <w:sz w:val="17"/>
              </w:rPr>
              <w:t>Field</w:t>
            </w:r>
          </w:p>
        </w:tc>
        <w:tc>
          <w:tcPr>
            <w:tcW w:type="dxa" w:w="6939"/>
            <w:shd w:val="clear" w:color="auto" w:fill="0F2B4C"/>
          </w:tcPr>
          <w:p>
            <w:pPr>
              <w:spacing w:after="20" w:before="20"/>
            </w:pPr>
            <w:r/>
            <w:r>
              <w:rPr>
                <w:rFonts w:ascii="Calibri" w:hAnsi="Calibri"/>
                <w:b/>
                <w:color w:val="FFFFFF"/>
                <w:sz w:val="17"/>
              </w:rPr>
              <w:t>Value</w:t>
            </w:r>
          </w:p>
        </w:tc>
      </w:tr>
      <w:tr>
        <w:trPr>
          <w:cantSplit/>
        </w:trPr>
        <w:tc>
          <w:tcPr>
            <w:tcW w:type="dxa" w:w="2699"/>
          </w:tcPr>
          <w:p>
            <w:pPr>
              <w:spacing w:after="20" w:before="20"/>
            </w:pPr>
            <w:r/>
            <w:r>
              <w:rPr>
                <w:rFonts w:ascii="Calibri" w:hAnsi="Calibri"/>
                <w:b/>
                <w:color w:val="0F2B4C"/>
                <w:sz w:val="18"/>
              </w:rPr>
              <w:t>Document title</w:t>
            </w:r>
          </w:p>
        </w:tc>
        <w:tc>
          <w:tcPr>
            <w:tcW w:type="dxa" w:w="6939"/>
          </w:tcPr>
          <w:p>
            <w:pPr>
              <w:spacing w:after="20" w:before="20"/>
            </w:pPr>
            <w:r/>
            <w:r>
              <w:rPr>
                <w:rFonts w:ascii="Calibri" w:hAnsi="Calibri"/>
                <w:b w:val="0"/>
                <w:color w:val="334E68"/>
                <w:sz w:val="18"/>
              </w:rPr>
              <w:t>SAP Migration Training Handbook</w:t>
            </w:r>
          </w:p>
        </w:tc>
      </w:tr>
      <w:tr>
        <w:trPr>
          <w:cantSplit/>
        </w:trPr>
        <w:tc>
          <w:tcPr>
            <w:tcW w:type="dxa" w:w="2699"/>
            <w:shd w:val="clear" w:color="auto" w:fill="FAFBFD"/>
          </w:tcPr>
          <w:p>
            <w:pPr>
              <w:spacing w:after="20" w:before="20"/>
            </w:pPr>
            <w:r/>
            <w:r>
              <w:rPr>
                <w:rFonts w:ascii="Calibri" w:hAnsi="Calibri"/>
                <w:b/>
                <w:color w:val="0F2B4C"/>
                <w:sz w:val="18"/>
              </w:rPr>
              <w:t>Document ID</w:t>
            </w:r>
          </w:p>
        </w:tc>
        <w:tc>
          <w:tcPr>
            <w:tcW w:type="dxa" w:w="6939"/>
            <w:shd w:val="clear" w:color="auto" w:fill="FAFBFD"/>
          </w:tcPr>
          <w:p>
            <w:pPr>
              <w:spacing w:after="20" w:before="20"/>
            </w:pPr>
            <w:r/>
            <w:r>
              <w:rPr>
                <w:rFonts w:ascii="Calibri" w:hAnsi="Calibri"/>
                <w:b w:val="0"/>
                <w:color w:val="334E68"/>
                <w:sz w:val="18"/>
              </w:rPr>
              <w:t>SAP-MIG-TRN-HB-001</w:t>
            </w:r>
          </w:p>
        </w:tc>
      </w:tr>
      <w:tr>
        <w:trPr>
          <w:cantSplit/>
        </w:trPr>
        <w:tc>
          <w:tcPr>
            <w:tcW w:type="dxa" w:w="2699"/>
          </w:tcPr>
          <w:p>
            <w:pPr>
              <w:spacing w:after="20" w:before="20"/>
            </w:pPr>
            <w:r/>
            <w:r>
              <w:rPr>
                <w:rFonts w:ascii="Calibri" w:hAnsi="Calibri"/>
                <w:b/>
                <w:color w:val="0F2B4C"/>
                <w:sz w:val="18"/>
              </w:rPr>
              <w:t>Version</w:t>
            </w:r>
          </w:p>
        </w:tc>
        <w:tc>
          <w:tcPr>
            <w:tcW w:type="dxa" w:w="6939"/>
          </w:tcPr>
          <w:p>
            <w:pPr>
              <w:spacing w:after="20" w:before="20"/>
            </w:pPr>
            <w:r/>
            <w:r>
              <w:rPr>
                <w:rFonts w:ascii="Calibri" w:hAnsi="Calibri"/>
                <w:b w:val="0"/>
                <w:color w:val="334E68"/>
                <w:sz w:val="18"/>
              </w:rPr>
              <w:t>1.0 — vetted release</w:t>
            </w:r>
          </w:p>
        </w:tc>
      </w:tr>
      <w:tr>
        <w:trPr>
          <w:cantSplit/>
        </w:trPr>
        <w:tc>
          <w:tcPr>
            <w:tcW w:type="dxa" w:w="2699"/>
            <w:shd w:val="clear" w:color="auto" w:fill="FAFBFD"/>
          </w:tcPr>
          <w:p>
            <w:pPr>
              <w:spacing w:after="20" w:before="20"/>
            </w:pPr>
            <w:r/>
            <w:r>
              <w:rPr>
                <w:rFonts w:ascii="Calibri" w:hAnsi="Calibri"/>
                <w:b/>
                <w:color w:val="0F2B4C"/>
                <w:sz w:val="18"/>
              </w:rPr>
              <w:t>Status</w:t>
            </w:r>
          </w:p>
        </w:tc>
        <w:tc>
          <w:tcPr>
            <w:tcW w:type="dxa" w:w="6939"/>
            <w:shd w:val="clear" w:color="auto" w:fill="FAFBFD"/>
          </w:tcPr>
          <w:p>
            <w:pPr>
              <w:spacing w:after="20" w:before="20"/>
            </w:pPr>
            <w:r/>
            <w:r>
              <w:rPr>
                <w:rFonts w:ascii="Calibri" w:hAnsi="Calibri"/>
                <w:b w:val="0"/>
                <w:color w:val="334E68"/>
                <w:sz w:val="18"/>
              </w:rPr>
              <w:t>Issued for training delivery</w:t>
            </w:r>
          </w:p>
        </w:tc>
      </w:tr>
      <w:tr>
        <w:trPr>
          <w:cantSplit/>
        </w:trPr>
        <w:tc>
          <w:tcPr>
            <w:tcW w:type="dxa" w:w="2699"/>
          </w:tcPr>
          <w:p>
            <w:pPr>
              <w:spacing w:after="20" w:before="20"/>
            </w:pPr>
            <w:r/>
            <w:r>
              <w:rPr>
                <w:rFonts w:ascii="Calibri" w:hAnsi="Calibri"/>
                <w:b/>
                <w:color w:val="0F2B4C"/>
                <w:sz w:val="18"/>
              </w:rPr>
              <w:t>Document type</w:t>
            </w:r>
          </w:p>
        </w:tc>
        <w:tc>
          <w:tcPr>
            <w:tcW w:type="dxa" w:w="6939"/>
          </w:tcPr>
          <w:p>
            <w:pPr>
              <w:spacing w:after="20" w:before="20"/>
            </w:pPr>
            <w:r/>
            <w:r>
              <w:rPr>
                <w:rFonts w:ascii="Calibri" w:hAnsi="Calibri"/>
                <w:b w:val="0"/>
                <w:color w:val="334E68"/>
                <w:sz w:val="18"/>
              </w:rPr>
              <w:t>Consolidated training &amp; knowledge-transfer handbook</w:t>
            </w:r>
          </w:p>
        </w:tc>
      </w:tr>
      <w:tr>
        <w:trPr>
          <w:cantSplit/>
        </w:trPr>
        <w:tc>
          <w:tcPr>
            <w:tcW w:type="dxa" w:w="2699"/>
            <w:shd w:val="clear" w:color="auto" w:fill="FAFBFD"/>
          </w:tcPr>
          <w:p>
            <w:pPr>
              <w:spacing w:after="20" w:before="20"/>
            </w:pPr>
            <w:r/>
            <w:r>
              <w:rPr>
                <w:rFonts w:ascii="Calibri" w:hAnsi="Calibri"/>
                <w:b/>
                <w:color w:val="0F2B4C"/>
                <w:sz w:val="18"/>
              </w:rPr>
              <w:t>Training scope</w:t>
            </w:r>
          </w:p>
        </w:tc>
        <w:tc>
          <w:tcPr>
            <w:tcW w:type="dxa" w:w="6939"/>
            <w:shd w:val="clear" w:color="auto" w:fill="FAFBFD"/>
          </w:tcPr>
          <w:p>
            <w:pPr>
              <w:spacing w:after="20" w:before="20"/>
            </w:pPr>
            <w:r/>
            <w:r>
              <w:rPr>
                <w:rFonts w:ascii="Calibri" w:hAnsi="Calibri"/>
                <w:b w:val="0"/>
                <w:color w:val="334E68"/>
                <w:sz w:val="18"/>
              </w:rPr>
              <w:t>SAP migration planning, build readiness, validation, troubleshooting, cutover</w:t>
            </w:r>
          </w:p>
        </w:tc>
      </w:tr>
      <w:tr>
        <w:trPr>
          <w:cantSplit/>
        </w:trPr>
        <w:tc>
          <w:tcPr>
            <w:tcW w:type="dxa" w:w="2699"/>
          </w:tcPr>
          <w:p>
            <w:pPr>
              <w:spacing w:after="20" w:before="20"/>
            </w:pPr>
            <w:r/>
            <w:r>
              <w:rPr>
                <w:rFonts w:ascii="Calibri" w:hAnsi="Calibri"/>
                <w:b/>
                <w:color w:val="0F2B4C"/>
                <w:sz w:val="18"/>
              </w:rPr>
              <w:t>Training period</w:t>
            </w:r>
          </w:p>
        </w:tc>
        <w:tc>
          <w:tcPr>
            <w:tcW w:type="dxa" w:w="6939"/>
          </w:tcPr>
          <w:p>
            <w:pPr>
              <w:spacing w:after="20" w:before="20"/>
            </w:pPr>
            <w:r/>
            <w:r>
              <w:rPr>
                <w:rFonts w:ascii="Calibri" w:hAnsi="Calibri"/>
                <w:b w:val="0"/>
                <w:color w:val="334E68"/>
                <w:sz w:val="18"/>
              </w:rPr>
              <w:t>September – October 2026</w:t>
            </w:r>
          </w:p>
        </w:tc>
      </w:tr>
      <w:tr>
        <w:trPr>
          <w:cantSplit/>
        </w:trPr>
        <w:tc>
          <w:tcPr>
            <w:tcW w:type="dxa" w:w="2699"/>
            <w:shd w:val="clear" w:color="auto" w:fill="FAFBFD"/>
          </w:tcPr>
          <w:p>
            <w:pPr>
              <w:spacing w:after="20" w:before="20"/>
            </w:pPr>
            <w:r/>
            <w:r>
              <w:rPr>
                <w:rFonts w:ascii="Calibri" w:hAnsi="Calibri"/>
                <w:b/>
                <w:color w:val="0F2B4C"/>
                <w:sz w:val="18"/>
              </w:rPr>
              <w:t>Primary trainer</w:t>
            </w:r>
          </w:p>
        </w:tc>
        <w:tc>
          <w:tcPr>
            <w:tcW w:type="dxa" w:w="6939"/>
            <w:shd w:val="clear" w:color="auto" w:fill="FAFBFD"/>
          </w:tcPr>
          <w:p>
            <w:pPr>
              <w:spacing w:after="20" w:before="20"/>
            </w:pPr>
            <w:r/>
            <w:r>
              <w:rPr>
                <w:rFonts w:ascii="Calibri" w:hAnsi="Calibri"/>
                <w:b w:val="0"/>
                <w:color w:val="334E68"/>
                <w:sz w:val="18"/>
              </w:rPr>
              <w:t>Amit Prajapati</w:t>
            </w:r>
          </w:p>
        </w:tc>
      </w:tr>
      <w:tr>
        <w:trPr>
          <w:cantSplit/>
        </w:trPr>
        <w:tc>
          <w:tcPr>
            <w:tcW w:type="dxa" w:w="2699"/>
          </w:tcPr>
          <w:p>
            <w:pPr>
              <w:spacing w:after="20" w:before="20"/>
            </w:pPr>
            <w:r/>
            <w:r>
              <w:rPr>
                <w:rFonts w:ascii="Calibri" w:hAnsi="Calibri"/>
                <w:b/>
                <w:color w:val="0F2B4C"/>
                <w:sz w:val="18"/>
              </w:rPr>
              <w:t>Prepared from</w:t>
            </w:r>
          </w:p>
        </w:tc>
        <w:tc>
          <w:tcPr>
            <w:tcW w:type="dxa" w:w="6939"/>
          </w:tcPr>
          <w:p>
            <w:pPr>
              <w:spacing w:after="20" w:before="20"/>
            </w:pPr>
            <w:r/>
            <w:r>
              <w:rPr>
                <w:rFonts w:ascii="Calibri" w:hAnsi="Calibri"/>
                <w:b w:val="0"/>
                <w:color w:val="334E68"/>
                <w:sz w:val="18"/>
              </w:rPr>
              <w:t>Consolidated training / MOM source document</w:t>
            </w:r>
          </w:p>
        </w:tc>
      </w:tr>
      <w:tr>
        <w:trPr>
          <w:cantSplit/>
        </w:trPr>
        <w:tc>
          <w:tcPr>
            <w:tcW w:type="dxa" w:w="2699"/>
            <w:shd w:val="clear" w:color="auto" w:fill="FAFBFD"/>
          </w:tcPr>
          <w:p>
            <w:pPr>
              <w:spacing w:after="20" w:before="20"/>
            </w:pPr>
            <w:r/>
            <w:r>
              <w:rPr>
                <w:rFonts w:ascii="Calibri" w:hAnsi="Calibri"/>
                <w:b/>
                <w:color w:val="0F2B4C"/>
                <w:sz w:val="18"/>
              </w:rPr>
              <w:t>Applies to</w:t>
            </w:r>
          </w:p>
        </w:tc>
        <w:tc>
          <w:tcPr>
            <w:tcW w:type="dxa" w:w="6939"/>
            <w:shd w:val="clear" w:color="auto" w:fill="FAFBFD"/>
          </w:tcPr>
          <w:p>
            <w:pPr>
              <w:spacing w:after="20" w:before="20"/>
            </w:pPr>
            <w:r/>
            <w:r>
              <w:rPr>
                <w:rFonts w:ascii="Calibri" w:hAnsi="Calibri"/>
                <w:b w:val="0"/>
                <w:color w:val="334E68"/>
                <w:sz w:val="18"/>
              </w:rPr>
              <w:t>SAP → AWS migrations on SAP HANA and Oracle, including Basis validation, cutover and hypercare</w:t>
            </w:r>
          </w:p>
        </w:tc>
      </w:tr>
      <w:tr>
        <w:trPr>
          <w:cantSplit/>
        </w:trPr>
        <w:tc>
          <w:tcPr>
            <w:tcW w:type="dxa" w:w="2699"/>
          </w:tcPr>
          <w:p>
            <w:pPr>
              <w:spacing w:after="20" w:before="20"/>
            </w:pPr>
            <w:r/>
            <w:r>
              <w:rPr>
                <w:rFonts w:ascii="Calibri" w:hAnsi="Calibri"/>
                <w:b/>
                <w:color w:val="0F2B4C"/>
                <w:sz w:val="18"/>
              </w:rPr>
              <w:t>Classification</w:t>
            </w:r>
          </w:p>
        </w:tc>
        <w:tc>
          <w:tcPr>
            <w:tcW w:type="dxa" w:w="6939"/>
          </w:tcPr>
          <w:p>
            <w:pPr>
              <w:spacing w:after="20" w:before="20"/>
            </w:pPr>
            <w:r/>
            <w:r>
              <w:rPr>
                <w:rFonts w:ascii="Calibri" w:hAnsi="Calibri"/>
                <w:b w:val="0"/>
                <w:color w:val="334E68"/>
                <w:sz w:val="18"/>
              </w:rPr>
              <w:t>Internal — project and training use</w:t>
            </w:r>
          </w:p>
        </w:tc>
      </w:tr>
      <w:tr>
        <w:trPr>
          <w:cantSplit/>
        </w:trPr>
        <w:tc>
          <w:tcPr>
            <w:tcW w:type="dxa" w:w="2699"/>
            <w:shd w:val="clear" w:color="auto" w:fill="FAFBFD"/>
          </w:tcPr>
          <w:p>
            <w:pPr>
              <w:spacing w:after="20" w:before="20"/>
            </w:pPr>
            <w:r/>
            <w:r>
              <w:rPr>
                <w:rFonts w:ascii="Calibri" w:hAnsi="Calibri"/>
                <w:b/>
                <w:color w:val="0F2B4C"/>
                <w:sz w:val="18"/>
              </w:rPr>
              <w:t>Retention</w:t>
            </w:r>
          </w:p>
        </w:tc>
        <w:tc>
          <w:tcPr>
            <w:tcW w:type="dxa" w:w="6939"/>
            <w:shd w:val="clear" w:color="auto" w:fill="FAFBFD"/>
          </w:tcPr>
          <w:p>
            <w:pPr>
              <w:spacing w:after="20" w:before="20"/>
            </w:pPr>
            <w:r/>
            <w:r>
              <w:rPr>
                <w:rFonts w:ascii="Calibri" w:hAnsi="Calibri"/>
                <w:b w:val="0"/>
                <w:color w:val="334E68"/>
                <w:sz w:val="18"/>
              </w:rPr>
              <w:t>Per programme record-retention standard</w:t>
            </w:r>
          </w:p>
        </w:tc>
      </w:tr>
    </w:tbl>
    <w:p>
      <w:pPr>
        <w:spacing w:after="40"/>
      </w:pPr>
    </w:p>
    <w:p>
      <w:pPr>
        <w:spacing w:before="160"/>
        <w:shd w:val="clear" w:color="auto" w:fill="F4F7FB"/>
        <w:pBdr>
          <w:left w:val="single" w:sz="18" w:space="6" w:color="1B4F86"/>
        </w:pBdr>
      </w:pPr>
      <w:r>
        <w:rPr>
          <w:rFonts w:ascii="Calibri" w:hAnsi="Calibri"/>
          <w:b/>
          <w:i w:val="0"/>
          <w:color w:val="5B7288"/>
          <w:sz w:val="17"/>
        </w:rPr>
        <w:t>Source basis.</w:t>
      </w:r>
      <w:r>
        <w:rPr>
          <w:rFonts w:ascii="Calibri" w:hAnsi="Calibri"/>
          <w:b w:val="0"/>
          <w:i w:val="0"/>
          <w:color w:val="5B7288"/>
          <w:sz w:val="17"/>
        </w:rPr>
        <w:t xml:space="preserve"> This handbook consolidates the supplied training/MOM material. It preserves the source terminology and practical guidance, and it does not replace approved project runbooks, architecture baselines or change-management procedures. Where the source material was ambiguous or client-specific, the item is flagged rather than silently rewritten — see </w:t>
      </w:r>
      <w:r>
        <w:rPr>
          <w:rFonts w:ascii="Calibri" w:hAnsi="Calibri"/>
          <w:b w:val="0"/>
          <w:i w:val="0"/>
          <w:color w:val="1B4F86"/>
          <w:sz w:val="17"/>
        </w:rPr>
        <w:t>Appendix D: Technical review and vetting notes</w:t>
      </w:r>
      <w:r>
        <w:rPr>
          <w:rFonts w:ascii="Calibri" w:hAnsi="Calibri"/>
          <w:b w:val="0"/>
          <w:i w:val="0"/>
          <w:color w:val="5B7288"/>
          <w:sz w:val="17"/>
        </w:rPr>
        <w:t>.</w:t>
      </w:r>
    </w:p>
    <w:p>
      <w:r>
        <w:br w:type="page"/>
      </w:r>
    </w:p>
    <w:p>
      <w:pPr>
        <w:pStyle w:val="Heading1"/>
        <w:pBdr>
          <w:bottom w:val="single" w:sz="12" w:space="5" w:color="1B4F86"/>
        </w:pBdr>
      </w:pPr>
      <w:r>
        <w:t>Table of contents</w:t>
      </w:r>
    </w:p>
    <w:p>
      <w:pPr>
        <w:spacing w:after="80"/>
      </w:pPr>
      <w:r>
        <w:fldChar w:fldCharType="begin"/>
      </w:r>
      <w:r>
        <w:instrText xml:space="preserve"> TOC \o "1-2" \h \z \u </w:instrText>
      </w:r>
      <w:r>
        <w:fldChar w:fldCharType="separate"/>
      </w:r>
      <w:r>
        <w:rPr>
          <w:rFonts w:ascii="Calibri" w:hAnsi="Calibri"/>
          <w:i/>
          <w:color w:val="5B7288"/>
          <w:sz w:val="18"/>
        </w:rPr>
        <w:t>Word populates this table of contents on open (it will offer to update fields). If it does not, select this line and press F9.</w:t>
      </w:r>
      <w:r>
        <w:fldChar w:fldCharType="end"/>
      </w:r>
    </w:p>
    <w:p>
      <w:pPr>
        <w:spacing w:before="120"/>
      </w:pPr>
      <w:r>
        <w:rPr>
          <w:rFonts w:ascii="Calibri" w:hAnsi="Calibri"/>
          <w:i/>
          <w:color w:val="5B7288"/>
          <w:sz w:val="16"/>
        </w:rPr>
        <w:t>All headings carry Word outline levels, so the field above resolves to a live, page-numbered, hyperlinked table of contents. The figure index and the detailed contents live in the “Contents and figure index” section of the handbook itself.</w:t>
      </w:r>
    </w:p>
    <w:p>
      <w:r>
        <w:br w:type="page"/>
      </w:r>
    </w:p>
    <w:p>
      <w:pPr>
        <w:spacing w:after="20"/>
      </w:pPr>
      <w:r>
        <w:rPr>
          <w:rFonts w:ascii="Calibri" w:hAnsi="Calibri"/>
          <w:b/>
          <w:color w:val="1B4F86"/>
          <w:sz w:val="16"/>
        </w:rPr>
        <w:t>FRONT MATTER</w:t>
      </w:r>
    </w:p>
    <w:p>
      <w:pPr>
        <w:pStyle w:val="Heading1"/>
        <w:pBdr>
          <w:bottom w:val="single" w:sz="12" w:space="5" w:color="1B4F86"/>
        </w:pBdr>
        <w:spacing w:after="160"/>
      </w:pPr>
      <w:r>
        <w:rPr>
          <w:rFonts w:ascii="Calibri Light" w:hAnsi="Calibri Light"/>
          <w:b/>
          <w:color w:val="0F2B4C"/>
          <w:sz w:val="38"/>
        </w:rPr>
        <w:t>How to use this handbook</w:t>
      </w:r>
    </w:p>
    <w:p>
      <w:pPr>
        <w:spacing w:after="200"/>
      </w:pPr>
      <w:r>
        <w:rPr>
          <w:rFonts w:ascii="Calibri" w:hAnsi="Calibri"/>
          <w:i/>
          <w:color w:val="5B7288"/>
          <w:sz w:val="21"/>
        </w:rPr>
        <w:t>This is a working document, not a read-once handout. Use it to prepare for a migration, to run a training session, and as the index that points you to the right project runbook at cutover.</w:t>
      </w:r>
    </w:p>
    <w:p>
      <w:pPr>
        <w:pStyle w:val="Heading2"/>
        <w:pBdr>
          <w:bottom w:val="single" w:sz="6" w:space="3" w:color="E8EDF3"/>
        </w:pBdr>
      </w:pPr>
      <w:r>
        <w:rPr>
          <w:rFonts w:ascii="Calibri" w:hAnsi="Calibri"/>
          <w:b/>
          <w:color w:val="0F2B4C"/>
          <w:sz w:val="26"/>
        </w:rPr>
        <w:t>0.1  Reading paths by role</w:t>
      </w:r>
    </w:p>
    <w:p>
      <w:pPr>
        <w:spacing w:after="60" w:before="160"/>
        <w:keepNext/>
      </w:pPr>
      <w:r>
        <w:rPr>
          <w:rFonts w:ascii="Calibri" w:hAnsi="Calibri"/>
          <w:b/>
          <w:color w:val="5B7288"/>
          <w:sz w:val="15"/>
        </w:rPr>
        <w:t>SUGGESTED READING ORDER</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2506"/>
        <w:gridCol w:w="2506"/>
        <w:gridCol w:w="2506"/>
      </w:tblGrid>
      <w:tr>
        <w:trPr>
          <w:tblHeader/>
          <w:cantSplit/>
        </w:trPr>
        <w:tc>
          <w:tcPr>
            <w:tcW w:type="dxa" w:w="2120"/>
            <w:shd w:val="clear" w:color="auto" w:fill="0F2B4C"/>
          </w:tcPr>
          <w:p>
            <w:pPr>
              <w:spacing w:after="20" w:before="20"/>
            </w:pPr>
            <w:r/>
            <w:r>
              <w:rPr>
                <w:rFonts w:ascii="Calibri" w:hAnsi="Calibri"/>
                <w:b/>
                <w:color w:val="FFFFFF"/>
                <w:sz w:val="17"/>
              </w:rPr>
              <w:t>Role</w:t>
            </w:r>
          </w:p>
        </w:tc>
        <w:tc>
          <w:tcPr>
            <w:tcW w:type="dxa" w:w="2506"/>
            <w:shd w:val="clear" w:color="auto" w:fill="0F2B4C"/>
          </w:tcPr>
          <w:p>
            <w:pPr>
              <w:spacing w:after="20" w:before="20"/>
            </w:pPr>
            <w:r/>
            <w:r>
              <w:rPr>
                <w:rFonts w:ascii="Calibri" w:hAnsi="Calibri"/>
                <w:b/>
                <w:color w:val="FFFFFF"/>
                <w:sz w:val="17"/>
              </w:rPr>
              <w:t>Read first</w:t>
            </w:r>
          </w:p>
        </w:tc>
        <w:tc>
          <w:tcPr>
            <w:tcW w:type="dxa" w:w="2506"/>
            <w:shd w:val="clear" w:color="auto" w:fill="0F2B4C"/>
          </w:tcPr>
          <w:p>
            <w:pPr>
              <w:spacing w:after="20" w:before="20"/>
            </w:pPr>
            <w:r/>
            <w:r>
              <w:rPr>
                <w:rFonts w:ascii="Calibri" w:hAnsi="Calibri"/>
                <w:b/>
                <w:color w:val="FFFFFF"/>
                <w:sz w:val="17"/>
              </w:rPr>
              <w:t>Then</w:t>
            </w:r>
          </w:p>
        </w:tc>
        <w:tc>
          <w:tcPr>
            <w:tcW w:type="dxa" w:w="2506"/>
            <w:shd w:val="clear" w:color="auto" w:fill="0F2B4C"/>
          </w:tcPr>
          <w:p>
            <w:pPr>
              <w:spacing w:after="20" w:before="20"/>
            </w:pPr>
            <w:r/>
            <w:r>
              <w:rPr>
                <w:rFonts w:ascii="Calibri" w:hAnsi="Calibri"/>
                <w:b/>
                <w:color w:val="FFFFFF"/>
                <w:sz w:val="17"/>
              </w:rPr>
              <w:t>Use at cutover</w:t>
            </w:r>
          </w:p>
        </w:tc>
      </w:tr>
      <w:tr>
        <w:trPr>
          <w:cantSplit/>
        </w:trPr>
        <w:tc>
          <w:tcPr>
            <w:tcW w:type="dxa" w:w="2120"/>
          </w:tcPr>
          <w:p>
            <w:pPr>
              <w:spacing w:after="20" w:before="20"/>
            </w:pPr>
            <w:r/>
            <w:r>
              <w:rPr>
                <w:rFonts w:ascii="Calibri" w:hAnsi="Calibri"/>
                <w:b/>
                <w:i w:val="0"/>
                <w:color w:val="334E68"/>
                <w:sz w:val="17"/>
              </w:rPr>
              <w:t>Basis / migration engineer</w:t>
            </w:r>
          </w:p>
        </w:tc>
        <w:tc>
          <w:tcPr>
            <w:tcW w:type="dxa" w:w="2506"/>
          </w:tcPr>
          <w:p>
            <w:pPr>
              <w:spacing w:after="20" w:before="20"/>
            </w:pPr>
            <w:r/>
            <w:r>
              <w:rPr>
                <w:rFonts w:ascii="Calibri" w:hAnsi="Calibri"/>
                <w:b w:val="0"/>
                <w:i w:val="0"/>
                <w:color w:val="334E68"/>
                <w:sz w:val="17"/>
              </w:rPr>
              <w:t>Sections 1–3, Modules 1–4</w:t>
            </w:r>
          </w:p>
        </w:tc>
        <w:tc>
          <w:tcPr>
            <w:tcW w:type="dxa" w:w="2506"/>
          </w:tcPr>
          <w:p>
            <w:pPr>
              <w:spacing w:after="20" w:before="20"/>
            </w:pPr>
            <w:r/>
            <w:r>
              <w:rPr>
                <w:rFonts w:ascii="Calibri" w:hAnsi="Calibri"/>
                <w:b w:val="0"/>
                <w:i w:val="0"/>
                <w:color w:val="334E68"/>
                <w:sz w:val="17"/>
              </w:rPr>
              <w:t>Modules 5, 7 and Section 15</w:t>
            </w:r>
          </w:p>
        </w:tc>
        <w:tc>
          <w:tcPr>
            <w:tcW w:type="dxa" w:w="2506"/>
          </w:tcPr>
          <w:p>
            <w:pPr>
              <w:spacing w:after="20" w:before="20"/>
            </w:pPr>
            <w:r/>
            <w:r>
              <w:rPr>
                <w:rFonts w:ascii="Calibri" w:hAnsi="Calibri"/>
                <w:b w:val="0"/>
                <w:i w:val="0"/>
                <w:color w:val="334E68"/>
                <w:sz w:val="17"/>
              </w:rPr>
              <w:t>Sections 10, 12, 16</w:t>
            </w:r>
          </w:p>
        </w:tc>
      </w:tr>
      <w:tr>
        <w:trPr>
          <w:cantSplit/>
        </w:trPr>
        <w:tc>
          <w:tcPr>
            <w:tcW w:type="dxa" w:w="2120"/>
            <w:shd w:val="clear" w:color="auto" w:fill="FAFBFD"/>
          </w:tcPr>
          <w:p>
            <w:pPr>
              <w:spacing w:after="20" w:before="20"/>
            </w:pPr>
            <w:r/>
            <w:r>
              <w:rPr>
                <w:rFonts w:ascii="Calibri" w:hAnsi="Calibri"/>
                <w:b/>
                <w:i w:val="0"/>
                <w:color w:val="334E68"/>
                <w:sz w:val="17"/>
              </w:rPr>
              <w:t>DBA (Oracle / HANA)</w:t>
            </w:r>
          </w:p>
        </w:tc>
        <w:tc>
          <w:tcPr>
            <w:tcW w:type="dxa" w:w="2506"/>
            <w:shd w:val="clear" w:color="auto" w:fill="FAFBFD"/>
          </w:tcPr>
          <w:p>
            <w:pPr>
              <w:spacing w:after="20" w:before="20"/>
            </w:pPr>
            <w:r/>
            <w:r>
              <w:rPr>
                <w:rFonts w:ascii="Calibri" w:hAnsi="Calibri"/>
                <w:b w:val="0"/>
                <w:i w:val="0"/>
                <w:color w:val="334E68"/>
                <w:sz w:val="17"/>
              </w:rPr>
              <w:t>Section 3, Module 3</w:t>
            </w:r>
          </w:p>
        </w:tc>
        <w:tc>
          <w:tcPr>
            <w:tcW w:type="dxa" w:w="2506"/>
            <w:shd w:val="clear" w:color="auto" w:fill="FAFBFD"/>
          </w:tcPr>
          <w:p>
            <w:pPr>
              <w:spacing w:after="20" w:before="20"/>
            </w:pPr>
            <w:r/>
            <w:r>
              <w:rPr>
                <w:rFonts w:ascii="Calibri" w:hAnsi="Calibri"/>
                <w:b w:val="0"/>
                <w:i w:val="0"/>
                <w:color w:val="334E68"/>
                <w:sz w:val="17"/>
              </w:rPr>
              <w:t>Module 6</w:t>
            </w:r>
          </w:p>
        </w:tc>
        <w:tc>
          <w:tcPr>
            <w:tcW w:type="dxa" w:w="2506"/>
            <w:shd w:val="clear" w:color="auto" w:fill="FAFBFD"/>
          </w:tcPr>
          <w:p>
            <w:pPr>
              <w:spacing w:after="20" w:before="20"/>
            </w:pPr>
            <w:r/>
            <w:r>
              <w:rPr>
                <w:rFonts w:ascii="Calibri" w:hAnsi="Calibri"/>
                <w:b w:val="0"/>
                <w:i w:val="0"/>
                <w:color w:val="334E68"/>
                <w:sz w:val="17"/>
              </w:rPr>
              <w:t>Sections 10, 12.3, 12.5</w:t>
            </w:r>
          </w:p>
        </w:tc>
      </w:tr>
      <w:tr>
        <w:trPr>
          <w:cantSplit/>
        </w:trPr>
        <w:tc>
          <w:tcPr>
            <w:tcW w:type="dxa" w:w="2120"/>
          </w:tcPr>
          <w:p>
            <w:pPr>
              <w:spacing w:after="20" w:before="20"/>
            </w:pPr>
            <w:r/>
            <w:r>
              <w:rPr>
                <w:rFonts w:ascii="Calibri" w:hAnsi="Calibri"/>
                <w:b/>
                <w:i w:val="0"/>
                <w:color w:val="334E68"/>
                <w:sz w:val="17"/>
              </w:rPr>
              <w:t>Automation / cloud engineer</w:t>
            </w:r>
          </w:p>
        </w:tc>
        <w:tc>
          <w:tcPr>
            <w:tcW w:type="dxa" w:w="2506"/>
          </w:tcPr>
          <w:p>
            <w:pPr>
              <w:spacing w:after="20" w:before="20"/>
            </w:pPr>
            <w:r/>
            <w:r>
              <w:rPr>
                <w:rFonts w:ascii="Calibri" w:hAnsi="Calibri"/>
                <w:b w:val="0"/>
                <w:i w:val="0"/>
                <w:color w:val="334E68"/>
                <w:sz w:val="17"/>
              </w:rPr>
              <w:t>Section 3, Module 2</w:t>
            </w:r>
          </w:p>
        </w:tc>
        <w:tc>
          <w:tcPr>
            <w:tcW w:type="dxa" w:w="2506"/>
          </w:tcPr>
          <w:p>
            <w:pPr>
              <w:spacing w:after="20" w:before="20"/>
            </w:pPr>
            <w:r/>
            <w:r>
              <w:rPr>
                <w:rFonts w:ascii="Calibri" w:hAnsi="Calibri"/>
                <w:b w:val="0"/>
                <w:i w:val="0"/>
                <w:color w:val="334E68"/>
                <w:sz w:val="17"/>
              </w:rPr>
              <w:t>Section 14</w:t>
            </w:r>
          </w:p>
        </w:tc>
        <w:tc>
          <w:tcPr>
            <w:tcW w:type="dxa" w:w="2506"/>
          </w:tcPr>
          <w:p>
            <w:pPr>
              <w:spacing w:after="20" w:before="20"/>
            </w:pPr>
            <w:r/>
            <w:r>
              <w:rPr>
                <w:rFonts w:ascii="Calibri" w:hAnsi="Calibri"/>
                <w:b w:val="0"/>
                <w:i w:val="0"/>
                <w:color w:val="334E68"/>
                <w:sz w:val="17"/>
              </w:rPr>
              <w:t>Section 10.2</w:t>
            </w:r>
          </w:p>
        </w:tc>
      </w:tr>
      <w:tr>
        <w:trPr>
          <w:cantSplit/>
        </w:trPr>
        <w:tc>
          <w:tcPr>
            <w:tcW w:type="dxa" w:w="2120"/>
            <w:shd w:val="clear" w:color="auto" w:fill="FAFBFD"/>
          </w:tcPr>
          <w:p>
            <w:pPr>
              <w:spacing w:after="20" w:before="20"/>
            </w:pPr>
            <w:r/>
            <w:r>
              <w:rPr>
                <w:rFonts w:ascii="Calibri" w:hAnsi="Calibri"/>
                <w:b/>
                <w:i w:val="0"/>
                <w:color w:val="334E68"/>
                <w:sz w:val="17"/>
              </w:rPr>
              <w:t>Linux / OS engineer</w:t>
            </w:r>
          </w:p>
        </w:tc>
        <w:tc>
          <w:tcPr>
            <w:tcW w:type="dxa" w:w="2506"/>
            <w:shd w:val="clear" w:color="auto" w:fill="FAFBFD"/>
          </w:tcPr>
          <w:p>
            <w:pPr>
              <w:spacing w:after="20" w:before="20"/>
            </w:pPr>
            <w:r/>
            <w:r>
              <w:rPr>
                <w:rFonts w:ascii="Calibri" w:hAnsi="Calibri"/>
                <w:b w:val="0"/>
                <w:i w:val="0"/>
                <w:color w:val="334E68"/>
                <w:sz w:val="17"/>
              </w:rPr>
              <w:t>Module 1, Section 7.2</w:t>
            </w:r>
          </w:p>
        </w:tc>
        <w:tc>
          <w:tcPr>
            <w:tcW w:type="dxa" w:w="2506"/>
            <w:shd w:val="clear" w:color="auto" w:fill="FAFBFD"/>
          </w:tcPr>
          <w:p>
            <w:pPr>
              <w:spacing w:after="20" w:before="20"/>
            </w:pPr>
            <w:r/>
            <w:r>
              <w:rPr>
                <w:rFonts w:ascii="Calibri" w:hAnsi="Calibri"/>
                <w:b w:val="0"/>
                <w:i w:val="0"/>
                <w:color w:val="334E68"/>
                <w:sz w:val="17"/>
              </w:rPr>
              <w:t>Section 14</w:t>
            </w:r>
          </w:p>
        </w:tc>
        <w:tc>
          <w:tcPr>
            <w:tcW w:type="dxa" w:w="2506"/>
            <w:shd w:val="clear" w:color="auto" w:fill="FAFBFD"/>
          </w:tcPr>
          <w:p>
            <w:pPr>
              <w:spacing w:after="20" w:before="20"/>
            </w:pPr>
            <w:r/>
            <w:r>
              <w:rPr>
                <w:rFonts w:ascii="Calibri" w:hAnsi="Calibri"/>
                <w:b w:val="0"/>
                <w:i w:val="0"/>
                <w:color w:val="334E68"/>
                <w:sz w:val="17"/>
              </w:rPr>
              <w:t>Sections 10, 12.1</w:t>
            </w:r>
          </w:p>
        </w:tc>
      </w:tr>
      <w:tr>
        <w:trPr>
          <w:cantSplit/>
        </w:trPr>
        <w:tc>
          <w:tcPr>
            <w:tcW w:type="dxa" w:w="2120"/>
          </w:tcPr>
          <w:p>
            <w:pPr>
              <w:spacing w:after="20" w:before="20"/>
            </w:pPr>
            <w:r/>
            <w:r>
              <w:rPr>
                <w:rFonts w:ascii="Calibri" w:hAnsi="Calibri"/>
                <w:b/>
                <w:i w:val="0"/>
                <w:color w:val="334E68"/>
                <w:sz w:val="17"/>
              </w:rPr>
              <w:t>Network / DNS / IPAM</w:t>
            </w:r>
          </w:p>
        </w:tc>
        <w:tc>
          <w:tcPr>
            <w:tcW w:type="dxa" w:w="2506"/>
          </w:tcPr>
          <w:p>
            <w:pPr>
              <w:spacing w:after="20" w:before="20"/>
            </w:pPr>
            <w:r/>
            <w:r>
              <w:rPr>
                <w:rFonts w:ascii="Calibri" w:hAnsi="Calibri"/>
                <w:b w:val="0"/>
                <w:i w:val="0"/>
                <w:color w:val="334E68"/>
                <w:sz w:val="17"/>
              </w:rPr>
              <w:t>Module 1, Section 9.5</w:t>
            </w:r>
          </w:p>
        </w:tc>
        <w:tc>
          <w:tcPr>
            <w:tcW w:type="dxa" w:w="2506"/>
          </w:tcPr>
          <w:p>
            <w:pPr>
              <w:spacing w:after="20" w:before="20"/>
            </w:pPr>
            <w:r/>
            <w:r>
              <w:rPr>
                <w:rFonts w:ascii="Calibri" w:hAnsi="Calibri"/>
                <w:b w:val="0"/>
                <w:i w:val="0"/>
                <w:color w:val="334E68"/>
                <w:sz w:val="17"/>
              </w:rPr>
              <w:t>Module 2</w:t>
            </w:r>
          </w:p>
        </w:tc>
        <w:tc>
          <w:tcPr>
            <w:tcW w:type="dxa" w:w="2506"/>
          </w:tcPr>
          <w:p>
            <w:pPr>
              <w:spacing w:after="20" w:before="20"/>
            </w:pPr>
            <w:r/>
            <w:r>
              <w:rPr>
                <w:rFonts w:ascii="Calibri" w:hAnsi="Calibri"/>
                <w:b w:val="0"/>
                <w:i w:val="0"/>
                <w:color w:val="334E68"/>
                <w:sz w:val="17"/>
              </w:rPr>
              <w:t>Section 10.2</w:t>
            </w:r>
          </w:p>
        </w:tc>
      </w:tr>
      <w:tr>
        <w:trPr>
          <w:cantSplit/>
        </w:trPr>
        <w:tc>
          <w:tcPr>
            <w:tcW w:type="dxa" w:w="2120"/>
            <w:shd w:val="clear" w:color="auto" w:fill="FAFBFD"/>
          </w:tcPr>
          <w:p>
            <w:pPr>
              <w:spacing w:after="20" w:before="20"/>
            </w:pPr>
            <w:r/>
            <w:r>
              <w:rPr>
                <w:rFonts w:ascii="Calibri" w:hAnsi="Calibri"/>
                <w:b/>
                <w:i w:val="0"/>
                <w:color w:val="334E68"/>
                <w:sz w:val="17"/>
              </w:rPr>
              <w:t>Application / functional lead</w:t>
            </w:r>
          </w:p>
        </w:tc>
        <w:tc>
          <w:tcPr>
            <w:tcW w:type="dxa" w:w="2506"/>
            <w:shd w:val="clear" w:color="auto" w:fill="FAFBFD"/>
          </w:tcPr>
          <w:p>
            <w:pPr>
              <w:spacing w:after="20" w:before="20"/>
            </w:pPr>
            <w:r/>
            <w:r>
              <w:rPr>
                <w:rFonts w:ascii="Calibri" w:hAnsi="Calibri"/>
                <w:b w:val="0"/>
                <w:i w:val="0"/>
                <w:color w:val="334E68"/>
                <w:sz w:val="17"/>
              </w:rPr>
              <w:t>Sections 1–3, Module 7</w:t>
            </w:r>
          </w:p>
        </w:tc>
        <w:tc>
          <w:tcPr>
            <w:tcW w:type="dxa" w:w="2506"/>
            <w:shd w:val="clear" w:color="auto" w:fill="FAFBFD"/>
          </w:tcPr>
          <w:p>
            <w:pPr>
              <w:spacing w:after="20" w:before="20"/>
            </w:pPr>
            <w:r/>
            <w:r>
              <w:rPr>
                <w:rFonts w:ascii="Calibri" w:hAnsi="Calibri"/>
                <w:b w:val="0"/>
                <w:i w:val="0"/>
                <w:color w:val="334E68"/>
                <w:sz w:val="17"/>
              </w:rPr>
              <w:t>Sections 13, 14</w:t>
            </w:r>
          </w:p>
        </w:tc>
        <w:tc>
          <w:tcPr>
            <w:tcW w:type="dxa" w:w="2506"/>
            <w:shd w:val="clear" w:color="auto" w:fill="FAFBFD"/>
          </w:tcPr>
          <w:p>
            <w:pPr>
              <w:spacing w:after="20" w:before="20"/>
            </w:pPr>
            <w:r/>
            <w:r>
              <w:rPr>
                <w:rFonts w:ascii="Calibri" w:hAnsi="Calibri"/>
                <w:b w:val="0"/>
                <w:i w:val="0"/>
                <w:color w:val="334E68"/>
                <w:sz w:val="17"/>
              </w:rPr>
              <w:t>Sections 10.4, 10.6</w:t>
            </w:r>
          </w:p>
        </w:tc>
      </w:tr>
      <w:tr>
        <w:trPr>
          <w:cantSplit/>
        </w:trPr>
        <w:tc>
          <w:tcPr>
            <w:tcW w:type="dxa" w:w="2120"/>
          </w:tcPr>
          <w:p>
            <w:pPr>
              <w:spacing w:after="20" w:before="20"/>
            </w:pPr>
            <w:r/>
            <w:r>
              <w:rPr>
                <w:rFonts w:ascii="Calibri" w:hAnsi="Calibri"/>
                <w:b/>
                <w:i w:val="0"/>
                <w:color w:val="334E68"/>
                <w:sz w:val="17"/>
              </w:rPr>
              <w:t>Project manager / stakeholder</w:t>
            </w:r>
          </w:p>
        </w:tc>
        <w:tc>
          <w:tcPr>
            <w:tcW w:type="dxa" w:w="2506"/>
          </w:tcPr>
          <w:p>
            <w:pPr>
              <w:spacing w:after="20" w:before="20"/>
            </w:pPr>
            <w:r/>
            <w:r>
              <w:rPr>
                <w:rFonts w:ascii="Calibri" w:hAnsi="Calibri"/>
                <w:b w:val="0"/>
                <w:i w:val="0"/>
                <w:color w:val="334E68"/>
                <w:sz w:val="17"/>
              </w:rPr>
              <w:t>Sections 1–3</w:t>
            </w:r>
          </w:p>
        </w:tc>
        <w:tc>
          <w:tcPr>
            <w:tcW w:type="dxa" w:w="2506"/>
          </w:tcPr>
          <w:p>
            <w:pPr>
              <w:spacing w:after="20" w:before="20"/>
            </w:pPr>
            <w:r/>
            <w:r>
              <w:rPr>
                <w:rFonts w:ascii="Calibri" w:hAnsi="Calibri"/>
                <w:b w:val="0"/>
                <w:i w:val="0"/>
                <w:color w:val="334E68"/>
                <w:sz w:val="17"/>
              </w:rPr>
              <w:t>Sections 13, 14, 16</w:t>
            </w:r>
          </w:p>
        </w:tc>
        <w:tc>
          <w:tcPr>
            <w:tcW w:type="dxa" w:w="2506"/>
          </w:tcPr>
          <w:p>
            <w:pPr>
              <w:spacing w:after="20" w:before="20"/>
            </w:pPr>
            <w:r/>
            <w:r>
              <w:rPr>
                <w:rFonts w:ascii="Calibri" w:hAnsi="Calibri"/>
                <w:b w:val="0"/>
                <w:i w:val="0"/>
                <w:color w:val="334E68"/>
                <w:sz w:val="17"/>
              </w:rPr>
              <w:t>Section 10.5</w:t>
            </w:r>
          </w:p>
        </w:tc>
      </w:tr>
    </w:tbl>
    <w:p>
      <w:pPr>
        <w:spacing w:after="40"/>
      </w:pPr>
    </w:p>
    <w:p>
      <w:pPr>
        <w:pStyle w:val="Heading2"/>
        <w:pBdr>
          <w:bottom w:val="single" w:sz="6" w:space="3" w:color="E8EDF3"/>
        </w:pBdr>
      </w:pPr>
      <w:r>
        <w:rPr>
          <w:rFonts w:ascii="Calibri" w:hAnsi="Calibri"/>
          <w:b/>
          <w:color w:val="0F2B4C"/>
          <w:sz w:val="26"/>
        </w:rPr>
        <w:t>0.2  Conventions used in this handbook</w:t>
      </w:r>
    </w:p>
    <w:p>
      <w:pPr>
        <w:spacing w:after="60" w:before="160"/>
        <w:keepNext/>
      </w:pPr>
      <w:r>
        <w:rPr>
          <w:rFonts w:ascii="Calibri" w:hAnsi="Calibri"/>
          <w:b/>
          <w:color w:val="5B7288"/>
          <w:sz w:val="15"/>
        </w:rPr>
        <w:t>LEGEND</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7325"/>
      </w:tblGrid>
      <w:tr>
        <w:trPr>
          <w:tblHeader/>
          <w:cantSplit/>
        </w:trPr>
        <w:tc>
          <w:tcPr>
            <w:tcW w:type="dxa" w:w="2313"/>
            <w:shd w:val="clear" w:color="auto" w:fill="0F2B4C"/>
          </w:tcPr>
          <w:p>
            <w:pPr>
              <w:spacing w:after="20" w:before="20"/>
            </w:pPr>
            <w:r/>
            <w:r>
              <w:rPr>
                <w:rFonts w:ascii="Calibri" w:hAnsi="Calibri"/>
                <w:b/>
                <w:color w:val="FFFFFF"/>
                <w:sz w:val="17"/>
              </w:rPr>
              <w:t>Convention</w:t>
            </w:r>
          </w:p>
        </w:tc>
        <w:tc>
          <w:tcPr>
            <w:tcW w:type="dxa" w:w="7325"/>
            <w:shd w:val="clear" w:color="auto" w:fill="0F2B4C"/>
          </w:tcPr>
          <w:p>
            <w:pPr>
              <w:spacing w:after="20" w:before="20"/>
            </w:pPr>
            <w:r/>
            <w:r>
              <w:rPr>
                <w:rFonts w:ascii="Calibri" w:hAnsi="Calibri"/>
                <w:b/>
                <w:color w:val="FFFFFF"/>
                <w:sz w:val="17"/>
              </w:rPr>
              <w:t>Meaning</w:t>
            </w:r>
          </w:p>
        </w:tc>
      </w:tr>
      <w:tr>
        <w:trPr>
          <w:cantSplit/>
        </w:trPr>
        <w:tc>
          <w:tcPr>
            <w:tcW w:type="dxa" w:w="2313"/>
          </w:tcPr>
          <w:p>
            <w:pPr>
              <w:spacing w:after="20" w:before="20"/>
            </w:pPr>
            <w:r/>
            <w:r>
              <w:rPr>
                <w:rFonts w:ascii="Calibri" w:hAnsi="Calibri"/>
                <w:b/>
                <w:i w:val="0"/>
                <w:color w:val="334E68"/>
                <w:sz w:val="17"/>
              </w:rPr>
              <w:t>MUST</w:t>
            </w:r>
            <w:r>
              <w:rPr>
                <w:rFonts w:ascii="Calibri" w:hAnsi="Calibri"/>
              </w:rPr>
              <w:t xml:space="preserve"> </w:t>
            </w:r>
            <w:r>
              <w:rPr>
                <w:rFonts w:ascii="Calibri" w:hAnsi="Calibri"/>
                <w:b/>
                <w:i w:val="0"/>
                <w:color w:val="334E68"/>
                <w:sz w:val="17"/>
              </w:rPr>
              <w:t>Gate</w:t>
            </w:r>
          </w:p>
        </w:tc>
        <w:tc>
          <w:tcPr>
            <w:tcW w:type="dxa" w:w="7325"/>
          </w:tcPr>
          <w:p>
            <w:pPr>
              <w:spacing w:after="20" w:before="20"/>
            </w:pPr>
            <w:r/>
            <w:r>
              <w:rPr>
                <w:rFonts w:ascii="Calibri" w:hAnsi="Calibri"/>
                <w:b w:val="0"/>
                <w:i w:val="0"/>
                <w:color w:val="334E68"/>
                <w:sz w:val="17"/>
              </w:rPr>
              <w:t>Mandatory step or formal gate. Work does not proceed without it and without recorded evidence.</w:t>
            </w:r>
          </w:p>
        </w:tc>
      </w:tr>
      <w:tr>
        <w:trPr>
          <w:cantSplit/>
        </w:trPr>
        <w:tc>
          <w:tcPr>
            <w:tcW w:type="dxa" w:w="2313"/>
            <w:shd w:val="clear" w:color="auto" w:fill="FAFBFD"/>
          </w:tcPr>
          <w:p>
            <w:pPr>
              <w:spacing w:after="20" w:before="20"/>
            </w:pPr>
            <w:r/>
            <w:r>
              <w:rPr>
                <w:rFonts w:ascii="Calibri" w:hAnsi="Calibri"/>
                <w:b/>
                <w:i w:val="0"/>
                <w:color w:val="334E68"/>
                <w:sz w:val="17"/>
              </w:rPr>
              <w:t>SHOULD</w:t>
            </w:r>
          </w:p>
        </w:tc>
        <w:tc>
          <w:tcPr>
            <w:tcW w:type="dxa" w:w="7325"/>
            <w:shd w:val="clear" w:color="auto" w:fill="FAFBFD"/>
          </w:tcPr>
          <w:p>
            <w:pPr>
              <w:spacing w:after="20" w:before="20"/>
            </w:pPr>
            <w:r/>
            <w:r>
              <w:rPr>
                <w:rFonts w:ascii="Calibri" w:hAnsi="Calibri"/>
                <w:b w:val="0"/>
                <w:i w:val="0"/>
                <w:color w:val="334E68"/>
                <w:sz w:val="17"/>
              </w:rPr>
              <w:t>Strongly recommended practice. Deviation needs a recorded reason and the accountable owner's agreement.</w:t>
            </w:r>
          </w:p>
        </w:tc>
      </w:tr>
      <w:tr>
        <w:trPr>
          <w:cantSplit/>
        </w:trPr>
        <w:tc>
          <w:tcPr>
            <w:tcW w:type="dxa" w:w="2313"/>
          </w:tcPr>
          <w:p>
            <w:pPr>
              <w:spacing w:after="20" w:before="20"/>
            </w:pPr>
            <w:r/>
            <w:r>
              <w:rPr>
                <w:rFonts w:ascii="Calibri" w:hAnsi="Calibri"/>
                <w:b/>
                <w:i w:val="0"/>
                <w:color w:val="334E68"/>
                <w:sz w:val="17"/>
              </w:rPr>
              <w:t>MAY</w:t>
            </w:r>
          </w:p>
        </w:tc>
        <w:tc>
          <w:tcPr>
            <w:tcW w:type="dxa" w:w="7325"/>
          </w:tcPr>
          <w:p>
            <w:pPr>
              <w:spacing w:after="20" w:before="20"/>
            </w:pPr>
            <w:r/>
            <w:r>
              <w:rPr>
                <w:rFonts w:ascii="Calibri" w:hAnsi="Calibri"/>
                <w:b w:val="0"/>
                <w:i w:val="0"/>
                <w:color w:val="334E68"/>
                <w:sz w:val="17"/>
              </w:rPr>
              <w:t>Optional, context-dependent, or dependent on the customer's design.</w:t>
            </w:r>
          </w:p>
        </w:tc>
      </w:tr>
      <w:tr>
        <w:trPr>
          <w:cantSplit/>
        </w:trPr>
        <w:tc>
          <w:tcPr>
            <w:tcW w:type="dxa" w:w="2313"/>
            <w:shd w:val="clear" w:color="auto" w:fill="FAFBFD"/>
          </w:tcPr>
          <w:p>
            <w:pPr>
              <w:spacing w:after="20" w:before="20"/>
            </w:pPr>
            <w:r/>
            <w:r>
              <w:rPr>
                <w:rFonts w:ascii="Calibri" w:hAnsi="Calibri"/>
                <w:b/>
                <w:i w:val="0"/>
                <w:color w:val="334E68"/>
                <w:sz w:val="17"/>
              </w:rPr>
              <w:t>Source term</w:t>
            </w:r>
          </w:p>
        </w:tc>
        <w:tc>
          <w:tcPr>
            <w:tcW w:type="dxa" w:w="7325"/>
            <w:shd w:val="clear" w:color="auto" w:fill="FAFBFD"/>
          </w:tcPr>
          <w:p>
            <w:pPr>
              <w:spacing w:after="20" w:before="20"/>
            </w:pPr>
            <w:r/>
            <w:r>
              <w:rPr>
                <w:rFonts w:ascii="Calibri" w:hAnsi="Calibri"/>
                <w:b w:val="0"/>
                <w:i w:val="0"/>
                <w:color w:val="334E68"/>
                <w:sz w:val="17"/>
              </w:rPr>
              <w:t>Terminology taken verbatim from the supplied training/MOM material. It may be client-specific — confirm it against the project standard before use.</w:t>
            </w:r>
          </w:p>
        </w:tc>
      </w:tr>
      <w:tr>
        <w:trPr>
          <w:cantSplit/>
        </w:trPr>
        <w:tc>
          <w:tcPr>
            <w:tcW w:type="dxa" w:w="2313"/>
          </w:tcPr>
          <w:p>
            <w:pPr>
              <w:spacing w:after="20" w:before="20"/>
            </w:pPr>
            <w:r/>
            <w:r>
              <w:rPr>
                <w:rFonts w:ascii="Calibri" w:hAnsi="Calibri"/>
                <w:b/>
                <w:i w:val="0"/>
                <w:color w:val="334E68"/>
                <w:sz w:val="17"/>
              </w:rPr>
              <w:t>Validate</w:t>
            </w:r>
          </w:p>
        </w:tc>
        <w:tc>
          <w:tcPr>
            <w:tcW w:type="dxa" w:w="7325"/>
          </w:tcPr>
          <w:p>
            <w:pPr>
              <w:spacing w:after="20" w:before="20"/>
            </w:pPr>
            <w:r/>
            <w:r>
              <w:rPr>
                <w:rFonts w:ascii="Calibri" w:hAnsi="Calibri"/>
                <w:b w:val="0"/>
                <w:i w:val="0"/>
                <w:color w:val="334E68"/>
                <w:sz w:val="17"/>
              </w:rPr>
              <w:t>Assumption from the source material that must be verified against the applicable SAP, AWS or client baseline before it is relied on.</w:t>
            </w:r>
          </w:p>
        </w:tc>
      </w:tr>
    </w:tbl>
    <w:p>
      <w:pPr>
        <w:spacing w:after="40"/>
      </w:pPr>
    </w:p>
    <w:p>
      <w:pPr>
        <w:pStyle w:val="Heading2"/>
        <w:pBdr>
          <w:bottom w:val="single" w:sz="6" w:space="3" w:color="E8EDF3"/>
        </w:pBdr>
      </w:pPr>
      <w:r>
        <w:rPr>
          <w:rFonts w:ascii="Calibri" w:hAnsi="Calibri"/>
          <w:b/>
          <w:color w:val="0F2B4C"/>
          <w:sz w:val="26"/>
        </w:rPr>
        <w:t>0.3  Checklist behaviour</w:t>
      </w:r>
    </w:p>
    <w:p>
      <w:pPr>
        <w:spacing w:after="40"/>
        <w:ind w:left="351" w:hanging="227"/>
      </w:pPr>
      <w:r>
        <w:rPr>
          <w:rFonts w:ascii="Calibri" w:hAnsi="Calibri"/>
          <w:b/>
          <w:color w:val="1B4F86"/>
          <w:sz w:val="19"/>
        </w:rPr>
        <w:t xml:space="preserve">▪  </w:t>
      </w:r>
      <w:r>
        <w:rPr>
          <w:rFonts w:ascii="Calibri" w:hAnsi="Calibri"/>
          <w:b w:val="0"/>
          <w:i w:val="0"/>
          <w:color w:val="334E68"/>
          <w:sz w:val="19"/>
        </w:rPr>
        <w:t>Every checklist in Section 12 is interactive: tick a check, choose a status and add an evidence reference. Progress is saved in your browser (local storage only — nothing leaves the device).</w:t>
      </w:r>
    </w:p>
    <w:p>
      <w:pPr>
        <w:spacing w:after="40"/>
        <w:ind w:left="351" w:hanging="227"/>
      </w:pPr>
      <w:r>
        <w:rPr>
          <w:rFonts w:ascii="Calibri" w:hAnsi="Calibri"/>
          <w:b/>
          <w:color w:val="1B4F86"/>
          <w:sz w:val="19"/>
        </w:rPr>
        <w:t xml:space="preserve">▪  </w:t>
      </w:r>
      <w:r>
        <w:rPr>
          <w:rFonts w:ascii="Calibri" w:hAnsi="Calibri"/>
          <w:b w:val="0"/>
          <w:i w:val="0"/>
          <w:color w:val="334E68"/>
          <w:sz w:val="19"/>
        </w:rPr>
        <w:t>Checklists are training and readiness aids. The authoritative record is the project's validation workbook or change ticket; transfer your results there before sign-off.</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Use </w:t>
      </w:r>
      <w:r>
        <w:rPr>
          <w:rFonts w:ascii="Calibri" w:hAnsi="Calibri"/>
          <w:b/>
          <w:i w:val="0"/>
          <w:color w:val="334E68"/>
          <w:sz w:val="19"/>
        </w:rPr>
        <w:t>Print / save as PDF</w:t>
      </w:r>
      <w:r>
        <w:rPr>
          <w:rFonts w:ascii="Calibri" w:hAnsi="Calibri"/>
          <w:b w:val="0"/>
          <w:i w:val="0"/>
          <w:color w:val="334E68"/>
          <w:sz w:val="19"/>
        </w:rPr>
        <w:t xml:space="preserve"> to produce a static copy. Printing expands all knowledge-check answers and renders each section on its own page.</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Figures are vector diagrams. They can be lifted from </w:t>
      </w:r>
      <w:r>
        <w:rPr>
          <w:rFonts w:ascii="Consolas" w:hAnsi="Consolas"/>
          <w:b w:val="0"/>
          <w:i w:val="0"/>
          <w:color w:val="123A63"/>
          <w:sz w:val="19"/>
          <w:shd w:val="clear" w:color="auto" w:fill="EEF2F7"/>
        </w:rPr>
        <w:t>assets/</w:t>
      </w:r>
      <w:r>
        <w:rPr>
          <w:rFonts w:ascii="Calibri" w:hAnsi="Calibri"/>
          <w:b w:val="0"/>
          <w:i w:val="0"/>
          <w:color w:val="334E68"/>
          <w:sz w:val="19"/>
        </w:rPr>
        <w:t xml:space="preserve"> as standalone SVG files for slides or runbooks.</w:t>
      </w: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SCOPE LIMITATION</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This handbook teaches the method and the checks. It is not a runbook, not an approved architecture, and not a substitute for the customer's change-management process. Command syntax, parameter names, thresholds and instance types must always be taken from the approved project documentation for the specific system, release and landscape you are working on.</w:t>
      </w:r>
    </w:p>
    <w:p>
      <w:r>
        <w:br w:type="page"/>
      </w:r>
    </w:p>
    <w:p>
      <w:pPr>
        <w:spacing w:after="20"/>
      </w:pPr>
      <w:r>
        <w:rPr>
          <w:rFonts w:ascii="Calibri" w:hAnsi="Calibri"/>
          <w:b/>
          <w:color w:val="1B4F86"/>
          <w:sz w:val="16"/>
        </w:rPr>
        <w:t>FRONT MATTER</w:t>
      </w:r>
    </w:p>
    <w:p>
      <w:pPr>
        <w:pStyle w:val="Heading1"/>
        <w:pBdr>
          <w:bottom w:val="single" w:sz="12" w:space="5" w:color="1B4F86"/>
        </w:pBdr>
        <w:spacing w:after="160"/>
      </w:pPr>
      <w:r>
        <w:rPr>
          <w:rFonts w:ascii="Calibri Light" w:hAnsi="Calibri Light"/>
          <w:b/>
          <w:color w:val="0F2B4C"/>
          <w:sz w:val="38"/>
        </w:rPr>
        <w:t>Document control, revision history and approval</w:t>
      </w:r>
    </w:p>
    <w:p>
      <w:pPr>
        <w:pStyle w:val="Heading2"/>
        <w:pBdr>
          <w:bottom w:val="single" w:sz="6" w:space="3" w:color="E8EDF3"/>
        </w:pBdr>
      </w:pPr>
      <w:r>
        <w:rPr>
          <w:rFonts w:ascii="Calibri" w:hAnsi="Calibri"/>
          <w:b/>
          <w:color w:val="0F2B4C"/>
          <w:sz w:val="26"/>
        </w:rPr>
        <w:t>0.4  Revision history</w:t>
      </w:r>
    </w:p>
    <w:p>
      <w:pPr>
        <w:sectPr>
          <w:headerReference w:type="default" r:id="rId9"/>
          <w:footerReference w:type="default" r:id="rId10"/>
          <w:pgSz w:w="11906" w:h="16838"/>
          <w:pgMar w:top="1020" w:right="1134" w:bottom="1020" w:left="1134" w:header="567" w:footer="567" w:gutter="0"/>
          <w:cols w:space="720"/>
          <w:titlePg/>
          <w:docGrid w:linePitch="360"/>
        </w:sectPr>
      </w:pPr>
    </w:p>
    <w:p>
      <w:pPr>
        <w:spacing w:after="60" w:before="160"/>
        <w:keepNext/>
      </w:pPr>
      <w:r>
        <w:rPr>
          <w:rFonts w:ascii="Calibri" w:hAnsi="Calibri"/>
          <w:b/>
          <w:color w:val="5B7288"/>
          <w:sz w:val="15"/>
        </w:rPr>
        <w:t>REVISION HISTORY</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168"/>
        <w:gridCol w:w="1457"/>
        <w:gridCol w:w="2477"/>
        <w:gridCol w:w="5975"/>
        <w:gridCol w:w="1894"/>
        <w:gridCol w:w="1604"/>
      </w:tblGrid>
      <w:tr>
        <w:trPr>
          <w:tblHeader/>
          <w:cantSplit/>
        </w:trPr>
        <w:tc>
          <w:tcPr>
            <w:tcW w:type="dxa" w:w="1168"/>
            <w:shd w:val="clear" w:color="auto" w:fill="0F2B4C"/>
          </w:tcPr>
          <w:p>
            <w:pPr>
              <w:spacing w:after="20" w:before="20"/>
            </w:pPr>
            <w:r/>
            <w:r>
              <w:rPr>
                <w:rFonts w:ascii="Calibri" w:hAnsi="Calibri"/>
                <w:b/>
                <w:color w:val="FFFFFF"/>
                <w:sz w:val="17"/>
              </w:rPr>
              <w:t>Version</w:t>
            </w:r>
          </w:p>
        </w:tc>
        <w:tc>
          <w:tcPr>
            <w:tcW w:type="dxa" w:w="1457"/>
            <w:shd w:val="clear" w:color="auto" w:fill="0F2B4C"/>
          </w:tcPr>
          <w:p>
            <w:pPr>
              <w:spacing w:after="20" w:before="20"/>
            </w:pPr>
            <w:r/>
            <w:r>
              <w:rPr>
                <w:rFonts w:ascii="Calibri" w:hAnsi="Calibri"/>
                <w:b/>
                <w:color w:val="FFFFFF"/>
                <w:sz w:val="17"/>
              </w:rPr>
              <w:t>Date</w:t>
            </w:r>
          </w:p>
        </w:tc>
        <w:tc>
          <w:tcPr>
            <w:tcW w:type="dxa" w:w="2477"/>
            <w:shd w:val="clear" w:color="auto" w:fill="0F2B4C"/>
          </w:tcPr>
          <w:p>
            <w:pPr>
              <w:spacing w:after="20" w:before="20"/>
            </w:pPr>
            <w:r/>
            <w:r>
              <w:rPr>
                <w:rFonts w:ascii="Calibri" w:hAnsi="Calibri"/>
                <w:b/>
                <w:color w:val="FFFFFF"/>
                <w:sz w:val="17"/>
              </w:rPr>
              <w:t>Author / editor</w:t>
            </w:r>
          </w:p>
        </w:tc>
        <w:tc>
          <w:tcPr>
            <w:tcW w:type="dxa" w:w="5975"/>
            <w:shd w:val="clear" w:color="auto" w:fill="0F2B4C"/>
          </w:tcPr>
          <w:p>
            <w:pPr>
              <w:spacing w:after="20" w:before="20"/>
            </w:pPr>
            <w:r/>
            <w:r>
              <w:rPr>
                <w:rFonts w:ascii="Calibri" w:hAnsi="Calibri"/>
                <w:b/>
                <w:color w:val="FFFFFF"/>
                <w:sz w:val="17"/>
              </w:rPr>
              <w:t>Description of change</w:t>
            </w:r>
          </w:p>
        </w:tc>
        <w:tc>
          <w:tcPr>
            <w:tcW w:type="dxa" w:w="1894"/>
            <w:shd w:val="clear" w:color="auto" w:fill="0F2B4C"/>
          </w:tcPr>
          <w:p>
            <w:pPr>
              <w:spacing w:after="20" w:before="20"/>
            </w:pPr>
            <w:r/>
            <w:r>
              <w:rPr>
                <w:rFonts w:ascii="Calibri" w:hAnsi="Calibri"/>
                <w:b/>
                <w:color w:val="FFFFFF"/>
                <w:sz w:val="17"/>
              </w:rPr>
              <w:t>Reviewed by</w:t>
            </w:r>
          </w:p>
        </w:tc>
        <w:tc>
          <w:tcPr>
            <w:tcW w:type="dxa" w:w="1604"/>
            <w:shd w:val="clear" w:color="auto" w:fill="0F2B4C"/>
          </w:tcPr>
          <w:p>
            <w:pPr>
              <w:spacing w:after="20" w:before="20"/>
            </w:pPr>
            <w:r/>
            <w:r>
              <w:rPr>
                <w:rFonts w:ascii="Calibri" w:hAnsi="Calibri"/>
                <w:b/>
                <w:color w:val="FFFFFF"/>
                <w:sz w:val="17"/>
              </w:rPr>
              <w:t>Status</w:t>
            </w:r>
          </w:p>
        </w:tc>
      </w:tr>
      <w:tr>
        <w:trPr>
          <w:cantSplit/>
        </w:trPr>
        <w:tc>
          <w:tcPr>
            <w:tcW w:type="dxa" w:w="1168"/>
          </w:tcPr>
          <w:p>
            <w:pPr>
              <w:spacing w:after="20" w:before="20"/>
            </w:pPr>
            <w:r/>
            <w:r>
              <w:rPr>
                <w:rFonts w:ascii="Calibri" w:hAnsi="Calibri"/>
                <w:b/>
                <w:i w:val="0"/>
                <w:color w:val="334E68"/>
                <w:sz w:val="17"/>
              </w:rPr>
              <w:t>0.1</w:t>
            </w:r>
          </w:p>
        </w:tc>
        <w:tc>
          <w:tcPr>
            <w:tcW w:type="dxa" w:w="1457"/>
          </w:tcPr>
          <w:p>
            <w:pPr>
              <w:spacing w:after="20" w:before="20"/>
            </w:pPr>
            <w:r/>
            <w:r>
              <w:rPr>
                <w:rFonts w:ascii="Calibri" w:hAnsi="Calibri"/>
                <w:b w:val="0"/>
                <w:i w:val="0"/>
                <w:color w:val="334E68"/>
                <w:sz w:val="17"/>
              </w:rPr>
              <w:t>Sep 2026</w:t>
            </w:r>
          </w:p>
        </w:tc>
        <w:tc>
          <w:tcPr>
            <w:tcW w:type="dxa" w:w="2477"/>
          </w:tcPr>
          <w:p>
            <w:pPr>
              <w:spacing w:after="20" w:before="20"/>
            </w:pPr>
            <w:r/>
            <w:r>
              <w:rPr>
                <w:rFonts w:ascii="Calibri" w:hAnsi="Calibri"/>
                <w:b w:val="0"/>
                <w:i w:val="0"/>
                <w:color w:val="334E68"/>
                <w:sz w:val="17"/>
              </w:rPr>
              <w:t>Amit Prajapati</w:t>
            </w:r>
          </w:p>
        </w:tc>
        <w:tc>
          <w:tcPr>
            <w:tcW w:type="dxa" w:w="5975"/>
          </w:tcPr>
          <w:p>
            <w:pPr>
              <w:spacing w:after="20" w:before="20"/>
            </w:pPr>
            <w:r/>
            <w:r>
              <w:rPr>
                <w:rFonts w:ascii="Calibri" w:hAnsi="Calibri"/>
                <w:b w:val="0"/>
                <w:i w:val="0"/>
                <w:color w:val="334E68"/>
                <w:sz w:val="17"/>
              </w:rPr>
              <w:t>Initial consolidation of training sessions and MOM notes into a single draft.</w:t>
            </w:r>
          </w:p>
        </w:tc>
        <w:tc>
          <w:tcPr>
            <w:tcW w:type="dxa" w:w="1894"/>
          </w:tcPr>
          <w:p>
            <w:pPr>
              <w:spacing w:after="20" w:before="20"/>
            </w:pPr>
            <w:r/>
            <w:r>
              <w:rPr>
                <w:rFonts w:ascii="Calibri" w:hAnsi="Calibri"/>
                <w:b w:val="0"/>
                <w:i w:val="0"/>
                <w:color w:val="334E68"/>
                <w:sz w:val="17"/>
              </w:rPr>
              <w:t>—</w:t>
            </w:r>
          </w:p>
        </w:tc>
        <w:tc>
          <w:tcPr>
            <w:tcW w:type="dxa" w:w="1604"/>
          </w:tcPr>
          <w:p>
            <w:pPr>
              <w:spacing w:after="20" w:before="20"/>
            </w:pPr>
            <w:r/>
            <w:r>
              <w:rPr>
                <w:rFonts w:ascii="Calibri" w:hAnsi="Calibri"/>
                <w:b w:val="0"/>
                <w:i w:val="0"/>
                <w:color w:val="334E68"/>
                <w:sz w:val="17"/>
              </w:rPr>
              <w:t>Draft</w:t>
            </w:r>
          </w:p>
        </w:tc>
      </w:tr>
      <w:tr>
        <w:trPr>
          <w:cantSplit/>
        </w:trPr>
        <w:tc>
          <w:tcPr>
            <w:tcW w:type="dxa" w:w="1168"/>
            <w:shd w:val="clear" w:color="auto" w:fill="FAFBFD"/>
          </w:tcPr>
          <w:p>
            <w:pPr>
              <w:spacing w:after="20" w:before="20"/>
            </w:pPr>
            <w:r/>
            <w:r>
              <w:rPr>
                <w:rFonts w:ascii="Calibri" w:hAnsi="Calibri"/>
                <w:b/>
                <w:i w:val="0"/>
                <w:color w:val="334E68"/>
                <w:sz w:val="17"/>
              </w:rPr>
              <w:t>0.2</w:t>
            </w:r>
          </w:p>
        </w:tc>
        <w:tc>
          <w:tcPr>
            <w:tcW w:type="dxa" w:w="1457"/>
            <w:shd w:val="clear" w:color="auto" w:fill="FAFBFD"/>
          </w:tcPr>
          <w:p>
            <w:pPr>
              <w:spacing w:after="20" w:before="20"/>
            </w:pPr>
            <w:r/>
            <w:r>
              <w:rPr>
                <w:rFonts w:ascii="Calibri" w:hAnsi="Calibri"/>
                <w:b w:val="0"/>
                <w:i w:val="0"/>
                <w:color w:val="334E68"/>
                <w:sz w:val="17"/>
              </w:rPr>
              <w:t>Sep 2026</w:t>
            </w:r>
          </w:p>
        </w:tc>
        <w:tc>
          <w:tcPr>
            <w:tcW w:type="dxa" w:w="2477"/>
            <w:shd w:val="clear" w:color="auto" w:fill="FAFBFD"/>
          </w:tcPr>
          <w:p>
            <w:pPr>
              <w:spacing w:after="20" w:before="20"/>
            </w:pPr>
            <w:r/>
            <w:r>
              <w:rPr>
                <w:rFonts w:ascii="Calibri" w:hAnsi="Calibri"/>
                <w:b w:val="0"/>
                <w:i w:val="0"/>
                <w:color w:val="334E68"/>
                <w:sz w:val="17"/>
              </w:rPr>
              <w:t>Amit Prajapati</w:t>
            </w:r>
          </w:p>
        </w:tc>
        <w:tc>
          <w:tcPr>
            <w:tcW w:type="dxa" w:w="5975"/>
            <w:shd w:val="clear" w:color="auto" w:fill="FAFBFD"/>
          </w:tcPr>
          <w:p>
            <w:pPr>
              <w:spacing w:after="20" w:before="20"/>
            </w:pPr>
            <w:r/>
            <w:r>
              <w:rPr>
                <w:rFonts w:ascii="Calibri" w:hAnsi="Calibri"/>
                <w:b w:val="0"/>
                <w:i w:val="0"/>
                <w:color w:val="334E68"/>
                <w:sz w:val="17"/>
              </w:rPr>
              <w:t>Modules reorganised into the migration lifecycle; checklists and evidence model added.</w:t>
            </w:r>
          </w:p>
        </w:tc>
        <w:tc>
          <w:tcPr>
            <w:tcW w:type="dxa" w:w="1894"/>
            <w:shd w:val="clear" w:color="auto" w:fill="FAFBFD"/>
          </w:tcPr>
          <w:p>
            <w:pPr>
              <w:spacing w:after="20" w:before="20"/>
            </w:pPr>
            <w:r/>
            <w:r>
              <w:rPr>
                <w:rFonts w:ascii="Calibri" w:hAnsi="Calibri"/>
                <w:b w:val="0"/>
                <w:i w:val="0"/>
                <w:color w:val="334E68"/>
                <w:sz w:val="17"/>
              </w:rPr>
              <w:t>Delivery team</w:t>
            </w:r>
          </w:p>
        </w:tc>
        <w:tc>
          <w:tcPr>
            <w:tcW w:type="dxa" w:w="1604"/>
            <w:shd w:val="clear" w:color="auto" w:fill="FAFBFD"/>
          </w:tcPr>
          <w:p>
            <w:pPr>
              <w:spacing w:after="20" w:before="20"/>
            </w:pPr>
            <w:r/>
            <w:r>
              <w:rPr>
                <w:rFonts w:ascii="Calibri" w:hAnsi="Calibri"/>
                <w:b w:val="0"/>
                <w:i w:val="0"/>
                <w:color w:val="334E68"/>
                <w:sz w:val="17"/>
              </w:rPr>
              <w:t>Draft</w:t>
            </w:r>
          </w:p>
        </w:tc>
      </w:tr>
      <w:tr>
        <w:trPr>
          <w:cantSplit/>
        </w:trPr>
        <w:tc>
          <w:tcPr>
            <w:tcW w:type="dxa" w:w="1168"/>
          </w:tcPr>
          <w:p>
            <w:pPr>
              <w:spacing w:after="20" w:before="20"/>
            </w:pPr>
            <w:r/>
            <w:r>
              <w:rPr>
                <w:rFonts w:ascii="Calibri" w:hAnsi="Calibri"/>
                <w:b/>
                <w:i w:val="0"/>
                <w:color w:val="334E68"/>
                <w:sz w:val="17"/>
              </w:rPr>
              <w:t>0.9</w:t>
            </w:r>
          </w:p>
        </w:tc>
        <w:tc>
          <w:tcPr>
            <w:tcW w:type="dxa" w:w="1457"/>
          </w:tcPr>
          <w:p>
            <w:pPr>
              <w:spacing w:after="20" w:before="20"/>
            </w:pPr>
            <w:r/>
            <w:r>
              <w:rPr>
                <w:rFonts w:ascii="Calibri" w:hAnsi="Calibri"/>
                <w:b w:val="0"/>
                <w:i w:val="0"/>
                <w:color w:val="334E68"/>
                <w:sz w:val="17"/>
              </w:rPr>
              <w:t>Oct 2026</w:t>
            </w:r>
          </w:p>
        </w:tc>
        <w:tc>
          <w:tcPr>
            <w:tcW w:type="dxa" w:w="2477"/>
          </w:tcPr>
          <w:p>
            <w:pPr>
              <w:spacing w:after="20" w:before="20"/>
            </w:pPr>
            <w:r/>
            <w:r>
              <w:rPr>
                <w:rFonts w:ascii="Calibri" w:hAnsi="Calibri"/>
                <w:b w:val="0"/>
                <w:i w:val="0"/>
                <w:color w:val="334E68"/>
                <w:sz w:val="17"/>
              </w:rPr>
              <w:t>Amit Prajapati</w:t>
            </w:r>
          </w:p>
        </w:tc>
        <w:tc>
          <w:tcPr>
            <w:tcW w:type="dxa" w:w="5975"/>
          </w:tcPr>
          <w:p>
            <w:pPr>
              <w:spacing w:after="20" w:before="20"/>
            </w:pPr>
            <w:r/>
            <w:r>
              <w:rPr>
                <w:rFonts w:ascii="Calibri" w:hAnsi="Calibri"/>
                <w:b w:val="0"/>
                <w:i w:val="0"/>
                <w:color w:val="334E68"/>
                <w:sz w:val="17"/>
              </w:rPr>
              <w:t>Figures 1–8 added; source terminology cross-checked; open items flagged.</w:t>
            </w:r>
          </w:p>
        </w:tc>
        <w:tc>
          <w:tcPr>
            <w:tcW w:type="dxa" w:w="1894"/>
          </w:tcPr>
          <w:p>
            <w:pPr>
              <w:spacing w:after="20" w:before="20"/>
            </w:pPr>
            <w:r/>
            <w:r>
              <w:rPr>
                <w:rFonts w:ascii="Calibri" w:hAnsi="Calibri"/>
                <w:b w:val="0"/>
                <w:i w:val="0"/>
                <w:color w:val="334E68"/>
                <w:sz w:val="17"/>
              </w:rPr>
              <w:t>Basis + DBA leads</w:t>
            </w:r>
          </w:p>
        </w:tc>
        <w:tc>
          <w:tcPr>
            <w:tcW w:type="dxa" w:w="1604"/>
          </w:tcPr>
          <w:p>
            <w:pPr>
              <w:spacing w:after="20" w:before="20"/>
            </w:pPr>
            <w:r/>
            <w:r>
              <w:rPr>
                <w:rFonts w:ascii="Calibri" w:hAnsi="Calibri"/>
                <w:b w:val="0"/>
                <w:i w:val="0"/>
                <w:color w:val="334E68"/>
                <w:sz w:val="17"/>
              </w:rPr>
              <w:t>In review</w:t>
            </w:r>
          </w:p>
        </w:tc>
      </w:tr>
      <w:tr>
        <w:trPr>
          <w:cantSplit/>
        </w:trPr>
        <w:tc>
          <w:tcPr>
            <w:tcW w:type="dxa" w:w="1168"/>
            <w:shd w:val="clear" w:color="auto" w:fill="FAFBFD"/>
          </w:tcPr>
          <w:p>
            <w:pPr>
              <w:spacing w:after="20" w:before="20"/>
            </w:pPr>
            <w:r/>
            <w:r>
              <w:rPr>
                <w:rFonts w:ascii="Calibri" w:hAnsi="Calibri"/>
                <w:b/>
                <w:i w:val="0"/>
                <w:color w:val="334E68"/>
                <w:sz w:val="17"/>
              </w:rPr>
              <w:t>1.0</w:t>
            </w:r>
          </w:p>
        </w:tc>
        <w:tc>
          <w:tcPr>
            <w:tcW w:type="dxa" w:w="1457"/>
            <w:shd w:val="clear" w:color="auto" w:fill="FAFBFD"/>
          </w:tcPr>
          <w:p>
            <w:pPr>
              <w:spacing w:after="20" w:before="20"/>
            </w:pPr>
            <w:r/>
            <w:r>
              <w:rPr>
                <w:rFonts w:ascii="Calibri" w:hAnsi="Calibri"/>
                <w:b w:val="0"/>
                <w:i w:val="0"/>
                <w:color w:val="334E68"/>
                <w:sz w:val="17"/>
              </w:rPr>
              <w:t>Oct 2026</w:t>
            </w:r>
          </w:p>
        </w:tc>
        <w:tc>
          <w:tcPr>
            <w:tcW w:type="dxa" w:w="2477"/>
            <w:shd w:val="clear" w:color="auto" w:fill="FAFBFD"/>
          </w:tcPr>
          <w:p>
            <w:pPr>
              <w:spacing w:after="20" w:before="20"/>
            </w:pPr>
            <w:r/>
            <w:r>
              <w:rPr>
                <w:rFonts w:ascii="Calibri" w:hAnsi="Calibri"/>
                <w:b w:val="0"/>
                <w:i w:val="0"/>
                <w:color w:val="334E68"/>
                <w:sz w:val="17"/>
              </w:rPr>
              <w:t>Amit Prajapati</w:t>
            </w:r>
          </w:p>
        </w:tc>
        <w:tc>
          <w:tcPr>
            <w:tcW w:type="dxa" w:w="5975"/>
            <w:shd w:val="clear" w:color="auto" w:fill="FAFBFD"/>
          </w:tcPr>
          <w:p>
            <w:pPr>
              <w:spacing w:after="20" w:before="20"/>
            </w:pPr>
            <w:r/>
            <w:r>
              <w:rPr>
                <w:rFonts w:ascii="Calibri" w:hAnsi="Calibri"/>
                <w:b w:val="0"/>
                <w:i w:val="0"/>
                <w:color w:val="334E68"/>
                <w:sz w:val="17"/>
              </w:rPr>
              <w:t>Professional review and vetting pass: technical corrections, glossary, troubleshooting playbook, Appendix D review notes.</w:t>
            </w:r>
          </w:p>
        </w:tc>
        <w:tc>
          <w:tcPr>
            <w:tcW w:type="dxa" w:w="1894"/>
            <w:shd w:val="clear" w:color="auto" w:fill="FAFBFD"/>
          </w:tcPr>
          <w:p>
            <w:pPr>
              <w:spacing w:after="20" w:before="20"/>
            </w:pPr>
            <w:r/>
            <w:r>
              <w:rPr>
                <w:rFonts w:ascii="Calibri" w:hAnsi="Calibri"/>
                <w:b w:val="0"/>
                <w:i w:val="0"/>
                <w:color w:val="334E68"/>
                <w:sz w:val="17"/>
              </w:rPr>
              <w:t>Programme lead</w:t>
            </w:r>
          </w:p>
        </w:tc>
        <w:tc>
          <w:tcPr>
            <w:tcW w:type="dxa" w:w="1604"/>
            <w:shd w:val="clear" w:color="auto" w:fill="FAFBFD"/>
          </w:tcPr>
          <w:p>
            <w:pPr>
              <w:spacing w:after="20" w:before="20"/>
            </w:pPr>
            <w:r/>
            <w:r>
              <w:rPr>
                <w:rFonts w:ascii="Calibri" w:hAnsi="Calibri"/>
                <w:b w:val="0"/>
                <w:i w:val="0"/>
                <w:color w:val="334E68"/>
                <w:sz w:val="17"/>
              </w:rPr>
              <w:t>Issued</w:t>
            </w:r>
          </w:p>
        </w:tc>
      </w:tr>
    </w:tbl>
    <w:p>
      <w:pPr>
        <w:spacing w:after="40"/>
      </w:pP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0.5  Approval and distribution</w:t>
      </w:r>
    </w:p>
    <w:p>
      <w:pPr>
        <w:spacing w:after="60" w:before="160"/>
        <w:keepNext/>
      </w:pPr>
      <w:r>
        <w:rPr>
          <w:rFonts w:ascii="Calibri" w:hAnsi="Calibri"/>
          <w:b/>
          <w:color w:val="5B7288"/>
          <w:sz w:val="15"/>
        </w:rPr>
        <w:t>APPROVAL RECORD</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1542"/>
        <w:gridCol w:w="3662"/>
        <w:gridCol w:w="1349"/>
        <w:gridCol w:w="964"/>
      </w:tblGrid>
      <w:tr>
        <w:trPr>
          <w:tblHeader/>
          <w:cantSplit/>
        </w:trPr>
        <w:tc>
          <w:tcPr>
            <w:tcW w:type="dxa" w:w="2120"/>
            <w:shd w:val="clear" w:color="auto" w:fill="0F2B4C"/>
          </w:tcPr>
          <w:p>
            <w:pPr>
              <w:spacing w:after="20" w:before="20"/>
            </w:pPr>
            <w:r/>
            <w:r>
              <w:rPr>
                <w:rFonts w:ascii="Calibri" w:hAnsi="Calibri"/>
                <w:b/>
                <w:color w:val="FFFFFF"/>
                <w:sz w:val="17"/>
              </w:rPr>
              <w:t>Role</w:t>
            </w:r>
          </w:p>
        </w:tc>
        <w:tc>
          <w:tcPr>
            <w:tcW w:type="dxa" w:w="1542"/>
            <w:shd w:val="clear" w:color="auto" w:fill="0F2B4C"/>
          </w:tcPr>
          <w:p>
            <w:pPr>
              <w:spacing w:after="20" w:before="20"/>
            </w:pPr>
            <w:r/>
            <w:r>
              <w:rPr>
                <w:rFonts w:ascii="Calibri" w:hAnsi="Calibri"/>
                <w:b/>
                <w:color w:val="FFFFFF"/>
                <w:sz w:val="17"/>
              </w:rPr>
              <w:t>Name</w:t>
            </w:r>
          </w:p>
        </w:tc>
        <w:tc>
          <w:tcPr>
            <w:tcW w:type="dxa" w:w="3662"/>
            <w:shd w:val="clear" w:color="auto" w:fill="0F2B4C"/>
          </w:tcPr>
          <w:p>
            <w:pPr>
              <w:spacing w:after="20" w:before="20"/>
            </w:pPr>
            <w:r/>
            <w:r>
              <w:rPr>
                <w:rFonts w:ascii="Calibri" w:hAnsi="Calibri"/>
                <w:b/>
                <w:color w:val="FFFFFF"/>
                <w:sz w:val="17"/>
              </w:rPr>
              <w:t>Responsibility for this document</w:t>
            </w:r>
          </w:p>
        </w:tc>
        <w:tc>
          <w:tcPr>
            <w:tcW w:type="dxa" w:w="1349"/>
            <w:shd w:val="clear" w:color="auto" w:fill="0F2B4C"/>
          </w:tcPr>
          <w:p>
            <w:pPr>
              <w:spacing w:after="20" w:before="20"/>
            </w:pPr>
            <w:r/>
            <w:r>
              <w:rPr>
                <w:rFonts w:ascii="Calibri" w:hAnsi="Calibri"/>
                <w:b/>
                <w:color w:val="FFFFFF"/>
                <w:sz w:val="17"/>
              </w:rPr>
              <w:t>Signature</w:t>
            </w:r>
          </w:p>
        </w:tc>
        <w:tc>
          <w:tcPr>
            <w:tcW w:type="dxa" w:w="964"/>
            <w:shd w:val="clear" w:color="auto" w:fill="0F2B4C"/>
          </w:tcPr>
          <w:p>
            <w:pPr>
              <w:spacing w:after="20" w:before="20"/>
            </w:pPr>
            <w:r/>
            <w:r>
              <w:rPr>
                <w:rFonts w:ascii="Calibri" w:hAnsi="Calibri"/>
                <w:b/>
                <w:color w:val="FFFFFF"/>
                <w:sz w:val="17"/>
              </w:rPr>
              <w:t>Date</w:t>
            </w:r>
          </w:p>
        </w:tc>
      </w:tr>
      <w:tr>
        <w:trPr>
          <w:cantSplit/>
        </w:trPr>
        <w:tc>
          <w:tcPr>
            <w:tcW w:type="dxa" w:w="2120"/>
          </w:tcPr>
          <w:p>
            <w:pPr>
              <w:spacing w:after="20" w:before="20"/>
            </w:pPr>
            <w:r/>
            <w:r>
              <w:rPr>
                <w:rFonts w:ascii="Calibri" w:hAnsi="Calibri"/>
                <w:b/>
                <w:i w:val="0"/>
                <w:color w:val="334E68"/>
                <w:sz w:val="17"/>
              </w:rPr>
              <w:t>Primary trainer / author</w:t>
            </w:r>
          </w:p>
        </w:tc>
        <w:tc>
          <w:tcPr>
            <w:tcW w:type="dxa" w:w="1542"/>
          </w:tcPr>
          <w:p>
            <w:pPr>
              <w:spacing w:after="20" w:before="20"/>
            </w:pPr>
            <w:r/>
            <w:r>
              <w:rPr>
                <w:rFonts w:ascii="Calibri" w:hAnsi="Calibri"/>
                <w:b w:val="0"/>
                <w:i w:val="0"/>
                <w:color w:val="334E68"/>
                <w:sz w:val="17"/>
              </w:rPr>
              <w:t>Amit Prajapati</w:t>
            </w:r>
          </w:p>
        </w:tc>
        <w:tc>
          <w:tcPr>
            <w:tcW w:type="dxa" w:w="3662"/>
          </w:tcPr>
          <w:p>
            <w:pPr>
              <w:spacing w:after="20" w:before="20"/>
            </w:pPr>
            <w:r/>
            <w:r>
              <w:rPr>
                <w:rFonts w:ascii="Calibri" w:hAnsi="Calibri"/>
                <w:b w:val="0"/>
                <w:i w:val="0"/>
                <w:color w:val="334E68"/>
                <w:sz w:val="17"/>
              </w:rPr>
              <w:t>Content accuracy, delivery, consolidation of MOM material</w:t>
            </w:r>
          </w:p>
        </w:tc>
        <w:tc>
          <w:tcPr>
            <w:tcW w:type="dxa" w:w="1349"/>
          </w:tcPr>
          <w:p>
            <w:pPr>
              <w:spacing w:after="20" w:before="20"/>
            </w:pPr>
            <w:r/>
          </w:p>
        </w:tc>
        <w:tc>
          <w:tcPr>
            <w:tcW w:type="dxa" w:w="964"/>
          </w:tcPr>
          <w:p>
            <w:pPr>
              <w:spacing w:after="20" w:before="20"/>
            </w:pPr>
            <w:r/>
          </w:p>
        </w:tc>
      </w:tr>
      <w:tr>
        <w:trPr>
          <w:cantSplit/>
        </w:trPr>
        <w:tc>
          <w:tcPr>
            <w:tcW w:type="dxa" w:w="2120"/>
            <w:shd w:val="clear" w:color="auto" w:fill="FAFBFD"/>
          </w:tcPr>
          <w:p>
            <w:pPr>
              <w:spacing w:after="20" w:before="20"/>
            </w:pPr>
            <w:r/>
            <w:r>
              <w:rPr>
                <w:rFonts w:ascii="Calibri" w:hAnsi="Calibri"/>
                <w:b/>
                <w:i w:val="0"/>
                <w:color w:val="334E68"/>
                <w:sz w:val="17"/>
              </w:rPr>
              <w:t>Technical reviewer — Basis</w:t>
            </w:r>
          </w:p>
        </w:tc>
        <w:tc>
          <w:tcPr>
            <w:tcW w:type="dxa" w:w="1542"/>
            <w:shd w:val="clear" w:color="auto" w:fill="FAFBFD"/>
          </w:tcPr>
          <w:p>
            <w:pPr>
              <w:spacing w:after="20" w:before="20"/>
            </w:pPr>
            <w:r/>
          </w:p>
        </w:tc>
        <w:tc>
          <w:tcPr>
            <w:tcW w:type="dxa" w:w="3662"/>
            <w:shd w:val="clear" w:color="auto" w:fill="FAFBFD"/>
          </w:tcPr>
          <w:p>
            <w:pPr>
              <w:spacing w:after="20" w:before="20"/>
            </w:pPr>
            <w:r/>
            <w:r>
              <w:rPr>
                <w:rFonts w:ascii="Calibri" w:hAnsi="Calibri"/>
                <w:b w:val="0"/>
                <w:i w:val="0"/>
                <w:color w:val="334E68"/>
                <w:sz w:val="17"/>
              </w:rPr>
              <w:t>SAP validation, monitoring and cutover content</w:t>
            </w:r>
          </w:p>
        </w:tc>
        <w:tc>
          <w:tcPr>
            <w:tcW w:type="dxa" w:w="1349"/>
            <w:shd w:val="clear" w:color="auto" w:fill="FAFBFD"/>
          </w:tcPr>
          <w:p>
            <w:pPr>
              <w:spacing w:after="20" w:before="20"/>
            </w:pPr>
            <w:r/>
          </w:p>
        </w:tc>
        <w:tc>
          <w:tcPr>
            <w:tcW w:type="dxa" w:w="964"/>
            <w:shd w:val="clear" w:color="auto" w:fill="FAFBFD"/>
          </w:tcPr>
          <w:p>
            <w:pPr>
              <w:spacing w:after="20" w:before="20"/>
            </w:pPr>
            <w:r/>
          </w:p>
        </w:tc>
      </w:tr>
      <w:tr>
        <w:trPr>
          <w:cantSplit/>
        </w:trPr>
        <w:tc>
          <w:tcPr>
            <w:tcW w:type="dxa" w:w="2120"/>
          </w:tcPr>
          <w:p>
            <w:pPr>
              <w:spacing w:after="20" w:before="20"/>
            </w:pPr>
            <w:r/>
            <w:r>
              <w:rPr>
                <w:rFonts w:ascii="Calibri" w:hAnsi="Calibri"/>
                <w:b/>
                <w:i w:val="0"/>
                <w:color w:val="334E68"/>
                <w:sz w:val="17"/>
              </w:rPr>
              <w:t>Technical reviewer — DBA</w:t>
            </w:r>
          </w:p>
        </w:tc>
        <w:tc>
          <w:tcPr>
            <w:tcW w:type="dxa" w:w="1542"/>
          </w:tcPr>
          <w:p>
            <w:pPr>
              <w:spacing w:after="20" w:before="20"/>
            </w:pPr>
            <w:r/>
          </w:p>
        </w:tc>
        <w:tc>
          <w:tcPr>
            <w:tcW w:type="dxa" w:w="3662"/>
          </w:tcPr>
          <w:p>
            <w:pPr>
              <w:spacing w:after="20" w:before="20"/>
            </w:pPr>
            <w:r/>
            <w:r>
              <w:rPr>
                <w:rFonts w:ascii="Calibri" w:hAnsi="Calibri"/>
                <w:b w:val="0"/>
                <w:i w:val="0"/>
                <w:color w:val="334E68"/>
                <w:sz w:val="17"/>
              </w:rPr>
              <w:t>Oracle Data Guard and HANA backup/recovery content</w:t>
            </w:r>
          </w:p>
        </w:tc>
        <w:tc>
          <w:tcPr>
            <w:tcW w:type="dxa" w:w="1349"/>
          </w:tcPr>
          <w:p>
            <w:pPr>
              <w:spacing w:after="20" w:before="20"/>
            </w:pPr>
            <w:r/>
          </w:p>
        </w:tc>
        <w:tc>
          <w:tcPr>
            <w:tcW w:type="dxa" w:w="964"/>
          </w:tcPr>
          <w:p>
            <w:pPr>
              <w:spacing w:after="20" w:before="20"/>
            </w:pPr>
            <w:r/>
          </w:p>
        </w:tc>
      </w:tr>
      <w:tr>
        <w:trPr>
          <w:cantSplit/>
        </w:trPr>
        <w:tc>
          <w:tcPr>
            <w:tcW w:type="dxa" w:w="2120"/>
            <w:shd w:val="clear" w:color="auto" w:fill="FAFBFD"/>
          </w:tcPr>
          <w:p>
            <w:pPr>
              <w:spacing w:after="20" w:before="20"/>
            </w:pPr>
            <w:r/>
            <w:r>
              <w:rPr>
                <w:rFonts w:ascii="Calibri" w:hAnsi="Calibri"/>
                <w:b/>
                <w:i w:val="0"/>
                <w:color w:val="334E68"/>
                <w:sz w:val="17"/>
              </w:rPr>
              <w:t>Programme / project manager</w:t>
            </w:r>
          </w:p>
        </w:tc>
        <w:tc>
          <w:tcPr>
            <w:tcW w:type="dxa" w:w="1542"/>
            <w:shd w:val="clear" w:color="auto" w:fill="FAFBFD"/>
          </w:tcPr>
          <w:p>
            <w:pPr>
              <w:spacing w:after="20" w:before="20"/>
            </w:pPr>
            <w:r/>
          </w:p>
        </w:tc>
        <w:tc>
          <w:tcPr>
            <w:tcW w:type="dxa" w:w="3662"/>
            <w:shd w:val="clear" w:color="auto" w:fill="FAFBFD"/>
          </w:tcPr>
          <w:p>
            <w:pPr>
              <w:spacing w:after="20" w:before="20"/>
            </w:pPr>
            <w:r/>
            <w:r>
              <w:rPr>
                <w:rFonts w:ascii="Calibri" w:hAnsi="Calibri"/>
                <w:b w:val="0"/>
                <w:i w:val="0"/>
                <w:color w:val="334E68"/>
                <w:sz w:val="17"/>
              </w:rPr>
              <w:t>Approval, distribution list, version control</w:t>
            </w:r>
          </w:p>
        </w:tc>
        <w:tc>
          <w:tcPr>
            <w:tcW w:type="dxa" w:w="1349"/>
            <w:shd w:val="clear" w:color="auto" w:fill="FAFBFD"/>
          </w:tcPr>
          <w:p>
            <w:pPr>
              <w:spacing w:after="20" w:before="20"/>
            </w:pPr>
            <w:r/>
          </w:p>
        </w:tc>
        <w:tc>
          <w:tcPr>
            <w:tcW w:type="dxa" w:w="964"/>
            <w:shd w:val="clear" w:color="auto" w:fill="FAFBFD"/>
          </w:tcPr>
          <w:p>
            <w:pPr>
              <w:spacing w:after="20" w:before="20"/>
            </w:pPr>
            <w:r/>
          </w:p>
        </w:tc>
      </w:tr>
      <w:tr>
        <w:trPr>
          <w:cantSplit/>
        </w:trPr>
        <w:tc>
          <w:tcPr>
            <w:tcW w:type="dxa" w:w="2120"/>
          </w:tcPr>
          <w:p>
            <w:pPr>
              <w:spacing w:after="20" w:before="20"/>
            </w:pPr>
            <w:r/>
            <w:r>
              <w:rPr>
                <w:rFonts w:ascii="Calibri" w:hAnsi="Calibri"/>
                <w:b/>
                <w:i w:val="0"/>
                <w:color w:val="334E68"/>
                <w:sz w:val="17"/>
              </w:rPr>
              <w:t>Client system owner (per SID)</w:t>
            </w:r>
          </w:p>
        </w:tc>
        <w:tc>
          <w:tcPr>
            <w:tcW w:type="dxa" w:w="1542"/>
          </w:tcPr>
          <w:p>
            <w:pPr>
              <w:spacing w:after="20" w:before="20"/>
            </w:pPr>
            <w:r/>
          </w:p>
        </w:tc>
        <w:tc>
          <w:tcPr>
            <w:tcW w:type="dxa" w:w="3662"/>
          </w:tcPr>
          <w:p>
            <w:pPr>
              <w:spacing w:after="20" w:before="20"/>
            </w:pPr>
            <w:r/>
            <w:r>
              <w:rPr>
                <w:rFonts w:ascii="Calibri" w:hAnsi="Calibri"/>
                <w:b w:val="0"/>
                <w:i w:val="0"/>
                <w:color w:val="334E68"/>
                <w:sz w:val="17"/>
              </w:rPr>
              <w:t>Confirmation that the material matches the approved landscape</w:t>
            </w:r>
          </w:p>
        </w:tc>
        <w:tc>
          <w:tcPr>
            <w:tcW w:type="dxa" w:w="1349"/>
          </w:tcPr>
          <w:p>
            <w:pPr>
              <w:spacing w:after="20" w:before="20"/>
            </w:pPr>
            <w:r/>
          </w:p>
        </w:tc>
        <w:tc>
          <w:tcPr>
            <w:tcW w:type="dxa" w:w="964"/>
          </w:tcPr>
          <w:p>
            <w:pPr>
              <w:spacing w:after="20" w:before="20"/>
            </w:pPr>
            <w:r/>
          </w:p>
        </w:tc>
      </w:tr>
    </w:tbl>
    <w:p>
      <w:pPr>
        <w:spacing w:after="40"/>
      </w:pPr>
    </w:p>
    <w:p>
      <w:pPr>
        <w:spacing w:after="60" w:before="160"/>
        <w:keepNext/>
      </w:pPr>
      <w:r>
        <w:rPr>
          <w:rFonts w:ascii="Calibri" w:hAnsi="Calibri"/>
          <w:b/>
          <w:color w:val="5B7288"/>
          <w:sz w:val="15"/>
        </w:rPr>
        <w:t>INTENDED DISTRIBUTION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048"/>
        <w:gridCol w:w="5590"/>
      </w:tblGrid>
      <w:tr>
        <w:trPr>
          <w:tblHeader/>
          <w:cantSplit/>
        </w:trPr>
        <w:tc>
          <w:tcPr>
            <w:tcW w:type="dxa" w:w="4048"/>
            <w:shd w:val="clear" w:color="auto" w:fill="0F2B4C"/>
          </w:tcPr>
          <w:p>
            <w:pPr>
              <w:spacing w:after="20" w:before="20"/>
            </w:pPr>
            <w:r/>
            <w:r>
              <w:rPr>
                <w:rFonts w:ascii="Calibri" w:hAnsi="Calibri"/>
                <w:b/>
                <w:color w:val="FFFFFF"/>
                <w:sz w:val="17"/>
              </w:rPr>
              <w:t>Distribution</w:t>
            </w:r>
          </w:p>
        </w:tc>
        <w:tc>
          <w:tcPr>
            <w:tcW w:type="dxa" w:w="5590"/>
            <w:shd w:val="clear" w:color="auto" w:fill="0F2B4C"/>
          </w:tcPr>
          <w:p>
            <w:pPr>
              <w:spacing w:after="20" w:before="20"/>
            </w:pPr>
            <w:r/>
            <w:r>
              <w:rPr>
                <w:rFonts w:ascii="Calibri" w:hAnsi="Calibri"/>
                <w:b/>
                <w:color w:val="FFFFFF"/>
                <w:sz w:val="17"/>
              </w:rPr>
              <w:t>Purpose</w:t>
            </w:r>
          </w:p>
        </w:tc>
      </w:tr>
      <w:tr>
        <w:trPr>
          <w:cantSplit/>
        </w:trPr>
        <w:tc>
          <w:tcPr>
            <w:tcW w:type="dxa" w:w="4048"/>
          </w:tcPr>
          <w:p>
            <w:pPr>
              <w:spacing w:after="20" w:before="20"/>
            </w:pPr>
            <w:r/>
            <w:r>
              <w:rPr>
                <w:rFonts w:ascii="Calibri" w:hAnsi="Calibri"/>
                <w:b/>
                <w:i w:val="0"/>
                <w:color w:val="334E68"/>
                <w:sz w:val="17"/>
              </w:rPr>
              <w:t>Migration / Basis delivery team</w:t>
            </w:r>
          </w:p>
        </w:tc>
        <w:tc>
          <w:tcPr>
            <w:tcW w:type="dxa" w:w="5590"/>
          </w:tcPr>
          <w:p>
            <w:pPr>
              <w:spacing w:after="20" w:before="20"/>
            </w:pPr>
            <w:r/>
            <w:r>
              <w:rPr>
                <w:rFonts w:ascii="Calibri" w:hAnsi="Calibri"/>
                <w:b w:val="0"/>
                <w:i w:val="0"/>
                <w:color w:val="334E68"/>
                <w:sz w:val="17"/>
              </w:rPr>
              <w:t>Primary audience — training and execution reference</w:t>
            </w:r>
          </w:p>
        </w:tc>
      </w:tr>
      <w:tr>
        <w:trPr>
          <w:cantSplit/>
        </w:trPr>
        <w:tc>
          <w:tcPr>
            <w:tcW w:type="dxa" w:w="4048"/>
            <w:shd w:val="clear" w:color="auto" w:fill="FAFBFD"/>
          </w:tcPr>
          <w:p>
            <w:pPr>
              <w:spacing w:after="20" w:before="20"/>
            </w:pPr>
            <w:r/>
            <w:r>
              <w:rPr>
                <w:rFonts w:ascii="Calibri" w:hAnsi="Calibri"/>
                <w:b/>
                <w:i w:val="0"/>
                <w:color w:val="334E68"/>
                <w:sz w:val="17"/>
              </w:rPr>
              <w:t>DBA, Linux, network, security and automation teams</w:t>
            </w:r>
          </w:p>
        </w:tc>
        <w:tc>
          <w:tcPr>
            <w:tcW w:type="dxa" w:w="5590"/>
            <w:shd w:val="clear" w:color="auto" w:fill="FAFBFD"/>
          </w:tcPr>
          <w:p>
            <w:pPr>
              <w:spacing w:after="20" w:before="20"/>
            </w:pPr>
            <w:r/>
            <w:r>
              <w:rPr>
                <w:rFonts w:ascii="Calibri" w:hAnsi="Calibri"/>
                <w:b w:val="0"/>
                <w:i w:val="0"/>
                <w:color w:val="334E68"/>
                <w:sz w:val="17"/>
              </w:rPr>
              <w:t>Interface and responsibility clarity</w:t>
            </w:r>
          </w:p>
        </w:tc>
      </w:tr>
      <w:tr>
        <w:trPr>
          <w:cantSplit/>
        </w:trPr>
        <w:tc>
          <w:tcPr>
            <w:tcW w:type="dxa" w:w="4048"/>
          </w:tcPr>
          <w:p>
            <w:pPr>
              <w:spacing w:after="20" w:before="20"/>
            </w:pPr>
            <w:r/>
            <w:r>
              <w:rPr>
                <w:rFonts w:ascii="Calibri" w:hAnsi="Calibri"/>
                <w:b/>
                <w:i w:val="0"/>
                <w:color w:val="334E68"/>
                <w:sz w:val="17"/>
              </w:rPr>
              <w:t>Application / functional leads</w:t>
            </w:r>
          </w:p>
        </w:tc>
        <w:tc>
          <w:tcPr>
            <w:tcW w:type="dxa" w:w="5590"/>
          </w:tcPr>
          <w:p>
            <w:pPr>
              <w:spacing w:after="20" w:before="20"/>
            </w:pPr>
            <w:r/>
            <w:r>
              <w:rPr>
                <w:rFonts w:ascii="Calibri" w:hAnsi="Calibri"/>
                <w:b w:val="0"/>
                <w:i w:val="0"/>
                <w:color w:val="334E68"/>
                <w:sz w:val="17"/>
              </w:rPr>
              <w:t>Validation and Go/No-Go participation</w:t>
            </w:r>
          </w:p>
        </w:tc>
      </w:tr>
      <w:tr>
        <w:trPr>
          <w:cantSplit/>
        </w:trPr>
        <w:tc>
          <w:tcPr>
            <w:tcW w:type="dxa" w:w="4048"/>
            <w:shd w:val="clear" w:color="auto" w:fill="FAFBFD"/>
          </w:tcPr>
          <w:p>
            <w:pPr>
              <w:spacing w:after="20" w:before="20"/>
            </w:pPr>
            <w:r/>
            <w:r>
              <w:rPr>
                <w:rFonts w:ascii="Calibri" w:hAnsi="Calibri"/>
                <w:b/>
                <w:i w:val="0"/>
                <w:color w:val="334E68"/>
                <w:sz w:val="17"/>
              </w:rPr>
              <w:t>PMO and stakeholders</w:t>
            </w:r>
          </w:p>
        </w:tc>
        <w:tc>
          <w:tcPr>
            <w:tcW w:type="dxa" w:w="5590"/>
            <w:shd w:val="clear" w:color="auto" w:fill="FAFBFD"/>
          </w:tcPr>
          <w:p>
            <w:pPr>
              <w:spacing w:after="20" w:before="20"/>
            </w:pPr>
            <w:r/>
            <w:r>
              <w:rPr>
                <w:rFonts w:ascii="Calibri" w:hAnsi="Calibri"/>
                <w:b w:val="0"/>
                <w:i w:val="0"/>
                <w:color w:val="334E68"/>
                <w:sz w:val="17"/>
              </w:rPr>
              <w:t>Governance, approvals and hypercare oversight</w:t>
            </w:r>
          </w:p>
        </w:tc>
      </w:tr>
      <w:tr>
        <w:trPr>
          <w:cantSplit/>
        </w:trPr>
        <w:tc>
          <w:tcPr>
            <w:tcW w:type="dxa" w:w="4048"/>
          </w:tcPr>
          <w:p>
            <w:pPr>
              <w:spacing w:after="20" w:before="20"/>
            </w:pPr>
            <w:r/>
            <w:r>
              <w:rPr>
                <w:rFonts w:ascii="Calibri" w:hAnsi="Calibri"/>
                <w:b/>
                <w:i w:val="0"/>
                <w:color w:val="334E68"/>
                <w:sz w:val="17"/>
              </w:rPr>
              <w:t>New joiners to the programme</w:t>
            </w:r>
          </w:p>
        </w:tc>
        <w:tc>
          <w:tcPr>
            <w:tcW w:type="dxa" w:w="5590"/>
          </w:tcPr>
          <w:p>
            <w:pPr>
              <w:spacing w:after="20" w:before="20"/>
            </w:pPr>
            <w:r/>
            <w:r>
              <w:rPr>
                <w:rFonts w:ascii="Calibri" w:hAnsi="Calibri"/>
                <w:b w:val="0"/>
                <w:i w:val="0"/>
                <w:color w:val="334E68"/>
                <w:sz w:val="17"/>
              </w:rPr>
              <w:t>Onboarding and knowledge transfer</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DISCLAIMER</w:t>
      </w:r>
    </w:p>
    <w:p>
      <w:pPr>
        <w:spacing w:after="120"/>
        <w:ind w:left="170"/>
        <w:shd w:val="clear" w:color="auto" w:fill="F4F7FB"/>
        <w:pBdr>
          <w:left w:val="single" w:sz="6" w:space="6" w:color="0F2B4C"/>
          <w:right w:val="single" w:sz="6" w:space="6" w:color="0F2B4C"/>
        </w:pBdr>
      </w:pPr>
      <w:r>
        <w:rPr>
          <w:rFonts w:ascii="Calibri" w:hAnsi="Calibri"/>
          <w:b w:val="0"/>
          <w:i w:val="0"/>
          <w:color w:val="334E68"/>
          <w:sz w:val="18"/>
        </w:rPr>
        <w:t>SAP, SAP HANA, ABAP, NetWeaver and the transaction codes referenced here are trademarks of SAP SE. AWS, Amazon S3, Amazon EFS, Route 53 and EC2 are trademarks of Amazon.com, Inc. or its affiliates. Oracle is a trademark of Oracle Corporation. Other product names (Control-M, NetBackup, Chef, ServiceNow, webMethods, MuleSoft) belong to their respective owners.</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This handbook is internal training material. It carries no warranty for production use, and every technical value it quotes must be validated against the applicable vendor documentation, SAP Note, and the customer's approved design before being applied to a live system.</w:t>
      </w:r>
    </w:p>
    <w:p>
      <w:r>
        <w:br w:type="page"/>
      </w:r>
    </w:p>
    <w:p>
      <w:pPr>
        <w:spacing w:after="20"/>
      </w:pPr>
      <w:r>
        <w:rPr>
          <w:rFonts w:ascii="Calibri" w:hAnsi="Calibri"/>
          <w:b/>
          <w:color w:val="1B4F86"/>
          <w:sz w:val="16"/>
        </w:rPr>
        <w:t>FRONT MATTER</w:t>
      </w:r>
    </w:p>
    <w:p>
      <w:pPr>
        <w:pStyle w:val="Heading1"/>
        <w:pBdr>
          <w:bottom w:val="single" w:sz="12" w:space="5" w:color="1B4F86"/>
        </w:pBdr>
        <w:spacing w:after="160"/>
      </w:pPr>
      <w:r>
        <w:rPr>
          <w:rFonts w:ascii="Calibri Light" w:hAnsi="Calibri Light"/>
          <w:b/>
          <w:color w:val="0F2B4C"/>
          <w:sz w:val="38"/>
        </w:rPr>
        <w:t>Contents and figure index</w:t>
      </w:r>
    </w:p>
    <w:p>
      <w:pPr>
        <w:pStyle w:val="Heading2"/>
        <w:pBdr>
          <w:bottom w:val="single" w:sz="6" w:space="3" w:color="E8EDF3"/>
        </w:pBdr>
      </w:pPr>
      <w:r>
        <w:rPr>
          <w:rFonts w:ascii="Calibri" w:hAnsi="Calibri"/>
          <w:b/>
          <w:color w:val="0F2B4C"/>
          <w:sz w:val="26"/>
        </w:rPr>
        <w:t>Figures</w:t>
      </w:r>
    </w:p>
    <w:p>
      <w:pPr>
        <w:spacing w:after="60" w:before="160"/>
        <w:keepNext/>
      </w:pPr>
      <w:r>
        <w:rPr>
          <w:rFonts w:ascii="Calibri" w:hAnsi="Calibri"/>
          <w:b/>
          <w:color w:val="5B7288"/>
          <w:sz w:val="15"/>
        </w:rPr>
        <w:t>FIGURE INDEX</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578"/>
        <w:gridCol w:w="7132"/>
        <w:gridCol w:w="1928"/>
      </w:tblGrid>
      <w:tr>
        <w:trPr>
          <w:tblHeader/>
          <w:cantSplit/>
        </w:trPr>
        <w:tc>
          <w:tcPr>
            <w:tcW w:type="dxa" w:w="578"/>
            <w:shd w:val="clear" w:color="auto" w:fill="0F2B4C"/>
          </w:tcPr>
          <w:p>
            <w:pPr>
              <w:spacing w:after="20" w:before="20"/>
            </w:pPr>
            <w:r/>
            <w:r>
              <w:rPr>
                <w:rFonts w:ascii="Calibri" w:hAnsi="Calibri"/>
                <w:b/>
                <w:color w:val="FFFFFF"/>
                <w:sz w:val="17"/>
              </w:rPr>
              <w:t>#</w:t>
            </w:r>
          </w:p>
        </w:tc>
        <w:tc>
          <w:tcPr>
            <w:tcW w:type="dxa" w:w="7132"/>
            <w:shd w:val="clear" w:color="auto" w:fill="0F2B4C"/>
          </w:tcPr>
          <w:p>
            <w:pPr>
              <w:spacing w:after="20" w:before="20"/>
            </w:pPr>
            <w:r/>
            <w:r>
              <w:rPr>
                <w:rFonts w:ascii="Calibri" w:hAnsi="Calibri"/>
                <w:b/>
                <w:color w:val="FFFFFF"/>
                <w:sz w:val="17"/>
              </w:rPr>
              <w:t>Figure</w:t>
            </w:r>
          </w:p>
        </w:tc>
        <w:tc>
          <w:tcPr>
            <w:tcW w:type="dxa" w:w="1928"/>
            <w:shd w:val="clear" w:color="auto" w:fill="0F2B4C"/>
          </w:tcPr>
          <w:p>
            <w:pPr>
              <w:spacing w:after="20" w:before="20"/>
            </w:pPr>
            <w:r/>
            <w:r>
              <w:rPr>
                <w:rFonts w:ascii="Calibri" w:hAnsi="Calibri"/>
                <w:b/>
                <w:color w:val="FFFFFF"/>
                <w:sz w:val="17"/>
              </w:rPr>
              <w:t>Section</w:t>
            </w:r>
          </w:p>
        </w:tc>
      </w:tr>
      <w:tr>
        <w:trPr>
          <w:cantSplit/>
        </w:trPr>
        <w:tc>
          <w:tcPr>
            <w:tcW w:type="dxa" w:w="578"/>
          </w:tcPr>
          <w:p>
            <w:pPr>
              <w:spacing w:after="20" w:before="20"/>
            </w:pPr>
            <w:r/>
            <w:r>
              <w:rPr>
                <w:rFonts w:ascii="Calibri" w:hAnsi="Calibri"/>
                <w:b/>
                <w:i w:val="0"/>
                <w:color w:val="334E68"/>
                <w:sz w:val="17"/>
              </w:rPr>
              <w:t>1</w:t>
            </w:r>
          </w:p>
        </w:tc>
        <w:tc>
          <w:tcPr>
            <w:tcW w:type="dxa" w:w="7132"/>
          </w:tcPr>
          <w:p>
            <w:pPr>
              <w:spacing w:after="20" w:before="20"/>
            </w:pPr>
            <w:r/>
            <w:r>
              <w:rPr>
                <w:rFonts w:ascii="Calibri" w:hAnsi="Calibri"/>
                <w:b w:val="0"/>
                <w:i w:val="0"/>
                <w:color w:val="1B4F86"/>
                <w:sz w:val="17"/>
              </w:rPr>
              <w:t>End-to-end SAP-to-AWS migration lifecycle</w:t>
            </w:r>
          </w:p>
        </w:tc>
        <w:tc>
          <w:tcPr>
            <w:tcW w:type="dxa" w:w="1928"/>
          </w:tcPr>
          <w:p>
            <w:pPr>
              <w:spacing w:after="20" w:before="20"/>
            </w:pPr>
            <w:r/>
            <w:r>
              <w:rPr>
                <w:rFonts w:ascii="Calibri" w:hAnsi="Calibri"/>
                <w:b w:val="0"/>
                <w:i w:val="0"/>
                <w:color w:val="334E68"/>
                <w:sz w:val="17"/>
              </w:rPr>
              <w:t>3</w:t>
            </w:r>
          </w:p>
        </w:tc>
      </w:tr>
      <w:tr>
        <w:trPr>
          <w:cantSplit/>
        </w:trPr>
        <w:tc>
          <w:tcPr>
            <w:tcW w:type="dxa" w:w="578"/>
            <w:shd w:val="clear" w:color="auto" w:fill="FAFBFD"/>
          </w:tcPr>
          <w:p>
            <w:pPr>
              <w:spacing w:after="20" w:before="20"/>
            </w:pPr>
            <w:r/>
            <w:r>
              <w:rPr>
                <w:rFonts w:ascii="Calibri" w:hAnsi="Calibri"/>
                <w:b/>
                <w:i w:val="0"/>
                <w:color w:val="334E68"/>
                <w:sz w:val="17"/>
              </w:rPr>
              <w:t>2</w:t>
            </w:r>
          </w:p>
        </w:tc>
        <w:tc>
          <w:tcPr>
            <w:tcW w:type="dxa" w:w="7132"/>
            <w:shd w:val="clear" w:color="auto" w:fill="FAFBFD"/>
          </w:tcPr>
          <w:p>
            <w:pPr>
              <w:spacing w:after="20" w:before="20"/>
            </w:pPr>
            <w:r/>
            <w:r>
              <w:rPr>
                <w:rFonts w:ascii="Calibri" w:hAnsi="Calibri"/>
                <w:b w:val="0"/>
                <w:i w:val="0"/>
                <w:color w:val="1B4F86"/>
                <w:sz w:val="17"/>
              </w:rPr>
              <w:t>Responsibility split across the migration lifecycle</w:t>
            </w:r>
          </w:p>
        </w:tc>
        <w:tc>
          <w:tcPr>
            <w:tcW w:type="dxa" w:w="1928"/>
            <w:shd w:val="clear" w:color="auto" w:fill="FAFBFD"/>
          </w:tcPr>
          <w:p>
            <w:pPr>
              <w:spacing w:after="20" w:before="20"/>
            </w:pPr>
            <w:r/>
            <w:r>
              <w:rPr>
                <w:rFonts w:ascii="Calibri" w:hAnsi="Calibri"/>
                <w:b w:val="0"/>
                <w:i w:val="0"/>
                <w:color w:val="334E68"/>
                <w:sz w:val="17"/>
              </w:rPr>
              <w:t>5.4</w:t>
            </w:r>
          </w:p>
        </w:tc>
      </w:tr>
      <w:tr>
        <w:trPr>
          <w:cantSplit/>
        </w:trPr>
        <w:tc>
          <w:tcPr>
            <w:tcW w:type="dxa" w:w="578"/>
          </w:tcPr>
          <w:p>
            <w:pPr>
              <w:spacing w:after="20" w:before="20"/>
            </w:pPr>
            <w:r/>
            <w:r>
              <w:rPr>
                <w:rFonts w:ascii="Calibri" w:hAnsi="Calibri"/>
                <w:b/>
                <w:i w:val="0"/>
                <w:color w:val="334E68"/>
                <w:sz w:val="17"/>
              </w:rPr>
              <w:t>3</w:t>
            </w:r>
          </w:p>
        </w:tc>
        <w:tc>
          <w:tcPr>
            <w:tcW w:type="dxa" w:w="7132"/>
          </w:tcPr>
          <w:p>
            <w:pPr>
              <w:spacing w:after="20" w:before="20"/>
            </w:pPr>
            <w:r/>
            <w:r>
              <w:rPr>
                <w:rFonts w:ascii="Calibri" w:hAnsi="Calibri"/>
                <w:b w:val="0"/>
                <w:i w:val="0"/>
                <w:color w:val="1B4F86"/>
                <w:sz w:val="17"/>
              </w:rPr>
              <w:t>Target AWS reference architecture</w:t>
            </w:r>
          </w:p>
        </w:tc>
        <w:tc>
          <w:tcPr>
            <w:tcW w:type="dxa" w:w="1928"/>
          </w:tcPr>
          <w:p>
            <w:pPr>
              <w:spacing w:after="20" w:before="20"/>
            </w:pPr>
            <w:r/>
            <w:r>
              <w:rPr>
                <w:rFonts w:ascii="Calibri" w:hAnsi="Calibri"/>
                <w:b w:val="0"/>
                <w:i w:val="0"/>
                <w:color w:val="334E68"/>
                <w:sz w:val="17"/>
              </w:rPr>
              <w:t>5.1</w:t>
            </w:r>
          </w:p>
        </w:tc>
      </w:tr>
      <w:tr>
        <w:trPr>
          <w:cantSplit/>
        </w:trPr>
        <w:tc>
          <w:tcPr>
            <w:tcW w:type="dxa" w:w="578"/>
            <w:shd w:val="clear" w:color="auto" w:fill="FAFBFD"/>
          </w:tcPr>
          <w:p>
            <w:pPr>
              <w:spacing w:after="20" w:before="20"/>
            </w:pPr>
            <w:r/>
            <w:r>
              <w:rPr>
                <w:rFonts w:ascii="Calibri" w:hAnsi="Calibri"/>
                <w:b/>
                <w:i w:val="0"/>
                <w:color w:val="334E68"/>
                <w:sz w:val="17"/>
              </w:rPr>
              <w:t>4</w:t>
            </w:r>
          </w:p>
        </w:tc>
        <w:tc>
          <w:tcPr>
            <w:tcW w:type="dxa" w:w="7132"/>
            <w:shd w:val="clear" w:color="auto" w:fill="FAFBFD"/>
          </w:tcPr>
          <w:p>
            <w:pPr>
              <w:spacing w:after="20" w:before="20"/>
            </w:pPr>
            <w:r/>
            <w:r>
              <w:rPr>
                <w:rFonts w:ascii="Calibri" w:hAnsi="Calibri"/>
                <w:b w:val="0"/>
                <w:i w:val="0"/>
                <w:color w:val="1B4F86"/>
                <w:sz w:val="17"/>
              </w:rPr>
              <w:t>HANA MDC architecture, S3 backup backend and recovery flow</w:t>
            </w:r>
          </w:p>
        </w:tc>
        <w:tc>
          <w:tcPr>
            <w:tcW w:type="dxa" w:w="1928"/>
            <w:shd w:val="clear" w:color="auto" w:fill="FAFBFD"/>
          </w:tcPr>
          <w:p>
            <w:pPr>
              <w:spacing w:after="20" w:before="20"/>
            </w:pPr>
            <w:r/>
            <w:r>
              <w:rPr>
                <w:rFonts w:ascii="Calibri" w:hAnsi="Calibri"/>
                <w:b w:val="0"/>
                <w:i w:val="0"/>
                <w:color w:val="334E68"/>
                <w:sz w:val="17"/>
              </w:rPr>
              <w:t>6</w:t>
            </w:r>
          </w:p>
        </w:tc>
      </w:tr>
      <w:tr>
        <w:trPr>
          <w:cantSplit/>
        </w:trPr>
        <w:tc>
          <w:tcPr>
            <w:tcW w:type="dxa" w:w="578"/>
          </w:tcPr>
          <w:p>
            <w:pPr>
              <w:spacing w:after="20" w:before="20"/>
            </w:pPr>
            <w:r/>
            <w:r>
              <w:rPr>
                <w:rFonts w:ascii="Calibri" w:hAnsi="Calibri"/>
                <w:b/>
                <w:i w:val="0"/>
                <w:color w:val="334E68"/>
                <w:sz w:val="17"/>
              </w:rPr>
              <w:t>5</w:t>
            </w:r>
          </w:p>
        </w:tc>
        <w:tc>
          <w:tcPr>
            <w:tcW w:type="dxa" w:w="7132"/>
          </w:tcPr>
          <w:p>
            <w:pPr>
              <w:spacing w:after="20" w:before="20"/>
            </w:pPr>
            <w:r/>
            <w:r>
              <w:rPr>
                <w:rFonts w:ascii="Calibri" w:hAnsi="Calibri"/>
                <w:b w:val="0"/>
                <w:i w:val="0"/>
                <w:color w:val="1B4F86"/>
                <w:sz w:val="17"/>
              </w:rPr>
              <w:t>Oracle Data Guard switchover, SCN synchronisation and rollback</w:t>
            </w:r>
          </w:p>
        </w:tc>
        <w:tc>
          <w:tcPr>
            <w:tcW w:type="dxa" w:w="1928"/>
          </w:tcPr>
          <w:p>
            <w:pPr>
              <w:spacing w:after="20" w:before="20"/>
            </w:pPr>
            <w:r/>
            <w:r>
              <w:rPr>
                <w:rFonts w:ascii="Calibri" w:hAnsi="Calibri"/>
                <w:b w:val="0"/>
                <w:i w:val="0"/>
                <w:color w:val="334E68"/>
                <w:sz w:val="17"/>
              </w:rPr>
              <w:t>9</w:t>
            </w:r>
          </w:p>
        </w:tc>
      </w:tr>
      <w:tr>
        <w:trPr>
          <w:cantSplit/>
        </w:trPr>
        <w:tc>
          <w:tcPr>
            <w:tcW w:type="dxa" w:w="578"/>
            <w:shd w:val="clear" w:color="auto" w:fill="FAFBFD"/>
          </w:tcPr>
          <w:p>
            <w:pPr>
              <w:spacing w:after="20" w:before="20"/>
            </w:pPr>
            <w:r/>
            <w:r>
              <w:rPr>
                <w:rFonts w:ascii="Calibri" w:hAnsi="Calibri"/>
                <w:b/>
                <w:i w:val="0"/>
                <w:color w:val="334E68"/>
                <w:sz w:val="17"/>
              </w:rPr>
              <w:t>6</w:t>
            </w:r>
          </w:p>
        </w:tc>
        <w:tc>
          <w:tcPr>
            <w:tcW w:type="dxa" w:w="7132"/>
            <w:shd w:val="clear" w:color="auto" w:fill="FAFBFD"/>
          </w:tcPr>
          <w:p>
            <w:pPr>
              <w:spacing w:after="20" w:before="20"/>
            </w:pPr>
            <w:r/>
            <w:r>
              <w:rPr>
                <w:rFonts w:ascii="Calibri" w:hAnsi="Calibri"/>
                <w:b w:val="0"/>
                <w:i w:val="0"/>
                <w:color w:val="1B4F86"/>
                <w:sz w:val="17"/>
              </w:rPr>
              <w:t>Cutover execution sequence with Go/No-Go and rollback</w:t>
            </w:r>
          </w:p>
        </w:tc>
        <w:tc>
          <w:tcPr>
            <w:tcW w:type="dxa" w:w="1928"/>
            <w:shd w:val="clear" w:color="auto" w:fill="FAFBFD"/>
          </w:tcPr>
          <w:p>
            <w:pPr>
              <w:spacing w:after="20" w:before="20"/>
            </w:pPr>
            <w:r/>
            <w:r>
              <w:rPr>
                <w:rFonts w:ascii="Calibri" w:hAnsi="Calibri"/>
                <w:b w:val="0"/>
                <w:i w:val="0"/>
                <w:color w:val="334E68"/>
                <w:sz w:val="17"/>
              </w:rPr>
              <w:t>10</w:t>
            </w:r>
          </w:p>
        </w:tc>
      </w:tr>
      <w:tr>
        <w:trPr>
          <w:cantSplit/>
        </w:trPr>
        <w:tc>
          <w:tcPr>
            <w:tcW w:type="dxa" w:w="578"/>
          </w:tcPr>
          <w:p>
            <w:pPr>
              <w:spacing w:after="20" w:before="20"/>
            </w:pPr>
            <w:r/>
            <w:r>
              <w:rPr>
                <w:rFonts w:ascii="Calibri" w:hAnsi="Calibri"/>
                <w:b/>
                <w:i w:val="0"/>
                <w:color w:val="334E68"/>
                <w:sz w:val="17"/>
              </w:rPr>
              <w:t>7</w:t>
            </w:r>
          </w:p>
        </w:tc>
        <w:tc>
          <w:tcPr>
            <w:tcW w:type="dxa" w:w="7132"/>
          </w:tcPr>
          <w:p>
            <w:pPr>
              <w:spacing w:after="20" w:before="20"/>
            </w:pPr>
            <w:r/>
            <w:r>
              <w:rPr>
                <w:rFonts w:ascii="Calibri" w:hAnsi="Calibri"/>
                <w:b w:val="0"/>
                <w:i w:val="0"/>
                <w:color w:val="1B4F86"/>
                <w:sz w:val="17"/>
              </w:rPr>
              <w:t>Performance monitoring, memory escalation and troubleshooting path</w:t>
            </w:r>
          </w:p>
        </w:tc>
        <w:tc>
          <w:tcPr>
            <w:tcW w:type="dxa" w:w="1928"/>
          </w:tcPr>
          <w:p>
            <w:pPr>
              <w:spacing w:after="20" w:before="20"/>
            </w:pPr>
            <w:r/>
            <w:r>
              <w:rPr>
                <w:rFonts w:ascii="Calibri" w:hAnsi="Calibri"/>
                <w:b w:val="0"/>
                <w:i w:val="0"/>
                <w:color w:val="334E68"/>
                <w:sz w:val="17"/>
              </w:rPr>
              <w:t>8</w:t>
            </w:r>
          </w:p>
        </w:tc>
      </w:tr>
      <w:tr>
        <w:trPr>
          <w:cantSplit/>
        </w:trPr>
        <w:tc>
          <w:tcPr>
            <w:tcW w:type="dxa" w:w="578"/>
            <w:shd w:val="clear" w:color="auto" w:fill="FAFBFD"/>
          </w:tcPr>
          <w:p>
            <w:pPr>
              <w:spacing w:after="20" w:before="20"/>
            </w:pPr>
            <w:r/>
            <w:r>
              <w:rPr>
                <w:rFonts w:ascii="Calibri" w:hAnsi="Calibri"/>
                <w:b/>
                <w:i w:val="0"/>
                <w:color w:val="334E68"/>
                <w:sz w:val="17"/>
              </w:rPr>
              <w:t>8</w:t>
            </w:r>
          </w:p>
        </w:tc>
        <w:tc>
          <w:tcPr>
            <w:tcW w:type="dxa" w:w="7132"/>
            <w:shd w:val="clear" w:color="auto" w:fill="FAFBFD"/>
          </w:tcPr>
          <w:p>
            <w:pPr>
              <w:spacing w:after="20" w:before="20"/>
            </w:pPr>
            <w:r/>
            <w:r>
              <w:rPr>
                <w:rFonts w:ascii="Calibri" w:hAnsi="Calibri"/>
                <w:b w:val="0"/>
                <w:i w:val="0"/>
                <w:color w:val="1B4F86"/>
                <w:sz w:val="17"/>
              </w:rPr>
              <w:t>Evidence lifecycle</w:t>
            </w:r>
          </w:p>
        </w:tc>
        <w:tc>
          <w:tcPr>
            <w:tcW w:type="dxa" w:w="1928"/>
            <w:shd w:val="clear" w:color="auto" w:fill="FAFBFD"/>
          </w:tcPr>
          <w:p>
            <w:pPr>
              <w:spacing w:after="20" w:before="20"/>
            </w:pPr>
            <w:r/>
            <w:r>
              <w:rPr>
                <w:rFonts w:ascii="Calibri" w:hAnsi="Calibri"/>
                <w:b w:val="0"/>
                <w:i w:val="0"/>
                <w:color w:val="334E68"/>
                <w:sz w:val="17"/>
              </w:rPr>
              <w:t>13</w:t>
            </w:r>
          </w:p>
        </w:tc>
      </w:tr>
    </w:tbl>
    <w:p>
      <w:pPr>
        <w:spacing w:after="40"/>
      </w:pPr>
    </w:p>
    <w:p>
      <w:r>
        <w:br w:type="page"/>
      </w:r>
    </w:p>
    <w:p>
      <w:pPr>
        <w:spacing w:after="20"/>
      </w:pPr>
      <w:r>
        <w:rPr>
          <w:rFonts w:ascii="Calibri" w:hAnsi="Calibri"/>
          <w:b/>
          <w:color w:val="1B4F86"/>
          <w:sz w:val="16"/>
        </w:rPr>
        <w:t>SECTION 1</w:t>
      </w:r>
    </w:p>
    <w:p>
      <w:pPr>
        <w:pStyle w:val="Heading1"/>
        <w:pBdr>
          <w:bottom w:val="single" w:sz="12" w:space="5" w:color="1B4F86"/>
        </w:pBdr>
        <w:spacing w:after="160"/>
      </w:pPr>
      <w:r>
        <w:rPr>
          <w:rFonts w:ascii="Calibri Light" w:hAnsi="Calibri Light"/>
          <w:b/>
          <w:color w:val="0F2B4C"/>
          <w:sz w:val="38"/>
        </w:rPr>
        <w:t>1  Executive training overview</w:t>
      </w:r>
    </w:p>
    <w:p>
      <w:pPr>
        <w:spacing w:after="200"/>
      </w:pPr>
      <w:r>
        <w:rPr>
          <w:rFonts w:ascii="Calibri" w:hAnsi="Calibri"/>
          <w:i/>
          <w:color w:val="5B7288"/>
          <w:sz w:val="21"/>
        </w:rPr>
        <w:t>The consolidated training focused on the practical execution of SAP migration activities, with emphasis on moving SAP workloads to AWS and validating the target environment. Sessions covered discovery, source baselining, sizing, architecture, AWS infrastructure readiness, SAP/HANA and Oracle considerations, post-migration validation, monitoring, troubleshooting, cutover, rollback, go-live and hypercare.</w:t>
      </w:r>
    </w:p>
    <w:p>
      <w:pPr>
        <w:spacing w:before="100" w:after="20"/>
        <w:shd w:val="clear" w:color="auto" w:fill="F4F7FB"/>
        <w:pBdr>
          <w:left w:val="single" w:sz="18" w:space="6" w:color="1B4F86"/>
        </w:pBdr>
      </w:pPr>
      <w:r>
        <w:rPr>
          <w:rFonts w:ascii="Calibri" w:hAnsi="Calibri"/>
          <w:b/>
          <w:color w:val="0F2B4C"/>
          <w:sz w:val="26"/>
        </w:rPr>
        <w:t>lifecycle stages</w:t>
      </w:r>
      <w:r>
        <w:rPr>
          <w:rFonts w:ascii="Calibri" w:hAnsi="Calibri"/>
          <w:b/>
          <w:color w:val="5B7288"/>
          <w:sz w:val="16"/>
        </w:rPr>
        <w:t xml:space="preserve">   10</w:t>
      </w:r>
    </w:p>
    <w:p>
      <w:pPr>
        <w:shd w:val="clear" w:color="auto" w:fill="F4F7FB"/>
        <w:pBdr>
          <w:left w:val="single" w:sz="18" w:space="6" w:color="1B4F86"/>
        </w:pBdr>
        <w:spacing w:after="80"/>
      </w:pPr>
      <w:r>
        <w:rPr>
          <w:rFonts w:ascii="Calibri" w:hAnsi="Calibri"/>
          <w:color w:val="5B7288"/>
          <w:sz w:val="17"/>
        </w:rPr>
        <w:t>Scope through to hypercare, each with entry and exit criteria</w:t>
      </w:r>
    </w:p>
    <w:p>
      <w:pPr>
        <w:spacing w:before="100" w:after="20"/>
        <w:shd w:val="clear" w:color="auto" w:fill="F4F7FB"/>
        <w:pBdr>
          <w:left w:val="single" w:sz="18" w:space="6" w:color="1B4F86"/>
        </w:pBdr>
      </w:pPr>
      <w:r>
        <w:rPr>
          <w:rFonts w:ascii="Calibri" w:hAnsi="Calibri"/>
          <w:b/>
          <w:color w:val="0F2B4C"/>
          <w:sz w:val="26"/>
        </w:rPr>
        <w:t>vector figures</w:t>
      </w:r>
      <w:r>
        <w:rPr>
          <w:rFonts w:ascii="Calibri" w:hAnsi="Calibri"/>
          <w:b/>
          <w:color w:val="5B7288"/>
          <w:sz w:val="16"/>
        </w:rPr>
        <w:t xml:space="preserve">   8</w:t>
      </w:r>
    </w:p>
    <w:p>
      <w:pPr>
        <w:shd w:val="clear" w:color="auto" w:fill="F4F7FB"/>
        <w:pBdr>
          <w:left w:val="single" w:sz="18" w:space="6" w:color="1B4F86"/>
        </w:pBdr>
        <w:spacing w:after="80"/>
      </w:pPr>
      <w:r>
        <w:rPr>
          <w:rFonts w:ascii="Calibri" w:hAnsi="Calibri"/>
          <w:color w:val="5B7288"/>
          <w:sz w:val="17"/>
        </w:rPr>
        <w:t>Architecture, flows, decision gates and troubleshooting paths</w:t>
      </w:r>
    </w:p>
    <w:p>
      <w:pPr>
        <w:spacing w:before="100" w:after="20"/>
        <w:shd w:val="clear" w:color="auto" w:fill="F4F7FB"/>
        <w:pBdr>
          <w:left w:val="single" w:sz="18" w:space="6" w:color="1B4F86"/>
        </w:pBdr>
      </w:pPr>
      <w:r>
        <w:rPr>
          <w:rFonts w:ascii="Calibri" w:hAnsi="Calibri"/>
          <w:b/>
          <w:color w:val="0F2B4C"/>
          <w:sz w:val="26"/>
        </w:rPr>
        <w:t>live checklists</w:t>
      </w:r>
      <w:r>
        <w:rPr>
          <w:rFonts w:ascii="Calibri" w:hAnsi="Calibri"/>
          <w:b/>
          <w:color w:val="5B7288"/>
          <w:sz w:val="16"/>
        </w:rPr>
        <w:t xml:space="preserve">   5</w:t>
      </w:r>
    </w:p>
    <w:p>
      <w:pPr>
        <w:shd w:val="clear" w:color="auto" w:fill="F4F7FB"/>
        <w:pBdr>
          <w:left w:val="single" w:sz="18" w:space="6" w:color="1B4F86"/>
        </w:pBdr>
        <w:spacing w:after="80"/>
      </w:pPr>
      <w:r>
        <w:rPr>
          <w:rFonts w:ascii="Calibri" w:hAnsi="Calibri"/>
          <w:color w:val="5B7288"/>
          <w:sz w:val="17"/>
        </w:rPr>
        <w:t>OS, SAP, database, performance and cutover readiness</w:t>
      </w:r>
    </w:p>
    <w:p>
      <w:pPr>
        <w:spacing w:before="100" w:after="20"/>
        <w:shd w:val="clear" w:color="auto" w:fill="F4F7FB"/>
        <w:pBdr>
          <w:left w:val="single" w:sz="18" w:space="6" w:color="1B4F86"/>
        </w:pBdr>
      </w:pPr>
      <w:r>
        <w:rPr>
          <w:rFonts w:ascii="Calibri" w:hAnsi="Calibri"/>
          <w:b/>
          <w:color w:val="0F2B4C"/>
          <w:sz w:val="26"/>
        </w:rPr>
        <w:t>days of hypercare</w:t>
      </w:r>
      <w:r>
        <w:rPr>
          <w:rFonts w:ascii="Calibri" w:hAnsi="Calibri"/>
          <w:b/>
          <w:color w:val="5B7288"/>
          <w:sz w:val="16"/>
        </w:rPr>
        <w:t xml:space="preserve">   15</w:t>
      </w:r>
    </w:p>
    <w:p>
      <w:pPr>
        <w:shd w:val="clear" w:color="auto" w:fill="F4F7FB"/>
        <w:pBdr>
          <w:left w:val="single" w:sz="18" w:space="6" w:color="1B4F86"/>
        </w:pBdr>
        <w:spacing w:after="80"/>
      </w:pPr>
      <w:r>
        <w:rPr>
          <w:rFonts w:ascii="Calibri" w:hAnsi="Calibri"/>
          <w:color w:val="5B7288"/>
          <w:sz w:val="17"/>
        </w:rPr>
        <w:t>Stated post-go-live support period in the source training</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CORE OPERATING PRINCIPLE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 migration is not simply a technical copy. The process begins with scope, discovery, inventory and dependency analysis, followed by sizing, architecture, build, validation, migration and controlled handover. Every stage produces evidence that the next stage consumes.</w:t>
      </w:r>
    </w:p>
    <w:p>
      <w:pPr>
        <w:spacing w:before="180" w:after="40"/>
        <w:shd w:val="clear" w:color="auto" w:fill="F8FCF9"/>
        <w:pBdr>
          <w:left w:val="single" w:sz="6" w:space="6" w:color="3D9A5F"/>
          <w:top w:val="single" w:sz="6" w:space="6" w:color="3D9A5F"/>
          <w:right w:val="single" w:sz="6" w:space="6" w:color="3D9A5F"/>
        </w:pBdr>
        <w:keepNext/>
      </w:pPr>
      <w:r>
        <w:rPr>
          <w:rFonts w:ascii="Calibri" w:hAnsi="Calibri"/>
          <w:b/>
          <w:color w:val="3D9A5F"/>
          <w:sz w:val="16"/>
        </w:rPr>
        <w:t>BASELINE PRINCIPLE</w:t>
      </w:r>
    </w:p>
    <w:p>
      <w:pPr>
        <w:spacing w:after="40"/>
        <w:ind w:left="170"/>
        <w:shd w:val="clear" w:color="auto" w:fill="F8FCF9"/>
        <w:pBdr>
          <w:left w:val="single" w:sz="6" w:space="6" w:color="3D9A5F"/>
          <w:bottom w:val="single" w:sz="6" w:space="6" w:color="3D9A5F"/>
          <w:right w:val="single" w:sz="6" w:space="6" w:color="3D9A5F"/>
        </w:pBdr>
      </w:pPr>
      <w:r>
        <w:rPr>
          <w:rFonts w:ascii="Calibri" w:hAnsi="Calibri"/>
          <w:b/>
          <w:i w:val="0"/>
          <w:color w:val="334E68"/>
          <w:sz w:val="18"/>
        </w:rPr>
        <w:t>Working before migration should work after migration.</w:t>
      </w:r>
      <w:r>
        <w:rPr>
          <w:rFonts w:ascii="Calibri" w:hAnsi="Calibri"/>
          <w:b w:val="0"/>
          <w:i w:val="0"/>
          <w:color w:val="334E68"/>
          <w:sz w:val="18"/>
        </w:rPr>
        <w:t xml:space="preserve"> If something was already failing before migration, it is documented as a pre-existing condition — not absorbed as a migration defect, and not quietly fixed without a record.</w:t>
      </w:r>
    </w:p>
    <w:p>
      <w:pPr>
        <w:pStyle w:val="Heading2"/>
        <w:pBdr>
          <w:bottom w:val="single" w:sz="6" w:space="3" w:color="E8EDF3"/>
        </w:pBdr>
      </w:pPr>
      <w:r>
        <w:rPr>
          <w:rFonts w:ascii="Calibri" w:hAnsi="Calibri"/>
          <w:b/>
          <w:color w:val="0F2B4C"/>
          <w:sz w:val="26"/>
        </w:rPr>
        <w:t>1.1  Training coverage at a glance</w:t>
      </w:r>
    </w:p>
    <w:p>
      <w:pPr>
        <w:spacing w:after="60" w:before="160"/>
        <w:keepNext/>
      </w:pPr>
      <w:r>
        <w:rPr>
          <w:rFonts w:ascii="Calibri" w:hAnsi="Calibri"/>
          <w:b/>
          <w:color w:val="5B7288"/>
          <w:sz w:val="15"/>
        </w:rPr>
        <w:t>COVERAGE MAP</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735"/>
        <w:gridCol w:w="5012"/>
        <w:gridCol w:w="2891"/>
      </w:tblGrid>
      <w:tr>
        <w:trPr>
          <w:tblHeader/>
          <w:cantSplit/>
        </w:trPr>
        <w:tc>
          <w:tcPr>
            <w:tcW w:type="dxa" w:w="1735"/>
            <w:shd w:val="clear" w:color="auto" w:fill="0F2B4C"/>
          </w:tcPr>
          <w:p>
            <w:pPr>
              <w:spacing w:after="20" w:before="20"/>
            </w:pPr>
            <w:r/>
            <w:r>
              <w:rPr>
                <w:rFonts w:ascii="Calibri" w:hAnsi="Calibri"/>
                <w:b/>
                <w:color w:val="FFFFFF"/>
                <w:sz w:val="17"/>
              </w:rPr>
              <w:t>Area</w:t>
            </w:r>
          </w:p>
        </w:tc>
        <w:tc>
          <w:tcPr>
            <w:tcW w:type="dxa" w:w="5012"/>
            <w:shd w:val="clear" w:color="auto" w:fill="0F2B4C"/>
          </w:tcPr>
          <w:p>
            <w:pPr>
              <w:spacing w:after="20" w:before="20"/>
            </w:pPr>
            <w:r/>
            <w:r>
              <w:rPr>
                <w:rFonts w:ascii="Calibri" w:hAnsi="Calibri"/>
                <w:b/>
                <w:color w:val="FFFFFF"/>
                <w:sz w:val="17"/>
              </w:rPr>
              <w:t>Training focus</w:t>
            </w:r>
          </w:p>
        </w:tc>
        <w:tc>
          <w:tcPr>
            <w:tcW w:type="dxa" w:w="2891"/>
            <w:shd w:val="clear" w:color="auto" w:fill="0F2B4C"/>
          </w:tcPr>
          <w:p>
            <w:pPr>
              <w:spacing w:after="20" w:before="20"/>
            </w:pPr>
            <w:r/>
            <w:r>
              <w:rPr>
                <w:rFonts w:ascii="Calibri" w:hAnsi="Calibri"/>
                <w:b/>
                <w:color w:val="FFFFFF"/>
                <w:sz w:val="17"/>
              </w:rPr>
              <w:t>Where it is covered</w:t>
            </w:r>
          </w:p>
        </w:tc>
      </w:tr>
      <w:tr>
        <w:trPr>
          <w:cantSplit/>
        </w:trPr>
        <w:tc>
          <w:tcPr>
            <w:tcW w:type="dxa" w:w="1735"/>
          </w:tcPr>
          <w:p>
            <w:pPr>
              <w:spacing w:after="20" w:before="20"/>
            </w:pPr>
            <w:r/>
            <w:r>
              <w:rPr>
                <w:rFonts w:ascii="Calibri" w:hAnsi="Calibri"/>
                <w:b/>
                <w:i w:val="0"/>
                <w:color w:val="334E68"/>
                <w:sz w:val="17"/>
              </w:rPr>
              <w:t>Preparation</w:t>
            </w:r>
          </w:p>
        </w:tc>
        <w:tc>
          <w:tcPr>
            <w:tcW w:type="dxa" w:w="5012"/>
          </w:tcPr>
          <w:p>
            <w:pPr>
              <w:spacing w:after="20" w:before="20"/>
            </w:pPr>
            <w:r/>
            <w:r>
              <w:rPr>
                <w:rFonts w:ascii="Calibri" w:hAnsi="Calibri"/>
                <w:b w:val="0"/>
                <w:i w:val="0"/>
                <w:color w:val="334E68"/>
                <w:sz w:val="17"/>
              </w:rPr>
              <w:t>Scope, access, CMDB, IP analysis, source parameters</w:t>
            </w:r>
          </w:p>
        </w:tc>
        <w:tc>
          <w:tcPr>
            <w:tcW w:type="dxa" w:w="2891"/>
          </w:tcPr>
          <w:p>
            <w:pPr>
              <w:spacing w:after="20" w:before="20"/>
            </w:pPr>
            <w:r/>
            <w:r>
              <w:rPr>
                <w:rFonts w:ascii="Calibri" w:hAnsi="Calibri"/>
                <w:b w:val="0"/>
                <w:i w:val="0"/>
                <w:color w:val="334E68"/>
                <w:sz w:val="17"/>
              </w:rPr>
              <w:t>Module 1 (Section 4)</w:t>
            </w:r>
          </w:p>
        </w:tc>
      </w:tr>
      <w:tr>
        <w:trPr>
          <w:cantSplit/>
        </w:trPr>
        <w:tc>
          <w:tcPr>
            <w:tcW w:type="dxa" w:w="1735"/>
            <w:shd w:val="clear" w:color="auto" w:fill="FAFBFD"/>
          </w:tcPr>
          <w:p>
            <w:pPr>
              <w:spacing w:after="20" w:before="20"/>
            </w:pPr>
            <w:r/>
            <w:r>
              <w:rPr>
                <w:rFonts w:ascii="Calibri" w:hAnsi="Calibri"/>
                <w:b/>
                <w:i w:val="0"/>
                <w:color w:val="334E68"/>
                <w:sz w:val="17"/>
              </w:rPr>
              <w:t>Discovery</w:t>
            </w:r>
          </w:p>
        </w:tc>
        <w:tc>
          <w:tcPr>
            <w:tcW w:type="dxa" w:w="5012"/>
            <w:shd w:val="clear" w:color="auto" w:fill="FAFBFD"/>
          </w:tcPr>
          <w:p>
            <w:pPr>
              <w:spacing w:after="20" w:before="20"/>
            </w:pPr>
            <w:r/>
            <w:r>
              <w:rPr>
                <w:rFonts w:ascii="Calibri" w:hAnsi="Calibri"/>
                <w:b w:val="0"/>
                <w:i w:val="0"/>
                <w:color w:val="334E68"/>
                <w:sz w:val="17"/>
              </w:rPr>
              <w:t>Sizing, workload, interfaces, external agents, NFS, AL11</w:t>
            </w:r>
          </w:p>
        </w:tc>
        <w:tc>
          <w:tcPr>
            <w:tcW w:type="dxa" w:w="2891"/>
            <w:shd w:val="clear" w:color="auto" w:fill="FAFBFD"/>
          </w:tcPr>
          <w:p>
            <w:pPr>
              <w:spacing w:after="20" w:before="20"/>
            </w:pPr>
            <w:r/>
            <w:r>
              <w:rPr>
                <w:rFonts w:ascii="Calibri" w:hAnsi="Calibri"/>
                <w:b w:val="0"/>
                <w:i w:val="0"/>
                <w:color w:val="334E68"/>
                <w:sz w:val="17"/>
              </w:rPr>
              <w:t>Module 1 (Section 4)</w:t>
            </w:r>
          </w:p>
        </w:tc>
      </w:tr>
      <w:tr>
        <w:trPr>
          <w:cantSplit/>
        </w:trPr>
        <w:tc>
          <w:tcPr>
            <w:tcW w:type="dxa" w:w="1735"/>
          </w:tcPr>
          <w:p>
            <w:pPr>
              <w:spacing w:after="20" w:before="20"/>
            </w:pPr>
            <w:r/>
            <w:r>
              <w:rPr>
                <w:rFonts w:ascii="Calibri" w:hAnsi="Calibri"/>
                <w:b/>
                <w:i w:val="0"/>
                <w:color w:val="334E68"/>
                <w:sz w:val="17"/>
              </w:rPr>
              <w:t>Target readiness</w:t>
            </w:r>
          </w:p>
        </w:tc>
        <w:tc>
          <w:tcPr>
            <w:tcW w:type="dxa" w:w="5012"/>
          </w:tcPr>
          <w:p>
            <w:pPr>
              <w:spacing w:after="20" w:before="20"/>
            </w:pPr>
            <w:r/>
            <w:r>
              <w:rPr>
                <w:rFonts w:ascii="Calibri" w:hAnsi="Calibri"/>
                <w:b w:val="0"/>
                <w:i w:val="0"/>
                <w:color w:val="334E68"/>
                <w:sz w:val="17"/>
              </w:rPr>
              <w:t>AWS account, VPC, subnets, DNS, S3, build sheet</w:t>
            </w:r>
          </w:p>
        </w:tc>
        <w:tc>
          <w:tcPr>
            <w:tcW w:type="dxa" w:w="2891"/>
          </w:tcPr>
          <w:p>
            <w:pPr>
              <w:spacing w:after="20" w:before="20"/>
            </w:pPr>
            <w:r/>
            <w:r>
              <w:rPr>
                <w:rFonts w:ascii="Calibri" w:hAnsi="Calibri"/>
                <w:b w:val="0"/>
                <w:i w:val="0"/>
                <w:color w:val="334E68"/>
                <w:sz w:val="17"/>
              </w:rPr>
              <w:t>Module 2 (Section 5)</w:t>
            </w:r>
          </w:p>
        </w:tc>
      </w:tr>
      <w:tr>
        <w:trPr>
          <w:cantSplit/>
        </w:trPr>
        <w:tc>
          <w:tcPr>
            <w:tcW w:type="dxa" w:w="1735"/>
            <w:shd w:val="clear" w:color="auto" w:fill="FAFBFD"/>
          </w:tcPr>
          <w:p>
            <w:pPr>
              <w:spacing w:after="20" w:before="20"/>
            </w:pPr>
            <w:r/>
            <w:r>
              <w:rPr>
                <w:rFonts w:ascii="Calibri" w:hAnsi="Calibri"/>
                <w:b/>
                <w:i w:val="0"/>
                <w:color w:val="334E68"/>
                <w:sz w:val="17"/>
              </w:rPr>
              <w:t>SAP / HANA</w:t>
            </w:r>
          </w:p>
        </w:tc>
        <w:tc>
          <w:tcPr>
            <w:tcW w:type="dxa" w:w="5012"/>
            <w:shd w:val="clear" w:color="auto" w:fill="FAFBFD"/>
          </w:tcPr>
          <w:p>
            <w:pPr>
              <w:spacing w:after="20" w:before="20"/>
            </w:pPr>
            <w:r/>
            <w:r>
              <w:rPr>
                <w:rFonts w:ascii="Calibri" w:hAnsi="Calibri"/>
                <w:b w:val="0"/>
                <w:i w:val="0"/>
                <w:color w:val="334E68"/>
                <w:sz w:val="17"/>
              </w:rPr>
              <w:t>MDC, SystemDB/TenantDB, backup, recovery, HA</w:t>
            </w:r>
          </w:p>
        </w:tc>
        <w:tc>
          <w:tcPr>
            <w:tcW w:type="dxa" w:w="2891"/>
            <w:shd w:val="clear" w:color="auto" w:fill="FAFBFD"/>
          </w:tcPr>
          <w:p>
            <w:pPr>
              <w:spacing w:after="20" w:before="20"/>
            </w:pPr>
            <w:r/>
            <w:r>
              <w:rPr>
                <w:rFonts w:ascii="Calibri" w:hAnsi="Calibri"/>
                <w:b w:val="0"/>
                <w:i w:val="0"/>
                <w:color w:val="334E68"/>
                <w:sz w:val="17"/>
              </w:rPr>
              <w:t>Module 3 (Section 6)</w:t>
            </w:r>
          </w:p>
        </w:tc>
      </w:tr>
      <w:tr>
        <w:trPr>
          <w:cantSplit/>
        </w:trPr>
        <w:tc>
          <w:tcPr>
            <w:tcW w:type="dxa" w:w="1735"/>
          </w:tcPr>
          <w:p>
            <w:pPr>
              <w:spacing w:after="20" w:before="20"/>
            </w:pPr>
            <w:r/>
            <w:r>
              <w:rPr>
                <w:rFonts w:ascii="Calibri" w:hAnsi="Calibri"/>
                <w:b/>
                <w:i w:val="0"/>
                <w:color w:val="334E68"/>
                <w:sz w:val="17"/>
              </w:rPr>
              <w:t>SAP validation</w:t>
            </w:r>
          </w:p>
        </w:tc>
        <w:tc>
          <w:tcPr>
            <w:tcW w:type="dxa" w:w="5012"/>
          </w:tcPr>
          <w:p>
            <w:pPr>
              <w:spacing w:after="20" w:before="20"/>
            </w:pPr>
            <w:r/>
            <w:r>
              <w:rPr>
                <w:rFonts w:ascii="Calibri" w:hAnsi="Calibri"/>
                <w:b w:val="0"/>
                <w:i w:val="0"/>
                <w:color w:val="334E68"/>
                <w:sz w:val="17"/>
              </w:rPr>
              <w:t>OS, services, STMS, RFC, Gateway, SNC, certificates</w:t>
            </w:r>
          </w:p>
        </w:tc>
        <w:tc>
          <w:tcPr>
            <w:tcW w:type="dxa" w:w="2891"/>
          </w:tcPr>
          <w:p>
            <w:pPr>
              <w:spacing w:after="20" w:before="20"/>
            </w:pPr>
            <w:r/>
            <w:r>
              <w:rPr>
                <w:rFonts w:ascii="Calibri" w:hAnsi="Calibri"/>
                <w:b w:val="0"/>
                <w:i w:val="0"/>
                <w:color w:val="334E68"/>
                <w:sz w:val="17"/>
              </w:rPr>
              <w:t>Module 4 (Section 7)</w:t>
            </w:r>
          </w:p>
        </w:tc>
      </w:tr>
      <w:tr>
        <w:trPr>
          <w:cantSplit/>
        </w:trPr>
        <w:tc>
          <w:tcPr>
            <w:tcW w:type="dxa" w:w="1735"/>
            <w:shd w:val="clear" w:color="auto" w:fill="FAFBFD"/>
          </w:tcPr>
          <w:p>
            <w:pPr>
              <w:spacing w:after="20" w:before="20"/>
            </w:pPr>
            <w:r/>
            <w:r>
              <w:rPr>
                <w:rFonts w:ascii="Calibri" w:hAnsi="Calibri"/>
                <w:b/>
                <w:i w:val="0"/>
                <w:color w:val="334E68"/>
                <w:sz w:val="17"/>
              </w:rPr>
              <w:t>Performance</w:t>
            </w:r>
          </w:p>
        </w:tc>
        <w:tc>
          <w:tcPr>
            <w:tcW w:type="dxa" w:w="5012"/>
            <w:shd w:val="clear" w:color="auto" w:fill="FAFBFD"/>
          </w:tcPr>
          <w:p>
            <w:pPr>
              <w:spacing w:after="20" w:before="20"/>
            </w:pPr>
            <w:r/>
            <w:r>
              <w:rPr>
                <w:rFonts w:ascii="Calibri" w:hAnsi="Calibri"/>
                <w:b w:val="0"/>
                <w:i w:val="0"/>
                <w:color w:val="334E68"/>
                <w:sz w:val="17"/>
              </w:rPr>
              <w:t>ST02, ST03/ST03N, STAD, response-time analysis</w:t>
            </w:r>
          </w:p>
        </w:tc>
        <w:tc>
          <w:tcPr>
            <w:tcW w:type="dxa" w:w="2891"/>
            <w:shd w:val="clear" w:color="auto" w:fill="FAFBFD"/>
          </w:tcPr>
          <w:p>
            <w:pPr>
              <w:spacing w:after="20" w:before="20"/>
            </w:pPr>
            <w:r/>
            <w:r>
              <w:rPr>
                <w:rFonts w:ascii="Calibri" w:hAnsi="Calibri"/>
                <w:b w:val="0"/>
                <w:i w:val="0"/>
                <w:color w:val="334E68"/>
                <w:sz w:val="17"/>
              </w:rPr>
              <w:t>Module 5 (Section 8)</w:t>
            </w:r>
          </w:p>
        </w:tc>
      </w:tr>
      <w:tr>
        <w:trPr>
          <w:cantSplit/>
        </w:trPr>
        <w:tc>
          <w:tcPr>
            <w:tcW w:type="dxa" w:w="1735"/>
          </w:tcPr>
          <w:p>
            <w:pPr>
              <w:spacing w:after="20" w:before="20"/>
            </w:pPr>
            <w:r/>
            <w:r>
              <w:rPr>
                <w:rFonts w:ascii="Calibri" w:hAnsi="Calibri"/>
                <w:b/>
                <w:i w:val="0"/>
                <w:color w:val="334E68"/>
                <w:sz w:val="17"/>
              </w:rPr>
              <w:t>Oracle</w:t>
            </w:r>
          </w:p>
        </w:tc>
        <w:tc>
          <w:tcPr>
            <w:tcW w:type="dxa" w:w="5012"/>
          </w:tcPr>
          <w:p>
            <w:pPr>
              <w:spacing w:after="20" w:before="20"/>
            </w:pPr>
            <w:r/>
            <w:r>
              <w:rPr>
                <w:rFonts w:ascii="Calibri" w:hAnsi="Calibri"/>
                <w:b w:val="0"/>
                <w:i w:val="0"/>
                <w:color w:val="334E68"/>
                <w:sz w:val="17"/>
              </w:rPr>
              <w:t>Data Guard, SCN, snapshots, DBVERIFY, RMAN</w:t>
            </w:r>
          </w:p>
        </w:tc>
        <w:tc>
          <w:tcPr>
            <w:tcW w:type="dxa" w:w="2891"/>
          </w:tcPr>
          <w:p>
            <w:pPr>
              <w:spacing w:after="20" w:before="20"/>
            </w:pPr>
            <w:r/>
            <w:r>
              <w:rPr>
                <w:rFonts w:ascii="Calibri" w:hAnsi="Calibri"/>
                <w:b w:val="0"/>
                <w:i w:val="0"/>
                <w:color w:val="334E68"/>
                <w:sz w:val="17"/>
              </w:rPr>
              <w:t>Module 6 (Section 9)</w:t>
            </w:r>
          </w:p>
        </w:tc>
      </w:tr>
      <w:tr>
        <w:trPr>
          <w:cantSplit/>
        </w:trPr>
        <w:tc>
          <w:tcPr>
            <w:tcW w:type="dxa" w:w="1735"/>
            <w:shd w:val="clear" w:color="auto" w:fill="FAFBFD"/>
          </w:tcPr>
          <w:p>
            <w:pPr>
              <w:spacing w:after="20" w:before="20"/>
            </w:pPr>
            <w:r/>
            <w:r>
              <w:rPr>
                <w:rFonts w:ascii="Calibri" w:hAnsi="Calibri"/>
                <w:b/>
                <w:i w:val="0"/>
                <w:color w:val="334E68"/>
                <w:sz w:val="17"/>
              </w:rPr>
              <w:t>Cutover</w:t>
            </w:r>
          </w:p>
        </w:tc>
        <w:tc>
          <w:tcPr>
            <w:tcW w:type="dxa" w:w="5012"/>
            <w:shd w:val="clear" w:color="auto" w:fill="FAFBFD"/>
          </w:tcPr>
          <w:p>
            <w:pPr>
              <w:spacing w:after="20" w:before="20"/>
            </w:pPr>
            <w:r/>
            <w:r>
              <w:rPr>
                <w:rFonts w:ascii="Calibri" w:hAnsi="Calibri"/>
                <w:b w:val="0"/>
                <w:i w:val="0"/>
                <w:color w:val="334E68"/>
                <w:sz w:val="17"/>
              </w:rPr>
              <w:t>Shutdown, switchover/recovery, validation, Go/No-Go</w:t>
            </w:r>
          </w:p>
        </w:tc>
        <w:tc>
          <w:tcPr>
            <w:tcW w:type="dxa" w:w="2891"/>
            <w:shd w:val="clear" w:color="auto" w:fill="FAFBFD"/>
          </w:tcPr>
          <w:p>
            <w:pPr>
              <w:spacing w:after="20" w:before="20"/>
            </w:pPr>
            <w:r/>
            <w:r>
              <w:rPr>
                <w:rFonts w:ascii="Calibri" w:hAnsi="Calibri"/>
                <w:b w:val="0"/>
                <w:i w:val="0"/>
                <w:color w:val="334E68"/>
                <w:sz w:val="17"/>
              </w:rPr>
              <w:t>Module 7 (Section 10)</w:t>
            </w:r>
          </w:p>
        </w:tc>
      </w:tr>
      <w:tr>
        <w:trPr>
          <w:cantSplit/>
        </w:trPr>
        <w:tc>
          <w:tcPr>
            <w:tcW w:type="dxa" w:w="1735"/>
          </w:tcPr>
          <w:p>
            <w:pPr>
              <w:spacing w:after="20" w:before="20"/>
            </w:pPr>
            <w:r/>
            <w:r>
              <w:rPr>
                <w:rFonts w:ascii="Calibri" w:hAnsi="Calibri"/>
                <w:b/>
                <w:i w:val="0"/>
                <w:color w:val="334E68"/>
                <w:sz w:val="17"/>
              </w:rPr>
              <w:t>After go-live</w:t>
            </w:r>
          </w:p>
        </w:tc>
        <w:tc>
          <w:tcPr>
            <w:tcW w:type="dxa" w:w="5012"/>
          </w:tcPr>
          <w:p>
            <w:pPr>
              <w:spacing w:after="20" w:before="20"/>
            </w:pPr>
            <w:r/>
            <w:r>
              <w:rPr>
                <w:rFonts w:ascii="Calibri" w:hAnsi="Calibri"/>
                <w:b w:val="0"/>
                <w:i w:val="0"/>
                <w:color w:val="334E68"/>
                <w:sz w:val="17"/>
              </w:rPr>
              <w:t>Hypercare, evidence, issue classification and support</w:t>
            </w:r>
          </w:p>
        </w:tc>
        <w:tc>
          <w:tcPr>
            <w:tcW w:type="dxa" w:w="2891"/>
          </w:tcPr>
          <w:p>
            <w:pPr>
              <w:spacing w:after="20" w:before="20"/>
            </w:pPr>
            <w:r/>
            <w:r>
              <w:rPr>
                <w:rFonts w:ascii="Calibri" w:hAnsi="Calibri"/>
                <w:b w:val="0"/>
                <w:i w:val="0"/>
                <w:color w:val="334E68"/>
                <w:sz w:val="17"/>
              </w:rPr>
              <w:t>Module 7 (Section 10)</w:t>
            </w:r>
          </w:p>
        </w:tc>
      </w:tr>
    </w:tbl>
    <w:p>
      <w:pPr>
        <w:spacing w:after="40"/>
      </w:pPr>
    </w:p>
    <w:p>
      <w:pPr>
        <w:pStyle w:val="Heading2"/>
        <w:pBdr>
          <w:bottom w:val="single" w:sz="6" w:space="3" w:color="E8EDF3"/>
        </w:pBdr>
      </w:pPr>
      <w:r>
        <w:rPr>
          <w:rFonts w:ascii="Calibri" w:hAnsi="Calibri"/>
          <w:b/>
          <w:color w:val="0F2B4C"/>
          <w:sz w:val="26"/>
        </w:rPr>
        <w:t>1.2  What good looks like at the end of a migration</w:t>
      </w:r>
    </w:p>
    <w:p>
      <w:pPr>
        <w:spacing w:before="100" w:after="20"/>
        <w:shd w:val="clear" w:color="auto" w:fill="F7F9FC"/>
        <w:pBdr>
          <w:left w:val="single" w:sz="18" w:space="6" w:color="9EC3EC"/>
        </w:pBdr>
      </w:pPr>
      <w:r>
        <w:rPr>
          <w:rFonts w:ascii="Calibri" w:hAnsi="Calibri"/>
          <w:b/>
          <w:color w:val="0F2B4C"/>
          <w:sz w:val="19"/>
        </w:rPr>
        <w:t>Technically identical where it matters</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OS, SAP and database parameters, UIDs/GIDs, directories, interfaces and certificates match the approved target design — and every difference from source is explained, not discovered later.</w:t>
      </w:r>
    </w:p>
    <w:p>
      <w:pPr>
        <w:spacing w:before="100" w:after="20"/>
        <w:shd w:val="clear" w:color="auto" w:fill="F7F9FC"/>
        <w:pBdr>
          <w:left w:val="single" w:sz="18" w:space="6" w:color="9EC3EC"/>
        </w:pBdr>
      </w:pPr>
      <w:r>
        <w:rPr>
          <w:rFonts w:ascii="Calibri" w:hAnsi="Calibri"/>
          <w:b/>
          <w:color w:val="0F2B4C"/>
          <w:sz w:val="19"/>
        </w:rPr>
        <w:t>Provably working</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Auto-start has been proven through a real reboot, backup and recovery have been tested, and RFC, Gateway, STMS, spool and SNC connectivity have each been exercised, not assumed.</w:t>
      </w:r>
    </w:p>
    <w:p>
      <w:pPr>
        <w:spacing w:before="100" w:after="20"/>
        <w:shd w:val="clear" w:color="auto" w:fill="F7F9FC"/>
        <w:pBdr>
          <w:left w:val="single" w:sz="18" w:space="6" w:color="9EC3EC"/>
        </w:pBdr>
      </w:pPr>
      <w:r>
        <w:rPr>
          <w:rFonts w:ascii="Calibri" w:hAnsi="Calibri"/>
          <w:b/>
          <w:color w:val="0F2B4C"/>
          <w:sz w:val="19"/>
        </w:rPr>
        <w:t>Evidence at every gate</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Source and target evidence is captured, compared and attached to the change record before the next gate opens.</w:t>
      </w:r>
    </w:p>
    <w:p>
      <w:pPr>
        <w:spacing w:before="100" w:after="20"/>
        <w:shd w:val="clear" w:color="auto" w:fill="F7F9FC"/>
        <w:pBdr>
          <w:left w:val="single" w:sz="18" w:space="6" w:color="9EC3EC"/>
        </w:pBdr>
      </w:pPr>
      <w:r>
        <w:rPr>
          <w:rFonts w:ascii="Calibri" w:hAnsi="Calibri"/>
          <w:b/>
          <w:color w:val="0F2B4C"/>
          <w:sz w:val="19"/>
        </w:rPr>
        <w:t>Clear accountability</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One owner per system, one guide per owner, and no uncoordinated parallel changes to the same SID.</w:t>
      </w:r>
    </w:p>
    <w:p>
      <w:pPr>
        <w:spacing w:before="100" w:after="20"/>
        <w:shd w:val="clear" w:color="auto" w:fill="F7F9FC"/>
        <w:pBdr>
          <w:left w:val="single" w:sz="18" w:space="6" w:color="9EC3EC"/>
        </w:pBdr>
      </w:pPr>
      <w:r>
        <w:rPr>
          <w:rFonts w:ascii="Calibri" w:hAnsi="Calibri"/>
          <w:b/>
          <w:color w:val="0F2B4C"/>
          <w:sz w:val="19"/>
        </w:rPr>
        <w:t>Controlled handover</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Users unlocked, jobs and Control-M resumed with the owning teams, hypercare running, and issues classified against the pre-migration baseline.</w:t>
      </w:r>
    </w:p>
    <w:p>
      <w:pPr>
        <w:spacing w:before="100" w:after="20"/>
        <w:shd w:val="clear" w:color="auto" w:fill="F7F9FC"/>
        <w:pBdr>
          <w:left w:val="single" w:sz="18" w:space="6" w:color="9EC3EC"/>
        </w:pBdr>
      </w:pPr>
      <w:r>
        <w:rPr>
          <w:rFonts w:ascii="Calibri" w:hAnsi="Calibri"/>
          <w:b/>
          <w:color w:val="0F2B4C"/>
          <w:sz w:val="19"/>
        </w:rPr>
        <w:t>Rollback still possible</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Until the migration is declared safe, the snapshot, source system and DNS rollback path remain available and tested.</w:t>
      </w:r>
    </w:p>
    <w:p>
      <w:r>
        <w:br w:type="page"/>
      </w:r>
    </w:p>
    <w:p>
      <w:pPr>
        <w:spacing w:after="20"/>
      </w:pPr>
      <w:r>
        <w:rPr>
          <w:rFonts w:ascii="Calibri" w:hAnsi="Calibri"/>
          <w:b/>
          <w:color w:val="1B4F86"/>
          <w:sz w:val="16"/>
        </w:rPr>
        <w:t>SECTION 2</w:t>
      </w:r>
    </w:p>
    <w:p>
      <w:pPr>
        <w:pStyle w:val="Heading1"/>
        <w:pBdr>
          <w:bottom w:val="single" w:sz="12" w:space="5" w:color="1B4F86"/>
        </w:pBdr>
        <w:spacing w:after="160"/>
      </w:pPr>
      <w:r>
        <w:rPr>
          <w:rFonts w:ascii="Calibri Light" w:hAnsi="Calibri Light"/>
          <w:b/>
          <w:color w:val="0F2B4C"/>
          <w:sz w:val="38"/>
        </w:rPr>
        <w:t>2  Training objectives and learning outcomes</w:t>
      </w:r>
    </w:p>
    <w:p>
      <w:pPr>
        <w:spacing w:after="200"/>
      </w:pPr>
      <w:r>
        <w:rPr>
          <w:rFonts w:ascii="Calibri" w:hAnsi="Calibri"/>
          <w:i/>
          <w:color w:val="5B7288"/>
          <w:sz w:val="21"/>
        </w:rPr>
        <w:t>Ten objectives define what a trained engineer must be able to do. Each one maps to a module and to the evidence that proves the skill in practice.</w:t>
      </w:r>
    </w:p>
    <w:p>
      <w:pPr>
        <w:spacing w:after="60" w:before="160"/>
        <w:keepNext/>
      </w:pPr>
      <w:r>
        <w:rPr>
          <w:rFonts w:ascii="Calibri" w:hAnsi="Calibri"/>
          <w:b/>
          <w:color w:val="5B7288"/>
          <w:sz w:val="15"/>
        </w:rPr>
        <w:t>TRAINING OBJECTIVES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433"/>
        <w:gridCol w:w="867"/>
        <w:gridCol w:w="3855"/>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433"/>
            <w:shd w:val="clear" w:color="auto" w:fill="0F2B4C"/>
          </w:tcPr>
          <w:p>
            <w:pPr>
              <w:spacing w:after="20" w:before="20"/>
            </w:pPr>
            <w:r/>
            <w:r>
              <w:rPr>
                <w:rFonts w:ascii="Calibri" w:hAnsi="Calibri"/>
                <w:b/>
                <w:color w:val="FFFFFF"/>
                <w:sz w:val="17"/>
              </w:rPr>
              <w:t>Learning objective</w:t>
            </w:r>
          </w:p>
        </w:tc>
        <w:tc>
          <w:tcPr>
            <w:tcW w:type="dxa" w:w="867"/>
            <w:shd w:val="clear" w:color="auto" w:fill="0F2B4C"/>
          </w:tcPr>
          <w:p>
            <w:pPr>
              <w:spacing w:after="20" w:before="20"/>
            </w:pPr>
            <w:r/>
            <w:r>
              <w:rPr>
                <w:rFonts w:ascii="Calibri" w:hAnsi="Calibri"/>
                <w:b/>
                <w:color w:val="FFFFFF"/>
                <w:sz w:val="17"/>
              </w:rPr>
              <w:t>Module</w:t>
            </w:r>
          </w:p>
        </w:tc>
        <w:tc>
          <w:tcPr>
            <w:tcW w:type="dxa" w:w="3855"/>
            <w:shd w:val="clear" w:color="auto" w:fill="0F2B4C"/>
          </w:tcPr>
          <w:p>
            <w:pPr>
              <w:spacing w:after="20" w:before="20"/>
            </w:pPr>
            <w:r/>
            <w:r>
              <w:rPr>
                <w:rFonts w:ascii="Calibri" w:hAnsi="Calibri"/>
                <w:b/>
                <w:color w:val="FFFFFF"/>
                <w:sz w:val="17"/>
              </w:rPr>
              <w:t>Observable evidence of competence</w:t>
            </w:r>
          </w:p>
        </w:tc>
      </w:tr>
      <w:tr>
        <w:trPr>
          <w:cantSplit/>
        </w:trPr>
        <w:tc>
          <w:tcPr>
            <w:tcW w:type="dxa" w:w="482"/>
          </w:tcPr>
          <w:p>
            <w:pPr>
              <w:spacing w:after="20" w:before="20"/>
            </w:pPr>
            <w:r/>
            <w:r>
              <w:rPr>
                <w:rFonts w:ascii="Calibri" w:hAnsi="Calibri"/>
                <w:b/>
                <w:i w:val="0"/>
                <w:color w:val="334E68"/>
                <w:sz w:val="17"/>
              </w:rPr>
              <w:t>1</w:t>
            </w:r>
          </w:p>
        </w:tc>
        <w:tc>
          <w:tcPr>
            <w:tcW w:type="dxa" w:w="4433"/>
          </w:tcPr>
          <w:p>
            <w:pPr>
              <w:spacing w:after="20" w:before="20"/>
            </w:pPr>
            <w:r/>
            <w:r>
              <w:rPr>
                <w:rFonts w:ascii="Calibri" w:hAnsi="Calibri"/>
                <w:b w:val="0"/>
                <w:i w:val="0"/>
                <w:color w:val="334E68"/>
                <w:sz w:val="17"/>
              </w:rPr>
              <w:t>Understand the end-to-end migration lifecycle and the dependency between phases.</w:t>
            </w:r>
          </w:p>
        </w:tc>
        <w:tc>
          <w:tcPr>
            <w:tcW w:type="dxa" w:w="867"/>
          </w:tcPr>
          <w:p>
            <w:pPr>
              <w:spacing w:after="20" w:before="20"/>
            </w:pPr>
            <w:r/>
            <w:r>
              <w:rPr>
                <w:rFonts w:ascii="Calibri" w:hAnsi="Calibri"/>
                <w:b w:val="0"/>
                <w:i w:val="0"/>
                <w:color w:val="334E68"/>
                <w:sz w:val="17"/>
              </w:rPr>
              <w:t>3</w:t>
            </w:r>
          </w:p>
        </w:tc>
        <w:tc>
          <w:tcPr>
            <w:tcW w:type="dxa" w:w="3855"/>
          </w:tcPr>
          <w:p>
            <w:pPr>
              <w:spacing w:after="20" w:before="20"/>
            </w:pPr>
            <w:r/>
            <w:r>
              <w:rPr>
                <w:rFonts w:ascii="Calibri" w:hAnsi="Calibri"/>
                <w:b w:val="0"/>
                <w:i w:val="0"/>
                <w:color w:val="334E68"/>
                <w:sz w:val="17"/>
              </w:rPr>
              <w:t>Can explain why sizing precedes build, and why validation precedes cutover.</w:t>
            </w:r>
          </w:p>
        </w:tc>
      </w:tr>
      <w:tr>
        <w:trPr>
          <w:cantSplit/>
        </w:trPr>
        <w:tc>
          <w:tcPr>
            <w:tcW w:type="dxa" w:w="482"/>
            <w:shd w:val="clear" w:color="auto" w:fill="FAFBFD"/>
          </w:tcPr>
          <w:p>
            <w:pPr>
              <w:spacing w:after="20" w:before="20"/>
            </w:pPr>
            <w:r/>
            <w:r>
              <w:rPr>
                <w:rFonts w:ascii="Calibri" w:hAnsi="Calibri"/>
                <w:b/>
                <w:i w:val="0"/>
                <w:color w:val="334E68"/>
                <w:sz w:val="17"/>
              </w:rPr>
              <w:t>2</w:t>
            </w:r>
          </w:p>
        </w:tc>
        <w:tc>
          <w:tcPr>
            <w:tcW w:type="dxa" w:w="4433"/>
            <w:shd w:val="clear" w:color="auto" w:fill="FAFBFD"/>
          </w:tcPr>
          <w:p>
            <w:pPr>
              <w:spacing w:after="20" w:before="20"/>
            </w:pPr>
            <w:r/>
            <w:r>
              <w:rPr>
                <w:rFonts w:ascii="Calibri" w:hAnsi="Calibri"/>
                <w:b w:val="0"/>
                <w:i w:val="0"/>
                <w:color w:val="334E68"/>
                <w:sz w:val="17"/>
              </w:rPr>
              <w:t>Build a reliable source baseline before migration so target validation is evidence-based.</w:t>
            </w:r>
          </w:p>
        </w:tc>
        <w:tc>
          <w:tcPr>
            <w:tcW w:type="dxa" w:w="867"/>
            <w:shd w:val="clear" w:color="auto" w:fill="FAFBFD"/>
          </w:tcPr>
          <w:p>
            <w:pPr>
              <w:spacing w:after="20" w:before="20"/>
            </w:pPr>
            <w:r/>
            <w:r>
              <w:rPr>
                <w:rFonts w:ascii="Calibri" w:hAnsi="Calibri"/>
                <w:b w:val="0"/>
                <w:i w:val="0"/>
                <w:color w:val="334E68"/>
                <w:sz w:val="17"/>
              </w:rPr>
              <w:t>4</w:t>
            </w:r>
          </w:p>
        </w:tc>
        <w:tc>
          <w:tcPr>
            <w:tcW w:type="dxa" w:w="3855"/>
            <w:shd w:val="clear" w:color="auto" w:fill="FAFBFD"/>
          </w:tcPr>
          <w:p>
            <w:pPr>
              <w:spacing w:after="20" w:before="20"/>
            </w:pPr>
            <w:r/>
            <w:r>
              <w:rPr>
                <w:rFonts w:ascii="Calibri" w:hAnsi="Calibri"/>
                <w:b w:val="0"/>
                <w:i w:val="0"/>
                <w:color w:val="334E68"/>
                <w:sz w:val="17"/>
              </w:rPr>
              <w:t>Produces a source evidence pack with interfaces, directories and known failures recorded.</w:t>
            </w:r>
          </w:p>
        </w:tc>
      </w:tr>
      <w:tr>
        <w:trPr>
          <w:cantSplit/>
        </w:trPr>
        <w:tc>
          <w:tcPr>
            <w:tcW w:type="dxa" w:w="482"/>
          </w:tcPr>
          <w:p>
            <w:pPr>
              <w:spacing w:after="20" w:before="20"/>
            </w:pPr>
            <w:r/>
            <w:r>
              <w:rPr>
                <w:rFonts w:ascii="Calibri" w:hAnsi="Calibri"/>
                <w:b/>
                <w:i w:val="0"/>
                <w:color w:val="334E68"/>
                <w:sz w:val="17"/>
              </w:rPr>
              <w:t>3</w:t>
            </w:r>
          </w:p>
        </w:tc>
        <w:tc>
          <w:tcPr>
            <w:tcW w:type="dxa" w:w="4433"/>
          </w:tcPr>
          <w:p>
            <w:pPr>
              <w:spacing w:after="20" w:before="20"/>
            </w:pPr>
            <w:r/>
            <w:r>
              <w:rPr>
                <w:rFonts w:ascii="Calibri" w:hAnsi="Calibri"/>
                <w:b w:val="0"/>
                <w:i w:val="0"/>
                <w:color w:val="334E68"/>
                <w:sz w:val="17"/>
              </w:rPr>
              <w:t>Understand the role of the approved build sheet and CMDB in target provisioning.</w:t>
            </w:r>
          </w:p>
        </w:tc>
        <w:tc>
          <w:tcPr>
            <w:tcW w:type="dxa" w:w="867"/>
          </w:tcPr>
          <w:p>
            <w:pPr>
              <w:spacing w:after="20" w:before="20"/>
            </w:pPr>
            <w:r/>
            <w:r>
              <w:rPr>
                <w:rFonts w:ascii="Calibri" w:hAnsi="Calibri"/>
                <w:b w:val="0"/>
                <w:i w:val="0"/>
                <w:color w:val="334E68"/>
                <w:sz w:val="17"/>
              </w:rPr>
              <w:t>5</w:t>
            </w:r>
          </w:p>
        </w:tc>
        <w:tc>
          <w:tcPr>
            <w:tcW w:type="dxa" w:w="3855"/>
          </w:tcPr>
          <w:p>
            <w:pPr>
              <w:spacing w:after="20" w:before="20"/>
            </w:pPr>
            <w:r/>
            <w:r>
              <w:rPr>
                <w:rFonts w:ascii="Calibri" w:hAnsi="Calibri"/>
                <w:b w:val="0"/>
                <w:i w:val="0"/>
                <w:color w:val="334E68"/>
                <w:sz w:val="17"/>
              </w:rPr>
              <w:t>Reviews a build sheet, completes peer review, and validates the build against it.</w:t>
            </w:r>
          </w:p>
        </w:tc>
      </w:tr>
      <w:tr>
        <w:trPr>
          <w:cantSplit/>
        </w:trPr>
        <w:tc>
          <w:tcPr>
            <w:tcW w:type="dxa" w:w="482"/>
            <w:shd w:val="clear" w:color="auto" w:fill="FAFBFD"/>
          </w:tcPr>
          <w:p>
            <w:pPr>
              <w:spacing w:after="20" w:before="20"/>
            </w:pPr>
            <w:r/>
            <w:r>
              <w:rPr>
                <w:rFonts w:ascii="Calibri" w:hAnsi="Calibri"/>
                <w:b/>
                <w:i w:val="0"/>
                <w:color w:val="334E68"/>
                <w:sz w:val="17"/>
              </w:rPr>
              <w:t>4</w:t>
            </w:r>
          </w:p>
        </w:tc>
        <w:tc>
          <w:tcPr>
            <w:tcW w:type="dxa" w:w="4433"/>
            <w:shd w:val="clear" w:color="auto" w:fill="FAFBFD"/>
          </w:tcPr>
          <w:p>
            <w:pPr>
              <w:spacing w:after="20" w:before="20"/>
            </w:pPr>
            <w:r/>
            <w:r>
              <w:rPr>
                <w:rFonts w:ascii="Calibri" w:hAnsi="Calibri"/>
                <w:b w:val="0"/>
                <w:i w:val="0"/>
                <w:color w:val="334E68"/>
                <w:sz w:val="17"/>
              </w:rPr>
              <w:t>Validate AWS infrastructure delivered by the automation team against approved requirements.</w:t>
            </w:r>
          </w:p>
        </w:tc>
        <w:tc>
          <w:tcPr>
            <w:tcW w:type="dxa" w:w="867"/>
            <w:shd w:val="clear" w:color="auto" w:fill="FAFBFD"/>
          </w:tcPr>
          <w:p>
            <w:pPr>
              <w:spacing w:after="20" w:before="20"/>
            </w:pPr>
            <w:r/>
            <w:r>
              <w:rPr>
                <w:rFonts w:ascii="Calibri" w:hAnsi="Calibri"/>
                <w:b w:val="0"/>
                <w:i w:val="0"/>
                <w:color w:val="334E68"/>
                <w:sz w:val="17"/>
              </w:rPr>
              <w:t>5</w:t>
            </w:r>
          </w:p>
        </w:tc>
        <w:tc>
          <w:tcPr>
            <w:tcW w:type="dxa" w:w="3855"/>
            <w:shd w:val="clear" w:color="auto" w:fill="FAFBFD"/>
          </w:tcPr>
          <w:p>
            <w:pPr>
              <w:spacing w:after="20" w:before="20"/>
            </w:pPr>
            <w:r/>
            <w:r>
              <w:rPr>
                <w:rFonts w:ascii="Calibri" w:hAnsi="Calibri"/>
                <w:b w:val="0"/>
                <w:i w:val="0"/>
                <w:color w:val="334E68"/>
                <w:sz w:val="17"/>
              </w:rPr>
              <w:t>Checks VPC, subnets, IPs, DNS, S3 and permissions rather than accepting the automation output.</w:t>
            </w:r>
          </w:p>
        </w:tc>
      </w:tr>
      <w:tr>
        <w:trPr>
          <w:cantSplit/>
        </w:trPr>
        <w:tc>
          <w:tcPr>
            <w:tcW w:type="dxa" w:w="482"/>
          </w:tcPr>
          <w:p>
            <w:pPr>
              <w:spacing w:after="20" w:before="20"/>
            </w:pPr>
            <w:r/>
            <w:r>
              <w:rPr>
                <w:rFonts w:ascii="Calibri" w:hAnsi="Calibri"/>
                <w:b/>
                <w:i w:val="0"/>
                <w:color w:val="334E68"/>
                <w:sz w:val="17"/>
              </w:rPr>
              <w:t>5</w:t>
            </w:r>
          </w:p>
        </w:tc>
        <w:tc>
          <w:tcPr>
            <w:tcW w:type="dxa" w:w="4433"/>
          </w:tcPr>
          <w:p>
            <w:pPr>
              <w:spacing w:after="20" w:before="20"/>
            </w:pPr>
            <w:r/>
            <w:r>
              <w:rPr>
                <w:rFonts w:ascii="Calibri" w:hAnsi="Calibri"/>
                <w:b w:val="0"/>
                <w:i w:val="0"/>
                <w:color w:val="334E68"/>
                <w:sz w:val="17"/>
              </w:rPr>
              <w:t>Understand HANA SystemDB/TenantDB architecture and the backup/recovery sequence.</w:t>
            </w:r>
          </w:p>
        </w:tc>
        <w:tc>
          <w:tcPr>
            <w:tcW w:type="dxa" w:w="867"/>
          </w:tcPr>
          <w:p>
            <w:pPr>
              <w:spacing w:after="20" w:before="20"/>
            </w:pPr>
            <w:r/>
            <w:r>
              <w:rPr>
                <w:rFonts w:ascii="Calibri" w:hAnsi="Calibri"/>
                <w:b w:val="0"/>
                <w:i w:val="0"/>
                <w:color w:val="334E68"/>
                <w:sz w:val="17"/>
              </w:rPr>
              <w:t>6</w:t>
            </w:r>
          </w:p>
        </w:tc>
        <w:tc>
          <w:tcPr>
            <w:tcW w:type="dxa" w:w="3855"/>
          </w:tcPr>
          <w:p>
            <w:pPr>
              <w:spacing w:after="20" w:before="20"/>
            </w:pPr>
            <w:r/>
            <w:r>
              <w:rPr>
                <w:rFonts w:ascii="Calibri" w:hAnsi="Calibri"/>
                <w:b w:val="0"/>
                <w:i w:val="0"/>
                <w:color w:val="334E68"/>
                <w:sz w:val="17"/>
              </w:rPr>
              <w:t>Explains the container model, configures the backup destination and tests recovery.</w:t>
            </w:r>
          </w:p>
        </w:tc>
      </w:tr>
      <w:tr>
        <w:trPr>
          <w:cantSplit/>
        </w:trPr>
        <w:tc>
          <w:tcPr>
            <w:tcW w:type="dxa" w:w="482"/>
            <w:shd w:val="clear" w:color="auto" w:fill="FAFBFD"/>
          </w:tcPr>
          <w:p>
            <w:pPr>
              <w:spacing w:after="20" w:before="20"/>
            </w:pPr>
            <w:r/>
            <w:r>
              <w:rPr>
                <w:rFonts w:ascii="Calibri" w:hAnsi="Calibri"/>
                <w:b/>
                <w:i w:val="0"/>
                <w:color w:val="334E68"/>
                <w:sz w:val="17"/>
              </w:rPr>
              <w:t>6</w:t>
            </w:r>
          </w:p>
        </w:tc>
        <w:tc>
          <w:tcPr>
            <w:tcW w:type="dxa" w:w="4433"/>
            <w:shd w:val="clear" w:color="auto" w:fill="FAFBFD"/>
          </w:tcPr>
          <w:p>
            <w:pPr>
              <w:spacing w:after="20" w:before="20"/>
            </w:pPr>
            <w:r/>
            <w:r>
              <w:rPr>
                <w:rFonts w:ascii="Calibri" w:hAnsi="Calibri"/>
                <w:b w:val="0"/>
                <w:i w:val="0"/>
                <w:color w:val="334E68"/>
                <w:sz w:val="17"/>
              </w:rPr>
              <w:t>Perform SAP Basis post-migration validation across OS, SAP, database, interfaces and security.</w:t>
            </w:r>
          </w:p>
        </w:tc>
        <w:tc>
          <w:tcPr>
            <w:tcW w:type="dxa" w:w="867"/>
            <w:shd w:val="clear" w:color="auto" w:fill="FAFBFD"/>
          </w:tcPr>
          <w:p>
            <w:pPr>
              <w:spacing w:after="20" w:before="20"/>
            </w:pPr>
            <w:r/>
            <w:r>
              <w:rPr>
                <w:rFonts w:ascii="Calibri" w:hAnsi="Calibri"/>
                <w:b w:val="0"/>
                <w:i w:val="0"/>
                <w:color w:val="334E68"/>
                <w:sz w:val="17"/>
              </w:rPr>
              <w:t>7</w:t>
            </w:r>
          </w:p>
        </w:tc>
        <w:tc>
          <w:tcPr>
            <w:tcW w:type="dxa" w:w="3855"/>
            <w:shd w:val="clear" w:color="auto" w:fill="FAFBFD"/>
          </w:tcPr>
          <w:p>
            <w:pPr>
              <w:spacing w:after="20" w:before="20"/>
            </w:pPr>
            <w:r/>
            <w:r>
              <w:rPr>
                <w:rFonts w:ascii="Calibri" w:hAnsi="Calibri"/>
                <w:b w:val="0"/>
                <w:i w:val="0"/>
                <w:color w:val="334E68"/>
                <w:sz w:val="17"/>
              </w:rPr>
              <w:t>Completes all four validation domains and records deviations with owners.</w:t>
            </w:r>
          </w:p>
        </w:tc>
      </w:tr>
      <w:tr>
        <w:trPr>
          <w:cantSplit/>
        </w:trPr>
        <w:tc>
          <w:tcPr>
            <w:tcW w:type="dxa" w:w="482"/>
          </w:tcPr>
          <w:p>
            <w:pPr>
              <w:spacing w:after="20" w:before="20"/>
            </w:pPr>
            <w:r/>
            <w:r>
              <w:rPr>
                <w:rFonts w:ascii="Calibri" w:hAnsi="Calibri"/>
                <w:b/>
                <w:i w:val="0"/>
                <w:color w:val="334E68"/>
                <w:sz w:val="17"/>
              </w:rPr>
              <w:t>7</w:t>
            </w:r>
          </w:p>
        </w:tc>
        <w:tc>
          <w:tcPr>
            <w:tcW w:type="dxa" w:w="4433"/>
          </w:tcPr>
          <w:p>
            <w:pPr>
              <w:spacing w:after="20" w:before="20"/>
            </w:pPr>
            <w:r/>
            <w:r>
              <w:rPr>
                <w:rFonts w:ascii="Calibri" w:hAnsi="Calibri"/>
                <w:b w:val="0"/>
                <w:i w:val="0"/>
                <w:color w:val="334E68"/>
                <w:sz w:val="17"/>
              </w:rPr>
              <w:t>Use core SAP transactions for structured validation and troubleshooting.</w:t>
            </w:r>
          </w:p>
        </w:tc>
        <w:tc>
          <w:tcPr>
            <w:tcW w:type="dxa" w:w="867"/>
          </w:tcPr>
          <w:p>
            <w:pPr>
              <w:spacing w:after="20" w:before="20"/>
            </w:pPr>
            <w:r/>
            <w:r>
              <w:rPr>
                <w:rFonts w:ascii="Calibri" w:hAnsi="Calibri"/>
                <w:b w:val="0"/>
                <w:i w:val="0"/>
                <w:color w:val="334E68"/>
                <w:sz w:val="17"/>
              </w:rPr>
              <w:t>8, 11</w:t>
            </w:r>
          </w:p>
        </w:tc>
        <w:tc>
          <w:tcPr>
            <w:tcW w:type="dxa" w:w="3855"/>
          </w:tcPr>
          <w:p>
            <w:pPr>
              <w:spacing w:after="20" w:before="20"/>
            </w:pPr>
            <w:r/>
            <w:r>
              <w:rPr>
                <w:rFonts w:ascii="Calibri" w:hAnsi="Calibri"/>
                <w:b w:val="0"/>
                <w:i w:val="0"/>
                <w:color w:val="334E68"/>
                <w:sz w:val="17"/>
              </w:rPr>
              <w:t>Navigates ST02, ST03N, STAD, SM51, SM59, SMGW, SMICM, STMS, DB02, AL11, SPAD, RZ10/RZ11.</w:t>
            </w:r>
          </w:p>
        </w:tc>
      </w:tr>
      <w:tr>
        <w:trPr>
          <w:cantSplit/>
        </w:trPr>
        <w:tc>
          <w:tcPr>
            <w:tcW w:type="dxa" w:w="482"/>
            <w:shd w:val="clear" w:color="auto" w:fill="FAFBFD"/>
          </w:tcPr>
          <w:p>
            <w:pPr>
              <w:spacing w:after="20" w:before="20"/>
            </w:pPr>
            <w:r/>
            <w:r>
              <w:rPr>
                <w:rFonts w:ascii="Calibri" w:hAnsi="Calibri"/>
                <w:b/>
                <w:i w:val="0"/>
                <w:color w:val="334E68"/>
                <w:sz w:val="17"/>
              </w:rPr>
              <w:t>8</w:t>
            </w:r>
          </w:p>
        </w:tc>
        <w:tc>
          <w:tcPr>
            <w:tcW w:type="dxa" w:w="4433"/>
            <w:shd w:val="clear" w:color="auto" w:fill="FAFBFD"/>
          </w:tcPr>
          <w:p>
            <w:pPr>
              <w:spacing w:after="20" w:before="20"/>
            </w:pPr>
            <w:r/>
            <w:r>
              <w:rPr>
                <w:rFonts w:ascii="Calibri" w:hAnsi="Calibri"/>
                <w:b w:val="0"/>
                <w:i w:val="0"/>
                <w:color w:val="334E68"/>
                <w:sz w:val="17"/>
              </w:rPr>
              <w:t>Understand Oracle Data Guard switchover, SCN synchronization, snapshot and rollback concepts.</w:t>
            </w:r>
          </w:p>
        </w:tc>
        <w:tc>
          <w:tcPr>
            <w:tcW w:type="dxa" w:w="867"/>
            <w:shd w:val="clear" w:color="auto" w:fill="FAFBFD"/>
          </w:tcPr>
          <w:p>
            <w:pPr>
              <w:spacing w:after="20" w:before="20"/>
            </w:pPr>
            <w:r/>
            <w:r>
              <w:rPr>
                <w:rFonts w:ascii="Calibri" w:hAnsi="Calibri"/>
                <w:b w:val="0"/>
                <w:i w:val="0"/>
                <w:color w:val="334E68"/>
                <w:sz w:val="17"/>
              </w:rPr>
              <w:t>9</w:t>
            </w:r>
          </w:p>
        </w:tc>
        <w:tc>
          <w:tcPr>
            <w:tcW w:type="dxa" w:w="3855"/>
            <w:shd w:val="clear" w:color="auto" w:fill="FAFBFD"/>
          </w:tcPr>
          <w:p>
            <w:pPr>
              <w:spacing w:after="20" w:before="20"/>
            </w:pPr>
            <w:r/>
            <w:r>
              <w:rPr>
                <w:rFonts w:ascii="Calibri" w:hAnsi="Calibri"/>
                <w:b w:val="0"/>
                <w:i w:val="0"/>
                <w:color w:val="334E68"/>
                <w:sz w:val="17"/>
              </w:rPr>
              <w:t>Verifies synchronisation, confirms the rollback point, validates the new primary.</w:t>
            </w:r>
          </w:p>
        </w:tc>
      </w:tr>
      <w:tr>
        <w:trPr>
          <w:cantSplit/>
        </w:trPr>
        <w:tc>
          <w:tcPr>
            <w:tcW w:type="dxa" w:w="482"/>
          </w:tcPr>
          <w:p>
            <w:pPr>
              <w:spacing w:after="20" w:before="20"/>
            </w:pPr>
            <w:r/>
            <w:r>
              <w:rPr>
                <w:rFonts w:ascii="Calibri" w:hAnsi="Calibri"/>
                <w:b/>
                <w:i w:val="0"/>
                <w:color w:val="334E68"/>
                <w:sz w:val="17"/>
              </w:rPr>
              <w:t>9</w:t>
            </w:r>
          </w:p>
        </w:tc>
        <w:tc>
          <w:tcPr>
            <w:tcW w:type="dxa" w:w="4433"/>
          </w:tcPr>
          <w:p>
            <w:pPr>
              <w:spacing w:after="20" w:before="20"/>
            </w:pPr>
            <w:r/>
            <w:r>
              <w:rPr>
                <w:rFonts w:ascii="Calibri" w:hAnsi="Calibri"/>
                <w:b w:val="0"/>
                <w:i w:val="0"/>
                <w:color w:val="334E68"/>
                <w:sz w:val="17"/>
              </w:rPr>
              <w:t>Execute a controlled cutover with evidence, approvals and Go/No-Go gates.</w:t>
            </w:r>
          </w:p>
        </w:tc>
        <w:tc>
          <w:tcPr>
            <w:tcW w:type="dxa" w:w="867"/>
          </w:tcPr>
          <w:p>
            <w:pPr>
              <w:spacing w:after="20" w:before="20"/>
            </w:pPr>
            <w:r/>
            <w:r>
              <w:rPr>
                <w:rFonts w:ascii="Calibri" w:hAnsi="Calibri"/>
                <w:b w:val="0"/>
                <w:i w:val="0"/>
                <w:color w:val="334E68"/>
                <w:sz w:val="17"/>
              </w:rPr>
              <w:t>10</w:t>
            </w:r>
          </w:p>
        </w:tc>
        <w:tc>
          <w:tcPr>
            <w:tcW w:type="dxa" w:w="3855"/>
          </w:tcPr>
          <w:p>
            <w:pPr>
              <w:spacing w:after="20" w:before="20"/>
            </w:pPr>
            <w:r/>
            <w:r>
              <w:rPr>
                <w:rFonts w:ascii="Calibri" w:hAnsi="Calibri"/>
                <w:b w:val="0"/>
                <w:i w:val="0"/>
                <w:color w:val="334E68"/>
                <w:sz w:val="17"/>
              </w:rPr>
              <w:t>Runs the lane sequence, presents evidence at the gate, respects the decision.</w:t>
            </w:r>
          </w:p>
        </w:tc>
      </w:tr>
      <w:tr>
        <w:trPr>
          <w:cantSplit/>
        </w:trPr>
        <w:tc>
          <w:tcPr>
            <w:tcW w:type="dxa" w:w="482"/>
            <w:shd w:val="clear" w:color="auto" w:fill="FAFBFD"/>
          </w:tcPr>
          <w:p>
            <w:pPr>
              <w:spacing w:after="20" w:before="20"/>
            </w:pPr>
            <w:r/>
            <w:r>
              <w:rPr>
                <w:rFonts w:ascii="Calibri" w:hAnsi="Calibri"/>
                <w:b/>
                <w:i w:val="0"/>
                <w:color w:val="334E68"/>
                <w:sz w:val="17"/>
              </w:rPr>
              <w:t>10</w:t>
            </w:r>
          </w:p>
        </w:tc>
        <w:tc>
          <w:tcPr>
            <w:tcW w:type="dxa" w:w="4433"/>
            <w:shd w:val="clear" w:color="auto" w:fill="FAFBFD"/>
          </w:tcPr>
          <w:p>
            <w:pPr>
              <w:spacing w:after="20" w:before="20"/>
            </w:pPr>
            <w:r/>
            <w:r>
              <w:rPr>
                <w:rFonts w:ascii="Calibri" w:hAnsi="Calibri"/>
                <w:b w:val="0"/>
                <w:i w:val="0"/>
                <w:color w:val="334E68"/>
                <w:sz w:val="17"/>
              </w:rPr>
              <w:t>Support post-go-live hypercare and distinguish migration-related issues from pre-existing issues.</w:t>
            </w:r>
          </w:p>
        </w:tc>
        <w:tc>
          <w:tcPr>
            <w:tcW w:type="dxa" w:w="867"/>
            <w:shd w:val="clear" w:color="auto" w:fill="FAFBFD"/>
          </w:tcPr>
          <w:p>
            <w:pPr>
              <w:spacing w:after="20" w:before="20"/>
            </w:pPr>
            <w:r/>
            <w:r>
              <w:rPr>
                <w:rFonts w:ascii="Calibri" w:hAnsi="Calibri"/>
                <w:b w:val="0"/>
                <w:i w:val="0"/>
                <w:color w:val="334E68"/>
                <w:sz w:val="17"/>
              </w:rPr>
              <w:t>10, 13</w:t>
            </w:r>
          </w:p>
        </w:tc>
        <w:tc>
          <w:tcPr>
            <w:tcW w:type="dxa" w:w="3855"/>
            <w:shd w:val="clear" w:color="auto" w:fill="FAFBFD"/>
          </w:tcPr>
          <w:p>
            <w:pPr>
              <w:spacing w:after="20" w:before="20"/>
            </w:pPr>
            <w:r/>
            <w:r>
              <w:rPr>
                <w:rFonts w:ascii="Calibri" w:hAnsi="Calibri"/>
                <w:b w:val="0"/>
                <w:i w:val="0"/>
                <w:color w:val="334E68"/>
                <w:sz w:val="17"/>
              </w:rPr>
              <w:t>Classifies each ticket against the baseline and routes it to the owning team.</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EXPECTED CAPABILITY AFTER TRAINING</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 trained migration/Basis engineer should be able to take an approved migration package, understand the source baseline, validate the target build, execute the defined technical checks, capture evidence, identify deviations, coordinate with specialist teams, and support cutover and hypercare — without bypassing the approved change and ownership model.</w:t>
      </w:r>
    </w:p>
    <w:p>
      <w:pPr>
        <w:pStyle w:val="Heading2"/>
        <w:pBdr>
          <w:bottom w:val="single" w:sz="6" w:space="3" w:color="E8EDF3"/>
        </w:pBdr>
      </w:pPr>
      <w:r>
        <w:rPr>
          <w:rFonts w:ascii="Calibri" w:hAnsi="Calibri"/>
          <w:b/>
          <w:color w:val="0F2B4C"/>
          <w:sz w:val="26"/>
        </w:rPr>
        <w:t>2.1  Prerequisites assumed by this training</w:t>
      </w:r>
    </w:p>
    <w:p>
      <w:pPr>
        <w:spacing w:after="40"/>
        <w:ind w:left="351" w:hanging="227"/>
      </w:pPr>
      <w:r>
        <w:rPr>
          <w:rFonts w:ascii="Calibri" w:hAnsi="Calibri"/>
          <w:b/>
          <w:color w:val="1B4F86"/>
          <w:sz w:val="19"/>
        </w:rPr>
        <w:t xml:space="preserve">▪  </w:t>
      </w:r>
      <w:r>
        <w:rPr>
          <w:rFonts w:ascii="Calibri" w:hAnsi="Calibri"/>
          <w:b w:val="0"/>
          <w:i w:val="0"/>
          <w:color w:val="334E68"/>
          <w:sz w:val="19"/>
        </w:rPr>
        <w:t>Working knowledge of SAP Basis administration in at least one landscape (start/stop, profiles, transports, monitoring).</w:t>
      </w:r>
    </w:p>
    <w:p>
      <w:pPr>
        <w:spacing w:after="40"/>
        <w:ind w:left="351" w:hanging="227"/>
      </w:pPr>
      <w:r>
        <w:rPr>
          <w:rFonts w:ascii="Calibri" w:hAnsi="Calibri"/>
          <w:b/>
          <w:color w:val="1B4F86"/>
          <w:sz w:val="19"/>
        </w:rPr>
        <w:t xml:space="preserve">▪  </w:t>
      </w:r>
      <w:r>
        <w:rPr>
          <w:rFonts w:ascii="Calibri" w:hAnsi="Calibri"/>
          <w:b w:val="0"/>
          <w:i w:val="0"/>
          <w:color w:val="334E68"/>
          <w:sz w:val="19"/>
        </w:rPr>
        <w:t>Basic Linux/Unix administration: file systems, permissions, services, users and groups, log inspection.</w:t>
      </w:r>
    </w:p>
    <w:p>
      <w:pPr>
        <w:spacing w:after="40"/>
        <w:ind w:left="351" w:hanging="227"/>
      </w:pPr>
      <w:r>
        <w:rPr>
          <w:rFonts w:ascii="Calibri" w:hAnsi="Calibri"/>
          <w:b/>
          <w:color w:val="1B4F86"/>
          <w:sz w:val="19"/>
        </w:rPr>
        <w:t xml:space="preserve">▪  </w:t>
      </w:r>
      <w:r>
        <w:rPr>
          <w:rFonts w:ascii="Calibri" w:hAnsi="Calibri"/>
          <w:b w:val="0"/>
          <w:i w:val="0"/>
          <w:color w:val="334E68"/>
          <w:sz w:val="19"/>
        </w:rPr>
        <w:t>Basic relational database concepts and, for Module 6, exposure to Oracle administration.</w:t>
      </w:r>
    </w:p>
    <w:p>
      <w:pPr>
        <w:spacing w:after="40"/>
        <w:ind w:left="351" w:hanging="227"/>
      </w:pPr>
      <w:r>
        <w:rPr>
          <w:rFonts w:ascii="Calibri" w:hAnsi="Calibri"/>
          <w:b/>
          <w:color w:val="1B4F86"/>
          <w:sz w:val="19"/>
        </w:rPr>
        <w:t xml:space="preserve">▪  </w:t>
      </w:r>
      <w:r>
        <w:rPr>
          <w:rFonts w:ascii="Calibri" w:hAnsi="Calibri"/>
          <w:b w:val="0"/>
          <w:i w:val="0"/>
          <w:color w:val="334E68"/>
          <w:sz w:val="19"/>
        </w:rPr>
        <w:t>Familiarity with cloud infrastructure concepts: accounts, networks, subnets, DNS, object and file storage.</w:t>
      </w:r>
    </w:p>
    <w:p>
      <w:pPr>
        <w:spacing w:after="40"/>
        <w:ind w:left="351" w:hanging="227"/>
      </w:pPr>
      <w:r>
        <w:rPr>
          <w:rFonts w:ascii="Calibri" w:hAnsi="Calibri"/>
          <w:b/>
          <w:color w:val="1B4F86"/>
          <w:sz w:val="19"/>
        </w:rPr>
        <w:t xml:space="preserve">▪  </w:t>
      </w:r>
      <w:r>
        <w:rPr>
          <w:rFonts w:ascii="Calibri" w:hAnsi="Calibri"/>
          <w:b w:val="0"/>
          <w:i w:val="0"/>
          <w:color w:val="334E68"/>
          <w:sz w:val="19"/>
        </w:rPr>
        <w:t>Ability to read a change record and work inside an approval and evidence process.</w:t>
      </w:r>
    </w:p>
    <w:p>
      <w:pPr>
        <w:pStyle w:val="Heading2"/>
        <w:pBdr>
          <w:bottom w:val="single" w:sz="6" w:space="3" w:color="E8EDF3"/>
        </w:pBdr>
      </w:pPr>
      <w:r>
        <w:rPr>
          <w:rFonts w:ascii="Calibri" w:hAnsi="Calibri"/>
          <w:b/>
          <w:color w:val="0F2B4C"/>
          <w:sz w:val="26"/>
        </w:rPr>
        <w:t>2.2  How the modules build on each other</w:t>
      </w:r>
    </w:p>
    <w:p>
      <w:pPr>
        <w:spacing w:before="120" w:after="160"/>
        <w:shd w:val="clear" w:color="auto" w:fill="F4F7FB"/>
        <w:pBdr>
          <w:left w:val="single" w:sz="18" w:space="6" w:color="1B4F86"/>
        </w:pBdr>
      </w:pPr>
      <w:r>
        <w:rPr>
          <w:rFonts w:ascii="Calibri" w:hAnsi="Calibri"/>
          <w:b/>
          <w:color w:val="0F2B4C"/>
          <w:sz w:val="18"/>
        </w:rPr>
        <w:t>Module 1 baseline</w:t>
      </w:r>
      <w:r>
        <w:rPr>
          <w:b/>
          <w:color w:val="9EC3EC"/>
          <w:sz w:val="18"/>
        </w:rPr>
        <w:t xml:space="preserve">  →  </w:t>
      </w:r>
      <w:r>
        <w:rPr>
          <w:rFonts w:ascii="Calibri" w:hAnsi="Calibri"/>
          <w:b/>
          <w:color w:val="0F2B4C"/>
          <w:sz w:val="18"/>
        </w:rPr>
        <w:t>Module 2 target build</w:t>
      </w:r>
      <w:r>
        <w:rPr>
          <w:b/>
          <w:color w:val="9EC3EC"/>
          <w:sz w:val="18"/>
        </w:rPr>
        <w:t xml:space="preserve">  →  </w:t>
      </w:r>
      <w:r>
        <w:rPr>
          <w:rFonts w:ascii="Calibri" w:hAnsi="Calibri"/>
          <w:b/>
          <w:color w:val="0F2B4C"/>
          <w:sz w:val="18"/>
        </w:rPr>
        <w:t>Module 3 HANA data</w:t>
      </w:r>
      <w:r>
        <w:rPr>
          <w:b/>
          <w:color w:val="9EC3EC"/>
          <w:sz w:val="18"/>
        </w:rPr>
        <w:t xml:space="preserve">  →  </w:t>
      </w:r>
      <w:r>
        <w:rPr>
          <w:rFonts w:ascii="Calibri" w:hAnsi="Calibri"/>
          <w:b/>
          <w:color w:val="0F2B4C"/>
          <w:sz w:val="18"/>
        </w:rPr>
        <w:t>Module 4 SAP validation</w:t>
      </w:r>
      <w:r>
        <w:rPr>
          <w:b/>
          <w:color w:val="9EC3EC"/>
          <w:sz w:val="18"/>
        </w:rPr>
        <w:t xml:space="preserve">  →  </w:t>
      </w:r>
      <w:r>
        <w:rPr>
          <w:rFonts w:ascii="Calibri" w:hAnsi="Calibri"/>
          <w:b/>
          <w:color w:val="0F2B4C"/>
          <w:sz w:val="18"/>
        </w:rPr>
        <w:t>Module 5 performance</w:t>
      </w:r>
      <w:r>
        <w:rPr>
          <w:b/>
          <w:color w:val="9EC3EC"/>
          <w:sz w:val="18"/>
        </w:rPr>
        <w:t xml:space="preserve">  →  </w:t>
      </w:r>
      <w:r>
        <w:rPr>
          <w:rFonts w:ascii="Calibri" w:hAnsi="Calibri"/>
          <w:b/>
          <w:color w:val="0F2B4C"/>
          <w:sz w:val="18"/>
        </w:rPr>
        <w:t>Module 6 Oracle switchover</w:t>
      </w:r>
      <w:r>
        <w:rPr>
          <w:b/>
          <w:color w:val="9EC3EC"/>
          <w:sz w:val="18"/>
        </w:rPr>
        <w:t xml:space="preserve">  →  </w:t>
      </w:r>
      <w:r>
        <w:rPr>
          <w:rFonts w:ascii="Calibri" w:hAnsi="Calibri"/>
          <w:b/>
          <w:color w:val="0F2B4C"/>
          <w:sz w:val="18"/>
        </w:rPr>
        <w:t>Module 7 cutover + hypercare</w:t>
      </w:r>
    </w:p>
    <w:p>
      <w:r>
        <w:rPr>
          <w:rFonts w:ascii="Calibri" w:hAnsi="Calibri"/>
          <w:b w:val="0"/>
          <w:i w:val="0"/>
          <w:color w:val="334E68"/>
          <w:sz w:val="20"/>
        </w:rPr>
        <w:t>Modules 1 and 2 create the conditions for everything else: without a source baseline and a validated target, the validation modules have nothing to compare against. Modules 3 to 6 are the technical depth, and Module 7 is where that depth is exercised under time pressure with a decision gate at the end.</w:t>
      </w:r>
    </w:p>
    <w:p>
      <w:r>
        <w:br w:type="page"/>
      </w:r>
    </w:p>
    <w:p>
      <w:pPr>
        <w:spacing w:after="20"/>
      </w:pPr>
      <w:r>
        <w:rPr>
          <w:rFonts w:ascii="Calibri" w:hAnsi="Calibri"/>
          <w:b/>
          <w:color w:val="1B4F86"/>
          <w:sz w:val="16"/>
        </w:rPr>
        <w:t>SECTION 3</w:t>
      </w:r>
    </w:p>
    <w:p>
      <w:pPr>
        <w:pStyle w:val="Heading1"/>
        <w:pBdr>
          <w:bottom w:val="single" w:sz="12" w:space="5" w:color="1B4F86"/>
        </w:pBdr>
        <w:spacing w:after="160"/>
      </w:pPr>
      <w:r>
        <w:rPr>
          <w:rFonts w:ascii="Calibri Light" w:hAnsi="Calibri Light"/>
          <w:b/>
          <w:color w:val="0F2B4C"/>
          <w:sz w:val="38"/>
        </w:rPr>
        <w:t>3  End-to-end SAP-to-AWS migration lifecycle</w:t>
      </w:r>
    </w:p>
    <w:p>
      <w:pPr>
        <w:spacing w:after="200"/>
      </w:pPr>
      <w:r>
        <w:rPr>
          <w:rFonts w:ascii="Calibri" w:hAnsi="Calibri"/>
          <w:i/>
          <w:color w:val="5B7288"/>
          <w:sz w:val="21"/>
        </w:rPr>
        <w:t>Ten stages, three formal gates. The lifecycle is sequential by design: each stage consumes the evidence produced by the one before it, and skipping a stage converts a planned risk into an unplanned incident.</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5026450"/>
            <wp:docPr id="1" name="Picture 1"/>
            <wp:cNvGraphicFramePr>
              <a:graphicFrameLocks noChangeAspect="1"/>
            </wp:cNvGraphicFramePr>
            <a:graphic>
              <a:graphicData uri="http://schemas.openxmlformats.org/drawingml/2006/picture">
                <pic:pic>
                  <pic:nvPicPr>
                    <pic:cNvPr id="0" name="d1-lifecycle.png"/>
                    <pic:cNvPicPr/>
                  </pic:nvPicPr>
                  <pic:blipFill>
                    <a:blip r:embed="rId11"/>
                    <a:stretch>
                      <a:fillRect/>
                    </a:stretch>
                  </pic:blipFill>
                  <pic:spPr>
                    <a:xfrm>
                      <a:off x="0" y="0"/>
                      <a:ext cx="8892000" cy="5026450"/>
                    </a:xfrm>
                    <a:prstGeom prst="rect"/>
                  </pic:spPr>
                </pic:pic>
              </a:graphicData>
            </a:graphic>
          </wp:inline>
        </w:drawing>
      </w:r>
    </w:p>
    <w:p>
      <w:pPr>
        <w:spacing w:after="240"/>
      </w:pPr>
      <w:r>
        <w:rPr>
          <w:rFonts w:ascii="Calibri" w:hAnsi="Calibri"/>
          <w:i/>
          <w:color w:val="5B7288"/>
          <w:sz w:val="17"/>
        </w:rPr>
        <w:t>Figure 1. The migration lifecycle from scope to hypercare. Amber and red stages are decision gates — stage 7 (pre-cutover validation), stage 9 (Go/No-Go) and stage 10 (release to hypercare). A gate does not open on assertion; it opens on evidence and named approval.</w:t>
      </w: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3.1  Stage table with entry and exit criteria</w:t>
      </w:r>
    </w:p>
    <w:p>
      <w:pPr>
        <w:spacing w:after="60" w:before="160"/>
        <w:keepNext/>
      </w:pPr>
      <w:r>
        <w:rPr>
          <w:rFonts w:ascii="Calibri" w:hAnsi="Calibri"/>
          <w:b/>
          <w:color w:val="5B7288"/>
          <w:sz w:val="15"/>
        </w:rPr>
        <w:t>LIFECYCLE STAGE TABLE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386"/>
        <w:gridCol w:w="1735"/>
        <w:gridCol w:w="2891"/>
        <w:gridCol w:w="1928"/>
        <w:gridCol w:w="2699"/>
      </w:tblGrid>
      <w:tr>
        <w:trPr>
          <w:tblHeader/>
          <w:cantSplit/>
        </w:trPr>
        <w:tc>
          <w:tcPr>
            <w:tcW w:type="dxa" w:w="386"/>
            <w:shd w:val="clear" w:color="auto" w:fill="0F2B4C"/>
          </w:tcPr>
          <w:p>
            <w:pPr>
              <w:spacing w:after="20" w:before="20"/>
            </w:pPr>
            <w:r/>
            <w:r>
              <w:rPr>
                <w:rFonts w:ascii="Calibri" w:hAnsi="Calibri"/>
                <w:b/>
                <w:color w:val="FFFFFF"/>
                <w:sz w:val="17"/>
              </w:rPr>
              <w:t>#</w:t>
            </w:r>
          </w:p>
        </w:tc>
        <w:tc>
          <w:tcPr>
            <w:tcW w:type="dxa" w:w="1735"/>
            <w:shd w:val="clear" w:color="auto" w:fill="0F2B4C"/>
          </w:tcPr>
          <w:p>
            <w:pPr>
              <w:spacing w:after="20" w:before="20"/>
            </w:pPr>
            <w:r/>
            <w:r>
              <w:rPr>
                <w:rFonts w:ascii="Calibri" w:hAnsi="Calibri"/>
                <w:b/>
                <w:color w:val="FFFFFF"/>
                <w:sz w:val="17"/>
              </w:rPr>
              <w:t>Stage</w:t>
            </w:r>
          </w:p>
        </w:tc>
        <w:tc>
          <w:tcPr>
            <w:tcW w:type="dxa" w:w="2891"/>
            <w:shd w:val="clear" w:color="auto" w:fill="0F2B4C"/>
          </w:tcPr>
          <w:p>
            <w:pPr>
              <w:spacing w:after="20" w:before="20"/>
            </w:pPr>
            <w:r/>
            <w:r>
              <w:rPr>
                <w:rFonts w:ascii="Calibri" w:hAnsi="Calibri"/>
                <w:b/>
                <w:color w:val="FFFFFF"/>
                <w:sz w:val="17"/>
              </w:rPr>
              <w:t>Purpose</w:t>
            </w:r>
          </w:p>
        </w:tc>
        <w:tc>
          <w:tcPr>
            <w:tcW w:type="dxa" w:w="1928"/>
            <w:shd w:val="clear" w:color="auto" w:fill="0F2B4C"/>
          </w:tcPr>
          <w:p>
            <w:pPr>
              <w:spacing w:after="20" w:before="20"/>
            </w:pPr>
            <w:r/>
            <w:r>
              <w:rPr>
                <w:rFonts w:ascii="Calibri" w:hAnsi="Calibri"/>
                <w:b/>
                <w:color w:val="FFFFFF"/>
                <w:sz w:val="17"/>
              </w:rPr>
              <w:t>Entry criteria</w:t>
            </w:r>
          </w:p>
        </w:tc>
        <w:tc>
          <w:tcPr>
            <w:tcW w:type="dxa" w:w="2699"/>
            <w:shd w:val="clear" w:color="auto" w:fill="0F2B4C"/>
          </w:tcPr>
          <w:p>
            <w:pPr>
              <w:spacing w:after="20" w:before="20"/>
            </w:pPr>
            <w:r/>
            <w:r>
              <w:rPr>
                <w:rFonts w:ascii="Calibri" w:hAnsi="Calibri"/>
                <w:b/>
                <w:color w:val="FFFFFF"/>
                <w:sz w:val="17"/>
              </w:rPr>
              <w:t>Exit criteria / evidence</w:t>
            </w:r>
          </w:p>
        </w:tc>
      </w:tr>
      <w:tr>
        <w:trPr>
          <w:cantSplit/>
        </w:trPr>
        <w:tc>
          <w:tcPr>
            <w:tcW w:type="dxa" w:w="386"/>
          </w:tcPr>
          <w:p>
            <w:pPr>
              <w:spacing w:after="20" w:before="20"/>
            </w:pPr>
            <w:r/>
            <w:r>
              <w:rPr>
                <w:rFonts w:ascii="Calibri" w:hAnsi="Calibri"/>
                <w:b/>
                <w:i w:val="0"/>
                <w:color w:val="334E68"/>
                <w:sz w:val="17"/>
              </w:rPr>
              <w:t>1</w:t>
            </w:r>
          </w:p>
        </w:tc>
        <w:tc>
          <w:tcPr>
            <w:tcW w:type="dxa" w:w="1735"/>
          </w:tcPr>
          <w:p>
            <w:pPr>
              <w:spacing w:after="20" w:before="20"/>
            </w:pPr>
            <w:r/>
            <w:r>
              <w:rPr>
                <w:rFonts w:ascii="Calibri" w:hAnsi="Calibri"/>
                <w:b w:val="0"/>
                <w:i w:val="0"/>
                <w:color w:val="334E68"/>
                <w:sz w:val="17"/>
              </w:rPr>
              <w:t>Scope &amp;amp; Preparation</w:t>
            </w:r>
          </w:p>
        </w:tc>
        <w:tc>
          <w:tcPr>
            <w:tcW w:type="dxa" w:w="2891"/>
          </w:tcPr>
          <w:p>
            <w:pPr>
              <w:spacing w:after="20" w:before="20"/>
            </w:pPr>
            <w:r/>
            <w:r>
              <w:rPr>
                <w:rFonts w:ascii="Calibri" w:hAnsi="Calibri"/>
                <w:b w:val="0"/>
                <w:i w:val="0"/>
                <w:color w:val="334E68"/>
                <w:sz w:val="17"/>
              </w:rPr>
              <w:t>Confirm scope, systems, access, AWS account and customer expectations.</w:t>
            </w:r>
          </w:p>
        </w:tc>
        <w:tc>
          <w:tcPr>
            <w:tcW w:type="dxa" w:w="1928"/>
          </w:tcPr>
          <w:p>
            <w:pPr>
              <w:spacing w:after="20" w:before="20"/>
            </w:pPr>
            <w:r/>
            <w:r>
              <w:rPr>
                <w:rFonts w:ascii="Calibri" w:hAnsi="Calibri"/>
                <w:b w:val="0"/>
                <w:i w:val="0"/>
                <w:color w:val="334E68"/>
                <w:sz w:val="17"/>
              </w:rPr>
              <w:t>Customer request and system list</w:t>
            </w:r>
          </w:p>
        </w:tc>
        <w:tc>
          <w:tcPr>
            <w:tcW w:type="dxa" w:w="2699"/>
          </w:tcPr>
          <w:p>
            <w:pPr>
              <w:spacing w:after="20" w:before="20"/>
            </w:pPr>
            <w:r/>
            <w:r>
              <w:rPr>
                <w:rFonts w:ascii="Calibri" w:hAnsi="Calibri"/>
                <w:b w:val="0"/>
                <w:i w:val="0"/>
                <w:color w:val="334E68"/>
                <w:sz w:val="17"/>
              </w:rPr>
              <w:t>Signed scope, named systems, access granted, AWS account verified</w:t>
            </w:r>
          </w:p>
        </w:tc>
      </w:tr>
      <w:tr>
        <w:trPr>
          <w:cantSplit/>
        </w:trPr>
        <w:tc>
          <w:tcPr>
            <w:tcW w:type="dxa" w:w="386"/>
            <w:shd w:val="clear" w:color="auto" w:fill="FAFBFD"/>
          </w:tcPr>
          <w:p>
            <w:pPr>
              <w:spacing w:after="20" w:before="20"/>
            </w:pPr>
            <w:r/>
            <w:r>
              <w:rPr>
                <w:rFonts w:ascii="Calibri" w:hAnsi="Calibri"/>
                <w:b/>
                <w:i w:val="0"/>
                <w:color w:val="334E68"/>
                <w:sz w:val="17"/>
              </w:rPr>
              <w:t>2</w:t>
            </w:r>
          </w:p>
        </w:tc>
        <w:tc>
          <w:tcPr>
            <w:tcW w:type="dxa" w:w="1735"/>
            <w:shd w:val="clear" w:color="auto" w:fill="FAFBFD"/>
          </w:tcPr>
          <w:p>
            <w:pPr>
              <w:spacing w:after="20" w:before="20"/>
            </w:pPr>
            <w:r/>
            <w:r>
              <w:rPr>
                <w:rFonts w:ascii="Calibri" w:hAnsi="Calibri"/>
                <w:b w:val="0"/>
                <w:i w:val="0"/>
                <w:color w:val="334E68"/>
                <w:sz w:val="17"/>
              </w:rPr>
              <w:t>Discovery &amp;amp; Baseline</w:t>
            </w:r>
          </w:p>
        </w:tc>
        <w:tc>
          <w:tcPr>
            <w:tcW w:type="dxa" w:w="2891"/>
            <w:shd w:val="clear" w:color="auto" w:fill="FAFBFD"/>
          </w:tcPr>
          <w:p>
            <w:pPr>
              <w:spacing w:after="20" w:before="20"/>
            </w:pPr>
            <w:r/>
            <w:r>
              <w:rPr>
                <w:rFonts w:ascii="Calibri" w:hAnsi="Calibri"/>
                <w:b w:val="0"/>
                <w:i w:val="0"/>
                <w:color w:val="334E68"/>
                <w:sz w:val="17"/>
              </w:rPr>
              <w:t>Collect source configuration, interfaces, workload, dependencies, inventory and evidence.</w:t>
            </w:r>
          </w:p>
        </w:tc>
        <w:tc>
          <w:tcPr>
            <w:tcW w:type="dxa" w:w="1928"/>
            <w:shd w:val="clear" w:color="auto" w:fill="FAFBFD"/>
          </w:tcPr>
          <w:p>
            <w:pPr>
              <w:spacing w:after="20" w:before="20"/>
            </w:pPr>
            <w:r/>
            <w:r>
              <w:rPr>
                <w:rFonts w:ascii="Calibri" w:hAnsi="Calibri"/>
                <w:b w:val="0"/>
                <w:i w:val="0"/>
                <w:color w:val="334E68"/>
                <w:sz w:val="17"/>
              </w:rPr>
              <w:t>Scope and access</w:t>
            </w:r>
          </w:p>
        </w:tc>
        <w:tc>
          <w:tcPr>
            <w:tcW w:type="dxa" w:w="2699"/>
            <w:shd w:val="clear" w:color="auto" w:fill="FAFBFD"/>
          </w:tcPr>
          <w:p>
            <w:pPr>
              <w:spacing w:after="20" w:before="20"/>
            </w:pPr>
            <w:r/>
            <w:r>
              <w:rPr>
                <w:rFonts w:ascii="Calibri" w:hAnsi="Calibri"/>
                <w:b w:val="0"/>
                <w:i w:val="0"/>
                <w:color w:val="334E68"/>
                <w:sz w:val="17"/>
              </w:rPr>
              <w:t>Source baseline pack: parameters, interfaces, NFS, AL11, known failures</w:t>
            </w:r>
          </w:p>
        </w:tc>
      </w:tr>
      <w:tr>
        <w:trPr>
          <w:cantSplit/>
        </w:trPr>
        <w:tc>
          <w:tcPr>
            <w:tcW w:type="dxa" w:w="386"/>
          </w:tcPr>
          <w:p>
            <w:pPr>
              <w:spacing w:after="20" w:before="20"/>
            </w:pPr>
            <w:r/>
            <w:r>
              <w:rPr>
                <w:rFonts w:ascii="Calibri" w:hAnsi="Calibri"/>
                <w:b/>
                <w:i w:val="0"/>
                <w:color w:val="334E68"/>
                <w:sz w:val="17"/>
              </w:rPr>
              <w:t>3</w:t>
            </w:r>
          </w:p>
        </w:tc>
        <w:tc>
          <w:tcPr>
            <w:tcW w:type="dxa" w:w="1735"/>
          </w:tcPr>
          <w:p>
            <w:pPr>
              <w:spacing w:after="20" w:before="20"/>
            </w:pPr>
            <w:r/>
            <w:r>
              <w:rPr>
                <w:rFonts w:ascii="Calibri" w:hAnsi="Calibri"/>
                <w:b w:val="0"/>
                <w:i w:val="0"/>
                <w:color w:val="334E68"/>
                <w:sz w:val="17"/>
              </w:rPr>
              <w:t>Sizing &amp;amp; Architecture</w:t>
            </w:r>
          </w:p>
        </w:tc>
        <w:tc>
          <w:tcPr>
            <w:tcW w:type="dxa" w:w="2891"/>
          </w:tcPr>
          <w:p>
            <w:pPr>
              <w:spacing w:after="20" w:before="20"/>
            </w:pPr>
            <w:r/>
            <w:r>
              <w:rPr>
                <w:rFonts w:ascii="Calibri" w:hAnsi="Calibri"/>
                <w:b w:val="0"/>
                <w:i w:val="0"/>
                <w:color w:val="334E68"/>
                <w:sz w:val="17"/>
              </w:rPr>
              <w:t>Consume approved sizing; confirm target AWS architecture, HA/DR and connectivity.</w:t>
            </w:r>
          </w:p>
        </w:tc>
        <w:tc>
          <w:tcPr>
            <w:tcW w:type="dxa" w:w="1928"/>
          </w:tcPr>
          <w:p>
            <w:pPr>
              <w:spacing w:after="20" w:before="20"/>
            </w:pPr>
            <w:r/>
            <w:r>
              <w:rPr>
                <w:rFonts w:ascii="Calibri" w:hAnsi="Calibri"/>
                <w:b w:val="0"/>
                <w:i w:val="0"/>
                <w:color w:val="334E68"/>
                <w:sz w:val="17"/>
              </w:rPr>
              <w:t>Source baseline</w:t>
            </w:r>
          </w:p>
        </w:tc>
        <w:tc>
          <w:tcPr>
            <w:tcW w:type="dxa" w:w="2699"/>
          </w:tcPr>
          <w:p>
            <w:pPr>
              <w:spacing w:after="20" w:before="20"/>
            </w:pPr>
            <w:r/>
            <w:r>
              <w:rPr>
                <w:rFonts w:ascii="Calibri" w:hAnsi="Calibri"/>
                <w:b w:val="0"/>
                <w:i w:val="0"/>
                <w:color w:val="334E68"/>
                <w:sz w:val="17"/>
              </w:rPr>
              <w:t>Approved sizing report and target architecture agreed with the customer</w:t>
            </w:r>
          </w:p>
        </w:tc>
      </w:tr>
      <w:tr>
        <w:trPr>
          <w:cantSplit/>
        </w:trPr>
        <w:tc>
          <w:tcPr>
            <w:tcW w:type="dxa" w:w="386"/>
            <w:shd w:val="clear" w:color="auto" w:fill="FAFBFD"/>
          </w:tcPr>
          <w:p>
            <w:pPr>
              <w:spacing w:after="20" w:before="20"/>
            </w:pPr>
            <w:r/>
            <w:r>
              <w:rPr>
                <w:rFonts w:ascii="Calibri" w:hAnsi="Calibri"/>
                <w:b/>
                <w:i w:val="0"/>
                <w:color w:val="334E68"/>
                <w:sz w:val="17"/>
              </w:rPr>
              <w:t>4</w:t>
            </w:r>
          </w:p>
        </w:tc>
        <w:tc>
          <w:tcPr>
            <w:tcW w:type="dxa" w:w="1735"/>
            <w:shd w:val="clear" w:color="auto" w:fill="FAFBFD"/>
          </w:tcPr>
          <w:p>
            <w:pPr>
              <w:spacing w:after="20" w:before="20"/>
            </w:pPr>
            <w:r/>
            <w:r>
              <w:rPr>
                <w:rFonts w:ascii="Calibri" w:hAnsi="Calibri"/>
                <w:b w:val="0"/>
                <w:i w:val="0"/>
                <w:color w:val="334E68"/>
                <w:sz w:val="17"/>
              </w:rPr>
              <w:t>Build Sheet</w:t>
            </w:r>
          </w:p>
        </w:tc>
        <w:tc>
          <w:tcPr>
            <w:tcW w:type="dxa" w:w="2891"/>
            <w:shd w:val="clear" w:color="auto" w:fill="FAFBFD"/>
          </w:tcPr>
          <w:p>
            <w:pPr>
              <w:spacing w:after="20" w:before="20"/>
            </w:pPr>
            <w:r/>
            <w:r>
              <w:rPr>
                <w:rFonts w:ascii="Calibri" w:hAnsi="Calibri"/>
                <w:b w:val="0"/>
                <w:i w:val="0"/>
                <w:color w:val="334E68"/>
                <w:sz w:val="17"/>
              </w:rPr>
              <w:t>Finalise the technical input used for provisioning and customer review.</w:t>
            </w:r>
          </w:p>
        </w:tc>
        <w:tc>
          <w:tcPr>
            <w:tcW w:type="dxa" w:w="1928"/>
            <w:shd w:val="clear" w:color="auto" w:fill="FAFBFD"/>
          </w:tcPr>
          <w:p>
            <w:pPr>
              <w:spacing w:after="20" w:before="20"/>
            </w:pPr>
            <w:r/>
            <w:r>
              <w:rPr>
                <w:rFonts w:ascii="Calibri" w:hAnsi="Calibri"/>
                <w:b w:val="0"/>
                <w:i w:val="0"/>
                <w:color w:val="334E68"/>
                <w:sz w:val="17"/>
              </w:rPr>
              <w:t>Architecture agreement</w:t>
            </w:r>
          </w:p>
        </w:tc>
        <w:tc>
          <w:tcPr>
            <w:tcW w:type="dxa" w:w="2699"/>
            <w:shd w:val="clear" w:color="auto" w:fill="FAFBFD"/>
          </w:tcPr>
          <w:p>
            <w:pPr>
              <w:spacing w:after="20" w:before="20"/>
            </w:pPr>
            <w:r/>
            <w:r>
              <w:rPr>
                <w:rFonts w:ascii="Calibri" w:hAnsi="Calibri"/>
                <w:b w:val="0"/>
                <w:i w:val="0"/>
                <w:color w:val="334E68"/>
                <w:sz w:val="17"/>
              </w:rPr>
              <w:t>Peer-reviewed build sheet finalised with the customer</w:t>
            </w:r>
          </w:p>
        </w:tc>
      </w:tr>
      <w:tr>
        <w:trPr>
          <w:cantSplit/>
        </w:trPr>
        <w:tc>
          <w:tcPr>
            <w:tcW w:type="dxa" w:w="386"/>
          </w:tcPr>
          <w:p>
            <w:pPr>
              <w:spacing w:after="20" w:before="20"/>
            </w:pPr>
            <w:r/>
            <w:r>
              <w:rPr>
                <w:rFonts w:ascii="Calibri" w:hAnsi="Calibri"/>
                <w:b/>
                <w:i w:val="0"/>
                <w:color w:val="334E68"/>
                <w:sz w:val="17"/>
              </w:rPr>
              <w:t>5</w:t>
            </w:r>
          </w:p>
        </w:tc>
        <w:tc>
          <w:tcPr>
            <w:tcW w:type="dxa" w:w="1735"/>
          </w:tcPr>
          <w:p>
            <w:pPr>
              <w:spacing w:after="20" w:before="20"/>
            </w:pPr>
            <w:r/>
            <w:r>
              <w:rPr>
                <w:rFonts w:ascii="Calibri" w:hAnsi="Calibri"/>
                <w:b w:val="0"/>
                <w:i w:val="0"/>
                <w:color w:val="334E68"/>
                <w:sz w:val="17"/>
              </w:rPr>
              <w:t>AWS Build</w:t>
            </w:r>
          </w:p>
        </w:tc>
        <w:tc>
          <w:tcPr>
            <w:tcW w:type="dxa" w:w="2891"/>
          </w:tcPr>
          <w:p>
            <w:pPr>
              <w:spacing w:after="20" w:before="20"/>
            </w:pPr>
            <w:r/>
            <w:r>
              <w:rPr>
                <w:rFonts w:ascii="Calibri" w:hAnsi="Calibri"/>
                <w:b w:val="0"/>
                <w:i w:val="0"/>
                <w:color w:val="334E68"/>
                <w:sz w:val="17"/>
              </w:rPr>
              <w:t>Provision infrastructure through automation; validate VPC, subnets, DNS, storage and resources.</w:t>
            </w:r>
          </w:p>
        </w:tc>
        <w:tc>
          <w:tcPr>
            <w:tcW w:type="dxa" w:w="1928"/>
          </w:tcPr>
          <w:p>
            <w:pPr>
              <w:spacing w:after="20" w:before="20"/>
            </w:pPr>
            <w:r/>
            <w:r>
              <w:rPr>
                <w:rFonts w:ascii="Calibri" w:hAnsi="Calibri"/>
                <w:b w:val="0"/>
                <w:i w:val="0"/>
                <w:color w:val="334E68"/>
                <w:sz w:val="17"/>
              </w:rPr>
              <w:t>Approved build sheet</w:t>
            </w:r>
          </w:p>
        </w:tc>
        <w:tc>
          <w:tcPr>
            <w:tcW w:type="dxa" w:w="2699"/>
          </w:tcPr>
          <w:p>
            <w:pPr>
              <w:spacing w:after="20" w:before="20"/>
            </w:pPr>
            <w:r/>
            <w:r>
              <w:rPr>
                <w:rFonts w:ascii="Calibri" w:hAnsi="Calibri"/>
                <w:b w:val="0"/>
                <w:i w:val="0"/>
                <w:color w:val="334E68"/>
                <w:sz w:val="17"/>
              </w:rPr>
              <w:t>Validated infrastructure, CMDB CIs deployed and matching the inventory</w:t>
            </w:r>
          </w:p>
        </w:tc>
      </w:tr>
      <w:tr>
        <w:trPr>
          <w:cantSplit/>
        </w:trPr>
        <w:tc>
          <w:tcPr>
            <w:tcW w:type="dxa" w:w="386"/>
            <w:shd w:val="clear" w:color="auto" w:fill="FAFBFD"/>
          </w:tcPr>
          <w:p>
            <w:pPr>
              <w:spacing w:after="20" w:before="20"/>
            </w:pPr>
            <w:r/>
            <w:r>
              <w:rPr>
                <w:rFonts w:ascii="Calibri" w:hAnsi="Calibri"/>
                <w:b/>
                <w:i w:val="0"/>
                <w:color w:val="334E68"/>
                <w:sz w:val="17"/>
              </w:rPr>
              <w:t>6</w:t>
            </w:r>
          </w:p>
        </w:tc>
        <w:tc>
          <w:tcPr>
            <w:tcW w:type="dxa" w:w="1735"/>
            <w:shd w:val="clear" w:color="auto" w:fill="FAFBFD"/>
          </w:tcPr>
          <w:p>
            <w:pPr>
              <w:spacing w:after="20" w:before="20"/>
            </w:pPr>
            <w:r/>
            <w:r>
              <w:rPr>
                <w:rFonts w:ascii="Calibri" w:hAnsi="Calibri"/>
                <w:b w:val="0"/>
                <w:i w:val="0"/>
                <w:color w:val="334E68"/>
                <w:sz w:val="17"/>
              </w:rPr>
              <w:t>SAP / DB Build</w:t>
            </w:r>
          </w:p>
        </w:tc>
        <w:tc>
          <w:tcPr>
            <w:tcW w:type="dxa" w:w="2891"/>
            <w:shd w:val="clear" w:color="auto" w:fill="FAFBFD"/>
          </w:tcPr>
          <w:p>
            <w:pPr>
              <w:spacing w:after="20" w:before="20"/>
            </w:pPr>
            <w:r/>
            <w:r>
              <w:rPr>
                <w:rFonts w:ascii="Calibri" w:hAnsi="Calibri"/>
                <w:b w:val="0"/>
                <w:i w:val="0"/>
                <w:color w:val="334E68"/>
                <w:sz w:val="17"/>
              </w:rPr>
              <w:t>Install and configure SAP and database components; validate target readiness.</w:t>
            </w:r>
          </w:p>
        </w:tc>
        <w:tc>
          <w:tcPr>
            <w:tcW w:type="dxa" w:w="1928"/>
            <w:shd w:val="clear" w:color="auto" w:fill="FAFBFD"/>
          </w:tcPr>
          <w:p>
            <w:pPr>
              <w:spacing w:after="20" w:before="20"/>
            </w:pPr>
            <w:r/>
            <w:r>
              <w:rPr>
                <w:rFonts w:ascii="Calibri" w:hAnsi="Calibri"/>
                <w:b w:val="0"/>
                <w:i w:val="0"/>
                <w:color w:val="334E68"/>
                <w:sz w:val="17"/>
              </w:rPr>
              <w:t>Validated infrastructure</w:t>
            </w:r>
          </w:p>
        </w:tc>
        <w:tc>
          <w:tcPr>
            <w:tcW w:type="dxa" w:w="2699"/>
            <w:shd w:val="clear" w:color="auto" w:fill="FAFBFD"/>
          </w:tcPr>
          <w:p>
            <w:pPr>
              <w:spacing w:after="20" w:before="20"/>
            </w:pPr>
            <w:r/>
            <w:r>
              <w:rPr>
                <w:rFonts w:ascii="Calibri" w:hAnsi="Calibri"/>
                <w:b w:val="0"/>
                <w:i w:val="0"/>
                <w:color w:val="334E68"/>
                <w:sz w:val="17"/>
              </w:rPr>
              <w:t>SAP and database installed, configured and reachable; pre-checks passed</w:t>
            </w:r>
          </w:p>
        </w:tc>
      </w:tr>
      <w:tr>
        <w:trPr>
          <w:cantSplit/>
        </w:trPr>
        <w:tc>
          <w:tcPr>
            <w:tcW w:type="dxa" w:w="386"/>
          </w:tcPr>
          <w:p>
            <w:pPr>
              <w:spacing w:after="20" w:before="20"/>
            </w:pPr>
            <w:r/>
            <w:r>
              <w:rPr>
                <w:rFonts w:ascii="Calibri" w:hAnsi="Calibri"/>
                <w:b/>
                <w:i w:val="0"/>
                <w:color w:val="334E68"/>
                <w:sz w:val="17"/>
              </w:rPr>
              <w:t>7</w:t>
            </w:r>
          </w:p>
        </w:tc>
        <w:tc>
          <w:tcPr>
            <w:tcW w:type="dxa" w:w="1735"/>
          </w:tcPr>
          <w:p>
            <w:pPr>
              <w:spacing w:after="20" w:before="20"/>
            </w:pPr>
            <w:r/>
            <w:r>
              <w:rPr>
                <w:rFonts w:ascii="Calibri" w:hAnsi="Calibri"/>
                <w:b w:val="0"/>
                <w:i w:val="0"/>
                <w:color w:val="334E68"/>
                <w:sz w:val="17"/>
              </w:rPr>
              <w:t xml:space="preserve">Pre-Cutover Validation </w:t>
            </w:r>
            <w:r>
              <w:rPr>
                <w:rFonts w:ascii="Calibri" w:hAnsi="Calibri"/>
                <w:b w:val="0"/>
                <w:i w:val="0"/>
                <w:color w:val="334E68"/>
                <w:sz w:val="17"/>
              </w:rPr>
              <w:t>GATE 1</w:t>
            </w:r>
          </w:p>
        </w:tc>
        <w:tc>
          <w:tcPr>
            <w:tcW w:type="dxa" w:w="2891"/>
          </w:tcPr>
          <w:p>
            <w:pPr>
              <w:spacing w:after="20" w:before="20"/>
            </w:pPr>
            <w:r/>
            <w:r>
              <w:rPr>
                <w:rFonts w:ascii="Calibri" w:hAnsi="Calibri"/>
                <w:b w:val="0"/>
                <w:i w:val="0"/>
                <w:color w:val="334E68"/>
                <w:sz w:val="17"/>
              </w:rPr>
              <w:t>Complete source/target comparisons, backup/recovery testing and readiness checks.</w:t>
            </w:r>
          </w:p>
        </w:tc>
        <w:tc>
          <w:tcPr>
            <w:tcW w:type="dxa" w:w="1928"/>
          </w:tcPr>
          <w:p>
            <w:pPr>
              <w:spacing w:after="20" w:before="20"/>
            </w:pPr>
            <w:r/>
            <w:r>
              <w:rPr>
                <w:rFonts w:ascii="Calibri" w:hAnsi="Calibri"/>
                <w:b w:val="0"/>
                <w:i w:val="0"/>
                <w:color w:val="334E68"/>
                <w:sz w:val="17"/>
              </w:rPr>
              <w:t>Target build complete</w:t>
            </w:r>
          </w:p>
        </w:tc>
        <w:tc>
          <w:tcPr>
            <w:tcW w:type="dxa" w:w="2699"/>
          </w:tcPr>
          <w:p>
            <w:pPr>
              <w:spacing w:after="20" w:before="20"/>
            </w:pPr>
            <w:r/>
            <w:r>
              <w:rPr>
                <w:rFonts w:ascii="Calibri" w:hAnsi="Calibri"/>
                <w:b w:val="0"/>
                <w:i w:val="0"/>
                <w:color w:val="334E68"/>
                <w:sz w:val="17"/>
              </w:rPr>
              <w:t>All checklist items closed or formally deferred with an owner and a date</w:t>
            </w:r>
          </w:p>
        </w:tc>
      </w:tr>
      <w:tr>
        <w:trPr>
          <w:cantSplit/>
        </w:trPr>
        <w:tc>
          <w:tcPr>
            <w:tcW w:type="dxa" w:w="386"/>
            <w:shd w:val="clear" w:color="auto" w:fill="FAFBFD"/>
          </w:tcPr>
          <w:p>
            <w:pPr>
              <w:spacing w:after="20" w:before="20"/>
            </w:pPr>
            <w:r/>
            <w:r>
              <w:rPr>
                <w:rFonts w:ascii="Calibri" w:hAnsi="Calibri"/>
                <w:b/>
                <w:i w:val="0"/>
                <w:color w:val="334E68"/>
                <w:sz w:val="17"/>
              </w:rPr>
              <w:t>8</w:t>
            </w:r>
          </w:p>
        </w:tc>
        <w:tc>
          <w:tcPr>
            <w:tcW w:type="dxa" w:w="1735"/>
            <w:shd w:val="clear" w:color="auto" w:fill="FAFBFD"/>
          </w:tcPr>
          <w:p>
            <w:pPr>
              <w:spacing w:after="20" w:before="20"/>
            </w:pPr>
            <w:r/>
            <w:r>
              <w:rPr>
                <w:rFonts w:ascii="Calibri" w:hAnsi="Calibri"/>
                <w:b w:val="0"/>
                <w:i w:val="0"/>
                <w:color w:val="334E68"/>
                <w:sz w:val="17"/>
              </w:rPr>
              <w:t>Cutover</w:t>
            </w:r>
          </w:p>
        </w:tc>
        <w:tc>
          <w:tcPr>
            <w:tcW w:type="dxa" w:w="2891"/>
            <w:shd w:val="clear" w:color="auto" w:fill="FAFBFD"/>
          </w:tcPr>
          <w:p>
            <w:pPr>
              <w:spacing w:after="20" w:before="20"/>
            </w:pPr>
            <w:r/>
            <w:r>
              <w:rPr>
                <w:rFonts w:ascii="Calibri" w:hAnsi="Calibri"/>
                <w:b w:val="0"/>
                <w:i w:val="0"/>
                <w:color w:val="334E68"/>
                <w:sz w:val="17"/>
              </w:rPr>
              <w:t>Execute shutdown, database migration/switchover or recovery, network updates and technical validation.</w:t>
            </w:r>
          </w:p>
        </w:tc>
        <w:tc>
          <w:tcPr>
            <w:tcW w:type="dxa" w:w="1928"/>
            <w:shd w:val="clear" w:color="auto" w:fill="FAFBFD"/>
          </w:tcPr>
          <w:p>
            <w:pPr>
              <w:spacing w:after="20" w:before="20"/>
            </w:pPr>
            <w:r/>
            <w:r>
              <w:rPr>
                <w:rFonts w:ascii="Calibri" w:hAnsi="Calibri"/>
                <w:b w:val="0"/>
                <w:i w:val="0"/>
                <w:color w:val="334E68"/>
                <w:sz w:val="17"/>
              </w:rPr>
              <w:t>Gate 1 approval and a booked window</w:t>
            </w:r>
          </w:p>
        </w:tc>
        <w:tc>
          <w:tcPr>
            <w:tcW w:type="dxa" w:w="2699"/>
            <w:shd w:val="clear" w:color="auto" w:fill="FAFBFD"/>
          </w:tcPr>
          <w:p>
            <w:pPr>
              <w:spacing w:after="20" w:before="20"/>
            </w:pPr>
            <w:r/>
            <w:r>
              <w:rPr>
                <w:rFonts w:ascii="Calibri" w:hAnsi="Calibri"/>
                <w:b w:val="0"/>
                <w:i w:val="0"/>
                <w:color w:val="334E68"/>
                <w:sz w:val="17"/>
              </w:rPr>
              <w:t>Target system technically validated; R3TRANS -d returns 0000; SAP started</w:t>
            </w:r>
          </w:p>
        </w:tc>
      </w:tr>
      <w:tr>
        <w:trPr>
          <w:cantSplit/>
        </w:trPr>
        <w:tc>
          <w:tcPr>
            <w:tcW w:type="dxa" w:w="386"/>
          </w:tcPr>
          <w:p>
            <w:pPr>
              <w:spacing w:after="20" w:before="20"/>
            </w:pPr>
            <w:r/>
            <w:r>
              <w:rPr>
                <w:rFonts w:ascii="Calibri" w:hAnsi="Calibri"/>
                <w:b/>
                <w:i w:val="0"/>
                <w:color w:val="334E68"/>
                <w:sz w:val="17"/>
              </w:rPr>
              <w:t>9</w:t>
            </w:r>
          </w:p>
        </w:tc>
        <w:tc>
          <w:tcPr>
            <w:tcW w:type="dxa" w:w="1735"/>
          </w:tcPr>
          <w:p>
            <w:pPr>
              <w:spacing w:after="20" w:before="20"/>
            </w:pPr>
            <w:r/>
            <w:r>
              <w:rPr>
                <w:rFonts w:ascii="Calibri" w:hAnsi="Calibri"/>
                <w:b w:val="0"/>
                <w:i w:val="0"/>
                <w:color w:val="334E68"/>
                <w:sz w:val="17"/>
              </w:rPr>
              <w:t xml:space="preserve">Go / No-Go </w:t>
            </w:r>
            <w:r>
              <w:rPr>
                <w:rFonts w:ascii="Calibri" w:hAnsi="Calibri"/>
                <w:b w:val="0"/>
                <w:i w:val="0"/>
                <w:color w:val="334E68"/>
                <w:sz w:val="17"/>
              </w:rPr>
              <w:t>GATE 2</w:t>
            </w:r>
          </w:p>
        </w:tc>
        <w:tc>
          <w:tcPr>
            <w:tcW w:type="dxa" w:w="2891"/>
          </w:tcPr>
          <w:p>
            <w:pPr>
              <w:spacing w:after="20" w:before="20"/>
            </w:pPr>
            <w:r/>
            <w:r>
              <w:rPr>
                <w:rFonts w:ascii="Calibri" w:hAnsi="Calibri"/>
                <w:b w:val="0"/>
                <w:i w:val="0"/>
                <w:color w:val="334E68"/>
                <w:sz w:val="17"/>
              </w:rPr>
              <w:t>Review evidence, approvals, functional results and rollback readiness.</w:t>
            </w:r>
          </w:p>
        </w:tc>
        <w:tc>
          <w:tcPr>
            <w:tcW w:type="dxa" w:w="1928"/>
          </w:tcPr>
          <w:p>
            <w:pPr>
              <w:spacing w:after="20" w:before="20"/>
            </w:pPr>
            <w:r/>
            <w:r>
              <w:rPr>
                <w:rFonts w:ascii="Calibri" w:hAnsi="Calibri"/>
                <w:b w:val="0"/>
                <w:i w:val="0"/>
                <w:color w:val="334E68"/>
                <w:sz w:val="17"/>
              </w:rPr>
              <w:t>Technical and functional evidence</w:t>
            </w:r>
          </w:p>
        </w:tc>
        <w:tc>
          <w:tcPr>
            <w:tcW w:type="dxa" w:w="2699"/>
          </w:tcPr>
          <w:p>
            <w:pPr>
              <w:spacing w:after="20" w:before="20"/>
            </w:pPr>
            <w:r/>
            <w:r>
              <w:rPr>
                <w:rFonts w:ascii="Calibri" w:hAnsi="Calibri"/>
                <w:b w:val="0"/>
                <w:i w:val="0"/>
                <w:color w:val="334E68"/>
                <w:sz w:val="17"/>
              </w:rPr>
              <w:t>Recorded Go or No-Go decision with named approvers</w:t>
            </w:r>
          </w:p>
        </w:tc>
      </w:tr>
      <w:tr>
        <w:trPr>
          <w:cantSplit/>
        </w:trPr>
        <w:tc>
          <w:tcPr>
            <w:tcW w:type="dxa" w:w="386"/>
            <w:shd w:val="clear" w:color="auto" w:fill="FAFBFD"/>
          </w:tcPr>
          <w:p>
            <w:pPr>
              <w:spacing w:after="20" w:before="20"/>
            </w:pPr>
            <w:r/>
            <w:r>
              <w:rPr>
                <w:rFonts w:ascii="Calibri" w:hAnsi="Calibri"/>
                <w:b/>
                <w:i w:val="0"/>
                <w:color w:val="334E68"/>
                <w:sz w:val="17"/>
              </w:rPr>
              <w:t>10</w:t>
            </w:r>
          </w:p>
        </w:tc>
        <w:tc>
          <w:tcPr>
            <w:tcW w:type="dxa" w:w="1735"/>
            <w:shd w:val="clear" w:color="auto" w:fill="FAFBFD"/>
          </w:tcPr>
          <w:p>
            <w:pPr>
              <w:spacing w:after="20" w:before="20"/>
            </w:pPr>
            <w:r/>
            <w:r>
              <w:rPr>
                <w:rFonts w:ascii="Calibri" w:hAnsi="Calibri"/>
                <w:b w:val="0"/>
                <w:i w:val="0"/>
                <w:color w:val="334E68"/>
                <w:sz w:val="17"/>
              </w:rPr>
              <w:t xml:space="preserve">Go-Live &amp; Hypercare </w:t>
            </w:r>
            <w:r>
              <w:rPr>
                <w:rFonts w:ascii="Calibri" w:hAnsi="Calibri"/>
                <w:b w:val="0"/>
                <w:i w:val="0"/>
                <w:color w:val="334E68"/>
                <w:sz w:val="17"/>
              </w:rPr>
              <w:t>GATE 3</w:t>
            </w:r>
          </w:p>
        </w:tc>
        <w:tc>
          <w:tcPr>
            <w:tcW w:type="dxa" w:w="2891"/>
            <w:shd w:val="clear" w:color="auto" w:fill="FAFBFD"/>
          </w:tcPr>
          <w:p>
            <w:pPr>
              <w:spacing w:after="20" w:before="20"/>
            </w:pPr>
            <w:r/>
            <w:r>
              <w:rPr>
                <w:rFonts w:ascii="Calibri" w:hAnsi="Calibri"/>
                <w:b w:val="0"/>
                <w:i w:val="0"/>
                <w:color w:val="334E68"/>
                <w:sz w:val="17"/>
              </w:rPr>
              <w:t>Unlock users, resume jobs, monitor the system and resolve migration-related issues.</w:t>
            </w:r>
          </w:p>
        </w:tc>
        <w:tc>
          <w:tcPr>
            <w:tcW w:type="dxa" w:w="1928"/>
            <w:shd w:val="clear" w:color="auto" w:fill="FAFBFD"/>
          </w:tcPr>
          <w:p>
            <w:pPr>
              <w:spacing w:after="20" w:before="20"/>
            </w:pPr>
            <w:r/>
            <w:r>
              <w:rPr>
                <w:rFonts w:ascii="Calibri" w:hAnsi="Calibri"/>
                <w:b w:val="0"/>
                <w:i w:val="0"/>
                <w:color w:val="334E68"/>
                <w:sz w:val="17"/>
              </w:rPr>
              <w:t>Go decision</w:t>
            </w:r>
          </w:p>
        </w:tc>
        <w:tc>
          <w:tcPr>
            <w:tcW w:type="dxa" w:w="2699"/>
            <w:shd w:val="clear" w:color="auto" w:fill="FAFBFD"/>
          </w:tcPr>
          <w:p>
            <w:pPr>
              <w:spacing w:after="20" w:before="20"/>
            </w:pPr>
            <w:r/>
            <w:r>
              <w:rPr>
                <w:rFonts w:ascii="Calibri" w:hAnsi="Calibri"/>
                <w:b w:val="0"/>
                <w:i w:val="0"/>
                <w:color w:val="334E68"/>
                <w:sz w:val="17"/>
              </w:rPr>
              <w:t>System released, jobs resumed, hypercare running for 15 days, handover complete</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THE THREE GATES</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Gate 1 — Pre-cutover validation.</w:t>
      </w:r>
      <w:r>
        <w:rPr>
          <w:rFonts w:ascii="Calibri" w:hAnsi="Calibri"/>
          <w:b w:val="0"/>
          <w:i w:val="0"/>
          <w:color w:val="334E68"/>
          <w:sz w:val="19"/>
        </w:rPr>
        <w:t xml:space="preserve"> Nothing enters a cutover window with an untested backup/recovery path or an open critical checklist item.</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Gate 2 — Go/No-Go.</w:t>
      </w:r>
      <w:r>
        <w:rPr>
          <w:rFonts w:ascii="Calibri" w:hAnsi="Calibri"/>
          <w:b w:val="0"/>
          <w:i w:val="0"/>
          <w:color w:val="334E68"/>
          <w:sz w:val="19"/>
        </w:rPr>
        <w:t xml:space="preserve"> Technical, functional and system-owner sign-off plus confirmed rollback readiness. A No-Go is a successful outcome of this gate when the evidence does not support release.</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Gate 3 — Release to hypercare.</w:t>
      </w:r>
      <w:r>
        <w:rPr>
          <w:rFonts w:ascii="Calibri" w:hAnsi="Calibri"/>
          <w:b w:val="0"/>
          <w:i w:val="0"/>
          <w:color w:val="334E68"/>
          <w:sz w:val="19"/>
        </w:rPr>
        <w:t xml:space="preserve"> Users unlocked and jobs resumed only after the Go decision is recorded, with the hypercare roster and escalation path live.</w:t>
      </w:r>
    </w:p>
    <w:p>
      <w:pPr>
        <w:shd w:val="clear" w:color="auto" w:fill="FFFDF5"/>
        <w:pBdr>
          <w:left w:val="single" w:sz="6" w:space="6" w:color="D9A520"/>
          <w:bottom w:val="single" w:sz="6" w:space="6" w:color="D9A520"/>
          <w:right w:val="single" w:sz="6" w:space="6" w:color="D9A520"/>
        </w:pBdr>
        <w:spacing w:after="40"/>
      </w:pPr>
    </w:p>
    <w:p>
      <w:pPr>
        <w:pStyle w:val="Heading2"/>
        <w:pBdr>
          <w:bottom w:val="single" w:sz="6" w:space="3" w:color="E8EDF3"/>
        </w:pBdr>
      </w:pPr>
      <w:r>
        <w:rPr>
          <w:rFonts w:ascii="Calibri" w:hAnsi="Calibri"/>
          <w:b/>
          <w:color w:val="0F2B4C"/>
          <w:sz w:val="26"/>
        </w:rPr>
        <w:t>3.2  Sequence to remember</w:t>
      </w:r>
    </w:p>
    <w:p>
      <w:pPr>
        <w:spacing w:before="120" w:after="160"/>
        <w:shd w:val="clear" w:color="auto" w:fill="F4F7FB"/>
        <w:pBdr>
          <w:left w:val="single" w:sz="18" w:space="6" w:color="1B4F86"/>
        </w:pBdr>
      </w:pPr>
      <w:r>
        <w:rPr>
          <w:rFonts w:ascii="Calibri" w:hAnsi="Calibri"/>
          <w:b/>
          <w:color w:val="0F2B4C"/>
          <w:sz w:val="18"/>
        </w:rPr>
        <w:t>Scope</w:t>
      </w:r>
      <w:r>
        <w:rPr>
          <w:b/>
          <w:color w:val="9EC3EC"/>
          <w:sz w:val="18"/>
        </w:rPr>
        <w:t xml:space="preserve">  →  </w:t>
      </w:r>
      <w:r>
        <w:rPr>
          <w:rFonts w:ascii="Calibri" w:hAnsi="Calibri"/>
          <w:b/>
          <w:color w:val="0F2B4C"/>
          <w:sz w:val="18"/>
        </w:rPr>
        <w:t>Discovery</w:t>
      </w:r>
      <w:r>
        <w:rPr>
          <w:b/>
          <w:color w:val="9EC3EC"/>
          <w:sz w:val="18"/>
        </w:rPr>
        <w:t xml:space="preserve">  →  </w:t>
      </w:r>
      <w:r>
        <w:rPr>
          <w:rFonts w:ascii="Calibri" w:hAnsi="Calibri"/>
          <w:b/>
          <w:color w:val="0F2B4C"/>
          <w:sz w:val="18"/>
        </w:rPr>
        <w:t>Inventory</w:t>
      </w:r>
      <w:r>
        <w:rPr>
          <w:b/>
          <w:color w:val="9EC3EC"/>
          <w:sz w:val="18"/>
        </w:rPr>
        <w:t xml:space="preserve">  →  </w:t>
      </w:r>
      <w:r>
        <w:rPr>
          <w:rFonts w:ascii="Calibri" w:hAnsi="Calibri"/>
          <w:b/>
          <w:color w:val="0F2B4C"/>
          <w:sz w:val="18"/>
        </w:rPr>
        <w:t>Dependencies</w:t>
      </w:r>
      <w:r>
        <w:rPr>
          <w:b/>
          <w:color w:val="9EC3EC"/>
          <w:sz w:val="18"/>
        </w:rPr>
        <w:t xml:space="preserve">  →  </w:t>
      </w:r>
      <w:r>
        <w:rPr>
          <w:rFonts w:ascii="Calibri" w:hAnsi="Calibri"/>
          <w:b/>
          <w:color w:val="0F2B4C"/>
          <w:sz w:val="18"/>
        </w:rPr>
        <w:t>Sizing</w:t>
      </w:r>
      <w:r>
        <w:rPr>
          <w:b/>
          <w:color w:val="9EC3EC"/>
          <w:sz w:val="18"/>
        </w:rPr>
        <w:t xml:space="preserve">  →  </w:t>
      </w:r>
      <w:r>
        <w:rPr>
          <w:rFonts w:ascii="Calibri" w:hAnsi="Calibri"/>
          <w:b/>
          <w:color w:val="0F2B4C"/>
          <w:sz w:val="18"/>
        </w:rPr>
        <w:t>Architecture</w:t>
      </w:r>
      <w:r>
        <w:rPr>
          <w:b/>
          <w:color w:val="9EC3EC"/>
          <w:sz w:val="18"/>
        </w:rPr>
        <w:t xml:space="preserve">  →  </w:t>
      </w:r>
      <w:r>
        <w:rPr>
          <w:rFonts w:ascii="Calibri" w:hAnsi="Calibri"/>
          <w:b/>
          <w:color w:val="0F2B4C"/>
          <w:sz w:val="18"/>
        </w:rPr>
        <w:t>Build</w:t>
      </w:r>
      <w:r>
        <w:rPr>
          <w:b/>
          <w:color w:val="9EC3EC"/>
          <w:sz w:val="18"/>
        </w:rPr>
        <w:t xml:space="preserve">  →  </w:t>
      </w:r>
      <w:r>
        <w:rPr>
          <w:rFonts w:ascii="Calibri" w:hAnsi="Calibri"/>
          <w:b/>
          <w:color w:val="0F2B4C"/>
          <w:sz w:val="18"/>
        </w:rPr>
        <w:t>Validation</w:t>
      </w:r>
      <w:r>
        <w:rPr>
          <w:b/>
          <w:color w:val="9EC3EC"/>
          <w:sz w:val="18"/>
        </w:rPr>
        <w:t xml:space="preserve">  →  </w:t>
      </w:r>
      <w:r>
        <w:rPr>
          <w:rFonts w:ascii="Calibri" w:hAnsi="Calibri"/>
          <w:b/>
          <w:color w:val="0F2B4C"/>
          <w:sz w:val="18"/>
        </w:rPr>
        <w:t>Migration</w:t>
      </w:r>
      <w:r>
        <w:rPr>
          <w:b/>
          <w:color w:val="9EC3EC"/>
          <w:sz w:val="18"/>
        </w:rPr>
        <w:t xml:space="preserve">  →  </w:t>
      </w:r>
      <w:r>
        <w:rPr>
          <w:rFonts w:ascii="Calibri" w:hAnsi="Calibri"/>
          <w:b/>
          <w:color w:val="0F2B4C"/>
          <w:sz w:val="18"/>
        </w:rPr>
        <w:t>Handover</w:t>
      </w:r>
    </w:p>
    <w:p>
      <w:r>
        <w:rPr>
          <w:rFonts w:ascii="Calibri" w:hAnsi="Calibri"/>
          <w:b w:val="0"/>
          <w:i w:val="0"/>
          <w:color w:val="334E68"/>
          <w:sz w:val="20"/>
        </w:rPr>
        <w:t>If a project is in trouble, it is almost always because one of these was skipped or compressed: discovery (unknown interfaces and agents surface at cutover), dependencies (third-party credentials arrive late), or validation (the target is assumed correct because automation produced it).</w:t>
      </w:r>
    </w:p>
    <w:p>
      <w:pPr>
        <w:pStyle w:val="Heading2"/>
        <w:pBdr>
          <w:bottom w:val="single" w:sz="6" w:space="3" w:color="E8EDF3"/>
        </w:pBdr>
      </w:pPr>
      <w:r>
        <w:rPr>
          <w:rFonts w:ascii="Calibri" w:hAnsi="Calibri"/>
          <w:b/>
          <w:color w:val="0F2B4C"/>
          <w:sz w:val="26"/>
        </w:rPr>
        <w:t>3.3  Where each team enters the lifecycle</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4816500"/>
            <wp:docPr id="2" name="Picture 2"/>
            <wp:cNvGraphicFramePr>
              <a:graphicFrameLocks noChangeAspect="1"/>
            </wp:cNvGraphicFramePr>
            <a:graphic>
              <a:graphicData uri="http://schemas.openxmlformats.org/drawingml/2006/picture">
                <pic:pic>
                  <pic:nvPicPr>
                    <pic:cNvPr id="0" name="d2-responsibility.png"/>
                    <pic:cNvPicPr/>
                  </pic:nvPicPr>
                  <pic:blipFill>
                    <a:blip r:embed="rId12"/>
                    <a:stretch>
                      <a:fillRect/>
                    </a:stretch>
                  </pic:blipFill>
                  <pic:spPr>
                    <a:xfrm>
                      <a:off x="0" y="0"/>
                      <a:ext cx="8892000" cy="4816500"/>
                    </a:xfrm>
                    <a:prstGeom prst="rect"/>
                  </pic:spPr>
                </pic:pic>
              </a:graphicData>
            </a:graphic>
          </wp:inline>
        </w:drawing>
      </w:r>
    </w:p>
    <w:p>
      <w:pPr>
        <w:spacing w:after="240"/>
      </w:pPr>
      <w:r>
        <w:rPr>
          <w:rFonts w:ascii="Calibri" w:hAnsi="Calibri"/>
          <w:i/>
          <w:color w:val="5B7288"/>
          <w:sz w:val="17"/>
        </w:rPr>
        <w:t>Figure 2. Responsibility split. Read the matrix by row when you need to know what your team owns, and by column when you need to know who to call at a given stage. Two teams can share work (A · R), but only one can be accountable.</w:t>
      </w:r>
    </w:p>
    <w:p>
      <w:pPr>
        <w:sectPr>
          <w:pgSz w:w="16838" w:h="11906" w:orient="landscape"/>
          <w:pgMar w:top="1020" w:right="1134" w:bottom="1020" w:left="1134" w:header="567" w:footer="567" w:gutter="0"/>
          <w:cols w:space="720"/>
          <w:titlePg/>
          <w:docGrid w:linePitch="360"/>
        </w:sectPr>
      </w:pPr>
    </w:p>
    <w:p>
      <w:r>
        <w:br w:type="page"/>
      </w:r>
    </w:p>
    <w:p>
      <w:pPr>
        <w:spacing w:after="20"/>
      </w:pPr>
      <w:r>
        <w:rPr>
          <w:rFonts w:ascii="Calibri" w:hAnsi="Calibri"/>
          <w:b/>
          <w:color w:val="1B4F86"/>
          <w:sz w:val="16"/>
        </w:rPr>
        <w:t>MODULE 1 · SECTION 4</w:t>
      </w:r>
    </w:p>
    <w:p>
      <w:pPr>
        <w:pStyle w:val="Heading1"/>
        <w:pBdr>
          <w:bottom w:val="single" w:sz="12" w:space="5" w:color="1B4F86"/>
        </w:pBdr>
        <w:spacing w:after="160"/>
      </w:pPr>
      <w:r>
        <w:rPr>
          <w:rFonts w:ascii="Calibri Light" w:hAnsi="Calibri Light"/>
          <w:b/>
          <w:color w:val="0F2B4C"/>
          <w:sz w:val="38"/>
        </w:rPr>
        <w:t>4  Module 1 — Preparation, discovery and source baseline</w:t>
      </w:r>
    </w:p>
    <w:p>
      <w:pPr>
        <w:spacing w:after="200"/>
      </w:pPr>
      <w:r>
        <w:rPr>
          <w:rFonts w:ascii="Calibri" w:hAnsi="Calibri"/>
          <w:i/>
          <w:color w:val="5B7288"/>
          <w:sz w:val="21"/>
        </w:rPr>
        <w:t>Everything validated later is validated against what is recorded here. A weak baseline produces a cutover full of unanswerable questions; a strong baseline turns every deviation into a five-minute lookup.</w:t>
      </w:r>
    </w:p>
    <w:p>
      <w:pPr>
        <w:pStyle w:val="Heading2"/>
        <w:pBdr>
          <w:bottom w:val="single" w:sz="6" w:space="3" w:color="E8EDF3"/>
        </w:pBdr>
      </w:pPr>
      <w:r>
        <w:rPr>
          <w:rFonts w:ascii="Calibri" w:hAnsi="Calibri"/>
          <w:b/>
          <w:color w:val="0F2B4C"/>
          <w:sz w:val="26"/>
        </w:rPr>
        <w:t>4.1  Preparation and discovery</w:t>
      </w:r>
    </w:p>
    <w:p>
      <w:pPr>
        <w:spacing w:after="40"/>
        <w:ind w:left="578" w:hanging="227"/>
      </w:pPr>
      <w:r>
        <w:rPr>
          <w:rFonts w:ascii="Calibri" w:hAnsi="Calibri"/>
          <w:b/>
          <w:color w:val="0F2B4C"/>
          <w:sz w:val="19"/>
        </w:rPr>
        <w:t xml:space="preserve">1.  </w:t>
      </w:r>
      <w:r>
        <w:rPr>
          <w:rFonts w:ascii="Calibri" w:hAnsi="Calibri"/>
          <w:b w:val="0"/>
          <w:i w:val="0"/>
          <w:color w:val="334E68"/>
          <w:sz w:val="19"/>
        </w:rPr>
        <w:t>Finalise the migration scope with the customer, in writing.</w:t>
      </w:r>
    </w:p>
    <w:p>
      <w:pPr>
        <w:spacing w:after="40"/>
        <w:ind w:left="578" w:hanging="227"/>
      </w:pPr>
      <w:r>
        <w:rPr>
          <w:rFonts w:ascii="Calibri" w:hAnsi="Calibri"/>
          <w:b/>
          <w:color w:val="0F2B4C"/>
          <w:sz w:val="19"/>
        </w:rPr>
        <w:t xml:space="preserve">2.  </w:t>
      </w:r>
      <w:r>
        <w:rPr>
          <w:rFonts w:ascii="Calibri" w:hAnsi="Calibri"/>
          <w:b w:val="0"/>
          <w:i w:val="0"/>
          <w:color w:val="334E68"/>
          <w:sz w:val="19"/>
        </w:rPr>
        <w:t>Identify the systems included in the migration (SIDs, landscape role, environment).</w:t>
      </w:r>
    </w:p>
    <w:p>
      <w:pPr>
        <w:spacing w:after="40"/>
        <w:ind w:left="578" w:hanging="227"/>
      </w:pPr>
      <w:r>
        <w:rPr>
          <w:rFonts w:ascii="Calibri" w:hAnsi="Calibri"/>
          <w:b/>
          <w:color w:val="0F2B4C"/>
          <w:sz w:val="19"/>
        </w:rPr>
        <w:t xml:space="preserve">3.  </w:t>
      </w:r>
      <w:r>
        <w:rPr>
          <w:rFonts w:ascii="Calibri" w:hAnsi="Calibri"/>
          <w:b w:val="0"/>
          <w:i w:val="0"/>
          <w:color w:val="334E68"/>
          <w:sz w:val="19"/>
        </w:rPr>
        <w:t>Verify AWS account availability and the target region.</w:t>
      </w:r>
    </w:p>
    <w:p>
      <w:pPr>
        <w:spacing w:after="40"/>
        <w:ind w:left="578" w:hanging="227"/>
      </w:pPr>
      <w:r>
        <w:rPr>
          <w:rFonts w:ascii="Calibri" w:hAnsi="Calibri"/>
          <w:b/>
          <w:color w:val="0F2B4C"/>
          <w:sz w:val="19"/>
        </w:rPr>
        <w:t xml:space="preserve">4.  </w:t>
      </w:r>
      <w:r>
        <w:rPr>
          <w:rFonts w:ascii="Calibri" w:hAnsi="Calibri"/>
          <w:b w:val="0"/>
          <w:i w:val="0"/>
          <w:color w:val="334E68"/>
          <w:sz w:val="19"/>
        </w:rPr>
        <w:t>Create or validate ServiceNow CMDB configuration items for each system.</w:t>
      </w:r>
    </w:p>
    <w:p>
      <w:pPr>
        <w:spacing w:after="40"/>
        <w:ind w:left="578" w:hanging="227"/>
      </w:pPr>
      <w:r>
        <w:rPr>
          <w:rFonts w:ascii="Calibri" w:hAnsi="Calibri"/>
          <w:b/>
          <w:color w:val="0F2B4C"/>
          <w:sz w:val="19"/>
        </w:rPr>
        <w:t xml:space="preserve">5.  </w:t>
      </w:r>
      <w:r>
        <w:rPr>
          <w:rFonts w:ascii="Calibri" w:hAnsi="Calibri"/>
          <w:b w:val="0"/>
          <w:i w:val="0"/>
          <w:color w:val="334E68"/>
          <w:sz w:val="19"/>
        </w:rPr>
        <w:t>Perform IP address analysis: current addressing, subnets, overlaps, static entries, host-file records.</w:t>
      </w:r>
    </w:p>
    <w:p>
      <w:pPr>
        <w:spacing w:after="40"/>
        <w:ind w:left="578" w:hanging="227"/>
      </w:pPr>
      <w:r>
        <w:rPr>
          <w:rFonts w:ascii="Calibri" w:hAnsi="Calibri"/>
          <w:b/>
          <w:color w:val="0F2B4C"/>
          <w:sz w:val="19"/>
        </w:rPr>
        <w:t xml:space="preserve">6.  </w:t>
      </w:r>
      <w:r>
        <w:rPr>
          <w:rFonts w:ascii="Calibri" w:hAnsi="Calibri"/>
          <w:b w:val="0"/>
          <w:i w:val="0"/>
          <w:color w:val="334E68"/>
          <w:sz w:val="19"/>
        </w:rPr>
        <w:t>Confirm SAP, OS/DB and AWS access for every engineer who will execute work — including privileged and third-party access.</w:t>
      </w:r>
    </w:p>
    <w:p>
      <w:pPr>
        <w:spacing w:after="40"/>
        <w:ind w:left="578" w:hanging="227"/>
      </w:pPr>
      <w:r>
        <w:rPr>
          <w:rFonts w:ascii="Calibri" w:hAnsi="Calibri"/>
          <w:b/>
          <w:color w:val="0F2B4C"/>
          <w:sz w:val="19"/>
        </w:rPr>
        <w:t xml:space="preserve">7.  </w:t>
      </w:r>
      <w:r>
        <w:rPr>
          <w:rFonts w:ascii="Calibri" w:hAnsi="Calibri"/>
          <w:b w:val="0"/>
          <w:i w:val="0"/>
          <w:color w:val="334E68"/>
          <w:sz w:val="19"/>
        </w:rPr>
        <w:t>Collect source system and database parameters.</w:t>
      </w: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ACCESS IS THE MOST COMMON SILENT DELAY</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Access requests that are raised in the cutover week arrive after the window. Raise SAP, OS, database, AWS, middleware and third-party interface credentials during preparation, and confirm each one by actually logging in — not by receiving a ticket closure.</w:t>
      </w:r>
    </w:p>
    <w:p>
      <w:pPr>
        <w:pStyle w:val="Heading2"/>
        <w:pBdr>
          <w:bottom w:val="single" w:sz="6" w:space="3" w:color="E8EDF3"/>
        </w:pBdr>
      </w:pPr>
      <w:r>
        <w:rPr>
          <w:rFonts w:ascii="Calibri" w:hAnsi="Calibri"/>
          <w:b/>
          <w:color w:val="0F2B4C"/>
          <w:sz w:val="26"/>
        </w:rPr>
        <w:t>4.2  Source sizing and workload</w:t>
      </w:r>
    </w:p>
    <w:p>
      <w:pPr>
        <w:spacing w:after="40"/>
        <w:ind w:left="351" w:hanging="227"/>
      </w:pPr>
      <w:r>
        <w:rPr>
          <w:rFonts w:ascii="Calibri" w:hAnsi="Calibri"/>
          <w:b/>
          <w:color w:val="1B4F86"/>
          <w:sz w:val="19"/>
        </w:rPr>
        <w:t xml:space="preserve">▪  </w:t>
      </w:r>
      <w:r>
        <w:rPr>
          <w:rFonts w:ascii="Calibri" w:hAnsi="Calibri"/>
          <w:b w:val="0"/>
          <w:i w:val="0"/>
          <w:color w:val="334E68"/>
          <w:sz w:val="19"/>
        </w:rPr>
        <w:t>Sizing considers CPU, memory, server configuration, instance type and source-to-target mapping.</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The migration team </w:t>
      </w:r>
      <w:r>
        <w:rPr>
          <w:rFonts w:ascii="Calibri" w:hAnsi="Calibri"/>
          <w:b/>
          <w:i w:val="0"/>
          <w:color w:val="334E68"/>
          <w:sz w:val="19"/>
        </w:rPr>
        <w:t>consumes</w:t>
      </w:r>
      <w:r>
        <w:rPr>
          <w:rFonts w:ascii="Calibri" w:hAnsi="Calibri"/>
          <w:b w:val="0"/>
          <w:i w:val="0"/>
          <w:color w:val="334E68"/>
          <w:sz w:val="19"/>
        </w:rPr>
        <w:t xml:space="preserve"> the approved sizing report for target planning and validation — it does not create or re-derive it.</w:t>
      </w:r>
    </w:p>
    <w:p>
      <w:pPr>
        <w:spacing w:after="40"/>
        <w:ind w:left="351" w:hanging="227"/>
      </w:pPr>
      <w:r>
        <w:rPr>
          <w:rFonts w:ascii="Calibri" w:hAnsi="Calibri"/>
          <w:b/>
          <w:color w:val="1B4F86"/>
          <w:sz w:val="19"/>
        </w:rPr>
        <w:t xml:space="preserve">▪  </w:t>
      </w:r>
      <w:r>
        <w:rPr>
          <w:rFonts w:ascii="Consolas" w:hAnsi="Consolas"/>
          <w:b w:val="0"/>
          <w:i w:val="0"/>
          <w:color w:val="123A63"/>
          <w:sz w:val="19"/>
          <w:shd w:val="clear" w:color="auto" w:fill="EEF2F7"/>
        </w:rPr>
        <w:t>ST03</w:t>
      </w:r>
      <w:r>
        <w:rPr>
          <w:rFonts w:ascii="Calibri" w:hAnsi="Calibri"/>
          <w:b w:val="0"/>
          <w:i w:val="0"/>
          <w:color w:val="334E68"/>
          <w:sz w:val="19"/>
        </w:rPr>
        <w:t xml:space="preserve"> / </w:t>
      </w:r>
      <w:r>
        <w:rPr>
          <w:rFonts w:ascii="Consolas" w:hAnsi="Consolas"/>
          <w:b w:val="0"/>
          <w:i w:val="0"/>
          <w:color w:val="123A63"/>
          <w:sz w:val="19"/>
          <w:shd w:val="clear" w:color="auto" w:fill="EEF2F7"/>
        </w:rPr>
        <w:t>ST03N</w:t>
      </w:r>
      <w:r>
        <w:rPr>
          <w:rFonts w:ascii="Calibri" w:hAnsi="Calibri"/>
          <w:b w:val="0"/>
          <w:i w:val="0"/>
          <w:color w:val="334E68"/>
          <w:sz w:val="19"/>
        </w:rPr>
        <w:t xml:space="preserve"> is used for workload analysis, particularly for production systems.</w:t>
      </w:r>
    </w:p>
    <w:p>
      <w:pPr>
        <w:spacing w:after="40"/>
        <w:ind w:left="351" w:hanging="227"/>
      </w:pPr>
      <w:r>
        <w:rPr>
          <w:rFonts w:ascii="Calibri" w:hAnsi="Calibri"/>
          <w:b/>
          <w:color w:val="1B4F86"/>
          <w:sz w:val="19"/>
        </w:rPr>
        <w:t xml:space="preserve">▪  </w:t>
      </w:r>
      <w:r>
        <w:rPr>
          <w:rFonts w:ascii="Calibri" w:hAnsi="Calibri"/>
          <w:b w:val="0"/>
          <w:i w:val="0"/>
          <w:color w:val="334E68"/>
          <w:sz w:val="19"/>
        </w:rPr>
        <w:t>Workload information provides the context for post-migration performance comparison: without it, “the system feels slower” cannot be resolved.</w:t>
      </w:r>
    </w:p>
    <w:p>
      <w:pPr>
        <w:spacing w:after="60" w:before="160"/>
        <w:keepNext/>
      </w:pPr>
      <w:r>
        <w:rPr>
          <w:rFonts w:ascii="Calibri" w:hAnsi="Calibri"/>
          <w:b/>
          <w:color w:val="5B7288"/>
          <w:sz w:val="15"/>
        </w:rPr>
        <w:t>SIZING INPUTS CONSUMED BY THE MIGRATION TEAM</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3855"/>
        <w:gridCol w:w="3662"/>
      </w:tblGrid>
      <w:tr>
        <w:trPr>
          <w:tblHeader/>
          <w:cantSplit/>
        </w:trPr>
        <w:tc>
          <w:tcPr>
            <w:tcW w:type="dxa" w:w="2120"/>
            <w:shd w:val="clear" w:color="auto" w:fill="0F2B4C"/>
          </w:tcPr>
          <w:p>
            <w:pPr>
              <w:spacing w:after="20" w:before="20"/>
            </w:pPr>
            <w:r/>
            <w:r>
              <w:rPr>
                <w:rFonts w:ascii="Calibri" w:hAnsi="Calibri"/>
                <w:b/>
                <w:color w:val="FFFFFF"/>
                <w:sz w:val="17"/>
              </w:rPr>
              <w:t>Sizing input</w:t>
            </w:r>
          </w:p>
        </w:tc>
        <w:tc>
          <w:tcPr>
            <w:tcW w:type="dxa" w:w="3855"/>
            <w:shd w:val="clear" w:color="auto" w:fill="0F2B4C"/>
          </w:tcPr>
          <w:p>
            <w:pPr>
              <w:spacing w:after="20" w:before="20"/>
            </w:pPr>
            <w:r/>
            <w:r>
              <w:rPr>
                <w:rFonts w:ascii="Calibri" w:hAnsi="Calibri"/>
                <w:b/>
                <w:color w:val="FFFFFF"/>
                <w:sz w:val="17"/>
              </w:rPr>
              <w:t>What to capture</w:t>
            </w:r>
          </w:p>
        </w:tc>
        <w:tc>
          <w:tcPr>
            <w:tcW w:type="dxa" w:w="3662"/>
            <w:shd w:val="clear" w:color="auto" w:fill="0F2B4C"/>
          </w:tcPr>
          <w:p>
            <w:pPr>
              <w:spacing w:after="20" w:before="20"/>
            </w:pPr>
            <w:r/>
            <w:r>
              <w:rPr>
                <w:rFonts w:ascii="Calibri" w:hAnsi="Calibri"/>
                <w:b/>
                <w:color w:val="FFFFFF"/>
                <w:sz w:val="17"/>
              </w:rPr>
              <w:t>Why it matters later</w:t>
            </w:r>
          </w:p>
        </w:tc>
      </w:tr>
      <w:tr>
        <w:trPr>
          <w:cantSplit/>
        </w:trPr>
        <w:tc>
          <w:tcPr>
            <w:tcW w:type="dxa" w:w="2120"/>
          </w:tcPr>
          <w:p>
            <w:pPr>
              <w:spacing w:after="20" w:before="20"/>
            </w:pPr>
            <w:r/>
            <w:r>
              <w:rPr>
                <w:rFonts w:ascii="Calibri" w:hAnsi="Calibri"/>
                <w:b/>
                <w:i w:val="0"/>
                <w:color w:val="334E68"/>
                <w:sz w:val="17"/>
              </w:rPr>
              <w:t>CPU and memory</w:t>
            </w:r>
          </w:p>
        </w:tc>
        <w:tc>
          <w:tcPr>
            <w:tcW w:type="dxa" w:w="3855"/>
          </w:tcPr>
          <w:p>
            <w:pPr>
              <w:spacing w:after="20" w:before="20"/>
            </w:pPr>
            <w:r/>
            <w:r>
              <w:rPr>
                <w:rFonts w:ascii="Calibri" w:hAnsi="Calibri"/>
                <w:b w:val="0"/>
                <w:i w:val="0"/>
                <w:color w:val="334E68"/>
                <w:sz w:val="17"/>
              </w:rPr>
              <w:t>Current configuration, peak and average utilisation</w:t>
            </w:r>
          </w:p>
        </w:tc>
        <w:tc>
          <w:tcPr>
            <w:tcW w:type="dxa" w:w="3662"/>
          </w:tcPr>
          <w:p>
            <w:pPr>
              <w:spacing w:after="20" w:before="20"/>
            </w:pPr>
            <w:r/>
            <w:r>
              <w:rPr>
                <w:rFonts w:ascii="Calibri" w:hAnsi="Calibri"/>
                <w:b w:val="0"/>
                <w:i w:val="0"/>
                <w:color w:val="334E68"/>
                <w:sz w:val="17"/>
              </w:rPr>
              <w:t>Confirms the target instance type is not undersized</w:t>
            </w:r>
          </w:p>
        </w:tc>
      </w:tr>
      <w:tr>
        <w:trPr>
          <w:cantSplit/>
        </w:trPr>
        <w:tc>
          <w:tcPr>
            <w:tcW w:type="dxa" w:w="2120"/>
            <w:shd w:val="clear" w:color="auto" w:fill="FAFBFD"/>
          </w:tcPr>
          <w:p>
            <w:pPr>
              <w:spacing w:after="20" w:before="20"/>
            </w:pPr>
            <w:r/>
            <w:r>
              <w:rPr>
                <w:rFonts w:ascii="Calibri" w:hAnsi="Calibri"/>
                <w:b/>
                <w:i w:val="0"/>
                <w:color w:val="334E68"/>
                <w:sz w:val="17"/>
              </w:rPr>
              <w:t>Server configuration</w:t>
            </w:r>
          </w:p>
        </w:tc>
        <w:tc>
          <w:tcPr>
            <w:tcW w:type="dxa" w:w="3855"/>
            <w:shd w:val="clear" w:color="auto" w:fill="FAFBFD"/>
          </w:tcPr>
          <w:p>
            <w:pPr>
              <w:spacing w:after="20" w:before="20"/>
            </w:pPr>
            <w:r/>
            <w:r>
              <w:rPr>
                <w:rFonts w:ascii="Calibri" w:hAnsi="Calibri"/>
                <w:b w:val="0"/>
                <w:i w:val="0"/>
                <w:color w:val="334E68"/>
                <w:sz w:val="17"/>
              </w:rPr>
              <w:t>Host type, physical or virtual, cluster membership</w:t>
            </w:r>
          </w:p>
        </w:tc>
        <w:tc>
          <w:tcPr>
            <w:tcW w:type="dxa" w:w="3662"/>
            <w:shd w:val="clear" w:color="auto" w:fill="FAFBFD"/>
          </w:tcPr>
          <w:p>
            <w:pPr>
              <w:spacing w:after="20" w:before="20"/>
            </w:pPr>
            <w:r/>
            <w:r>
              <w:rPr>
                <w:rFonts w:ascii="Calibri" w:hAnsi="Calibri"/>
                <w:b w:val="0"/>
                <w:i w:val="0"/>
                <w:color w:val="334E68"/>
                <w:sz w:val="17"/>
              </w:rPr>
              <w:t>Drives HA design and licensing implications</w:t>
            </w:r>
          </w:p>
        </w:tc>
      </w:tr>
      <w:tr>
        <w:trPr>
          <w:cantSplit/>
        </w:trPr>
        <w:tc>
          <w:tcPr>
            <w:tcW w:type="dxa" w:w="2120"/>
          </w:tcPr>
          <w:p>
            <w:pPr>
              <w:spacing w:after="20" w:before="20"/>
            </w:pPr>
            <w:r/>
            <w:r>
              <w:rPr>
                <w:rFonts w:ascii="Calibri" w:hAnsi="Calibri"/>
                <w:b/>
                <w:i w:val="0"/>
                <w:color w:val="334E68"/>
                <w:sz w:val="17"/>
              </w:rPr>
              <w:t>Instance type mapping</w:t>
            </w:r>
          </w:p>
        </w:tc>
        <w:tc>
          <w:tcPr>
            <w:tcW w:type="dxa" w:w="3855"/>
          </w:tcPr>
          <w:p>
            <w:pPr>
              <w:spacing w:after="20" w:before="20"/>
            </w:pPr>
            <w:r/>
            <w:r>
              <w:rPr>
                <w:rFonts w:ascii="Calibri" w:hAnsi="Calibri"/>
                <w:b w:val="0"/>
                <w:i w:val="0"/>
                <w:color w:val="334E68"/>
                <w:sz w:val="17"/>
              </w:rPr>
              <w:t>Source host → target EC2/instance type</w:t>
            </w:r>
          </w:p>
        </w:tc>
        <w:tc>
          <w:tcPr>
            <w:tcW w:type="dxa" w:w="3662"/>
          </w:tcPr>
          <w:p>
            <w:pPr>
              <w:spacing w:after="20" w:before="20"/>
            </w:pPr>
            <w:r/>
            <w:r>
              <w:rPr>
                <w:rFonts w:ascii="Calibri" w:hAnsi="Calibri"/>
                <w:b w:val="0"/>
                <w:i w:val="0"/>
                <w:color w:val="334E68"/>
                <w:sz w:val="17"/>
              </w:rPr>
              <w:t>Becomes the build sheet and the validation reference</w:t>
            </w:r>
          </w:p>
        </w:tc>
      </w:tr>
      <w:tr>
        <w:trPr>
          <w:cantSplit/>
        </w:trPr>
        <w:tc>
          <w:tcPr>
            <w:tcW w:type="dxa" w:w="2120"/>
            <w:shd w:val="clear" w:color="auto" w:fill="FAFBFD"/>
          </w:tcPr>
          <w:p>
            <w:pPr>
              <w:spacing w:after="20" w:before="20"/>
            </w:pPr>
            <w:r/>
            <w:r>
              <w:rPr>
                <w:rFonts w:ascii="Calibri" w:hAnsi="Calibri"/>
                <w:b/>
                <w:i w:val="0"/>
                <w:color w:val="334E68"/>
                <w:sz w:val="17"/>
              </w:rPr>
              <w:t>Database size and growth</w:t>
            </w:r>
          </w:p>
        </w:tc>
        <w:tc>
          <w:tcPr>
            <w:tcW w:type="dxa" w:w="3855"/>
            <w:shd w:val="clear" w:color="auto" w:fill="FAFBFD"/>
          </w:tcPr>
          <w:p>
            <w:pPr>
              <w:spacing w:after="20" w:before="20"/>
            </w:pPr>
            <w:r/>
            <w:r>
              <w:rPr>
                <w:rFonts w:ascii="Calibri" w:hAnsi="Calibri"/>
                <w:b w:val="0"/>
                <w:i w:val="0"/>
                <w:color w:val="334E68"/>
                <w:sz w:val="17"/>
              </w:rPr>
              <w:t>Data, log, archive, backup volumes and growth rate</w:t>
            </w:r>
          </w:p>
        </w:tc>
        <w:tc>
          <w:tcPr>
            <w:tcW w:type="dxa" w:w="3662"/>
            <w:shd w:val="clear" w:color="auto" w:fill="FAFBFD"/>
          </w:tcPr>
          <w:p>
            <w:pPr>
              <w:spacing w:after="20" w:before="20"/>
            </w:pPr>
            <w:r/>
            <w:r>
              <w:rPr>
                <w:rFonts w:ascii="Calibri" w:hAnsi="Calibri"/>
                <w:b w:val="0"/>
                <w:i w:val="0"/>
                <w:color w:val="334E68"/>
                <w:sz w:val="17"/>
              </w:rPr>
              <w:t>Sizes storage, snapshots and backup windows</w:t>
            </w:r>
          </w:p>
        </w:tc>
      </w:tr>
      <w:tr>
        <w:trPr>
          <w:cantSplit/>
        </w:trPr>
        <w:tc>
          <w:tcPr>
            <w:tcW w:type="dxa" w:w="2120"/>
          </w:tcPr>
          <w:p>
            <w:pPr>
              <w:spacing w:after="20" w:before="20"/>
            </w:pPr>
            <w:r/>
            <w:r>
              <w:rPr>
                <w:rFonts w:ascii="Calibri" w:hAnsi="Calibri"/>
                <w:b/>
                <w:i w:val="0"/>
                <w:color w:val="334E68"/>
                <w:sz w:val="17"/>
              </w:rPr>
              <w:t>Workload (ST03N)</w:t>
            </w:r>
          </w:p>
        </w:tc>
        <w:tc>
          <w:tcPr>
            <w:tcW w:type="dxa" w:w="3855"/>
          </w:tcPr>
          <w:p>
            <w:pPr>
              <w:spacing w:after="20" w:before="20"/>
            </w:pPr>
            <w:r/>
            <w:r>
              <w:rPr>
                <w:rFonts w:ascii="Calibri" w:hAnsi="Calibri"/>
                <w:b w:val="0"/>
                <w:i w:val="0"/>
                <w:color w:val="334E68"/>
                <w:sz w:val="17"/>
              </w:rPr>
              <w:t>Dialog, batch and interface load by hour/day</w:t>
            </w:r>
          </w:p>
        </w:tc>
        <w:tc>
          <w:tcPr>
            <w:tcW w:type="dxa" w:w="3662"/>
          </w:tcPr>
          <w:p>
            <w:pPr>
              <w:spacing w:after="20" w:before="20"/>
            </w:pPr>
            <w:r/>
            <w:r>
              <w:rPr>
                <w:rFonts w:ascii="Calibri" w:hAnsi="Calibri"/>
                <w:b w:val="0"/>
                <w:i w:val="0"/>
                <w:color w:val="334E68"/>
                <w:sz w:val="17"/>
              </w:rPr>
              <w:t>Sets the performance baseline for comparison after migration</w:t>
            </w:r>
          </w:p>
        </w:tc>
      </w:tr>
      <w:tr>
        <w:trPr>
          <w:cantSplit/>
        </w:trPr>
        <w:tc>
          <w:tcPr>
            <w:tcW w:type="dxa" w:w="2120"/>
            <w:shd w:val="clear" w:color="auto" w:fill="FAFBFD"/>
          </w:tcPr>
          <w:p>
            <w:pPr>
              <w:spacing w:after="20" w:before="20"/>
            </w:pPr>
            <w:r/>
            <w:r>
              <w:rPr>
                <w:rFonts w:ascii="Calibri" w:hAnsi="Calibri"/>
                <w:b/>
                <w:i w:val="0"/>
                <w:color w:val="334E68"/>
                <w:sz w:val="17"/>
              </w:rPr>
              <w:t>Peak patterns</w:t>
            </w:r>
          </w:p>
        </w:tc>
        <w:tc>
          <w:tcPr>
            <w:tcW w:type="dxa" w:w="3855"/>
            <w:shd w:val="clear" w:color="auto" w:fill="FAFBFD"/>
          </w:tcPr>
          <w:p>
            <w:pPr>
              <w:spacing w:after="20" w:before="20"/>
            </w:pPr>
            <w:r/>
            <w:r>
              <w:rPr>
                <w:rFonts w:ascii="Calibri" w:hAnsi="Calibri"/>
                <w:b w:val="0"/>
                <w:i w:val="0"/>
                <w:color w:val="334E68"/>
                <w:sz w:val="17"/>
              </w:rPr>
              <w:t>Month-end, batch windows, integration peaks</w:t>
            </w:r>
          </w:p>
        </w:tc>
        <w:tc>
          <w:tcPr>
            <w:tcW w:type="dxa" w:w="3662"/>
            <w:shd w:val="clear" w:color="auto" w:fill="FAFBFD"/>
          </w:tcPr>
          <w:p>
            <w:pPr>
              <w:spacing w:after="20" w:before="20"/>
            </w:pPr>
            <w:r/>
            <w:r>
              <w:rPr>
                <w:rFonts w:ascii="Calibri" w:hAnsi="Calibri"/>
                <w:b w:val="0"/>
                <w:i w:val="0"/>
                <w:color w:val="334E68"/>
                <w:sz w:val="17"/>
              </w:rPr>
              <w:t>Determines when cutover is safe and what to re-measure</w:t>
            </w:r>
          </w:p>
        </w:tc>
      </w:tr>
    </w:tbl>
    <w:p>
      <w:pPr>
        <w:spacing w:after="40"/>
      </w:pPr>
    </w:p>
    <w:p>
      <w:pPr>
        <w:pStyle w:val="Heading2"/>
        <w:pBdr>
          <w:bottom w:val="single" w:sz="6" w:space="3" w:color="E8EDF3"/>
        </w:pBdr>
      </w:pPr>
      <w:r>
        <w:rPr>
          <w:rFonts w:ascii="Calibri" w:hAnsi="Calibri"/>
          <w:b/>
          <w:color w:val="0F2B4C"/>
          <w:sz w:val="26"/>
        </w:rPr>
        <w:t>4.3  Inventory and external dependencies</w:t>
      </w:r>
    </w:p>
    <w:p>
      <w:pPr>
        <w:spacing w:after="60" w:before="160"/>
        <w:keepNext/>
      </w:pPr>
      <w:r>
        <w:rPr>
          <w:rFonts w:ascii="Calibri" w:hAnsi="Calibri"/>
          <w:b/>
          <w:color w:val="5B7288"/>
          <w:sz w:val="15"/>
        </w:rPr>
        <w:t>SOURCE INVENTORY CONTENT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7517"/>
      </w:tblGrid>
      <w:tr>
        <w:trPr>
          <w:tblHeader/>
          <w:cantSplit/>
        </w:trPr>
        <w:tc>
          <w:tcPr>
            <w:tcW w:type="dxa" w:w="2120"/>
            <w:shd w:val="clear" w:color="auto" w:fill="0F2B4C"/>
          </w:tcPr>
          <w:p>
            <w:pPr>
              <w:spacing w:after="20" w:before="20"/>
            </w:pPr>
            <w:r/>
            <w:r>
              <w:rPr>
                <w:rFonts w:ascii="Calibri" w:hAnsi="Calibri"/>
                <w:b/>
                <w:color w:val="FFFFFF"/>
                <w:sz w:val="17"/>
              </w:rPr>
              <w:t>Inventory item</w:t>
            </w:r>
          </w:p>
        </w:tc>
        <w:tc>
          <w:tcPr>
            <w:tcW w:type="dxa" w:w="7517"/>
            <w:shd w:val="clear" w:color="auto" w:fill="0F2B4C"/>
          </w:tcPr>
          <w:p>
            <w:pPr>
              <w:spacing w:after="20" w:before="20"/>
            </w:pPr>
            <w:r/>
            <w:r>
              <w:rPr>
                <w:rFonts w:ascii="Calibri" w:hAnsi="Calibri"/>
                <w:b/>
                <w:color w:val="FFFFFF"/>
                <w:sz w:val="17"/>
              </w:rPr>
              <w:t>Detail to record</w:t>
            </w:r>
          </w:p>
        </w:tc>
      </w:tr>
      <w:tr>
        <w:trPr>
          <w:cantSplit/>
        </w:trPr>
        <w:tc>
          <w:tcPr>
            <w:tcW w:type="dxa" w:w="2120"/>
          </w:tcPr>
          <w:p>
            <w:pPr>
              <w:spacing w:after="20" w:before="20"/>
            </w:pPr>
            <w:r/>
            <w:r>
              <w:rPr>
                <w:rFonts w:ascii="Calibri" w:hAnsi="Calibri"/>
                <w:b/>
                <w:i w:val="0"/>
                <w:color w:val="334E68"/>
                <w:sz w:val="17"/>
              </w:rPr>
              <w:t>Identity</w:t>
            </w:r>
          </w:p>
        </w:tc>
        <w:tc>
          <w:tcPr>
            <w:tcW w:type="dxa" w:w="7517"/>
          </w:tcPr>
          <w:p>
            <w:pPr>
              <w:spacing w:after="20" w:before="20"/>
            </w:pPr>
            <w:r/>
            <w:r>
              <w:rPr>
                <w:rFonts w:ascii="Calibri" w:hAnsi="Calibri"/>
                <w:b w:val="0"/>
                <w:i w:val="0"/>
                <w:color w:val="334E68"/>
                <w:sz w:val="17"/>
              </w:rPr>
              <w:t>Hostname, IP address, CMDB CI number, SID, environment</w:t>
            </w:r>
          </w:p>
        </w:tc>
      </w:tr>
      <w:tr>
        <w:trPr>
          <w:cantSplit/>
        </w:trPr>
        <w:tc>
          <w:tcPr>
            <w:tcW w:type="dxa" w:w="2120"/>
            <w:shd w:val="clear" w:color="auto" w:fill="FAFBFD"/>
          </w:tcPr>
          <w:p>
            <w:pPr>
              <w:spacing w:after="20" w:before="20"/>
            </w:pPr>
            <w:r/>
            <w:r>
              <w:rPr>
                <w:rFonts w:ascii="Calibri" w:hAnsi="Calibri"/>
                <w:b/>
                <w:i w:val="0"/>
                <w:color w:val="334E68"/>
                <w:sz w:val="17"/>
              </w:rPr>
              <w:t>Software</w:t>
            </w:r>
          </w:p>
        </w:tc>
        <w:tc>
          <w:tcPr>
            <w:tcW w:type="dxa" w:w="7517"/>
            <w:shd w:val="clear" w:color="auto" w:fill="FAFBFD"/>
          </w:tcPr>
          <w:p>
            <w:pPr>
              <w:spacing w:after="20" w:before="20"/>
            </w:pPr>
            <w:r/>
            <w:r>
              <w:rPr>
                <w:rFonts w:ascii="Calibri" w:hAnsi="Calibri"/>
                <w:b w:val="0"/>
                <w:i w:val="0"/>
                <w:color w:val="334E68"/>
                <w:sz w:val="17"/>
              </w:rPr>
              <w:t>Kernel version and patch level, database type and version, NetWeaver / SAP_BASIS release, SP level</w:t>
            </w:r>
          </w:p>
        </w:tc>
      </w:tr>
      <w:tr>
        <w:trPr>
          <w:cantSplit/>
        </w:trPr>
        <w:tc>
          <w:tcPr>
            <w:tcW w:type="dxa" w:w="2120"/>
          </w:tcPr>
          <w:p>
            <w:pPr>
              <w:spacing w:after="20" w:before="20"/>
            </w:pPr>
            <w:r/>
            <w:r>
              <w:rPr>
                <w:rFonts w:ascii="Calibri" w:hAnsi="Calibri"/>
                <w:b/>
                <w:i w:val="0"/>
                <w:color w:val="334E68"/>
                <w:sz w:val="17"/>
              </w:rPr>
              <w:t>External agents</w:t>
            </w:r>
          </w:p>
        </w:tc>
        <w:tc>
          <w:tcPr>
            <w:tcW w:type="dxa" w:w="7517"/>
          </w:tcPr>
          <w:p>
            <w:pPr>
              <w:spacing w:after="20" w:before="20"/>
            </w:pPr>
            <w:r/>
            <w:r>
              <w:rPr>
                <w:rFonts w:ascii="Calibri" w:hAnsi="Calibri"/>
                <w:b w:val="0"/>
                <w:i w:val="0"/>
                <w:color w:val="334E68"/>
                <w:sz w:val="17"/>
              </w:rPr>
              <w:t>Control-M, NetBackup, OEM/OBM and any other monitoring, scheduling or backup agent installed on the host</w:t>
            </w:r>
          </w:p>
        </w:tc>
      </w:tr>
      <w:tr>
        <w:trPr>
          <w:cantSplit/>
        </w:trPr>
        <w:tc>
          <w:tcPr>
            <w:tcW w:type="dxa" w:w="2120"/>
            <w:shd w:val="clear" w:color="auto" w:fill="FAFBFD"/>
          </w:tcPr>
          <w:p>
            <w:pPr>
              <w:spacing w:after="20" w:before="20"/>
            </w:pPr>
            <w:r/>
            <w:r>
              <w:rPr>
                <w:rFonts w:ascii="Calibri" w:hAnsi="Calibri"/>
                <w:b/>
                <w:i w:val="0"/>
                <w:color w:val="334E68"/>
                <w:sz w:val="17"/>
              </w:rPr>
              <w:t>Credentials</w:t>
            </w:r>
          </w:p>
        </w:tc>
        <w:tc>
          <w:tcPr>
            <w:tcW w:type="dxa" w:w="7517"/>
            <w:shd w:val="clear" w:color="auto" w:fill="FAFBFD"/>
          </w:tcPr>
          <w:p>
            <w:pPr>
              <w:spacing w:after="20" w:before="20"/>
            </w:pPr>
            <w:r/>
            <w:r>
              <w:rPr>
                <w:rFonts w:ascii="Calibri" w:hAnsi="Calibri"/>
                <w:b w:val="0"/>
                <w:i w:val="0"/>
                <w:color w:val="334E68"/>
                <w:sz w:val="17"/>
              </w:rPr>
              <w:t>OS, database, Oracle and Oracle Wallet credentials identified through approved processes (never shared by email or chat)</w:t>
            </w:r>
          </w:p>
        </w:tc>
      </w:tr>
      <w:tr>
        <w:trPr>
          <w:cantSplit/>
        </w:trPr>
        <w:tc>
          <w:tcPr>
            <w:tcW w:type="dxa" w:w="2120"/>
          </w:tcPr>
          <w:p>
            <w:pPr>
              <w:spacing w:after="20" w:before="20"/>
            </w:pPr>
            <w:r/>
            <w:r>
              <w:rPr>
                <w:rFonts w:ascii="Calibri" w:hAnsi="Calibri"/>
                <w:b/>
                <w:i w:val="0"/>
                <w:color w:val="334E68"/>
                <w:sz w:val="17"/>
              </w:rPr>
              <w:t>NFS dependencies</w:t>
            </w:r>
          </w:p>
        </w:tc>
        <w:tc>
          <w:tcPr>
            <w:tcW w:type="dxa" w:w="7517"/>
          </w:tcPr>
          <w:p>
            <w:pPr>
              <w:spacing w:after="20" w:before="20"/>
            </w:pPr>
            <w:r/>
            <w:r>
              <w:rPr>
                <w:rFonts w:ascii="Calibri" w:hAnsi="Calibri"/>
                <w:b w:val="0"/>
                <w:i w:val="0"/>
                <w:color w:val="334E68"/>
                <w:sz w:val="17"/>
              </w:rPr>
              <w:t>Every NFS mount: export host, path, purpose, consumer. Decide per share whether it is maintained/copied or migrated to AWS EFS</w:t>
            </w:r>
          </w:p>
        </w:tc>
      </w:tr>
      <w:tr>
        <w:trPr>
          <w:cantSplit/>
        </w:trPr>
        <w:tc>
          <w:tcPr>
            <w:tcW w:type="dxa" w:w="2120"/>
            <w:shd w:val="clear" w:color="auto" w:fill="FAFBFD"/>
          </w:tcPr>
          <w:p>
            <w:pPr>
              <w:spacing w:after="20" w:before="20"/>
            </w:pPr>
            <w:r/>
            <w:r>
              <w:rPr>
                <w:rFonts w:ascii="Calibri" w:hAnsi="Calibri"/>
                <w:b/>
                <w:i w:val="0"/>
                <w:color w:val="334E68"/>
                <w:sz w:val="17"/>
              </w:rPr>
              <w:t>AL11 directories</w:t>
            </w:r>
          </w:p>
        </w:tc>
        <w:tc>
          <w:tcPr>
            <w:tcW w:type="dxa" w:w="7517"/>
            <w:shd w:val="clear" w:color="auto" w:fill="FAFBFD"/>
          </w:tcPr>
          <w:p>
            <w:pPr>
              <w:spacing w:after="20" w:before="20"/>
            </w:pPr>
            <w:r/>
            <w:r>
              <w:rPr>
                <w:rFonts w:ascii="Calibri" w:hAnsi="Calibri"/>
                <w:b w:val="0"/>
                <w:i w:val="0"/>
                <w:color w:val="334E68"/>
                <w:sz w:val="17"/>
              </w:rPr>
              <w:t>Directory state before migration — which SAP directories exist, what they contain, which are custom</w:t>
            </w:r>
          </w:p>
        </w:tc>
      </w:tr>
      <w:tr>
        <w:trPr>
          <w:cantSplit/>
        </w:trPr>
        <w:tc>
          <w:tcPr>
            <w:tcW w:type="dxa" w:w="2120"/>
          </w:tcPr>
          <w:p>
            <w:pPr>
              <w:spacing w:after="20" w:before="20"/>
            </w:pPr>
            <w:r/>
            <w:r>
              <w:rPr>
                <w:rFonts w:ascii="Calibri" w:hAnsi="Calibri"/>
                <w:b/>
                <w:i w:val="0"/>
                <w:color w:val="334E68"/>
                <w:sz w:val="17"/>
              </w:rPr>
              <w:t>Certificates and keys</w:t>
            </w:r>
          </w:p>
        </w:tc>
        <w:tc>
          <w:tcPr>
            <w:tcW w:type="dxa" w:w="7517"/>
          </w:tcPr>
          <w:p>
            <w:pPr>
              <w:spacing w:after="20" w:before="20"/>
            </w:pPr>
            <w:r/>
            <w:r>
              <w:rPr>
                <w:rFonts w:ascii="Calibri" w:hAnsi="Calibri"/>
                <w:b w:val="0"/>
                <w:i w:val="0"/>
                <w:color w:val="334E68"/>
                <w:sz w:val="17"/>
              </w:rPr>
              <w:t>SNC, SSL/TLS, PSE files, keystores, wallet locations and expiry dates</w:t>
            </w:r>
          </w:p>
        </w:tc>
      </w:tr>
      <w:tr>
        <w:trPr>
          <w:cantSplit/>
        </w:trPr>
        <w:tc>
          <w:tcPr>
            <w:tcW w:type="dxa" w:w="2120"/>
            <w:shd w:val="clear" w:color="auto" w:fill="FAFBFD"/>
          </w:tcPr>
          <w:p>
            <w:pPr>
              <w:spacing w:after="20" w:before="20"/>
            </w:pPr>
            <w:r/>
            <w:r>
              <w:rPr>
                <w:rFonts w:ascii="Calibri" w:hAnsi="Calibri"/>
                <w:b/>
                <w:i w:val="0"/>
                <w:color w:val="334E68"/>
                <w:sz w:val="17"/>
              </w:rPr>
              <w:t>Jobs and scheduling</w:t>
            </w:r>
          </w:p>
        </w:tc>
        <w:tc>
          <w:tcPr>
            <w:tcW w:type="dxa" w:w="7517"/>
            <w:shd w:val="clear" w:color="auto" w:fill="FAFBFD"/>
          </w:tcPr>
          <w:p>
            <w:pPr>
              <w:spacing w:after="20" w:before="20"/>
            </w:pPr>
            <w:r/>
            <w:r>
              <w:rPr>
                <w:rFonts w:ascii="Calibri" w:hAnsi="Calibri"/>
                <w:b w:val="0"/>
                <w:i w:val="0"/>
                <w:color w:val="334E68"/>
                <w:sz w:val="17"/>
              </w:rPr>
              <w:t>Background jobs, job schedulers, batch windows, and which are controlled externally</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EXTERNAL AGENTS ARE THE CLASSIC CUTOVER SURPRISE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Agents installed by other teams (backup, scheduling, monitoring, security) are frequently missing from the source inventory because no one on the migration team installed them. Enumerate them from the host, not from memory: compare installed packages, running services and cron entries on source and target.</w:t>
      </w:r>
    </w:p>
    <w:p>
      <w:pPr>
        <w:pStyle w:val="Heading2"/>
        <w:pBdr>
          <w:bottom w:val="single" w:sz="6" w:space="3" w:color="E8EDF3"/>
        </w:pBdr>
      </w:pPr>
      <w:r>
        <w:rPr>
          <w:rFonts w:ascii="Calibri" w:hAnsi="Calibri"/>
          <w:b/>
          <w:color w:val="0F2B4C"/>
          <w:sz w:val="26"/>
        </w:rPr>
        <w:t>4.4  Interface and connectivity baseline</w:t>
      </w:r>
    </w:p>
    <w:p>
      <w:pPr>
        <w:spacing w:after="40"/>
        <w:ind w:left="351" w:hanging="227"/>
      </w:pPr>
      <w:r>
        <w:rPr>
          <w:rFonts w:ascii="Calibri" w:hAnsi="Calibri"/>
          <w:b/>
          <w:color w:val="1B4F86"/>
          <w:sz w:val="19"/>
        </w:rPr>
        <w:t xml:space="preserve">▪  </w:t>
      </w:r>
      <w:r>
        <w:rPr>
          <w:rFonts w:ascii="Calibri" w:hAnsi="Calibri"/>
          <w:b w:val="0"/>
          <w:i w:val="0"/>
          <w:color w:val="334E68"/>
          <w:sz w:val="19"/>
        </w:rPr>
        <w:t>Identify SAP-to-SAP interfaces, external applications, middleware, RFCs and network dependencies.</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SSO dependencies and the authentication path for each user group.</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Use </w:t>
      </w:r>
      <w:r>
        <w:rPr>
          <w:rFonts w:ascii="Consolas" w:hAnsi="Consolas"/>
          <w:b w:val="0"/>
          <w:i w:val="0"/>
          <w:color w:val="123A63"/>
          <w:sz w:val="19"/>
          <w:shd w:val="clear" w:color="auto" w:fill="EEF2F7"/>
        </w:rPr>
        <w:t>SM59</w:t>
      </w:r>
      <w:r>
        <w:rPr>
          <w:rFonts w:ascii="Calibri" w:hAnsi="Calibri"/>
          <w:b w:val="0"/>
          <w:i w:val="0"/>
          <w:color w:val="334E68"/>
          <w:sz w:val="19"/>
        </w:rPr>
        <w:t xml:space="preserve"> to identify RFC destinations and connection types; record each destination, its target and its status.</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Record whether each interface is </w:t>
      </w:r>
      <w:r>
        <w:rPr>
          <w:rFonts w:ascii="Calibri" w:hAnsi="Calibri"/>
          <w:b/>
          <w:i w:val="0"/>
          <w:color w:val="334E68"/>
          <w:sz w:val="19"/>
        </w:rPr>
        <w:t>working before migration</w:t>
      </w:r>
      <w:r>
        <w:rPr>
          <w:rFonts w:ascii="Calibri" w:hAnsi="Calibri"/>
          <w:b w:val="0"/>
          <w:i w:val="0"/>
          <w:color w:val="334E68"/>
          <w:sz w:val="19"/>
        </w:rPr>
        <w:t xml:space="preserve"> — success or failure, with a timestamp.</w:t>
      </w:r>
    </w:p>
    <w:p>
      <w:pPr>
        <w:spacing w:after="40"/>
        <w:ind w:left="351" w:hanging="227"/>
      </w:pPr>
      <w:r>
        <w:rPr>
          <w:rFonts w:ascii="Calibri" w:hAnsi="Calibri"/>
          <w:b/>
          <w:color w:val="1B4F86"/>
          <w:sz w:val="19"/>
        </w:rPr>
        <w:t xml:space="preserve">▪  </w:t>
      </w:r>
      <w:r>
        <w:rPr>
          <w:rFonts w:ascii="Calibri" w:hAnsi="Calibri"/>
          <w:b w:val="0"/>
          <w:i w:val="0"/>
          <w:color w:val="334E68"/>
          <w:sz w:val="19"/>
        </w:rPr>
        <w:t>Treat pre-existing failures as baseline conditions rather than migration defects.</w:t>
      </w:r>
    </w:p>
    <w:p>
      <w:pPr>
        <w:spacing w:after="60" w:before="160"/>
        <w:keepNext/>
      </w:pPr>
      <w:r>
        <w:rPr>
          <w:rFonts w:ascii="Calibri" w:hAnsi="Calibri"/>
          <w:b/>
          <w:color w:val="5B7288"/>
          <w:sz w:val="15"/>
        </w:rPr>
        <w:t>INTERFACE BASELINE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4048"/>
        <w:gridCol w:w="3470"/>
      </w:tblGrid>
      <w:tr>
        <w:trPr>
          <w:tblHeader/>
          <w:cantSplit/>
        </w:trPr>
        <w:tc>
          <w:tcPr>
            <w:tcW w:type="dxa" w:w="2120"/>
            <w:shd w:val="clear" w:color="auto" w:fill="0F2B4C"/>
          </w:tcPr>
          <w:p>
            <w:pPr>
              <w:spacing w:after="20" w:before="20"/>
            </w:pPr>
            <w:r/>
            <w:r>
              <w:rPr>
                <w:rFonts w:ascii="Calibri" w:hAnsi="Calibri"/>
                <w:b/>
                <w:color w:val="FFFFFF"/>
                <w:sz w:val="17"/>
              </w:rPr>
              <w:t>Interface category</w:t>
            </w:r>
          </w:p>
        </w:tc>
        <w:tc>
          <w:tcPr>
            <w:tcW w:type="dxa" w:w="4048"/>
            <w:shd w:val="clear" w:color="auto" w:fill="0F2B4C"/>
          </w:tcPr>
          <w:p>
            <w:pPr>
              <w:spacing w:after="20" w:before="20"/>
            </w:pPr>
            <w:r/>
            <w:r>
              <w:rPr>
                <w:rFonts w:ascii="Calibri" w:hAnsi="Calibri"/>
                <w:b/>
                <w:color w:val="FFFFFF"/>
                <w:sz w:val="17"/>
              </w:rPr>
              <w:t>How to enumerate</w:t>
            </w:r>
          </w:p>
        </w:tc>
        <w:tc>
          <w:tcPr>
            <w:tcW w:type="dxa" w:w="3470"/>
            <w:shd w:val="clear" w:color="auto" w:fill="0F2B4C"/>
          </w:tcPr>
          <w:p>
            <w:pPr>
              <w:spacing w:after="20" w:before="20"/>
            </w:pPr>
            <w:r/>
            <w:r>
              <w:rPr>
                <w:rFonts w:ascii="Calibri" w:hAnsi="Calibri"/>
                <w:b/>
                <w:color w:val="FFFFFF"/>
                <w:sz w:val="17"/>
              </w:rPr>
              <w:t>Baseline evidence</w:t>
            </w:r>
          </w:p>
        </w:tc>
      </w:tr>
      <w:tr>
        <w:trPr>
          <w:cantSplit/>
        </w:trPr>
        <w:tc>
          <w:tcPr>
            <w:tcW w:type="dxa" w:w="2120"/>
          </w:tcPr>
          <w:p>
            <w:pPr>
              <w:spacing w:after="20" w:before="20"/>
            </w:pPr>
            <w:r/>
            <w:r>
              <w:rPr>
                <w:rFonts w:ascii="Calibri" w:hAnsi="Calibri"/>
                <w:b/>
                <w:i w:val="0"/>
                <w:color w:val="334E68"/>
                <w:sz w:val="17"/>
              </w:rPr>
              <w:t>SAP ↔ SAP (RFC)</w:t>
            </w:r>
          </w:p>
        </w:tc>
        <w:tc>
          <w:tcPr>
            <w:tcW w:type="dxa" w:w="4048"/>
          </w:tcPr>
          <w:p>
            <w:pPr>
              <w:spacing w:after="20" w:before="20"/>
            </w:pPr>
            <w:r/>
            <w:r>
              <w:rPr>
                <w:rFonts w:ascii="Consolas" w:hAnsi="Consolas"/>
                <w:b w:val="0"/>
                <w:i w:val="0"/>
                <w:color w:val="123A63"/>
                <w:sz w:val="17"/>
                <w:shd w:val="clear" w:color="auto" w:fill="EEF2F7"/>
              </w:rPr>
              <w:t>SM59</w:t>
            </w:r>
            <w:r>
              <w:rPr>
                <w:rFonts w:ascii="Calibri" w:hAnsi="Calibri"/>
                <w:b w:val="0"/>
                <w:i w:val="0"/>
                <w:color w:val="334E68"/>
                <w:sz w:val="17"/>
              </w:rPr>
              <w:t xml:space="preserve"> destinations by type; connection test per destination</w:t>
            </w:r>
          </w:p>
        </w:tc>
        <w:tc>
          <w:tcPr>
            <w:tcW w:type="dxa" w:w="3470"/>
          </w:tcPr>
          <w:p>
            <w:pPr>
              <w:spacing w:after="20" w:before="20"/>
            </w:pPr>
            <w:r/>
            <w:r>
              <w:rPr>
                <w:rFonts w:ascii="Calibri" w:hAnsi="Calibri"/>
                <w:b w:val="0"/>
                <w:i w:val="0"/>
                <w:color w:val="334E68"/>
                <w:sz w:val="17"/>
              </w:rPr>
              <w:t>Destination list + test result, with failures annotated</w:t>
            </w:r>
          </w:p>
        </w:tc>
      </w:tr>
      <w:tr>
        <w:trPr>
          <w:cantSplit/>
        </w:trPr>
        <w:tc>
          <w:tcPr>
            <w:tcW w:type="dxa" w:w="2120"/>
            <w:shd w:val="clear" w:color="auto" w:fill="FAFBFD"/>
          </w:tcPr>
          <w:p>
            <w:pPr>
              <w:spacing w:after="20" w:before="20"/>
            </w:pPr>
            <w:r/>
            <w:r>
              <w:rPr>
                <w:rFonts w:ascii="Calibri" w:hAnsi="Calibri"/>
                <w:b/>
                <w:i w:val="0"/>
                <w:color w:val="334E68"/>
                <w:sz w:val="17"/>
              </w:rPr>
              <w:t>Middleware / ESB</w:t>
            </w:r>
          </w:p>
        </w:tc>
        <w:tc>
          <w:tcPr>
            <w:tcW w:type="dxa" w:w="4048"/>
            <w:shd w:val="clear" w:color="auto" w:fill="FAFBFD"/>
          </w:tcPr>
          <w:p>
            <w:pPr>
              <w:spacing w:after="20" w:before="20"/>
            </w:pPr>
            <w:r/>
            <w:r>
              <w:rPr>
                <w:rFonts w:ascii="Calibri" w:hAnsi="Calibri"/>
                <w:b w:val="0"/>
                <w:i w:val="0"/>
                <w:color w:val="334E68"/>
                <w:sz w:val="17"/>
              </w:rPr>
              <w:t xml:space="preserve">webMethods, MuleSoft, MBox and other documented integrations </w:t>
            </w:r>
            <w:r>
              <w:rPr>
                <w:rFonts w:ascii="Calibri" w:hAnsi="Calibri"/>
                <w:b w:val="0"/>
                <w:i w:val="0"/>
                <w:color w:val="334E68"/>
                <w:sz w:val="17"/>
              </w:rPr>
              <w:t>source term</w:t>
            </w:r>
          </w:p>
        </w:tc>
        <w:tc>
          <w:tcPr>
            <w:tcW w:type="dxa" w:w="3470"/>
            <w:shd w:val="clear" w:color="auto" w:fill="FAFBFD"/>
          </w:tcPr>
          <w:p>
            <w:pPr>
              <w:spacing w:after="20" w:before="20"/>
            </w:pPr>
            <w:r/>
            <w:r>
              <w:rPr>
                <w:rFonts w:ascii="Calibri" w:hAnsi="Calibri"/>
                <w:b w:val="0"/>
                <w:i w:val="0"/>
                <w:color w:val="334E68"/>
                <w:sz w:val="17"/>
              </w:rPr>
              <w:t>Interface inventory with owning team and credentials status</w:t>
            </w:r>
          </w:p>
        </w:tc>
      </w:tr>
      <w:tr>
        <w:trPr>
          <w:cantSplit/>
        </w:trPr>
        <w:tc>
          <w:tcPr>
            <w:tcW w:type="dxa" w:w="2120"/>
          </w:tcPr>
          <w:p>
            <w:pPr>
              <w:spacing w:after="20" w:before="20"/>
            </w:pPr>
            <w:r/>
            <w:r>
              <w:rPr>
                <w:rFonts w:ascii="Calibri" w:hAnsi="Calibri"/>
                <w:b/>
                <w:i w:val="0"/>
                <w:color w:val="334E68"/>
                <w:sz w:val="17"/>
              </w:rPr>
              <w:t>External applications</w:t>
            </w:r>
          </w:p>
        </w:tc>
        <w:tc>
          <w:tcPr>
            <w:tcW w:type="dxa" w:w="4048"/>
          </w:tcPr>
          <w:p>
            <w:pPr>
              <w:spacing w:after="20" w:before="20"/>
            </w:pPr>
            <w:r/>
            <w:r>
              <w:rPr>
                <w:rFonts w:ascii="Calibri" w:hAnsi="Calibri"/>
                <w:b w:val="0"/>
                <w:i w:val="0"/>
                <w:color w:val="334E68"/>
                <w:sz w:val="17"/>
              </w:rPr>
              <w:t>Interface documentation, port and firewall rules, partner contacts</w:t>
            </w:r>
          </w:p>
        </w:tc>
        <w:tc>
          <w:tcPr>
            <w:tcW w:type="dxa" w:w="3470"/>
          </w:tcPr>
          <w:p>
            <w:pPr>
              <w:spacing w:after="20" w:before="20"/>
            </w:pPr>
            <w:r/>
            <w:r>
              <w:rPr>
                <w:rFonts w:ascii="Calibri" w:hAnsi="Calibri"/>
                <w:b w:val="0"/>
                <w:i w:val="0"/>
                <w:color w:val="334E68"/>
                <w:sz w:val="17"/>
              </w:rPr>
              <w:t>Connectivity matrix: source host/port → target host/port</w:t>
            </w:r>
          </w:p>
        </w:tc>
      </w:tr>
      <w:tr>
        <w:trPr>
          <w:cantSplit/>
        </w:trPr>
        <w:tc>
          <w:tcPr>
            <w:tcW w:type="dxa" w:w="2120"/>
            <w:shd w:val="clear" w:color="auto" w:fill="FAFBFD"/>
          </w:tcPr>
          <w:p>
            <w:pPr>
              <w:spacing w:after="20" w:before="20"/>
            </w:pPr>
            <w:r/>
            <w:r>
              <w:rPr>
                <w:rFonts w:ascii="Calibri" w:hAnsi="Calibri"/>
                <w:b/>
                <w:i w:val="0"/>
                <w:color w:val="334E68"/>
                <w:sz w:val="17"/>
              </w:rPr>
              <w:t>File-based interfaces</w:t>
            </w:r>
          </w:p>
        </w:tc>
        <w:tc>
          <w:tcPr>
            <w:tcW w:type="dxa" w:w="4048"/>
            <w:shd w:val="clear" w:color="auto" w:fill="FAFBFD"/>
          </w:tcPr>
          <w:p>
            <w:pPr>
              <w:spacing w:after="20" w:before="20"/>
            </w:pPr>
            <w:r/>
            <w:r>
              <w:rPr>
                <w:rFonts w:ascii="Consolas" w:hAnsi="Consolas"/>
                <w:b w:val="0"/>
                <w:i w:val="0"/>
                <w:color w:val="123A63"/>
                <w:sz w:val="17"/>
                <w:shd w:val="clear" w:color="auto" w:fill="EEF2F7"/>
              </w:rPr>
              <w:t>AL11</w:t>
            </w:r>
            <w:r>
              <w:rPr>
                <w:rFonts w:ascii="Calibri" w:hAnsi="Calibri"/>
                <w:b w:val="0"/>
                <w:i w:val="0"/>
                <w:color w:val="334E68"/>
                <w:sz w:val="17"/>
              </w:rPr>
              <w:t xml:space="preserve"> directories, NFS mounts, scheduled transfers</w:t>
            </w:r>
          </w:p>
        </w:tc>
        <w:tc>
          <w:tcPr>
            <w:tcW w:type="dxa" w:w="3470"/>
            <w:shd w:val="clear" w:color="auto" w:fill="FAFBFD"/>
          </w:tcPr>
          <w:p>
            <w:pPr>
              <w:spacing w:after="20" w:before="20"/>
            </w:pPr>
            <w:r/>
            <w:r>
              <w:rPr>
                <w:rFonts w:ascii="Calibri" w:hAnsi="Calibri"/>
                <w:b w:val="0"/>
                <w:i w:val="0"/>
                <w:color w:val="334E68"/>
                <w:sz w:val="17"/>
              </w:rPr>
              <w:t>Directory listing before migration and the transfer schedule</w:t>
            </w:r>
          </w:p>
        </w:tc>
      </w:tr>
      <w:tr>
        <w:trPr>
          <w:cantSplit/>
        </w:trPr>
        <w:tc>
          <w:tcPr>
            <w:tcW w:type="dxa" w:w="2120"/>
          </w:tcPr>
          <w:p>
            <w:pPr>
              <w:spacing w:after="20" w:before="20"/>
            </w:pPr>
            <w:r/>
            <w:r>
              <w:rPr>
                <w:rFonts w:ascii="Calibri" w:hAnsi="Calibri"/>
                <w:b/>
                <w:i w:val="0"/>
                <w:color w:val="334E68"/>
                <w:sz w:val="17"/>
              </w:rPr>
              <w:t>Authentication / SSO</w:t>
            </w:r>
          </w:p>
        </w:tc>
        <w:tc>
          <w:tcPr>
            <w:tcW w:type="dxa" w:w="4048"/>
          </w:tcPr>
          <w:p>
            <w:pPr>
              <w:spacing w:after="20" w:before="20"/>
            </w:pPr>
            <w:r/>
            <w:r>
              <w:rPr>
                <w:rFonts w:ascii="Calibri" w:hAnsi="Calibri"/>
                <w:b w:val="0"/>
                <w:i w:val="0"/>
                <w:color w:val="334E68"/>
                <w:sz w:val="17"/>
              </w:rPr>
              <w:t>SNC configuration, certificates, SSO provider dependencies</w:t>
            </w:r>
          </w:p>
        </w:tc>
        <w:tc>
          <w:tcPr>
            <w:tcW w:type="dxa" w:w="3470"/>
          </w:tcPr>
          <w:p>
            <w:pPr>
              <w:spacing w:after="20" w:before="20"/>
            </w:pPr>
            <w:r/>
            <w:r>
              <w:rPr>
                <w:rFonts w:ascii="Calibri" w:hAnsi="Calibri"/>
                <w:b w:val="0"/>
                <w:i w:val="0"/>
                <w:color w:val="334E68"/>
                <w:sz w:val="17"/>
              </w:rPr>
              <w:t>Certificate validity, SNC users, SSO test result</w:t>
            </w:r>
          </w:p>
        </w:tc>
      </w:tr>
      <w:tr>
        <w:trPr>
          <w:cantSplit/>
        </w:trPr>
        <w:tc>
          <w:tcPr>
            <w:tcW w:type="dxa" w:w="2120"/>
            <w:shd w:val="clear" w:color="auto" w:fill="FAFBFD"/>
          </w:tcPr>
          <w:p>
            <w:pPr>
              <w:spacing w:after="20" w:before="20"/>
            </w:pPr>
            <w:r/>
            <w:r>
              <w:rPr>
                <w:rFonts w:ascii="Calibri" w:hAnsi="Calibri"/>
                <w:b/>
                <w:i w:val="0"/>
                <w:color w:val="334E68"/>
                <w:sz w:val="17"/>
              </w:rPr>
              <w:t>Gateway traffic</w:t>
            </w:r>
          </w:p>
        </w:tc>
        <w:tc>
          <w:tcPr>
            <w:tcW w:type="dxa" w:w="4048"/>
            <w:shd w:val="clear" w:color="auto" w:fill="FAFBFD"/>
          </w:tcPr>
          <w:p>
            <w:pPr>
              <w:spacing w:after="20" w:before="20"/>
            </w:pPr>
            <w:r/>
            <w:r>
              <w:rPr>
                <w:rFonts w:ascii="Consolas" w:hAnsi="Consolas"/>
                <w:b w:val="0"/>
                <w:i w:val="0"/>
                <w:color w:val="123A63"/>
                <w:sz w:val="17"/>
                <w:shd w:val="clear" w:color="auto" w:fill="EEF2F7"/>
              </w:rPr>
              <w:t>SMGW</w:t>
            </w:r>
            <w:r>
              <w:rPr>
                <w:rFonts w:ascii="Calibri" w:hAnsi="Calibri"/>
                <w:b w:val="0"/>
                <w:i w:val="0"/>
                <w:color w:val="334E68"/>
                <w:sz w:val="17"/>
              </w:rPr>
              <w:t xml:space="preserve"> connections and gateway parameters</w:t>
            </w:r>
          </w:p>
        </w:tc>
        <w:tc>
          <w:tcPr>
            <w:tcW w:type="dxa" w:w="3470"/>
            <w:shd w:val="clear" w:color="auto" w:fill="FAFBFD"/>
          </w:tcPr>
          <w:p>
            <w:pPr>
              <w:spacing w:after="20" w:before="20"/>
            </w:pPr>
            <w:r/>
            <w:r>
              <w:rPr>
                <w:rFonts w:ascii="Calibri" w:hAnsi="Calibri"/>
                <w:b w:val="0"/>
                <w:i w:val="0"/>
                <w:color w:val="334E68"/>
                <w:sz w:val="17"/>
              </w:rPr>
              <w:t>Connection list and gateway status</w:t>
            </w:r>
          </w:p>
        </w:tc>
      </w:tr>
      <w:tr>
        <w:trPr>
          <w:cantSplit/>
        </w:trPr>
        <w:tc>
          <w:tcPr>
            <w:tcW w:type="dxa" w:w="2120"/>
          </w:tcPr>
          <w:p>
            <w:pPr>
              <w:spacing w:after="20" w:before="20"/>
            </w:pPr>
            <w:r/>
            <w:r>
              <w:rPr>
                <w:rFonts w:ascii="Calibri" w:hAnsi="Calibri"/>
                <w:b/>
                <w:i w:val="0"/>
                <w:color w:val="334E68"/>
                <w:sz w:val="17"/>
              </w:rPr>
              <w:t>HTTP(S) traffic</w:t>
            </w:r>
          </w:p>
        </w:tc>
        <w:tc>
          <w:tcPr>
            <w:tcW w:type="dxa" w:w="4048"/>
          </w:tcPr>
          <w:p>
            <w:pPr>
              <w:spacing w:after="20" w:before="20"/>
            </w:pPr>
            <w:r/>
            <w:r>
              <w:rPr>
                <w:rFonts w:ascii="Consolas" w:hAnsi="Consolas"/>
                <w:b w:val="0"/>
                <w:i w:val="0"/>
                <w:color w:val="123A63"/>
                <w:sz w:val="17"/>
                <w:shd w:val="clear" w:color="auto" w:fill="EEF2F7"/>
              </w:rPr>
              <w:t>SMICM</w:t>
            </w:r>
            <w:r>
              <w:rPr>
                <w:rFonts w:ascii="Calibri" w:hAnsi="Calibri"/>
                <w:b w:val="0"/>
                <w:i w:val="0"/>
                <w:color w:val="334E68"/>
                <w:sz w:val="17"/>
              </w:rPr>
              <w:t xml:space="preserve"> ICM services and endpoints</w:t>
            </w:r>
          </w:p>
        </w:tc>
        <w:tc>
          <w:tcPr>
            <w:tcW w:type="dxa" w:w="3470"/>
          </w:tcPr>
          <w:p>
            <w:pPr>
              <w:spacing w:after="20" w:before="20"/>
            </w:pPr>
            <w:r/>
            <w:r>
              <w:rPr>
                <w:rFonts w:ascii="Calibri" w:hAnsi="Calibri"/>
                <w:b w:val="0"/>
                <w:i w:val="0"/>
                <w:color w:val="334E68"/>
                <w:sz w:val="17"/>
              </w:rPr>
              <w:t>Service list, ports, certificate binding</w:t>
            </w:r>
          </w:p>
        </w:tc>
      </w:tr>
    </w:tbl>
    <w:p>
      <w:pPr>
        <w:spacing w:after="40"/>
      </w:pP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PRACTICAL RULE</w:t>
      </w:r>
    </w:p>
    <w:p>
      <w:pPr>
        <w:spacing w:after="40"/>
        <w:ind w:left="170"/>
        <w:shd w:val="clear" w:color="auto" w:fill="FFFBFB"/>
        <w:pBdr>
          <w:left w:val="single" w:sz="6" w:space="6" w:color="C8434B"/>
          <w:bottom w:val="single" w:sz="6" w:space="6" w:color="C8434B"/>
          <w:right w:val="single" w:sz="6" w:space="6" w:color="C8434B"/>
        </w:pBdr>
      </w:pPr>
      <w:r>
        <w:rPr>
          <w:rFonts w:ascii="Calibri" w:hAnsi="Calibri"/>
          <w:b w:val="0"/>
          <w:i w:val="0"/>
          <w:color w:val="334E68"/>
          <w:sz w:val="18"/>
        </w:rPr>
        <w:t>If an interface or directory was not working before migration, capture the evidence. The migration team should not silently convert a pre-existing issue into a migration defect — and equally should not silently fix one without recording it, because an unrecorded fix becomes an unapproved change.</w:t>
      </w:r>
    </w:p>
    <w:p>
      <w:pPr>
        <w:pStyle w:val="Heading2"/>
        <w:pBdr>
          <w:bottom w:val="single" w:sz="6" w:space="3" w:color="E8EDF3"/>
        </w:pBdr>
      </w:pPr>
      <w:r>
        <w:rPr>
          <w:rFonts w:ascii="Calibri" w:hAnsi="Calibri"/>
          <w:b/>
          <w:color w:val="0F2B4C"/>
          <w:sz w:val="26"/>
        </w:rPr>
        <w:t>4.5  Building the source baseline pack</w:t>
      </w:r>
    </w:p>
    <w:p>
      <w:r>
        <w:rPr>
          <w:rFonts w:ascii="Calibri" w:hAnsi="Calibri"/>
          <w:b w:val="0"/>
          <w:i w:val="0"/>
          <w:color w:val="334E68"/>
          <w:sz w:val="20"/>
        </w:rPr>
        <w:t>The output of this module is a single, indexed evidence pack per system. It is the reference used at every later gate and during hypercare triage.</w:t>
      </w:r>
    </w:p>
    <w:p>
      <w:pPr>
        <w:spacing w:after="60" w:before="160"/>
        <w:keepNext/>
      </w:pPr>
      <w:r>
        <w:rPr>
          <w:rFonts w:ascii="Calibri" w:hAnsi="Calibri"/>
          <w:b/>
          <w:color w:val="5B7288"/>
          <w:sz w:val="15"/>
        </w:rPr>
        <w:t>CONTENTS OF THE SOURCE BASELINE PACK</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4048"/>
        <w:gridCol w:w="3277"/>
      </w:tblGrid>
      <w:tr>
        <w:trPr>
          <w:tblHeader/>
          <w:cantSplit/>
        </w:trPr>
        <w:tc>
          <w:tcPr>
            <w:tcW w:type="dxa" w:w="2313"/>
            <w:shd w:val="clear" w:color="auto" w:fill="0F2B4C"/>
          </w:tcPr>
          <w:p>
            <w:pPr>
              <w:spacing w:after="20" w:before="20"/>
            </w:pPr>
            <w:r/>
            <w:r>
              <w:rPr>
                <w:rFonts w:ascii="Calibri" w:hAnsi="Calibri"/>
                <w:b/>
                <w:color w:val="FFFFFF"/>
                <w:sz w:val="17"/>
              </w:rPr>
              <w:t>Baseline artefact</w:t>
            </w:r>
          </w:p>
        </w:tc>
        <w:tc>
          <w:tcPr>
            <w:tcW w:type="dxa" w:w="4048"/>
            <w:shd w:val="clear" w:color="auto" w:fill="0F2B4C"/>
          </w:tcPr>
          <w:p>
            <w:pPr>
              <w:spacing w:after="20" w:before="20"/>
            </w:pPr>
            <w:r/>
            <w:r>
              <w:rPr>
                <w:rFonts w:ascii="Calibri" w:hAnsi="Calibri"/>
                <w:b/>
                <w:color w:val="FFFFFF"/>
                <w:sz w:val="17"/>
              </w:rPr>
              <w:t>Typical source</w:t>
            </w:r>
          </w:p>
        </w:tc>
        <w:tc>
          <w:tcPr>
            <w:tcW w:type="dxa" w:w="3277"/>
            <w:shd w:val="clear" w:color="auto" w:fill="0F2B4C"/>
          </w:tcPr>
          <w:p>
            <w:pPr>
              <w:spacing w:after="20" w:before="20"/>
            </w:pPr>
            <w:r/>
            <w:r>
              <w:rPr>
                <w:rFonts w:ascii="Calibri" w:hAnsi="Calibri"/>
                <w:b/>
                <w:color w:val="FFFFFF"/>
                <w:sz w:val="17"/>
              </w:rPr>
              <w:t>Used again at</w:t>
            </w:r>
          </w:p>
        </w:tc>
      </w:tr>
      <w:tr>
        <w:trPr>
          <w:cantSplit/>
        </w:trPr>
        <w:tc>
          <w:tcPr>
            <w:tcW w:type="dxa" w:w="2313"/>
          </w:tcPr>
          <w:p>
            <w:pPr>
              <w:spacing w:after="20" w:before="20"/>
            </w:pPr>
            <w:r/>
            <w:r>
              <w:rPr>
                <w:rFonts w:ascii="Calibri" w:hAnsi="Calibri"/>
                <w:b/>
                <w:i w:val="0"/>
                <w:color w:val="334E68"/>
                <w:sz w:val="17"/>
              </w:rPr>
              <w:t>OS parameter sheet</w:t>
            </w:r>
          </w:p>
        </w:tc>
        <w:tc>
          <w:tcPr>
            <w:tcW w:type="dxa" w:w="4048"/>
          </w:tcPr>
          <w:p>
            <w:pPr>
              <w:spacing w:after="20" w:before="20"/>
            </w:pPr>
            <w:r/>
            <w:r>
              <w:rPr>
                <w:rFonts w:ascii="Consolas" w:hAnsi="Consolas"/>
                <w:b w:val="0"/>
                <w:i w:val="0"/>
                <w:color w:val="123A63"/>
                <w:sz w:val="17"/>
                <w:shd w:val="clear" w:color="auto" w:fill="EEF2F7"/>
              </w:rPr>
              <w:t>uname</w:t>
            </w:r>
            <w:r>
              <w:rPr>
                <w:rFonts w:ascii="Calibri" w:hAnsi="Calibri"/>
                <w:b w:val="0"/>
                <w:i w:val="0"/>
                <w:color w:val="334E68"/>
                <w:sz w:val="17"/>
              </w:rPr>
              <w:t xml:space="preserve">, </w:t>
            </w:r>
            <w:r>
              <w:rPr>
                <w:rFonts w:ascii="Consolas" w:hAnsi="Consolas"/>
                <w:b w:val="0"/>
                <w:i w:val="0"/>
                <w:color w:val="123A63"/>
                <w:sz w:val="17"/>
                <w:shd w:val="clear" w:color="auto" w:fill="EEF2F7"/>
              </w:rPr>
              <w:t>/etc/os-release</w:t>
            </w:r>
            <w:r>
              <w:rPr>
                <w:rFonts w:ascii="Calibri" w:hAnsi="Calibri"/>
                <w:b w:val="0"/>
                <w:i w:val="0"/>
                <w:color w:val="334E68"/>
                <w:sz w:val="17"/>
              </w:rPr>
              <w:t>, kernel, swap, file systems, UID/GID</w:t>
            </w:r>
          </w:p>
        </w:tc>
        <w:tc>
          <w:tcPr>
            <w:tcW w:type="dxa" w:w="3277"/>
          </w:tcPr>
          <w:p>
            <w:pPr>
              <w:spacing w:after="20" w:before="20"/>
            </w:pPr>
            <w:r/>
            <w:r>
              <w:rPr>
                <w:rFonts w:ascii="Calibri" w:hAnsi="Calibri"/>
                <w:b w:val="0"/>
                <w:i w:val="0"/>
                <w:color w:val="334E68"/>
                <w:sz w:val="17"/>
              </w:rPr>
              <w:t>Section 7.2 OS validation</w:t>
            </w:r>
          </w:p>
        </w:tc>
      </w:tr>
      <w:tr>
        <w:trPr>
          <w:cantSplit/>
        </w:trPr>
        <w:tc>
          <w:tcPr>
            <w:tcW w:type="dxa" w:w="2313"/>
            <w:shd w:val="clear" w:color="auto" w:fill="FAFBFD"/>
          </w:tcPr>
          <w:p>
            <w:pPr>
              <w:spacing w:after="20" w:before="20"/>
            </w:pPr>
            <w:r/>
            <w:r>
              <w:rPr>
                <w:rFonts w:ascii="Calibri" w:hAnsi="Calibri"/>
                <w:b/>
                <w:i w:val="0"/>
                <w:color w:val="334E68"/>
                <w:sz w:val="17"/>
              </w:rPr>
              <w:t>SAP parameter sheet</w:t>
            </w:r>
          </w:p>
        </w:tc>
        <w:tc>
          <w:tcPr>
            <w:tcW w:type="dxa" w:w="4048"/>
            <w:shd w:val="clear" w:color="auto" w:fill="FAFBFD"/>
          </w:tcPr>
          <w:p>
            <w:pPr>
              <w:spacing w:after="20" w:before="20"/>
            </w:pPr>
            <w:r/>
            <w:r>
              <w:rPr>
                <w:rFonts w:ascii="Calibri" w:hAnsi="Calibri"/>
                <w:b w:val="0"/>
                <w:i w:val="0"/>
                <w:color w:val="334E68"/>
                <w:sz w:val="17"/>
              </w:rPr>
              <w:t>Profile parameters (</w:t>
            </w:r>
            <w:r>
              <w:rPr>
                <w:rFonts w:ascii="Consolas" w:hAnsi="Consolas"/>
                <w:b w:val="0"/>
                <w:i w:val="0"/>
                <w:color w:val="123A63"/>
                <w:sz w:val="17"/>
                <w:shd w:val="clear" w:color="auto" w:fill="EEF2F7"/>
              </w:rPr>
              <w:t>RZ10</w:t>
            </w:r>
            <w:r>
              <w:rPr>
                <w:rFonts w:ascii="Calibri" w:hAnsi="Calibri"/>
                <w:b w:val="0"/>
                <w:i w:val="0"/>
                <w:color w:val="334E68"/>
                <w:sz w:val="17"/>
              </w:rPr>
              <w:t>/</w:t>
            </w:r>
            <w:r>
              <w:rPr>
                <w:rFonts w:ascii="Consolas" w:hAnsi="Consolas"/>
                <w:b w:val="0"/>
                <w:i w:val="0"/>
                <w:color w:val="123A63"/>
                <w:sz w:val="17"/>
                <w:shd w:val="clear" w:color="auto" w:fill="EEF2F7"/>
              </w:rPr>
              <w:t>RZ11</w:t>
            </w:r>
            <w:r>
              <w:rPr>
                <w:rFonts w:ascii="Calibri" w:hAnsi="Calibri"/>
                <w:b w:val="0"/>
                <w:i w:val="0"/>
                <w:color w:val="334E68"/>
                <w:sz w:val="17"/>
              </w:rPr>
              <w:t>), instance list (</w:t>
            </w:r>
            <w:r>
              <w:rPr>
                <w:rFonts w:ascii="Consolas" w:hAnsi="Consolas"/>
                <w:b w:val="0"/>
                <w:i w:val="0"/>
                <w:color w:val="123A63"/>
                <w:sz w:val="17"/>
                <w:shd w:val="clear" w:color="auto" w:fill="EEF2F7"/>
              </w:rPr>
              <w:t>SM51</w:t>
            </w:r>
            <w:r>
              <w:rPr>
                <w:rFonts w:ascii="Calibri" w:hAnsi="Calibri"/>
                <w:b w:val="0"/>
                <w:i w:val="0"/>
                <w:color w:val="334E68"/>
                <w:sz w:val="17"/>
              </w:rPr>
              <w:t>)</w:t>
            </w:r>
          </w:p>
        </w:tc>
        <w:tc>
          <w:tcPr>
            <w:tcW w:type="dxa" w:w="3277"/>
            <w:shd w:val="clear" w:color="auto" w:fill="FAFBFD"/>
          </w:tcPr>
          <w:p>
            <w:pPr>
              <w:spacing w:after="20" w:before="20"/>
            </w:pPr>
            <w:r/>
            <w:r>
              <w:rPr>
                <w:rFonts w:ascii="Calibri" w:hAnsi="Calibri"/>
                <w:b w:val="0"/>
                <w:i w:val="0"/>
                <w:color w:val="334E68"/>
                <w:sz w:val="17"/>
              </w:rPr>
              <w:t>Section 7.3 SAP validation</w:t>
            </w:r>
          </w:p>
        </w:tc>
      </w:tr>
      <w:tr>
        <w:trPr>
          <w:cantSplit/>
        </w:trPr>
        <w:tc>
          <w:tcPr>
            <w:tcW w:type="dxa" w:w="2313"/>
          </w:tcPr>
          <w:p>
            <w:pPr>
              <w:spacing w:after="20" w:before="20"/>
            </w:pPr>
            <w:r/>
            <w:r>
              <w:rPr>
                <w:rFonts w:ascii="Calibri" w:hAnsi="Calibri"/>
                <w:b/>
                <w:i w:val="0"/>
                <w:color w:val="334E68"/>
                <w:sz w:val="17"/>
              </w:rPr>
              <w:t>Database parameter sheet</w:t>
            </w:r>
          </w:p>
        </w:tc>
        <w:tc>
          <w:tcPr>
            <w:tcW w:type="dxa" w:w="4048"/>
          </w:tcPr>
          <w:p>
            <w:pPr>
              <w:spacing w:after="20" w:before="20"/>
            </w:pPr>
            <w:r/>
            <w:r>
              <w:rPr>
                <w:rFonts w:ascii="Consolas" w:hAnsi="Consolas"/>
                <w:b w:val="0"/>
                <w:i w:val="0"/>
                <w:color w:val="123A63"/>
                <w:sz w:val="17"/>
                <w:shd w:val="clear" w:color="auto" w:fill="EEF2F7"/>
              </w:rPr>
              <w:t>DB02</w:t>
            </w:r>
            <w:r>
              <w:rPr>
                <w:rFonts w:ascii="Calibri" w:hAnsi="Calibri"/>
                <w:b w:val="0"/>
                <w:i w:val="0"/>
                <w:color w:val="334E68"/>
                <w:sz w:val="17"/>
              </w:rPr>
              <w:t>, DB parameters, tablespace list and sizes</w:t>
            </w:r>
          </w:p>
        </w:tc>
        <w:tc>
          <w:tcPr>
            <w:tcW w:type="dxa" w:w="3277"/>
          </w:tcPr>
          <w:p>
            <w:pPr>
              <w:spacing w:after="20" w:before="20"/>
            </w:pPr>
            <w:r/>
            <w:r>
              <w:rPr>
                <w:rFonts w:ascii="Calibri" w:hAnsi="Calibri"/>
                <w:b w:val="0"/>
                <w:i w:val="0"/>
                <w:color w:val="334E68"/>
                <w:sz w:val="17"/>
              </w:rPr>
              <w:t>Section 7.4 database validation</w:t>
            </w:r>
          </w:p>
        </w:tc>
      </w:tr>
      <w:tr>
        <w:trPr>
          <w:cantSplit/>
        </w:trPr>
        <w:tc>
          <w:tcPr>
            <w:tcW w:type="dxa" w:w="2313"/>
            <w:shd w:val="clear" w:color="auto" w:fill="FAFBFD"/>
          </w:tcPr>
          <w:p>
            <w:pPr>
              <w:spacing w:after="20" w:before="20"/>
            </w:pPr>
            <w:r/>
            <w:r>
              <w:rPr>
                <w:rFonts w:ascii="Calibri" w:hAnsi="Calibri"/>
                <w:b/>
                <w:i w:val="0"/>
                <w:color w:val="334E68"/>
                <w:sz w:val="17"/>
              </w:rPr>
              <w:t>Interface list</w:t>
            </w:r>
          </w:p>
        </w:tc>
        <w:tc>
          <w:tcPr>
            <w:tcW w:type="dxa" w:w="4048"/>
            <w:shd w:val="clear" w:color="auto" w:fill="FAFBFD"/>
          </w:tcPr>
          <w:p>
            <w:pPr>
              <w:spacing w:after="20" w:before="20"/>
            </w:pPr>
            <w:r/>
            <w:r>
              <w:rPr>
                <w:rFonts w:ascii="Consolas" w:hAnsi="Consolas"/>
                <w:b w:val="0"/>
                <w:i w:val="0"/>
                <w:color w:val="123A63"/>
                <w:sz w:val="17"/>
                <w:shd w:val="clear" w:color="auto" w:fill="EEF2F7"/>
              </w:rPr>
              <w:t>SM59</w:t>
            </w:r>
            <w:r>
              <w:rPr>
                <w:rFonts w:ascii="Calibri" w:hAnsi="Calibri"/>
                <w:b w:val="0"/>
                <w:i w:val="0"/>
                <w:color w:val="334E68"/>
                <w:sz w:val="17"/>
              </w:rPr>
              <w:t xml:space="preserve">, </w:t>
            </w:r>
            <w:r>
              <w:rPr>
                <w:rFonts w:ascii="Consolas" w:hAnsi="Consolas"/>
                <w:b w:val="0"/>
                <w:i w:val="0"/>
                <w:color w:val="123A63"/>
                <w:sz w:val="17"/>
                <w:shd w:val="clear" w:color="auto" w:fill="EEF2F7"/>
              </w:rPr>
              <w:t>SMGW</w:t>
            </w:r>
            <w:r>
              <w:rPr>
                <w:rFonts w:ascii="Calibri" w:hAnsi="Calibri"/>
                <w:b w:val="0"/>
                <w:i w:val="0"/>
                <w:color w:val="334E68"/>
                <w:sz w:val="17"/>
              </w:rPr>
              <w:t xml:space="preserve">, </w:t>
            </w:r>
            <w:r>
              <w:rPr>
                <w:rFonts w:ascii="Consolas" w:hAnsi="Consolas"/>
                <w:b w:val="0"/>
                <w:i w:val="0"/>
                <w:color w:val="123A63"/>
                <w:sz w:val="17"/>
                <w:shd w:val="clear" w:color="auto" w:fill="EEF2F7"/>
              </w:rPr>
              <w:t>SMICM</w:t>
            </w:r>
            <w:r>
              <w:rPr>
                <w:rFonts w:ascii="Calibri" w:hAnsi="Calibri"/>
                <w:b w:val="0"/>
                <w:i w:val="0"/>
                <w:color w:val="334E68"/>
                <w:sz w:val="17"/>
              </w:rPr>
              <w:t>, middleware inventory</w:t>
            </w:r>
          </w:p>
        </w:tc>
        <w:tc>
          <w:tcPr>
            <w:tcW w:type="dxa" w:w="3277"/>
            <w:shd w:val="clear" w:color="auto" w:fill="FAFBFD"/>
          </w:tcPr>
          <w:p>
            <w:pPr>
              <w:spacing w:after="20" w:before="20"/>
            </w:pPr>
            <w:r/>
            <w:r>
              <w:rPr>
                <w:rFonts w:ascii="Calibri" w:hAnsi="Calibri"/>
                <w:b w:val="0"/>
                <w:i w:val="0"/>
                <w:color w:val="334E68"/>
                <w:sz w:val="17"/>
              </w:rPr>
              <w:t>Section 10.3 functional validation</w:t>
            </w:r>
          </w:p>
        </w:tc>
      </w:tr>
      <w:tr>
        <w:trPr>
          <w:cantSplit/>
        </w:trPr>
        <w:tc>
          <w:tcPr>
            <w:tcW w:type="dxa" w:w="2313"/>
          </w:tcPr>
          <w:p>
            <w:pPr>
              <w:spacing w:after="20" w:before="20"/>
            </w:pPr>
            <w:r/>
            <w:r>
              <w:rPr>
                <w:rFonts w:ascii="Calibri" w:hAnsi="Calibri"/>
                <w:b/>
                <w:i w:val="0"/>
                <w:color w:val="334E68"/>
                <w:sz w:val="17"/>
              </w:rPr>
              <w:t>Directory list</w:t>
            </w:r>
          </w:p>
        </w:tc>
        <w:tc>
          <w:tcPr>
            <w:tcW w:type="dxa" w:w="4048"/>
          </w:tcPr>
          <w:p>
            <w:pPr>
              <w:spacing w:after="20" w:before="20"/>
            </w:pPr>
            <w:r/>
            <w:r>
              <w:rPr>
                <w:rFonts w:ascii="Consolas" w:hAnsi="Consolas"/>
                <w:b w:val="0"/>
                <w:i w:val="0"/>
                <w:color w:val="123A63"/>
                <w:sz w:val="17"/>
                <w:shd w:val="clear" w:color="auto" w:fill="EEF2F7"/>
              </w:rPr>
              <w:t>AL11</w:t>
            </w:r>
            <w:r>
              <w:rPr>
                <w:rFonts w:ascii="Calibri" w:hAnsi="Calibri"/>
                <w:b w:val="0"/>
                <w:i w:val="0"/>
                <w:color w:val="334E68"/>
                <w:sz w:val="17"/>
              </w:rPr>
              <w:t>, NFS mounts, custom directories and permissions</w:t>
            </w:r>
          </w:p>
        </w:tc>
        <w:tc>
          <w:tcPr>
            <w:tcW w:type="dxa" w:w="3277"/>
          </w:tcPr>
          <w:p>
            <w:pPr>
              <w:spacing w:after="20" w:before="20"/>
            </w:pPr>
            <w:r/>
            <w:r>
              <w:rPr>
                <w:rFonts w:ascii="Calibri" w:hAnsi="Calibri"/>
                <w:b w:val="0"/>
                <w:i w:val="0"/>
                <w:color w:val="334E68"/>
                <w:sz w:val="17"/>
              </w:rPr>
              <w:t>Section 10.2 post-processing</w:t>
            </w:r>
          </w:p>
        </w:tc>
      </w:tr>
      <w:tr>
        <w:trPr>
          <w:cantSplit/>
        </w:trPr>
        <w:tc>
          <w:tcPr>
            <w:tcW w:type="dxa" w:w="2313"/>
            <w:shd w:val="clear" w:color="auto" w:fill="FAFBFD"/>
          </w:tcPr>
          <w:p>
            <w:pPr>
              <w:spacing w:after="20" w:before="20"/>
            </w:pPr>
            <w:r/>
            <w:r>
              <w:rPr>
                <w:rFonts w:ascii="Calibri" w:hAnsi="Calibri"/>
                <w:b/>
                <w:i w:val="0"/>
                <w:color w:val="334E68"/>
                <w:sz w:val="17"/>
              </w:rPr>
              <w:t>Workload snapshot</w:t>
            </w:r>
          </w:p>
        </w:tc>
        <w:tc>
          <w:tcPr>
            <w:tcW w:type="dxa" w:w="4048"/>
            <w:shd w:val="clear" w:color="auto" w:fill="FAFBFD"/>
          </w:tcPr>
          <w:p>
            <w:pPr>
              <w:spacing w:after="20" w:before="20"/>
            </w:pPr>
            <w:r/>
            <w:r>
              <w:rPr>
                <w:rFonts w:ascii="Consolas" w:hAnsi="Consolas"/>
                <w:b w:val="0"/>
                <w:i w:val="0"/>
                <w:color w:val="123A63"/>
                <w:sz w:val="17"/>
                <w:shd w:val="clear" w:color="auto" w:fill="EEF2F7"/>
              </w:rPr>
              <w:t>ST03</w:t>
            </w:r>
            <w:r>
              <w:rPr>
                <w:rFonts w:ascii="Calibri" w:hAnsi="Calibri"/>
                <w:b w:val="0"/>
                <w:i w:val="0"/>
                <w:color w:val="334E68"/>
                <w:sz w:val="17"/>
              </w:rPr>
              <w:t>/</w:t>
            </w:r>
            <w:r>
              <w:rPr>
                <w:rFonts w:ascii="Consolas" w:hAnsi="Consolas"/>
                <w:b w:val="0"/>
                <w:i w:val="0"/>
                <w:color w:val="123A63"/>
                <w:sz w:val="17"/>
                <w:shd w:val="clear" w:color="auto" w:fill="EEF2F7"/>
              </w:rPr>
              <w:t>ST03N</w:t>
            </w:r>
            <w:r>
              <w:rPr>
                <w:rFonts w:ascii="Calibri" w:hAnsi="Calibri"/>
                <w:b w:val="0"/>
                <w:i w:val="0"/>
                <w:color w:val="334E68"/>
                <w:sz w:val="17"/>
              </w:rPr>
              <w:t xml:space="preserve"> daily/weekly/monthly, </w:t>
            </w:r>
            <w:r>
              <w:rPr>
                <w:rFonts w:ascii="Consolas" w:hAnsi="Consolas"/>
                <w:b w:val="0"/>
                <w:i w:val="0"/>
                <w:color w:val="123A63"/>
                <w:sz w:val="17"/>
                <w:shd w:val="clear" w:color="auto" w:fill="EEF2F7"/>
              </w:rPr>
              <w:t>STAD</w:t>
            </w:r>
            <w:r>
              <w:rPr>
                <w:rFonts w:ascii="Calibri" w:hAnsi="Calibri"/>
                <w:b w:val="0"/>
                <w:i w:val="0"/>
                <w:color w:val="334E68"/>
                <w:sz w:val="17"/>
              </w:rPr>
              <w:t xml:space="preserve"> samples</w:t>
            </w:r>
          </w:p>
        </w:tc>
        <w:tc>
          <w:tcPr>
            <w:tcW w:type="dxa" w:w="3277"/>
            <w:shd w:val="clear" w:color="auto" w:fill="FAFBFD"/>
          </w:tcPr>
          <w:p>
            <w:pPr>
              <w:spacing w:after="20" w:before="20"/>
            </w:pPr>
            <w:r/>
            <w:r>
              <w:rPr>
                <w:rFonts w:ascii="Calibri" w:hAnsi="Calibri"/>
                <w:b w:val="0"/>
                <w:i w:val="0"/>
                <w:color w:val="334E68"/>
                <w:sz w:val="17"/>
              </w:rPr>
              <w:t>Module 5 performance comparison</w:t>
            </w:r>
          </w:p>
        </w:tc>
      </w:tr>
      <w:tr>
        <w:trPr>
          <w:cantSplit/>
        </w:trPr>
        <w:tc>
          <w:tcPr>
            <w:tcW w:type="dxa" w:w="2313"/>
          </w:tcPr>
          <w:p>
            <w:pPr>
              <w:spacing w:after="20" w:before="20"/>
            </w:pPr>
            <w:r/>
            <w:r>
              <w:rPr>
                <w:rFonts w:ascii="Calibri" w:hAnsi="Calibri"/>
                <w:b/>
                <w:i w:val="0"/>
                <w:color w:val="334E68"/>
                <w:sz w:val="17"/>
              </w:rPr>
              <w:t>Memory and buffer snapshot</w:t>
            </w:r>
          </w:p>
        </w:tc>
        <w:tc>
          <w:tcPr>
            <w:tcW w:type="dxa" w:w="4048"/>
          </w:tcPr>
          <w:p>
            <w:pPr>
              <w:spacing w:after="20" w:before="20"/>
            </w:pPr>
            <w:r/>
            <w:r>
              <w:rPr>
                <w:rFonts w:ascii="Consolas" w:hAnsi="Consolas"/>
                <w:b w:val="0"/>
                <w:i w:val="0"/>
                <w:color w:val="123A63"/>
                <w:sz w:val="17"/>
                <w:shd w:val="clear" w:color="auto" w:fill="EEF2F7"/>
              </w:rPr>
              <w:t>ST02</w:t>
            </w:r>
          </w:p>
        </w:tc>
        <w:tc>
          <w:tcPr>
            <w:tcW w:type="dxa" w:w="3277"/>
          </w:tcPr>
          <w:p>
            <w:pPr>
              <w:spacing w:after="20" w:before="20"/>
            </w:pPr>
            <w:r/>
            <w:r>
              <w:rPr>
                <w:rFonts w:ascii="Calibri" w:hAnsi="Calibri"/>
                <w:b w:val="0"/>
                <w:i w:val="0"/>
                <w:color w:val="334E68"/>
                <w:sz w:val="17"/>
              </w:rPr>
              <w:t>Module 5 performance comparison</w:t>
            </w:r>
          </w:p>
        </w:tc>
      </w:tr>
      <w:tr>
        <w:trPr>
          <w:cantSplit/>
        </w:trPr>
        <w:tc>
          <w:tcPr>
            <w:tcW w:type="dxa" w:w="2313"/>
            <w:shd w:val="clear" w:color="auto" w:fill="FAFBFD"/>
          </w:tcPr>
          <w:p>
            <w:pPr>
              <w:spacing w:after="20" w:before="20"/>
            </w:pPr>
            <w:r/>
            <w:r>
              <w:rPr>
                <w:rFonts w:ascii="Calibri" w:hAnsi="Calibri"/>
                <w:b/>
                <w:i w:val="0"/>
                <w:color w:val="334E68"/>
                <w:sz w:val="17"/>
              </w:rPr>
              <w:t>Backup status</w:t>
            </w:r>
          </w:p>
        </w:tc>
        <w:tc>
          <w:tcPr>
            <w:tcW w:type="dxa" w:w="4048"/>
            <w:shd w:val="clear" w:color="auto" w:fill="FAFBFD"/>
          </w:tcPr>
          <w:p>
            <w:pPr>
              <w:spacing w:after="20" w:before="20"/>
            </w:pPr>
            <w:r/>
            <w:r>
              <w:rPr>
                <w:rFonts w:ascii="Calibri" w:hAnsi="Calibri"/>
                <w:b w:val="0"/>
                <w:i w:val="0"/>
                <w:color w:val="334E68"/>
                <w:sz w:val="17"/>
              </w:rPr>
              <w:t>Last successful backup, backup history, log/archive status</w:t>
            </w:r>
          </w:p>
        </w:tc>
        <w:tc>
          <w:tcPr>
            <w:tcW w:type="dxa" w:w="3277"/>
            <w:shd w:val="clear" w:color="auto" w:fill="FAFBFD"/>
          </w:tcPr>
          <w:p>
            <w:pPr>
              <w:spacing w:after="20" w:before="20"/>
            </w:pPr>
            <w:r/>
            <w:r>
              <w:rPr>
                <w:rFonts w:ascii="Calibri" w:hAnsi="Calibri"/>
                <w:b w:val="0"/>
                <w:i w:val="0"/>
                <w:color w:val="334E68"/>
                <w:sz w:val="17"/>
              </w:rPr>
              <w:t>Section 6.4, Section 9.4</w:t>
            </w:r>
          </w:p>
        </w:tc>
      </w:tr>
      <w:tr>
        <w:trPr>
          <w:cantSplit/>
        </w:trPr>
        <w:tc>
          <w:tcPr>
            <w:tcW w:type="dxa" w:w="2313"/>
          </w:tcPr>
          <w:p>
            <w:pPr>
              <w:spacing w:after="20" w:before="20"/>
            </w:pPr>
            <w:r/>
            <w:r>
              <w:rPr>
                <w:rFonts w:ascii="Calibri" w:hAnsi="Calibri"/>
                <w:b/>
                <w:i w:val="0"/>
                <w:color w:val="334E68"/>
                <w:sz w:val="17"/>
              </w:rPr>
              <w:t>Known issues</w:t>
            </w:r>
          </w:p>
        </w:tc>
        <w:tc>
          <w:tcPr>
            <w:tcW w:type="dxa" w:w="4048"/>
          </w:tcPr>
          <w:p>
            <w:pPr>
              <w:spacing w:after="20" w:before="20"/>
            </w:pPr>
            <w:r/>
            <w:r>
              <w:rPr>
                <w:rFonts w:ascii="Calibri" w:hAnsi="Calibri"/>
                <w:b w:val="0"/>
                <w:i w:val="0"/>
                <w:color w:val="334E68"/>
                <w:sz w:val="17"/>
              </w:rPr>
              <w:t>Open tickets, failing interfaces, failing jobs, missing directories</w:t>
            </w:r>
          </w:p>
        </w:tc>
        <w:tc>
          <w:tcPr>
            <w:tcW w:type="dxa" w:w="3277"/>
          </w:tcPr>
          <w:p>
            <w:pPr>
              <w:spacing w:after="20" w:before="20"/>
            </w:pPr>
            <w:r/>
            <w:r>
              <w:rPr>
                <w:rFonts w:ascii="Calibri" w:hAnsi="Calibri"/>
                <w:b w:val="0"/>
                <w:i w:val="0"/>
                <w:color w:val="334E68"/>
                <w:sz w:val="17"/>
              </w:rPr>
              <w:t>Hypercare triage (Section 10.6)</w:t>
            </w:r>
          </w:p>
        </w:tc>
      </w:tr>
      <w:tr>
        <w:trPr>
          <w:cantSplit/>
        </w:trPr>
        <w:tc>
          <w:tcPr>
            <w:tcW w:type="dxa" w:w="2313"/>
            <w:shd w:val="clear" w:color="auto" w:fill="FAFBFD"/>
          </w:tcPr>
          <w:p>
            <w:pPr>
              <w:spacing w:after="20" w:before="20"/>
            </w:pPr>
            <w:r/>
            <w:r>
              <w:rPr>
                <w:rFonts w:ascii="Calibri" w:hAnsi="Calibri"/>
                <w:b/>
                <w:i w:val="0"/>
                <w:color w:val="334E68"/>
                <w:sz w:val="17"/>
              </w:rPr>
              <w:t>Transport landscape</w:t>
            </w:r>
          </w:p>
        </w:tc>
        <w:tc>
          <w:tcPr>
            <w:tcW w:type="dxa" w:w="4048"/>
            <w:shd w:val="clear" w:color="auto" w:fill="FAFBFD"/>
          </w:tcPr>
          <w:p>
            <w:pPr>
              <w:spacing w:after="20" w:before="20"/>
            </w:pPr>
            <w:r/>
            <w:r>
              <w:rPr>
                <w:rFonts w:ascii="Consolas" w:hAnsi="Consolas"/>
                <w:b w:val="0"/>
                <w:i w:val="0"/>
                <w:color w:val="123A63"/>
                <w:sz w:val="17"/>
                <w:shd w:val="clear" w:color="auto" w:fill="EEF2F7"/>
              </w:rPr>
              <w:t>STMS</w:t>
            </w:r>
            <w:r>
              <w:rPr>
                <w:rFonts w:ascii="Calibri" w:hAnsi="Calibri"/>
                <w:b w:val="0"/>
                <w:i w:val="0"/>
                <w:color w:val="334E68"/>
                <w:sz w:val="17"/>
              </w:rPr>
              <w:t xml:space="preserve"> domain, systems, routes, transport directory</w:t>
            </w:r>
          </w:p>
        </w:tc>
        <w:tc>
          <w:tcPr>
            <w:tcW w:type="dxa" w:w="3277"/>
            <w:shd w:val="clear" w:color="auto" w:fill="FAFBFD"/>
          </w:tcPr>
          <w:p>
            <w:pPr>
              <w:spacing w:after="20" w:before="20"/>
            </w:pPr>
            <w:r/>
            <w:r>
              <w:rPr>
                <w:rFonts w:ascii="Calibri" w:hAnsi="Calibri"/>
                <w:b w:val="0"/>
                <w:i w:val="0"/>
                <w:color w:val="334E68"/>
                <w:sz w:val="17"/>
              </w:rPr>
              <w:t>Section 7.3, Section 10.3</w:t>
            </w:r>
          </w:p>
        </w:tc>
      </w:tr>
    </w:tbl>
    <w:p>
      <w:pPr>
        <w:spacing w:after="40"/>
      </w:pPr>
    </w:p>
    <w:p>
      <w:pPr>
        <w:pStyle w:val="Heading2"/>
        <w:pBdr>
          <w:bottom w:val="single" w:sz="6" w:space="3" w:color="E8EDF3"/>
        </w:pBdr>
      </w:pPr>
      <w:r>
        <w:rPr>
          <w:rFonts w:ascii="Calibri" w:hAnsi="Calibri"/>
          <w:b/>
          <w:color w:val="0F2B4C"/>
          <w:sz w:val="26"/>
        </w:rPr>
        <w:t>4.6  Module 1 readiness checklist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Migration scope finalised and documented with the customer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Systems in scope identified (SID, environment, landscape role)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AWS account availability verified; target region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ServiceNow CMDB CIs created or validated for each system</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IP address analysis completed (addressing, overlaps, static entries)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OS/DB and AWS access confirmed by successful login for every engineer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Third-party and middleware credentials requested through approved processes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Source system and database parameters collected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Approved sizing report received and consumed (not re-derived)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ST03/ST03N workload snapshot captured for production systems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Host inventory complete: hostname, IP, CI, kernel, DB, NetWeaver release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External agents identified (Control-M, NetBackup, OEM/OBM, others)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NFS dependencies listed with a decision per share (maintain/copy vs EFS)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AL11 directory state captured before migration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SAP-to-SAP, external, middleware and RFC interfaces identified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SSO and SNC dependencies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SM59 destinations exported with connection test results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SMGW and SMICM connection/service baseline captured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Working vs failing state recorded for every interface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Pre-existing failures documented as baseline conditions with evidence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Baseline evidence pack indexed and stored per retention rules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br w:type="page"/>
      </w:r>
    </w:p>
    <w:p>
      <w:pPr>
        <w:spacing w:after="20"/>
      </w:pPr>
      <w:r>
        <w:rPr>
          <w:rFonts w:ascii="Calibri" w:hAnsi="Calibri"/>
          <w:b/>
          <w:color w:val="1B4F86"/>
          <w:sz w:val="16"/>
        </w:rPr>
        <w:t>MODULE 2 · SECTION 5</w:t>
      </w:r>
    </w:p>
    <w:p>
      <w:pPr>
        <w:pStyle w:val="Heading1"/>
        <w:pBdr>
          <w:bottom w:val="single" w:sz="12" w:space="5" w:color="1B4F86"/>
        </w:pBdr>
        <w:spacing w:after="160"/>
      </w:pPr>
      <w:r>
        <w:rPr>
          <w:rFonts w:ascii="Calibri Light" w:hAnsi="Calibri Light"/>
          <w:b/>
          <w:color w:val="0F2B4C"/>
          <w:sz w:val="38"/>
        </w:rPr>
        <w:t>5  Module 2 — Target architecture, AWS readiness and build</w:t>
      </w:r>
    </w:p>
    <w:p>
      <w:pPr>
        <w:spacing w:after="200"/>
      </w:pPr>
      <w:r>
        <w:rPr>
          <w:rFonts w:ascii="Calibri" w:hAnsi="Calibri"/>
          <w:i/>
          <w:color w:val="5B7288"/>
          <w:sz w:val="21"/>
        </w:rPr>
        <w:t>The automation team builds the target; the migration team proves it is right. Validating someone else's output is not a lack of trust — it is the control that keeps an infrastructure defect out of a production cutover.</w:t>
      </w:r>
    </w:p>
    <w:p>
      <w:pPr>
        <w:pStyle w:val="Heading2"/>
        <w:pBdr>
          <w:bottom w:val="single" w:sz="6" w:space="3" w:color="E8EDF3"/>
        </w:pBdr>
      </w:pPr>
      <w:r>
        <w:rPr>
          <w:rFonts w:ascii="Calibri" w:hAnsi="Calibri"/>
          <w:b/>
          <w:color w:val="0F2B4C"/>
          <w:sz w:val="26"/>
        </w:rPr>
        <w:t>5.1  Target architecture</w:t>
      </w:r>
    </w:p>
    <w:p>
      <w:pPr>
        <w:spacing w:after="40"/>
        <w:ind w:left="351" w:hanging="227"/>
      </w:pPr>
      <w:r>
        <w:rPr>
          <w:rFonts w:ascii="Calibri" w:hAnsi="Calibri"/>
          <w:b/>
          <w:color w:val="1B4F86"/>
          <w:sz w:val="19"/>
        </w:rPr>
        <w:t xml:space="preserve">▪  </w:t>
      </w:r>
      <w:r>
        <w:rPr>
          <w:rFonts w:ascii="Calibri" w:hAnsi="Calibri"/>
          <w:b w:val="0"/>
          <w:i w:val="0"/>
          <w:color w:val="334E68"/>
          <w:sz w:val="19"/>
        </w:rPr>
        <w:t>Confirm customer agreement with the proposed AWS target configuration and instance type.</w:t>
      </w:r>
    </w:p>
    <w:p>
      <w:pPr>
        <w:spacing w:after="40"/>
        <w:ind w:left="351" w:hanging="227"/>
      </w:pPr>
      <w:r>
        <w:rPr>
          <w:rFonts w:ascii="Calibri" w:hAnsi="Calibri"/>
          <w:b/>
          <w:color w:val="1B4F86"/>
          <w:sz w:val="19"/>
        </w:rPr>
        <w:t xml:space="preserve">▪  </w:t>
      </w:r>
      <w:r>
        <w:rPr>
          <w:rFonts w:ascii="Calibri" w:hAnsi="Calibri"/>
          <w:b w:val="0"/>
          <w:i w:val="0"/>
          <w:color w:val="334E68"/>
          <w:sz w:val="19"/>
        </w:rPr>
        <w:t>Architecture diagrams should show AWS Region, Availability Zones, SAP servers, database servers, ASCS/ERS where applicable, major infrastructure components and high-level connectivity.</w:t>
      </w:r>
    </w:p>
    <w:p>
      <w:pPr>
        <w:spacing w:after="40"/>
        <w:ind w:left="351" w:hanging="227"/>
      </w:pPr>
      <w:r>
        <w:rPr>
          <w:rFonts w:ascii="Calibri" w:hAnsi="Calibri"/>
          <w:b/>
          <w:color w:val="1B4F86"/>
          <w:sz w:val="19"/>
        </w:rPr>
        <w:t xml:space="preserve">▪  </w:t>
      </w:r>
      <w:r>
        <w:rPr>
          <w:rFonts w:ascii="Calibri" w:hAnsi="Calibri"/>
          <w:b w:val="0"/>
          <w:i w:val="0"/>
          <w:color w:val="334E68"/>
          <w:sz w:val="19"/>
        </w:rPr>
        <w:t>HA/DR discussions may include ASCS, ERS/CRS, Oracle, secondary/standby systems and failover architecture.</w:t>
      </w:r>
    </w:p>
    <w:p>
      <w:pPr>
        <w:spacing w:after="40"/>
        <w:ind w:left="351" w:hanging="227"/>
      </w:pPr>
      <w:r>
        <w:rPr>
          <w:rFonts w:ascii="Calibri" w:hAnsi="Calibri"/>
          <w:b/>
          <w:color w:val="1B4F86"/>
          <w:sz w:val="19"/>
        </w:rPr>
        <w:t xml:space="preserve">▪  </w:t>
      </w:r>
      <w:r>
        <w:rPr>
          <w:rFonts w:ascii="Calibri" w:hAnsi="Calibri"/>
          <w:b w:val="0"/>
          <w:i w:val="0"/>
          <w:color w:val="334E68"/>
          <w:sz w:val="19"/>
        </w:rPr>
        <w:t>Record the agreed RPO/RTO and the failover mechanism — an HA design nobody can describe under pressure is not an HA design.</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5434000"/>
            <wp:docPr id="3" name="Picture 3"/>
            <wp:cNvGraphicFramePr>
              <a:graphicFrameLocks noChangeAspect="1"/>
            </wp:cNvGraphicFramePr>
            <a:graphic>
              <a:graphicData uri="http://schemas.openxmlformats.org/drawingml/2006/picture">
                <pic:pic>
                  <pic:nvPicPr>
                    <pic:cNvPr id="0" name="d3-aws-architecture.png"/>
                    <pic:cNvPicPr/>
                  </pic:nvPicPr>
                  <pic:blipFill>
                    <a:blip r:embed="rId13"/>
                    <a:stretch>
                      <a:fillRect/>
                    </a:stretch>
                  </pic:blipFill>
                  <pic:spPr>
                    <a:xfrm>
                      <a:off x="0" y="0"/>
                      <a:ext cx="8892000" cy="5434000"/>
                    </a:xfrm>
                    <a:prstGeom prst="rect"/>
                  </pic:spPr>
                </pic:pic>
              </a:graphicData>
            </a:graphic>
          </wp:inline>
        </w:drawing>
      </w:r>
    </w:p>
    <w:p>
      <w:pPr>
        <w:spacing w:after="240"/>
      </w:pPr>
      <w:r>
        <w:rPr>
          <w:rFonts w:ascii="Calibri" w:hAnsi="Calibri"/>
          <w:i/>
          <w:color w:val="5B7288"/>
          <w:sz w:val="17"/>
        </w:rPr>
        <w:t>Figure 3. Target AWS reference architecture used for training. It shows the shape of a typical SAP-on-AWS landing zone — two AZs, application and database subnets, an HA partner, and the shared services the migration depends on (S3, EFS, Route 53, snapshots, KMS). Instance types, AZ count and HA mechanism always come from the approved sizing report and build sheet.</w:t>
      </w:r>
    </w:p>
    <w:p>
      <w:pPr>
        <w:sectPr>
          <w:pgSz w:w="16838" w:h="11906" w:orient="landscape"/>
          <w:pgMar w:top="1020" w:right="1134" w:bottom="1020" w:left="1134" w:header="567" w:footer="567" w:gutter="0"/>
          <w:cols w:space="720"/>
          <w:titlePg/>
          <w:docGrid w:linePitch="360"/>
        </w:sectPr>
      </w:pPr>
    </w:p>
    <w:p>
      <w:pPr>
        <w:spacing w:after="60" w:before="160"/>
        <w:keepNext/>
      </w:pPr>
      <w:r>
        <w:rPr>
          <w:rFonts w:ascii="Calibri" w:hAnsi="Calibri"/>
          <w:b/>
          <w:color w:val="5B7288"/>
          <w:sz w:val="15"/>
        </w:rPr>
        <w:t>ARCHITECTURE CONTENT THAT MUST BE EXPLICIT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7325"/>
      </w:tblGrid>
      <w:tr>
        <w:trPr>
          <w:tblHeader/>
          <w:cantSplit/>
        </w:trPr>
        <w:tc>
          <w:tcPr>
            <w:tcW w:type="dxa" w:w="2313"/>
            <w:shd w:val="clear" w:color="auto" w:fill="0F2B4C"/>
          </w:tcPr>
          <w:p>
            <w:pPr>
              <w:spacing w:after="20" w:before="20"/>
            </w:pPr>
            <w:r/>
            <w:r>
              <w:rPr>
                <w:rFonts w:ascii="Calibri" w:hAnsi="Calibri"/>
                <w:b/>
                <w:color w:val="FFFFFF"/>
                <w:sz w:val="17"/>
              </w:rPr>
              <w:t>Architecture element</w:t>
            </w:r>
          </w:p>
        </w:tc>
        <w:tc>
          <w:tcPr>
            <w:tcW w:type="dxa" w:w="7325"/>
            <w:shd w:val="clear" w:color="auto" w:fill="0F2B4C"/>
          </w:tcPr>
          <w:p>
            <w:pPr>
              <w:spacing w:after="20" w:before="20"/>
            </w:pPr>
            <w:r/>
            <w:r>
              <w:rPr>
                <w:rFonts w:ascii="Calibri" w:hAnsi="Calibri"/>
                <w:b/>
                <w:color w:val="FFFFFF"/>
                <w:sz w:val="17"/>
              </w:rPr>
              <w:t>What must be agreed and recorded</w:t>
            </w:r>
          </w:p>
        </w:tc>
      </w:tr>
      <w:tr>
        <w:trPr>
          <w:cantSplit/>
        </w:trPr>
        <w:tc>
          <w:tcPr>
            <w:tcW w:type="dxa" w:w="2313"/>
          </w:tcPr>
          <w:p>
            <w:pPr>
              <w:spacing w:after="20" w:before="20"/>
            </w:pPr>
            <w:r/>
            <w:r>
              <w:rPr>
                <w:rFonts w:ascii="Calibri" w:hAnsi="Calibri"/>
                <w:b/>
                <w:i w:val="0"/>
                <w:color w:val="334E68"/>
                <w:sz w:val="17"/>
              </w:rPr>
              <w:t>Region and AZs</w:t>
            </w:r>
          </w:p>
        </w:tc>
        <w:tc>
          <w:tcPr>
            <w:tcW w:type="dxa" w:w="7325"/>
          </w:tcPr>
          <w:p>
            <w:pPr>
              <w:spacing w:after="20" w:before="20"/>
            </w:pPr>
            <w:r/>
            <w:r>
              <w:rPr>
                <w:rFonts w:ascii="Calibri" w:hAnsi="Calibri"/>
                <w:b w:val="0"/>
                <w:i w:val="0"/>
                <w:color w:val="334E68"/>
                <w:sz w:val="17"/>
              </w:rPr>
              <w:t>Target region, number of AZs, and which component sits in which AZ</w:t>
            </w:r>
          </w:p>
        </w:tc>
      </w:tr>
      <w:tr>
        <w:trPr>
          <w:cantSplit/>
        </w:trPr>
        <w:tc>
          <w:tcPr>
            <w:tcW w:type="dxa" w:w="2313"/>
            <w:shd w:val="clear" w:color="auto" w:fill="FAFBFD"/>
          </w:tcPr>
          <w:p>
            <w:pPr>
              <w:spacing w:after="20" w:before="20"/>
            </w:pPr>
            <w:r/>
            <w:r>
              <w:rPr>
                <w:rFonts w:ascii="Calibri" w:hAnsi="Calibri"/>
                <w:b/>
                <w:i w:val="0"/>
                <w:color w:val="334E68"/>
                <w:sz w:val="17"/>
              </w:rPr>
              <w:t>SAP servers</w:t>
            </w:r>
          </w:p>
        </w:tc>
        <w:tc>
          <w:tcPr>
            <w:tcW w:type="dxa" w:w="7325"/>
            <w:shd w:val="clear" w:color="auto" w:fill="FAFBFD"/>
          </w:tcPr>
          <w:p>
            <w:pPr>
              <w:spacing w:after="20" w:before="20"/>
            </w:pPr>
            <w:r/>
            <w:r>
              <w:rPr>
                <w:rFonts w:ascii="Calibri" w:hAnsi="Calibri"/>
                <w:b w:val="0"/>
                <w:i w:val="0"/>
                <w:color w:val="334E68"/>
                <w:sz w:val="17"/>
              </w:rPr>
              <w:t>ASCS/ERS (or CRS), PAS, AAS count and sizing per instance</w:t>
            </w:r>
          </w:p>
        </w:tc>
      </w:tr>
      <w:tr>
        <w:trPr>
          <w:cantSplit/>
        </w:trPr>
        <w:tc>
          <w:tcPr>
            <w:tcW w:type="dxa" w:w="2313"/>
          </w:tcPr>
          <w:p>
            <w:pPr>
              <w:spacing w:after="20" w:before="20"/>
            </w:pPr>
            <w:r/>
            <w:r>
              <w:rPr>
                <w:rFonts w:ascii="Calibri" w:hAnsi="Calibri"/>
                <w:b/>
                <w:i w:val="0"/>
                <w:color w:val="334E68"/>
                <w:sz w:val="17"/>
              </w:rPr>
              <w:t>Database servers</w:t>
            </w:r>
          </w:p>
        </w:tc>
        <w:tc>
          <w:tcPr>
            <w:tcW w:type="dxa" w:w="7325"/>
          </w:tcPr>
          <w:p>
            <w:pPr>
              <w:spacing w:after="20" w:before="20"/>
            </w:pPr>
            <w:r/>
            <w:r>
              <w:rPr>
                <w:rFonts w:ascii="Calibri" w:hAnsi="Calibri"/>
                <w:b w:val="0"/>
                <w:i w:val="0"/>
                <w:color w:val="334E68"/>
                <w:sz w:val="17"/>
              </w:rPr>
              <w:t>HANA or Oracle, instance/storage class, HA mechanism (HSR, Data Guard, cluster)</w:t>
            </w:r>
          </w:p>
        </w:tc>
      </w:tr>
      <w:tr>
        <w:trPr>
          <w:cantSplit/>
        </w:trPr>
        <w:tc>
          <w:tcPr>
            <w:tcW w:type="dxa" w:w="2313"/>
            <w:shd w:val="clear" w:color="auto" w:fill="FAFBFD"/>
          </w:tcPr>
          <w:p>
            <w:pPr>
              <w:spacing w:after="20" w:before="20"/>
            </w:pPr>
            <w:r/>
            <w:r>
              <w:rPr>
                <w:rFonts w:ascii="Calibri" w:hAnsi="Calibri"/>
                <w:b/>
                <w:i w:val="0"/>
                <w:color w:val="334E68"/>
                <w:sz w:val="17"/>
              </w:rPr>
              <w:t>Network</w:t>
            </w:r>
          </w:p>
        </w:tc>
        <w:tc>
          <w:tcPr>
            <w:tcW w:type="dxa" w:w="7325"/>
            <w:shd w:val="clear" w:color="auto" w:fill="FAFBFD"/>
          </w:tcPr>
          <w:p>
            <w:pPr>
              <w:spacing w:after="20" w:before="20"/>
            </w:pPr>
            <w:r/>
            <w:r>
              <w:rPr>
                <w:rFonts w:ascii="Calibri" w:hAnsi="Calibri"/>
                <w:b w:val="0"/>
                <w:i w:val="0"/>
                <w:color w:val="334E68"/>
                <w:sz w:val="17"/>
              </w:rPr>
              <w:t>VPC, subnets and their purpose, route tables, security groups / NACLs, inter-AZ latency</w:t>
            </w:r>
          </w:p>
        </w:tc>
      </w:tr>
      <w:tr>
        <w:trPr>
          <w:cantSplit/>
        </w:trPr>
        <w:tc>
          <w:tcPr>
            <w:tcW w:type="dxa" w:w="2313"/>
          </w:tcPr>
          <w:p>
            <w:pPr>
              <w:spacing w:after="20" w:before="20"/>
            </w:pPr>
            <w:r/>
            <w:r>
              <w:rPr>
                <w:rFonts w:ascii="Calibri" w:hAnsi="Calibri"/>
                <w:b/>
                <w:i w:val="0"/>
                <w:color w:val="334E68"/>
                <w:sz w:val="17"/>
              </w:rPr>
              <w:t>Connectivity</w:t>
            </w:r>
          </w:p>
        </w:tc>
        <w:tc>
          <w:tcPr>
            <w:tcW w:type="dxa" w:w="7325"/>
          </w:tcPr>
          <w:p>
            <w:pPr>
              <w:spacing w:after="20" w:before="20"/>
            </w:pPr>
            <w:r/>
            <w:r>
              <w:rPr>
                <w:rFonts w:ascii="Calibri" w:hAnsi="Calibri"/>
                <w:b w:val="0"/>
                <w:i w:val="0"/>
                <w:color w:val="334E68"/>
                <w:sz w:val="17"/>
              </w:rPr>
              <w:t>On-premises connectivity method, SAProuter, jump/bastion access, DNS resolution path</w:t>
            </w:r>
          </w:p>
        </w:tc>
      </w:tr>
      <w:tr>
        <w:trPr>
          <w:cantSplit/>
        </w:trPr>
        <w:tc>
          <w:tcPr>
            <w:tcW w:type="dxa" w:w="2313"/>
            <w:shd w:val="clear" w:color="auto" w:fill="FAFBFD"/>
          </w:tcPr>
          <w:p>
            <w:pPr>
              <w:spacing w:after="20" w:before="20"/>
            </w:pPr>
            <w:r/>
            <w:r>
              <w:rPr>
                <w:rFonts w:ascii="Calibri" w:hAnsi="Calibri"/>
                <w:b/>
                <w:i w:val="0"/>
                <w:color w:val="334E68"/>
                <w:sz w:val="17"/>
              </w:rPr>
              <w:t>Storage</w:t>
            </w:r>
          </w:p>
        </w:tc>
        <w:tc>
          <w:tcPr>
            <w:tcW w:type="dxa" w:w="7325"/>
            <w:shd w:val="clear" w:color="auto" w:fill="FAFBFD"/>
          </w:tcPr>
          <w:p>
            <w:pPr>
              <w:spacing w:after="20" w:before="20"/>
            </w:pPr>
            <w:r/>
            <w:r>
              <w:rPr>
                <w:rFonts w:ascii="Calibri" w:hAnsi="Calibri"/>
                <w:b w:val="0"/>
                <w:i w:val="0"/>
                <w:color w:val="334E68"/>
                <w:sz w:val="17"/>
              </w:rPr>
              <w:t>Root, SAP data/log volumes, shared file systems, backup targets, snapshot policy</w:t>
            </w:r>
          </w:p>
        </w:tc>
      </w:tr>
      <w:tr>
        <w:trPr>
          <w:cantSplit/>
        </w:trPr>
        <w:tc>
          <w:tcPr>
            <w:tcW w:type="dxa" w:w="2313"/>
          </w:tcPr>
          <w:p>
            <w:pPr>
              <w:spacing w:after="20" w:before="20"/>
            </w:pPr>
            <w:r/>
            <w:r>
              <w:rPr>
                <w:rFonts w:ascii="Calibri" w:hAnsi="Calibri"/>
                <w:b/>
                <w:i w:val="0"/>
                <w:color w:val="334E68"/>
                <w:sz w:val="17"/>
              </w:rPr>
              <w:t>Security</w:t>
            </w:r>
          </w:p>
        </w:tc>
        <w:tc>
          <w:tcPr>
            <w:tcW w:type="dxa" w:w="7325"/>
          </w:tcPr>
          <w:p>
            <w:pPr>
              <w:spacing w:after="20" w:before="20"/>
            </w:pPr>
            <w:r/>
            <w:r>
              <w:rPr>
                <w:rFonts w:ascii="Calibri" w:hAnsi="Calibri"/>
                <w:b w:val="0"/>
                <w:i w:val="0"/>
                <w:color w:val="334E68"/>
                <w:sz w:val="17"/>
              </w:rPr>
              <w:t>Encryption at rest and in transit, key management, privileged access path, audit logging</w:t>
            </w:r>
          </w:p>
        </w:tc>
      </w:tr>
      <w:tr>
        <w:trPr>
          <w:cantSplit/>
        </w:trPr>
        <w:tc>
          <w:tcPr>
            <w:tcW w:type="dxa" w:w="2313"/>
            <w:shd w:val="clear" w:color="auto" w:fill="FAFBFD"/>
          </w:tcPr>
          <w:p>
            <w:pPr>
              <w:spacing w:after="20" w:before="20"/>
            </w:pPr>
            <w:r/>
            <w:r>
              <w:rPr>
                <w:rFonts w:ascii="Calibri" w:hAnsi="Calibri"/>
                <w:b/>
                <w:i w:val="0"/>
                <w:color w:val="334E68"/>
                <w:sz w:val="17"/>
              </w:rPr>
              <w:t>Observability</w:t>
            </w:r>
          </w:p>
        </w:tc>
        <w:tc>
          <w:tcPr>
            <w:tcW w:type="dxa" w:w="7325"/>
            <w:shd w:val="clear" w:color="auto" w:fill="FAFBFD"/>
          </w:tcPr>
          <w:p>
            <w:pPr>
              <w:spacing w:after="20" w:before="20"/>
            </w:pPr>
            <w:r/>
            <w:r>
              <w:rPr>
                <w:rFonts w:ascii="Calibri" w:hAnsi="Calibri"/>
                <w:b w:val="0"/>
                <w:i w:val="0"/>
                <w:color w:val="334E68"/>
                <w:sz w:val="17"/>
              </w:rPr>
              <w:t>Monitoring agents, log forwarding, alerting ownership</w:t>
            </w:r>
          </w:p>
        </w:tc>
      </w:tr>
    </w:tbl>
    <w:p>
      <w:pPr>
        <w:spacing w:after="40"/>
      </w:pPr>
    </w:p>
    <w:p>
      <w:pPr>
        <w:pStyle w:val="Heading2"/>
        <w:pBdr>
          <w:bottom w:val="single" w:sz="6" w:space="3" w:color="E8EDF3"/>
        </w:pBdr>
      </w:pPr>
      <w:r>
        <w:rPr>
          <w:rFonts w:ascii="Calibri" w:hAnsi="Calibri"/>
          <w:b/>
          <w:color w:val="0F2B4C"/>
          <w:sz w:val="26"/>
        </w:rPr>
        <w:t>5.2  Build sheet</w:t>
      </w:r>
    </w:p>
    <w:p>
      <w:pPr>
        <w:spacing w:after="40"/>
        <w:ind w:left="578" w:hanging="227"/>
      </w:pPr>
      <w:r>
        <w:rPr>
          <w:rFonts w:ascii="Calibri" w:hAnsi="Calibri"/>
          <w:b/>
          <w:color w:val="0F2B4C"/>
          <w:sz w:val="19"/>
        </w:rPr>
        <w:t xml:space="preserve">1.  </w:t>
      </w:r>
      <w:r>
        <w:rPr>
          <w:rFonts w:ascii="Calibri" w:hAnsi="Calibri"/>
          <w:b w:val="0"/>
          <w:i w:val="0"/>
          <w:color w:val="334E68"/>
          <w:sz w:val="19"/>
        </w:rPr>
        <w:t>Prepare the build sheet from the approved sizing report and architecture.</w:t>
      </w:r>
    </w:p>
    <w:p>
      <w:pPr>
        <w:spacing w:after="40"/>
        <w:ind w:left="578" w:hanging="227"/>
      </w:pPr>
      <w:r>
        <w:rPr>
          <w:rFonts w:ascii="Calibri" w:hAnsi="Calibri"/>
          <w:b/>
          <w:color w:val="0F2B4C"/>
          <w:sz w:val="19"/>
        </w:rPr>
        <w:t xml:space="preserve">2.  </w:t>
      </w:r>
      <w:r>
        <w:rPr>
          <w:rFonts w:ascii="Calibri" w:hAnsi="Calibri"/>
          <w:b w:val="0"/>
          <w:i w:val="0"/>
          <w:color w:val="334E68"/>
          <w:sz w:val="19"/>
        </w:rPr>
        <w:t>Perform peer review — a second engineer checks every field against the source documents.</w:t>
      </w:r>
    </w:p>
    <w:p>
      <w:pPr>
        <w:spacing w:after="40"/>
        <w:ind w:left="578" w:hanging="227"/>
      </w:pPr>
      <w:r>
        <w:rPr>
          <w:rFonts w:ascii="Calibri" w:hAnsi="Calibri"/>
          <w:b/>
          <w:color w:val="0F2B4C"/>
          <w:sz w:val="19"/>
        </w:rPr>
        <w:t xml:space="preserve">3.  </w:t>
      </w:r>
      <w:r>
        <w:rPr>
          <w:rFonts w:ascii="Calibri" w:hAnsi="Calibri"/>
          <w:b w:val="0"/>
          <w:i w:val="0"/>
          <w:color w:val="334E68"/>
          <w:sz w:val="19"/>
        </w:rPr>
        <w:t>Finalise the information with the customer and obtain their confirmation.</w:t>
      </w:r>
    </w:p>
    <w:p>
      <w:pPr>
        <w:spacing w:after="40"/>
        <w:ind w:left="578" w:hanging="227"/>
      </w:pPr>
      <w:r>
        <w:rPr>
          <w:rFonts w:ascii="Calibri" w:hAnsi="Calibri"/>
          <w:b/>
          <w:color w:val="0F2B4C"/>
          <w:sz w:val="19"/>
        </w:rPr>
        <w:t xml:space="preserve">4.  </w:t>
      </w:r>
      <w:r>
        <w:rPr>
          <w:rFonts w:ascii="Calibri" w:hAnsi="Calibri"/>
          <w:b w:val="0"/>
          <w:i w:val="0"/>
          <w:color w:val="334E68"/>
          <w:sz w:val="19"/>
        </w:rPr>
        <w:t>Use only the approved information for target provisioning.</w:t>
      </w:r>
    </w:p>
    <w:p>
      <w:pPr>
        <w:spacing w:after="40"/>
        <w:ind w:left="578" w:hanging="227"/>
      </w:pPr>
      <w:r>
        <w:rPr>
          <w:rFonts w:ascii="Calibri" w:hAnsi="Calibri"/>
          <w:b/>
          <w:color w:val="0F2B4C"/>
          <w:sz w:val="19"/>
        </w:rPr>
        <w:t xml:space="preserve">5.  </w:t>
      </w:r>
      <w:r>
        <w:rPr>
          <w:rFonts w:ascii="Calibri" w:hAnsi="Calibri"/>
          <w:b w:val="0"/>
          <w:i w:val="0"/>
          <w:color w:val="334E68"/>
          <w:sz w:val="19"/>
        </w:rPr>
        <w:t>Validate the provisioned environment against the build sheet, field by field.</w:t>
      </w:r>
    </w:p>
    <w:p>
      <w:pPr>
        <w:spacing w:after="60" w:before="160"/>
        <w:keepNext/>
      </w:pPr>
      <w:r>
        <w:rPr>
          <w:rFonts w:ascii="Calibri" w:hAnsi="Calibri"/>
          <w:b/>
          <w:color w:val="5B7288"/>
          <w:sz w:val="15"/>
        </w:rPr>
        <w:t>BUILD SHEET CONTENT AND HOW EACH GROUP IS VALIDATED</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928"/>
        <w:gridCol w:w="3662"/>
        <w:gridCol w:w="4048"/>
      </w:tblGrid>
      <w:tr>
        <w:trPr>
          <w:tblHeader/>
          <w:cantSplit/>
        </w:trPr>
        <w:tc>
          <w:tcPr>
            <w:tcW w:type="dxa" w:w="1928"/>
            <w:shd w:val="clear" w:color="auto" w:fill="0F2B4C"/>
          </w:tcPr>
          <w:p>
            <w:pPr>
              <w:spacing w:after="20" w:before="20"/>
            </w:pPr>
            <w:r/>
            <w:r>
              <w:rPr>
                <w:rFonts w:ascii="Calibri" w:hAnsi="Calibri"/>
                <w:b/>
                <w:color w:val="FFFFFF"/>
                <w:sz w:val="17"/>
              </w:rPr>
              <w:t>Build sheet field group</w:t>
            </w:r>
          </w:p>
        </w:tc>
        <w:tc>
          <w:tcPr>
            <w:tcW w:type="dxa" w:w="3662"/>
            <w:shd w:val="clear" w:color="auto" w:fill="0F2B4C"/>
          </w:tcPr>
          <w:p>
            <w:pPr>
              <w:spacing w:after="20" w:before="20"/>
            </w:pPr>
            <w:r/>
            <w:r>
              <w:rPr>
                <w:rFonts w:ascii="Calibri" w:hAnsi="Calibri"/>
                <w:b/>
                <w:color w:val="FFFFFF"/>
                <w:sz w:val="17"/>
              </w:rPr>
              <w:t>Examples</w:t>
            </w:r>
          </w:p>
        </w:tc>
        <w:tc>
          <w:tcPr>
            <w:tcW w:type="dxa" w:w="4048"/>
            <w:shd w:val="clear" w:color="auto" w:fill="0F2B4C"/>
          </w:tcPr>
          <w:p>
            <w:pPr>
              <w:spacing w:after="20" w:before="20"/>
            </w:pPr>
            <w:r/>
            <w:r>
              <w:rPr>
                <w:rFonts w:ascii="Calibri" w:hAnsi="Calibri"/>
                <w:b/>
                <w:color w:val="FFFFFF"/>
                <w:sz w:val="17"/>
              </w:rPr>
              <w:t>Validation method after build</w:t>
            </w:r>
          </w:p>
        </w:tc>
      </w:tr>
      <w:tr>
        <w:trPr>
          <w:cantSplit/>
        </w:trPr>
        <w:tc>
          <w:tcPr>
            <w:tcW w:type="dxa" w:w="1928"/>
          </w:tcPr>
          <w:p>
            <w:pPr>
              <w:spacing w:after="20" w:before="20"/>
            </w:pPr>
            <w:r/>
            <w:r>
              <w:rPr>
                <w:rFonts w:ascii="Calibri" w:hAnsi="Calibri"/>
                <w:b/>
                <w:i w:val="0"/>
                <w:color w:val="334E68"/>
                <w:sz w:val="17"/>
              </w:rPr>
              <w:t>Identity</w:t>
            </w:r>
          </w:p>
        </w:tc>
        <w:tc>
          <w:tcPr>
            <w:tcW w:type="dxa" w:w="3662"/>
          </w:tcPr>
          <w:p>
            <w:pPr>
              <w:spacing w:after="20" w:before="20"/>
            </w:pPr>
            <w:r/>
            <w:r>
              <w:rPr>
                <w:rFonts w:ascii="Calibri" w:hAnsi="Calibri"/>
                <w:b w:val="0"/>
                <w:i w:val="0"/>
                <w:color w:val="334E68"/>
                <w:sz w:val="17"/>
              </w:rPr>
              <w:t>Hostname, SID, instance number, domain, environment</w:t>
            </w:r>
          </w:p>
        </w:tc>
        <w:tc>
          <w:tcPr>
            <w:tcW w:type="dxa" w:w="4048"/>
          </w:tcPr>
          <w:p>
            <w:pPr>
              <w:spacing w:after="20" w:before="20"/>
            </w:pPr>
            <w:r/>
            <w:r>
              <w:rPr>
                <w:rFonts w:ascii="Calibri" w:hAnsi="Calibri"/>
                <w:b w:val="0"/>
                <w:i w:val="0"/>
                <w:color w:val="334E68"/>
                <w:sz w:val="17"/>
              </w:rPr>
              <w:t xml:space="preserve">Compare with </w:t>
            </w:r>
            <w:r>
              <w:rPr>
                <w:rFonts w:ascii="Consolas" w:hAnsi="Consolas"/>
                <w:b w:val="0"/>
                <w:i w:val="0"/>
                <w:color w:val="123A63"/>
                <w:sz w:val="17"/>
                <w:shd w:val="clear" w:color="auto" w:fill="EEF2F7"/>
              </w:rPr>
              <w:t>hostname</w:t>
            </w:r>
            <w:r>
              <w:rPr>
                <w:rFonts w:ascii="Calibri" w:hAnsi="Calibri"/>
                <w:b w:val="0"/>
                <w:i w:val="0"/>
                <w:color w:val="334E68"/>
                <w:sz w:val="17"/>
              </w:rPr>
              <w:t>, SAP profile, CMDB CI</w:t>
            </w:r>
          </w:p>
        </w:tc>
      </w:tr>
      <w:tr>
        <w:trPr>
          <w:cantSplit/>
        </w:trPr>
        <w:tc>
          <w:tcPr>
            <w:tcW w:type="dxa" w:w="1928"/>
            <w:shd w:val="clear" w:color="auto" w:fill="FAFBFD"/>
          </w:tcPr>
          <w:p>
            <w:pPr>
              <w:spacing w:after="20" w:before="20"/>
            </w:pPr>
            <w:r/>
            <w:r>
              <w:rPr>
                <w:rFonts w:ascii="Calibri" w:hAnsi="Calibri"/>
                <w:b/>
                <w:i w:val="0"/>
                <w:color w:val="334E68"/>
                <w:sz w:val="17"/>
              </w:rPr>
              <w:t>Compute</w:t>
            </w:r>
          </w:p>
        </w:tc>
        <w:tc>
          <w:tcPr>
            <w:tcW w:type="dxa" w:w="3662"/>
            <w:shd w:val="clear" w:color="auto" w:fill="FAFBFD"/>
          </w:tcPr>
          <w:p>
            <w:pPr>
              <w:spacing w:after="20" w:before="20"/>
            </w:pPr>
            <w:r/>
            <w:r>
              <w:rPr>
                <w:rFonts w:ascii="Calibri" w:hAnsi="Calibri"/>
                <w:b w:val="0"/>
                <w:i w:val="0"/>
                <w:color w:val="334E68"/>
                <w:sz w:val="17"/>
              </w:rPr>
              <w:t>Instance type, vCPU, RAM, AZ, placement</w:t>
            </w:r>
          </w:p>
        </w:tc>
        <w:tc>
          <w:tcPr>
            <w:tcW w:type="dxa" w:w="4048"/>
            <w:shd w:val="clear" w:color="auto" w:fill="FAFBFD"/>
          </w:tcPr>
          <w:p>
            <w:pPr>
              <w:spacing w:after="20" w:before="20"/>
            </w:pPr>
            <w:r/>
            <w:r>
              <w:rPr>
                <w:rFonts w:ascii="Calibri" w:hAnsi="Calibri"/>
                <w:b w:val="0"/>
                <w:i w:val="0"/>
                <w:color w:val="334E68"/>
                <w:sz w:val="17"/>
              </w:rPr>
              <w:t>AWS console/CLI describe-instance versus build sheet</w:t>
            </w:r>
          </w:p>
        </w:tc>
      </w:tr>
      <w:tr>
        <w:trPr>
          <w:cantSplit/>
        </w:trPr>
        <w:tc>
          <w:tcPr>
            <w:tcW w:type="dxa" w:w="1928"/>
          </w:tcPr>
          <w:p>
            <w:pPr>
              <w:spacing w:after="20" w:before="20"/>
            </w:pPr>
            <w:r/>
            <w:r>
              <w:rPr>
                <w:rFonts w:ascii="Calibri" w:hAnsi="Calibri"/>
                <w:b/>
                <w:i w:val="0"/>
                <w:color w:val="334E68"/>
                <w:sz w:val="17"/>
              </w:rPr>
              <w:t>Network</w:t>
            </w:r>
          </w:p>
        </w:tc>
        <w:tc>
          <w:tcPr>
            <w:tcW w:type="dxa" w:w="3662"/>
          </w:tcPr>
          <w:p>
            <w:pPr>
              <w:spacing w:after="20" w:before="20"/>
            </w:pPr>
            <w:r/>
            <w:r>
              <w:rPr>
                <w:rFonts w:ascii="Calibri" w:hAnsi="Calibri"/>
                <w:b w:val="0"/>
                <w:i w:val="0"/>
                <w:color w:val="334E68"/>
                <w:sz w:val="17"/>
              </w:rPr>
              <w:t>VPC, subnet, private/public IP, security groups, routes</w:t>
            </w:r>
          </w:p>
        </w:tc>
        <w:tc>
          <w:tcPr>
            <w:tcW w:type="dxa" w:w="4048"/>
          </w:tcPr>
          <w:p>
            <w:pPr>
              <w:spacing w:after="20" w:before="20"/>
            </w:pPr>
            <w:r/>
            <w:r>
              <w:rPr>
                <w:rFonts w:ascii="Calibri" w:hAnsi="Calibri"/>
                <w:b w:val="0"/>
                <w:i w:val="0"/>
                <w:color w:val="334E68"/>
                <w:sz w:val="17"/>
              </w:rPr>
              <w:t>Interface attachment, IP, and reachability tests</w:t>
            </w:r>
          </w:p>
        </w:tc>
      </w:tr>
      <w:tr>
        <w:trPr>
          <w:cantSplit/>
        </w:trPr>
        <w:tc>
          <w:tcPr>
            <w:tcW w:type="dxa" w:w="1928"/>
            <w:shd w:val="clear" w:color="auto" w:fill="FAFBFD"/>
          </w:tcPr>
          <w:p>
            <w:pPr>
              <w:spacing w:after="20" w:before="20"/>
            </w:pPr>
            <w:r/>
            <w:r>
              <w:rPr>
                <w:rFonts w:ascii="Calibri" w:hAnsi="Calibri"/>
                <w:b/>
                <w:i w:val="0"/>
                <w:color w:val="334E68"/>
                <w:sz w:val="17"/>
              </w:rPr>
              <w:t>Storage</w:t>
            </w:r>
          </w:p>
        </w:tc>
        <w:tc>
          <w:tcPr>
            <w:tcW w:type="dxa" w:w="3662"/>
            <w:shd w:val="clear" w:color="auto" w:fill="FAFBFD"/>
          </w:tcPr>
          <w:p>
            <w:pPr>
              <w:spacing w:after="20" w:before="20"/>
            </w:pPr>
            <w:r/>
            <w:r>
              <w:rPr>
                <w:rFonts w:ascii="Calibri" w:hAnsi="Calibri"/>
                <w:b w:val="0"/>
                <w:i w:val="0"/>
                <w:color w:val="334E68"/>
                <w:sz w:val="17"/>
              </w:rPr>
              <w:t>Volume types and sizes, mount points, shared file systems</w:t>
            </w:r>
          </w:p>
        </w:tc>
        <w:tc>
          <w:tcPr>
            <w:tcW w:type="dxa" w:w="4048"/>
            <w:shd w:val="clear" w:color="auto" w:fill="FAFBFD"/>
          </w:tcPr>
          <w:p>
            <w:pPr>
              <w:spacing w:after="20" w:before="20"/>
            </w:pPr>
            <w:r/>
            <w:r>
              <w:rPr>
                <w:rFonts w:ascii="Consolas" w:hAnsi="Consolas"/>
                <w:b w:val="0"/>
                <w:i w:val="0"/>
                <w:color w:val="123A63"/>
                <w:sz w:val="17"/>
                <w:shd w:val="clear" w:color="auto" w:fill="EEF2F7"/>
              </w:rPr>
              <w:t>df -h</w:t>
            </w:r>
            <w:r>
              <w:rPr>
                <w:rFonts w:ascii="Calibri" w:hAnsi="Calibri"/>
                <w:b w:val="0"/>
                <w:i w:val="0"/>
                <w:color w:val="334E68"/>
                <w:sz w:val="17"/>
              </w:rPr>
              <w:t xml:space="preserve">, </w:t>
            </w:r>
            <w:r>
              <w:rPr>
                <w:rFonts w:ascii="Consolas" w:hAnsi="Consolas"/>
                <w:b w:val="0"/>
                <w:i w:val="0"/>
                <w:color w:val="123A63"/>
                <w:sz w:val="17"/>
                <w:shd w:val="clear" w:color="auto" w:fill="EEF2F7"/>
              </w:rPr>
              <w:t>lsblk</w:t>
            </w:r>
            <w:r>
              <w:rPr>
                <w:rFonts w:ascii="Calibri" w:hAnsi="Calibri"/>
                <w:b w:val="0"/>
                <w:i w:val="0"/>
                <w:color w:val="334E68"/>
                <w:sz w:val="17"/>
              </w:rPr>
              <w:t xml:space="preserve">, </w:t>
            </w:r>
            <w:r>
              <w:rPr>
                <w:rFonts w:ascii="Consolas" w:hAnsi="Consolas"/>
                <w:b w:val="0"/>
                <w:i w:val="0"/>
                <w:color w:val="123A63"/>
                <w:sz w:val="17"/>
                <w:shd w:val="clear" w:color="auto" w:fill="EEF2F7"/>
              </w:rPr>
              <w:t>/etc/fstab</w:t>
            </w:r>
          </w:p>
        </w:tc>
      </w:tr>
      <w:tr>
        <w:trPr>
          <w:cantSplit/>
        </w:trPr>
        <w:tc>
          <w:tcPr>
            <w:tcW w:type="dxa" w:w="1928"/>
          </w:tcPr>
          <w:p>
            <w:pPr>
              <w:spacing w:after="20" w:before="20"/>
            </w:pPr>
            <w:r/>
            <w:r>
              <w:rPr>
                <w:rFonts w:ascii="Calibri" w:hAnsi="Calibri"/>
                <w:b/>
                <w:i w:val="0"/>
                <w:color w:val="334E68"/>
                <w:sz w:val="17"/>
              </w:rPr>
              <w:t>OS</w:t>
            </w:r>
          </w:p>
        </w:tc>
        <w:tc>
          <w:tcPr>
            <w:tcW w:type="dxa" w:w="3662"/>
          </w:tcPr>
          <w:p>
            <w:pPr>
              <w:spacing w:after="20" w:before="20"/>
            </w:pPr>
            <w:r/>
            <w:r>
              <w:rPr>
                <w:rFonts w:ascii="Calibri" w:hAnsi="Calibri"/>
                <w:b w:val="0"/>
                <w:i w:val="0"/>
                <w:color w:val="334E68"/>
                <w:sz w:val="17"/>
              </w:rPr>
              <w:t>Distribution, version, kernel, packages, tuning parameters</w:t>
            </w:r>
          </w:p>
        </w:tc>
        <w:tc>
          <w:tcPr>
            <w:tcW w:type="dxa" w:w="4048"/>
          </w:tcPr>
          <w:p>
            <w:pPr>
              <w:spacing w:after="20" w:before="20"/>
            </w:pPr>
            <w:r/>
            <w:r>
              <w:rPr>
                <w:rFonts w:ascii="Consolas" w:hAnsi="Consolas"/>
                <w:b w:val="0"/>
                <w:i w:val="0"/>
                <w:color w:val="123A63"/>
                <w:sz w:val="17"/>
                <w:shd w:val="clear" w:color="auto" w:fill="EEF2F7"/>
              </w:rPr>
              <w:t>/etc/os-release</w:t>
            </w:r>
            <w:r>
              <w:rPr>
                <w:rFonts w:ascii="Calibri" w:hAnsi="Calibri"/>
                <w:b w:val="0"/>
                <w:i w:val="0"/>
                <w:color w:val="334E68"/>
                <w:sz w:val="17"/>
              </w:rPr>
              <w:t xml:space="preserve">, </w:t>
            </w:r>
            <w:r>
              <w:rPr>
                <w:rFonts w:ascii="Consolas" w:hAnsi="Consolas"/>
                <w:b w:val="0"/>
                <w:i w:val="0"/>
                <w:color w:val="123A63"/>
                <w:sz w:val="17"/>
                <w:shd w:val="clear" w:color="auto" w:fill="EEF2F7"/>
              </w:rPr>
              <w:t>uname -r</w:t>
            </w:r>
            <w:r>
              <w:rPr>
                <w:rFonts w:ascii="Calibri" w:hAnsi="Calibri"/>
                <w:b w:val="0"/>
                <w:i w:val="0"/>
                <w:color w:val="334E68"/>
                <w:sz w:val="17"/>
              </w:rPr>
              <w:t>, package list</w:t>
            </w:r>
          </w:p>
        </w:tc>
      </w:tr>
      <w:tr>
        <w:trPr>
          <w:cantSplit/>
        </w:trPr>
        <w:tc>
          <w:tcPr>
            <w:tcW w:type="dxa" w:w="1928"/>
            <w:shd w:val="clear" w:color="auto" w:fill="FAFBFD"/>
          </w:tcPr>
          <w:p>
            <w:pPr>
              <w:spacing w:after="20" w:before="20"/>
            </w:pPr>
            <w:r/>
            <w:r>
              <w:rPr>
                <w:rFonts w:ascii="Calibri" w:hAnsi="Calibri"/>
                <w:b/>
                <w:i w:val="0"/>
                <w:color w:val="334E68"/>
                <w:sz w:val="17"/>
              </w:rPr>
              <w:t>Users and groups</w:t>
            </w:r>
          </w:p>
        </w:tc>
        <w:tc>
          <w:tcPr>
            <w:tcW w:type="dxa" w:w="3662"/>
            <w:shd w:val="clear" w:color="auto" w:fill="FAFBFD"/>
          </w:tcPr>
          <w:p>
            <w:pPr>
              <w:spacing w:after="20" w:before="20"/>
            </w:pPr>
            <w:r/>
            <w:r>
              <w:rPr>
                <w:rFonts w:ascii="Calibri" w:hAnsi="Calibri"/>
                <w:b w:val="0"/>
                <w:i w:val="0"/>
                <w:color w:val="334E68"/>
                <w:sz w:val="17"/>
              </w:rPr>
              <w:t xml:space="preserve">UID/GID for </w:t>
            </w:r>
            <w:r>
              <w:rPr>
                <w:rFonts w:ascii="Consolas" w:hAnsi="Consolas"/>
                <w:b w:val="0"/>
                <w:i w:val="0"/>
                <w:color w:val="123A63"/>
                <w:sz w:val="17"/>
                <w:shd w:val="clear" w:color="auto" w:fill="EEF2F7"/>
              </w:rPr>
              <w:t>sapadm</w:t>
            </w:r>
            <w:r>
              <w:rPr>
                <w:rFonts w:ascii="Calibri" w:hAnsi="Calibri"/>
                <w:b w:val="0"/>
                <w:i w:val="0"/>
                <w:color w:val="334E68"/>
                <w:sz w:val="17"/>
              </w:rPr>
              <w:t xml:space="preserve">, </w:t>
            </w:r>
            <w:r>
              <w:rPr>
                <w:rFonts w:ascii="Consolas" w:hAnsi="Consolas"/>
                <w:b w:val="0"/>
                <w:i w:val="0"/>
                <w:color w:val="123A63"/>
                <w:sz w:val="17"/>
                <w:shd w:val="clear" w:color="auto" w:fill="EEF2F7"/>
              </w:rPr>
              <w:t>&lt;sid&gt;adm</w:t>
            </w:r>
            <w:r>
              <w:rPr>
                <w:rFonts w:ascii="Calibri" w:hAnsi="Calibri"/>
                <w:b w:val="0"/>
                <w:i w:val="0"/>
                <w:color w:val="334E68"/>
                <w:sz w:val="17"/>
              </w:rPr>
              <w:t>, DB users, groups</w:t>
            </w:r>
          </w:p>
        </w:tc>
        <w:tc>
          <w:tcPr>
            <w:tcW w:type="dxa" w:w="4048"/>
            <w:shd w:val="clear" w:color="auto" w:fill="FAFBFD"/>
          </w:tcPr>
          <w:p>
            <w:pPr>
              <w:spacing w:after="20" w:before="20"/>
            </w:pPr>
            <w:r/>
            <w:r>
              <w:rPr>
                <w:rFonts w:ascii="Consolas" w:hAnsi="Consolas"/>
                <w:b w:val="0"/>
                <w:i w:val="0"/>
                <w:color w:val="123A63"/>
                <w:sz w:val="17"/>
                <w:shd w:val="clear" w:color="auto" w:fill="EEF2F7"/>
              </w:rPr>
              <w:t>id</w:t>
            </w:r>
            <w:r>
              <w:rPr>
                <w:rFonts w:ascii="Calibri" w:hAnsi="Calibri"/>
                <w:b w:val="0"/>
                <w:i w:val="0"/>
                <w:color w:val="334E68"/>
                <w:sz w:val="17"/>
              </w:rPr>
              <w:t xml:space="preserve">, </w:t>
            </w:r>
            <w:r>
              <w:rPr>
                <w:rFonts w:ascii="Consolas" w:hAnsi="Consolas"/>
                <w:b w:val="0"/>
                <w:i w:val="0"/>
                <w:color w:val="123A63"/>
                <w:sz w:val="17"/>
                <w:shd w:val="clear" w:color="auto" w:fill="EEF2F7"/>
              </w:rPr>
              <w:t>getent passwd/group</w:t>
            </w:r>
          </w:p>
        </w:tc>
      </w:tr>
      <w:tr>
        <w:trPr>
          <w:cantSplit/>
        </w:trPr>
        <w:tc>
          <w:tcPr>
            <w:tcW w:type="dxa" w:w="1928"/>
          </w:tcPr>
          <w:p>
            <w:pPr>
              <w:spacing w:after="20" w:before="20"/>
            </w:pPr>
            <w:r/>
            <w:r>
              <w:rPr>
                <w:rFonts w:ascii="Calibri" w:hAnsi="Calibri"/>
                <w:b/>
                <w:i w:val="0"/>
                <w:color w:val="334E68"/>
                <w:sz w:val="17"/>
              </w:rPr>
              <w:t>Database</w:t>
            </w:r>
          </w:p>
        </w:tc>
        <w:tc>
          <w:tcPr>
            <w:tcW w:type="dxa" w:w="3662"/>
          </w:tcPr>
          <w:p>
            <w:pPr>
              <w:spacing w:after="20" w:before="20"/>
            </w:pPr>
            <w:r/>
            <w:r>
              <w:rPr>
                <w:rFonts w:ascii="Calibri" w:hAnsi="Calibri"/>
                <w:b w:val="0"/>
                <w:i w:val="0"/>
                <w:color w:val="334E68"/>
                <w:sz w:val="17"/>
              </w:rPr>
              <w:t>Engine, version, SID, memory allocation, parameters</w:t>
            </w:r>
          </w:p>
        </w:tc>
        <w:tc>
          <w:tcPr>
            <w:tcW w:type="dxa" w:w="4048"/>
          </w:tcPr>
          <w:p>
            <w:pPr>
              <w:spacing w:after="20" w:before="20"/>
            </w:pPr>
            <w:r/>
            <w:r>
              <w:rPr>
                <w:rFonts w:ascii="Calibri" w:hAnsi="Calibri"/>
                <w:b w:val="0"/>
                <w:i w:val="0"/>
                <w:color w:val="334E68"/>
                <w:sz w:val="17"/>
              </w:rPr>
              <w:t>DB status, parameter export</w:t>
            </w:r>
          </w:p>
        </w:tc>
      </w:tr>
      <w:tr>
        <w:trPr>
          <w:cantSplit/>
        </w:trPr>
        <w:tc>
          <w:tcPr>
            <w:tcW w:type="dxa" w:w="1928"/>
            <w:shd w:val="clear" w:color="auto" w:fill="FAFBFD"/>
          </w:tcPr>
          <w:p>
            <w:pPr>
              <w:spacing w:after="20" w:before="20"/>
            </w:pPr>
            <w:r/>
            <w:r>
              <w:rPr>
                <w:rFonts w:ascii="Calibri" w:hAnsi="Calibri"/>
                <w:b/>
                <w:i w:val="0"/>
                <w:color w:val="334E68"/>
                <w:sz w:val="17"/>
              </w:rPr>
              <w:t>SAP</w:t>
            </w:r>
          </w:p>
        </w:tc>
        <w:tc>
          <w:tcPr>
            <w:tcW w:type="dxa" w:w="3662"/>
            <w:shd w:val="clear" w:color="auto" w:fill="FAFBFD"/>
          </w:tcPr>
          <w:p>
            <w:pPr>
              <w:spacing w:after="20" w:before="20"/>
            </w:pPr>
            <w:r/>
            <w:r>
              <w:rPr>
                <w:rFonts w:ascii="Calibri" w:hAnsi="Calibri"/>
                <w:b w:val="0"/>
                <w:i w:val="0"/>
                <w:color w:val="334E68"/>
                <w:sz w:val="17"/>
              </w:rPr>
              <w:t>Kernel/patch level, instance profile parameters, services</w:t>
            </w:r>
          </w:p>
        </w:tc>
        <w:tc>
          <w:tcPr>
            <w:tcW w:type="dxa" w:w="4048"/>
            <w:shd w:val="clear" w:color="auto" w:fill="FAFBFD"/>
          </w:tcPr>
          <w:p>
            <w:pPr>
              <w:spacing w:after="20" w:before="20"/>
            </w:pPr>
            <w:r/>
            <w:r>
              <w:rPr>
                <w:rFonts w:ascii="Consolas" w:hAnsi="Consolas"/>
                <w:b w:val="0"/>
                <w:i w:val="0"/>
                <w:color w:val="123A63"/>
                <w:sz w:val="17"/>
                <w:shd w:val="clear" w:color="auto" w:fill="EEF2F7"/>
              </w:rPr>
              <w:t>SM51</w:t>
            </w:r>
            <w:r>
              <w:rPr>
                <w:rFonts w:ascii="Calibri" w:hAnsi="Calibri"/>
                <w:b w:val="0"/>
                <w:i w:val="0"/>
                <w:color w:val="334E68"/>
                <w:sz w:val="17"/>
              </w:rPr>
              <w:t xml:space="preserve">, </w:t>
            </w:r>
            <w:r>
              <w:rPr>
                <w:rFonts w:ascii="Consolas" w:hAnsi="Consolas"/>
                <w:b w:val="0"/>
                <w:i w:val="0"/>
                <w:color w:val="123A63"/>
                <w:sz w:val="17"/>
                <w:shd w:val="clear" w:color="auto" w:fill="EEF2F7"/>
              </w:rPr>
              <w:t>RZ10</w:t>
            </w:r>
            <w:r>
              <w:rPr>
                <w:rFonts w:ascii="Calibri" w:hAnsi="Calibri"/>
                <w:b w:val="0"/>
                <w:i w:val="0"/>
                <w:color w:val="334E68"/>
                <w:sz w:val="17"/>
              </w:rPr>
              <w:t>, service status</w:t>
            </w:r>
          </w:p>
        </w:tc>
      </w:tr>
      <w:tr>
        <w:trPr>
          <w:cantSplit/>
        </w:trPr>
        <w:tc>
          <w:tcPr>
            <w:tcW w:type="dxa" w:w="1928"/>
          </w:tcPr>
          <w:p>
            <w:pPr>
              <w:spacing w:after="20" w:before="20"/>
            </w:pPr>
            <w:r/>
            <w:r>
              <w:rPr>
                <w:rFonts w:ascii="Calibri" w:hAnsi="Calibri"/>
                <w:b/>
                <w:i w:val="0"/>
                <w:color w:val="334E68"/>
                <w:sz w:val="17"/>
              </w:rPr>
              <w:t>Backup</w:t>
            </w:r>
          </w:p>
        </w:tc>
        <w:tc>
          <w:tcPr>
            <w:tcW w:type="dxa" w:w="3662"/>
          </w:tcPr>
          <w:p>
            <w:pPr>
              <w:spacing w:after="20" w:before="20"/>
            </w:pPr>
            <w:r/>
            <w:r>
              <w:rPr>
                <w:rFonts w:ascii="Calibri" w:hAnsi="Calibri"/>
                <w:b w:val="0"/>
                <w:i w:val="0"/>
                <w:color w:val="334E68"/>
                <w:sz w:val="17"/>
              </w:rPr>
              <w:t>Backup tool, target bucket/path, retention</w:t>
            </w:r>
          </w:p>
        </w:tc>
        <w:tc>
          <w:tcPr>
            <w:tcW w:type="dxa" w:w="4048"/>
          </w:tcPr>
          <w:p>
            <w:pPr>
              <w:spacing w:after="20" w:before="20"/>
            </w:pPr>
            <w:r/>
            <w:r>
              <w:rPr>
                <w:rFonts w:ascii="Calibri" w:hAnsi="Calibri"/>
                <w:b w:val="0"/>
                <w:i w:val="0"/>
                <w:color w:val="334E68"/>
                <w:sz w:val="17"/>
              </w:rPr>
              <w:t>Test backup job and verify the object exists</w:t>
            </w:r>
          </w:p>
        </w:tc>
      </w:tr>
      <w:tr>
        <w:trPr>
          <w:cantSplit/>
        </w:trPr>
        <w:tc>
          <w:tcPr>
            <w:tcW w:type="dxa" w:w="1928"/>
            <w:shd w:val="clear" w:color="auto" w:fill="FAFBFD"/>
          </w:tcPr>
          <w:p>
            <w:pPr>
              <w:spacing w:after="20" w:before="20"/>
            </w:pPr>
            <w:r/>
            <w:r>
              <w:rPr>
                <w:rFonts w:ascii="Calibri" w:hAnsi="Calibri"/>
                <w:b/>
                <w:i w:val="0"/>
                <w:color w:val="334E68"/>
                <w:sz w:val="17"/>
              </w:rPr>
              <w:t>Access and agents</w:t>
            </w:r>
          </w:p>
        </w:tc>
        <w:tc>
          <w:tcPr>
            <w:tcW w:type="dxa" w:w="3662"/>
            <w:shd w:val="clear" w:color="auto" w:fill="FAFBFD"/>
          </w:tcPr>
          <w:p>
            <w:pPr>
              <w:spacing w:after="20" w:before="20"/>
            </w:pPr>
            <w:r/>
            <w:r>
              <w:rPr>
                <w:rFonts w:ascii="Calibri" w:hAnsi="Calibri"/>
                <w:b w:val="0"/>
                <w:i w:val="0"/>
                <w:color w:val="334E68"/>
                <w:sz w:val="17"/>
              </w:rPr>
              <w:t>Bastion/SAProuter, monitoring, backup and scheduling agents</w:t>
            </w:r>
          </w:p>
        </w:tc>
        <w:tc>
          <w:tcPr>
            <w:tcW w:type="dxa" w:w="4048"/>
            <w:shd w:val="clear" w:color="auto" w:fill="FAFBFD"/>
          </w:tcPr>
          <w:p>
            <w:pPr>
              <w:spacing w:after="20" w:before="20"/>
            </w:pPr>
            <w:r/>
            <w:r>
              <w:rPr>
                <w:rFonts w:ascii="Calibri" w:hAnsi="Calibri"/>
                <w:b w:val="0"/>
                <w:i w:val="0"/>
                <w:color w:val="334E68"/>
                <w:sz w:val="17"/>
              </w:rPr>
              <w:t>Agent status and version check</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PEER REVIEW IS THE CHEAPEST CONTROL IN THE PROGRAMME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Most provisioning defects found after build (wrong subnet, missing mount, UID mismatch, absent security-group rule) would have been caught by a second pair of eyes reading the build sheet against the sizing report. Build the review into the schedule; do not treat it as optional when the timeline tightens.</w:t>
      </w:r>
    </w:p>
    <w:p>
      <w:pPr>
        <w:pStyle w:val="Heading2"/>
        <w:pBdr>
          <w:bottom w:val="single" w:sz="6" w:space="3" w:color="E8EDF3"/>
        </w:pBdr>
      </w:pPr>
      <w:r>
        <w:rPr>
          <w:rFonts w:ascii="Calibri" w:hAnsi="Calibri"/>
          <w:b/>
          <w:color w:val="0F2B4C"/>
          <w:sz w:val="26"/>
        </w:rPr>
        <w:t>5.3  AWS bootstrapping and infrastructure validation</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VPC, Availability Zones, subnets and available IP addresses.</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the required AWS resources (compute, storage, network, security, backup).</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DNS configuration and Route 53 where applicable — forward, reverse, and the private-zone resolution path used by SAP.</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S3 bucket and folder requirements for Oracle backup and package use cases.</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required read/write permissions and backend connectivity from the servers that will use them.</w:t>
      </w:r>
    </w:p>
    <w:p>
      <w:pPr>
        <w:spacing w:after="40"/>
        <w:ind w:left="351" w:hanging="227"/>
      </w:pPr>
      <w:r>
        <w:rPr>
          <w:rFonts w:ascii="Calibri" w:hAnsi="Calibri"/>
          <w:b/>
          <w:color w:val="1B4F86"/>
          <w:sz w:val="19"/>
        </w:rPr>
        <w:t xml:space="preserve">▪  </w:t>
      </w:r>
      <w:r>
        <w:rPr>
          <w:rFonts w:ascii="Calibri" w:hAnsi="Calibri"/>
          <w:b w:val="0"/>
          <w:i w:val="0"/>
          <w:color w:val="334E68"/>
          <w:sz w:val="19"/>
        </w:rPr>
        <w:t>Confirm tagging, inventory and CMDB automation produced correct records.</w:t>
      </w:r>
    </w:p>
    <w:p>
      <w:pPr>
        <w:spacing w:after="60" w:before="160"/>
        <w:keepNext/>
      </w:pPr>
      <w:r>
        <w:rPr>
          <w:rFonts w:ascii="Calibri" w:hAnsi="Calibri"/>
          <w:b/>
          <w:color w:val="5B7288"/>
          <w:sz w:val="15"/>
        </w:rPr>
        <w:t>INFRASTRUCTURE VALIDATION MATRIX</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928"/>
        <w:gridCol w:w="4048"/>
        <w:gridCol w:w="3662"/>
      </w:tblGrid>
      <w:tr>
        <w:trPr>
          <w:tblHeader/>
          <w:cantSplit/>
        </w:trPr>
        <w:tc>
          <w:tcPr>
            <w:tcW w:type="dxa" w:w="1928"/>
            <w:shd w:val="clear" w:color="auto" w:fill="0F2B4C"/>
          </w:tcPr>
          <w:p>
            <w:pPr>
              <w:spacing w:after="20" w:before="20"/>
            </w:pPr>
            <w:r/>
            <w:r>
              <w:rPr>
                <w:rFonts w:ascii="Calibri" w:hAnsi="Calibri"/>
                <w:b/>
                <w:color w:val="FFFFFF"/>
                <w:sz w:val="17"/>
              </w:rPr>
              <w:t>Validation</w:t>
            </w:r>
          </w:p>
        </w:tc>
        <w:tc>
          <w:tcPr>
            <w:tcW w:type="dxa" w:w="4048"/>
            <w:shd w:val="clear" w:color="auto" w:fill="0F2B4C"/>
          </w:tcPr>
          <w:p>
            <w:pPr>
              <w:spacing w:after="20" w:before="20"/>
            </w:pPr>
            <w:r/>
            <w:r>
              <w:rPr>
                <w:rFonts w:ascii="Calibri" w:hAnsi="Calibri"/>
                <w:b/>
                <w:color w:val="FFFFFF"/>
                <w:sz w:val="17"/>
              </w:rPr>
              <w:t>What a pass looks like</w:t>
            </w:r>
          </w:p>
        </w:tc>
        <w:tc>
          <w:tcPr>
            <w:tcW w:type="dxa" w:w="3662"/>
            <w:shd w:val="clear" w:color="auto" w:fill="0F2B4C"/>
          </w:tcPr>
          <w:p>
            <w:pPr>
              <w:spacing w:after="20" w:before="20"/>
            </w:pPr>
            <w:r/>
            <w:r>
              <w:rPr>
                <w:rFonts w:ascii="Calibri" w:hAnsi="Calibri"/>
                <w:b/>
                <w:color w:val="FFFFFF"/>
                <w:sz w:val="17"/>
              </w:rPr>
              <w:t>Common failure</w:t>
            </w:r>
          </w:p>
        </w:tc>
      </w:tr>
      <w:tr>
        <w:trPr>
          <w:cantSplit/>
        </w:trPr>
        <w:tc>
          <w:tcPr>
            <w:tcW w:type="dxa" w:w="1928"/>
          </w:tcPr>
          <w:p>
            <w:pPr>
              <w:spacing w:after="20" w:before="20"/>
            </w:pPr>
            <w:r/>
            <w:r>
              <w:rPr>
                <w:rFonts w:ascii="Calibri" w:hAnsi="Calibri"/>
                <w:b/>
                <w:i w:val="0"/>
                <w:color w:val="334E68"/>
                <w:sz w:val="17"/>
              </w:rPr>
              <w:t>VPC and subnets</w:t>
            </w:r>
          </w:p>
        </w:tc>
        <w:tc>
          <w:tcPr>
            <w:tcW w:type="dxa" w:w="4048"/>
          </w:tcPr>
          <w:p>
            <w:pPr>
              <w:spacing w:after="20" w:before="20"/>
            </w:pPr>
            <w:r/>
            <w:r>
              <w:rPr>
                <w:rFonts w:ascii="Calibri" w:hAnsi="Calibri"/>
                <w:b w:val="0"/>
                <w:i w:val="0"/>
                <w:color w:val="334E68"/>
                <w:sz w:val="17"/>
              </w:rPr>
              <w:t>CIDRs, AZ placement and route tables match the build sheet</w:t>
            </w:r>
          </w:p>
        </w:tc>
        <w:tc>
          <w:tcPr>
            <w:tcW w:type="dxa" w:w="3662"/>
          </w:tcPr>
          <w:p>
            <w:pPr>
              <w:spacing w:after="20" w:before="20"/>
            </w:pPr>
            <w:r/>
            <w:r>
              <w:rPr>
                <w:rFonts w:ascii="Calibri" w:hAnsi="Calibri"/>
                <w:b w:val="0"/>
                <w:i w:val="0"/>
                <w:color w:val="334E68"/>
                <w:sz w:val="17"/>
              </w:rPr>
              <w:t>Subnet in the wrong AZ; free-IP exhaustion</w:t>
            </w:r>
          </w:p>
        </w:tc>
      </w:tr>
      <w:tr>
        <w:trPr>
          <w:cantSplit/>
        </w:trPr>
        <w:tc>
          <w:tcPr>
            <w:tcW w:type="dxa" w:w="1928"/>
            <w:shd w:val="clear" w:color="auto" w:fill="FAFBFD"/>
          </w:tcPr>
          <w:p>
            <w:pPr>
              <w:spacing w:after="20" w:before="20"/>
            </w:pPr>
            <w:r/>
            <w:r>
              <w:rPr>
                <w:rFonts w:ascii="Calibri" w:hAnsi="Calibri"/>
                <w:b/>
                <w:i w:val="0"/>
                <w:color w:val="334E68"/>
                <w:sz w:val="17"/>
              </w:rPr>
              <w:t>IP address availability</w:t>
            </w:r>
          </w:p>
        </w:tc>
        <w:tc>
          <w:tcPr>
            <w:tcW w:type="dxa" w:w="4048"/>
            <w:shd w:val="clear" w:color="auto" w:fill="FAFBFD"/>
          </w:tcPr>
          <w:p>
            <w:pPr>
              <w:spacing w:after="20" w:before="20"/>
            </w:pPr>
            <w:r/>
            <w:r>
              <w:rPr>
                <w:rFonts w:ascii="Calibri" w:hAnsi="Calibri"/>
                <w:b w:val="0"/>
                <w:i w:val="0"/>
                <w:color w:val="334E68"/>
                <w:sz w:val="17"/>
              </w:rPr>
              <w:t>Enough free addresses for all planned interfaces, including HA and future growth</w:t>
            </w:r>
          </w:p>
        </w:tc>
        <w:tc>
          <w:tcPr>
            <w:tcW w:type="dxa" w:w="3662"/>
            <w:shd w:val="clear" w:color="auto" w:fill="FAFBFD"/>
          </w:tcPr>
          <w:p>
            <w:pPr>
              <w:spacing w:after="20" w:before="20"/>
            </w:pPr>
            <w:r/>
            <w:r>
              <w:rPr>
                <w:rFonts w:ascii="Calibri" w:hAnsi="Calibri"/>
                <w:b w:val="0"/>
                <w:i w:val="0"/>
                <w:color w:val="334E68"/>
                <w:sz w:val="17"/>
              </w:rPr>
              <w:t>Overlap with source addressing; static entries missed</w:t>
            </w:r>
          </w:p>
        </w:tc>
      </w:tr>
      <w:tr>
        <w:trPr>
          <w:cantSplit/>
        </w:trPr>
        <w:tc>
          <w:tcPr>
            <w:tcW w:type="dxa" w:w="1928"/>
          </w:tcPr>
          <w:p>
            <w:pPr>
              <w:spacing w:after="20" w:before="20"/>
            </w:pPr>
            <w:r/>
            <w:r>
              <w:rPr>
                <w:rFonts w:ascii="Calibri" w:hAnsi="Calibri"/>
                <w:b/>
                <w:i w:val="0"/>
                <w:color w:val="334E68"/>
                <w:sz w:val="17"/>
              </w:rPr>
              <w:t>DNS / Route 53</w:t>
            </w:r>
          </w:p>
        </w:tc>
        <w:tc>
          <w:tcPr>
            <w:tcW w:type="dxa" w:w="4048"/>
          </w:tcPr>
          <w:p>
            <w:pPr>
              <w:spacing w:after="20" w:before="20"/>
            </w:pPr>
            <w:r/>
            <w:r>
              <w:rPr>
                <w:rFonts w:ascii="Calibri" w:hAnsi="Calibri"/>
                <w:b w:val="0"/>
                <w:i w:val="0"/>
                <w:color w:val="334E68"/>
                <w:sz w:val="17"/>
              </w:rPr>
              <w:t>Forward and reverse resolution correct from every subnet; private zones associated</w:t>
            </w:r>
          </w:p>
        </w:tc>
        <w:tc>
          <w:tcPr>
            <w:tcW w:type="dxa" w:w="3662"/>
          </w:tcPr>
          <w:p>
            <w:pPr>
              <w:spacing w:after="20" w:before="20"/>
            </w:pPr>
            <w:r/>
            <w:r>
              <w:rPr>
                <w:rFonts w:ascii="Calibri" w:hAnsi="Calibri"/>
                <w:b w:val="0"/>
                <w:i w:val="0"/>
                <w:color w:val="334E68"/>
                <w:sz w:val="17"/>
              </w:rPr>
              <w:t>Resolver rule missing; reverse lookup absent</w:t>
            </w:r>
          </w:p>
        </w:tc>
      </w:tr>
      <w:tr>
        <w:trPr>
          <w:cantSplit/>
        </w:trPr>
        <w:tc>
          <w:tcPr>
            <w:tcW w:type="dxa" w:w="1928"/>
            <w:shd w:val="clear" w:color="auto" w:fill="FAFBFD"/>
          </w:tcPr>
          <w:p>
            <w:pPr>
              <w:spacing w:after="20" w:before="20"/>
            </w:pPr>
            <w:r/>
            <w:r>
              <w:rPr>
                <w:rFonts w:ascii="Calibri" w:hAnsi="Calibri"/>
                <w:b/>
                <w:i w:val="0"/>
                <w:color w:val="334E68"/>
                <w:sz w:val="17"/>
              </w:rPr>
              <w:t>S3 bucket and folders</w:t>
            </w:r>
          </w:p>
        </w:tc>
        <w:tc>
          <w:tcPr>
            <w:tcW w:type="dxa" w:w="4048"/>
            <w:shd w:val="clear" w:color="auto" w:fill="FAFBFD"/>
          </w:tcPr>
          <w:p>
            <w:pPr>
              <w:spacing w:after="20" w:before="20"/>
            </w:pPr>
            <w:r/>
            <w:r>
              <w:rPr>
                <w:rFonts w:ascii="Calibri" w:hAnsi="Calibri"/>
                <w:b w:val="0"/>
                <w:i w:val="0"/>
                <w:color w:val="334E68"/>
                <w:sz w:val="17"/>
              </w:rPr>
              <w:t>Bucket exists, folder structure correct, versioning/encryption as designed</w:t>
            </w:r>
          </w:p>
        </w:tc>
        <w:tc>
          <w:tcPr>
            <w:tcW w:type="dxa" w:w="3662"/>
            <w:shd w:val="clear" w:color="auto" w:fill="FAFBFD"/>
          </w:tcPr>
          <w:p>
            <w:pPr>
              <w:spacing w:after="20" w:before="20"/>
            </w:pPr>
            <w:r/>
            <w:r>
              <w:rPr>
                <w:rFonts w:ascii="Calibri" w:hAnsi="Calibri"/>
                <w:b w:val="0"/>
                <w:i w:val="0"/>
                <w:color w:val="334E68"/>
                <w:sz w:val="17"/>
              </w:rPr>
              <w:t>Folder path differs from the backup configuration</w:t>
            </w:r>
          </w:p>
        </w:tc>
      </w:tr>
      <w:tr>
        <w:trPr>
          <w:cantSplit/>
        </w:trPr>
        <w:tc>
          <w:tcPr>
            <w:tcW w:type="dxa" w:w="1928"/>
          </w:tcPr>
          <w:p>
            <w:pPr>
              <w:spacing w:after="20" w:before="20"/>
            </w:pPr>
            <w:r/>
            <w:r>
              <w:rPr>
                <w:rFonts w:ascii="Calibri" w:hAnsi="Calibri"/>
                <w:b/>
                <w:i w:val="0"/>
                <w:color w:val="334E68"/>
                <w:sz w:val="17"/>
              </w:rPr>
              <w:t>S3 permissions</w:t>
            </w:r>
          </w:p>
        </w:tc>
        <w:tc>
          <w:tcPr>
            <w:tcW w:type="dxa" w:w="4048"/>
          </w:tcPr>
          <w:p>
            <w:pPr>
              <w:spacing w:after="20" w:before="20"/>
            </w:pPr>
            <w:r/>
            <w:r>
              <w:rPr>
                <w:rFonts w:ascii="Calibri" w:hAnsi="Calibri"/>
                <w:b w:val="0"/>
                <w:i w:val="0"/>
                <w:color w:val="334E68"/>
                <w:sz w:val="17"/>
              </w:rPr>
              <w:t>The instance role/user can read and write the intended prefix, and nothing broader</w:t>
            </w:r>
          </w:p>
        </w:tc>
        <w:tc>
          <w:tcPr>
            <w:tcW w:type="dxa" w:w="3662"/>
          </w:tcPr>
          <w:p>
            <w:pPr>
              <w:spacing w:after="20" w:before="20"/>
            </w:pPr>
            <w:r/>
            <w:r>
              <w:rPr>
                <w:rFonts w:ascii="Calibri" w:hAnsi="Calibri"/>
                <w:b w:val="0"/>
                <w:i w:val="0"/>
                <w:color w:val="334E68"/>
                <w:sz w:val="17"/>
              </w:rPr>
              <w:t>Policy too narrow (backup fails) or too broad (audit finding)</w:t>
            </w:r>
          </w:p>
        </w:tc>
      </w:tr>
      <w:tr>
        <w:trPr>
          <w:cantSplit/>
        </w:trPr>
        <w:tc>
          <w:tcPr>
            <w:tcW w:type="dxa" w:w="1928"/>
            <w:shd w:val="clear" w:color="auto" w:fill="FAFBFD"/>
          </w:tcPr>
          <w:p>
            <w:pPr>
              <w:spacing w:after="20" w:before="20"/>
            </w:pPr>
            <w:r/>
            <w:r>
              <w:rPr>
                <w:rFonts w:ascii="Calibri" w:hAnsi="Calibri"/>
                <w:b/>
                <w:i w:val="0"/>
                <w:color w:val="334E68"/>
                <w:sz w:val="17"/>
              </w:rPr>
              <w:t>Backend connectivity</w:t>
            </w:r>
          </w:p>
        </w:tc>
        <w:tc>
          <w:tcPr>
            <w:tcW w:type="dxa" w:w="4048"/>
            <w:shd w:val="clear" w:color="auto" w:fill="FAFBFD"/>
          </w:tcPr>
          <w:p>
            <w:pPr>
              <w:spacing w:after="20" w:before="20"/>
            </w:pPr>
            <w:r/>
            <w:r>
              <w:rPr>
                <w:rFonts w:ascii="Calibri" w:hAnsi="Calibri"/>
                <w:b w:val="0"/>
                <w:i w:val="0"/>
                <w:color w:val="334E68"/>
                <w:sz w:val="17"/>
              </w:rPr>
              <w:t>Backup agent or HANA reaches the endpoint over the intended path</w:t>
            </w:r>
          </w:p>
        </w:tc>
        <w:tc>
          <w:tcPr>
            <w:tcW w:type="dxa" w:w="3662"/>
            <w:shd w:val="clear" w:color="auto" w:fill="FAFBFD"/>
          </w:tcPr>
          <w:p>
            <w:pPr>
              <w:spacing w:after="20" w:before="20"/>
            </w:pPr>
            <w:r/>
            <w:r>
              <w:rPr>
                <w:rFonts w:ascii="Calibri" w:hAnsi="Calibri"/>
                <w:b w:val="0"/>
                <w:i w:val="0"/>
                <w:color w:val="334E68"/>
                <w:sz w:val="17"/>
              </w:rPr>
              <w:t>Endpoint or proxy not permitted in the security group</w:t>
            </w:r>
          </w:p>
        </w:tc>
      </w:tr>
      <w:tr>
        <w:trPr>
          <w:cantSplit/>
        </w:trPr>
        <w:tc>
          <w:tcPr>
            <w:tcW w:type="dxa" w:w="1928"/>
          </w:tcPr>
          <w:p>
            <w:pPr>
              <w:spacing w:after="20" w:before="20"/>
            </w:pPr>
            <w:r/>
            <w:r>
              <w:rPr>
                <w:rFonts w:ascii="Calibri" w:hAnsi="Calibri"/>
                <w:b/>
                <w:i w:val="0"/>
                <w:color w:val="334E68"/>
                <w:sz w:val="17"/>
              </w:rPr>
              <w:t>EFS / shared storage</w:t>
            </w:r>
          </w:p>
        </w:tc>
        <w:tc>
          <w:tcPr>
            <w:tcW w:type="dxa" w:w="4048"/>
          </w:tcPr>
          <w:p>
            <w:pPr>
              <w:spacing w:after="20" w:before="20"/>
            </w:pPr>
            <w:r/>
            <w:r>
              <w:rPr>
                <w:rFonts w:ascii="Calibri" w:hAnsi="Calibri"/>
                <w:b w:val="0"/>
                <w:i w:val="0"/>
                <w:color w:val="334E68"/>
                <w:sz w:val="17"/>
              </w:rPr>
              <w:t>Mounted, correct permissions, and reachable from every consumer</w:t>
            </w:r>
          </w:p>
        </w:tc>
        <w:tc>
          <w:tcPr>
            <w:tcW w:type="dxa" w:w="3662"/>
          </w:tcPr>
          <w:p>
            <w:pPr>
              <w:spacing w:after="20" w:before="20"/>
            </w:pPr>
            <w:r/>
            <w:r>
              <w:rPr>
                <w:rFonts w:ascii="Calibri" w:hAnsi="Calibri"/>
                <w:b w:val="0"/>
                <w:i w:val="0"/>
                <w:color w:val="334E68"/>
                <w:sz w:val="17"/>
              </w:rPr>
              <w:t>Mount missing on the secondary node; wrong UID/GID owner</w:t>
            </w:r>
          </w:p>
        </w:tc>
      </w:tr>
      <w:tr>
        <w:trPr>
          <w:cantSplit/>
        </w:trPr>
        <w:tc>
          <w:tcPr>
            <w:tcW w:type="dxa" w:w="1928"/>
            <w:shd w:val="clear" w:color="auto" w:fill="FAFBFD"/>
          </w:tcPr>
          <w:p>
            <w:pPr>
              <w:spacing w:after="20" w:before="20"/>
            </w:pPr>
            <w:r/>
            <w:r>
              <w:rPr>
                <w:rFonts w:ascii="Calibri" w:hAnsi="Calibri"/>
                <w:b/>
                <w:i w:val="0"/>
                <w:color w:val="334E68"/>
                <w:sz w:val="17"/>
              </w:rPr>
              <w:t>Snapshots and backup policy</w:t>
            </w:r>
          </w:p>
        </w:tc>
        <w:tc>
          <w:tcPr>
            <w:tcW w:type="dxa" w:w="4048"/>
            <w:shd w:val="clear" w:color="auto" w:fill="FAFBFD"/>
          </w:tcPr>
          <w:p>
            <w:pPr>
              <w:spacing w:after="20" w:before="20"/>
            </w:pPr>
            <w:r/>
            <w:r>
              <w:rPr>
                <w:rFonts w:ascii="Calibri" w:hAnsi="Calibri"/>
                <w:b w:val="0"/>
                <w:i w:val="0"/>
                <w:color w:val="334E68"/>
                <w:sz w:val="17"/>
              </w:rPr>
              <w:t>Policy attached, retention correct, restore path tested at least once</w:t>
            </w:r>
          </w:p>
        </w:tc>
        <w:tc>
          <w:tcPr>
            <w:tcW w:type="dxa" w:w="3662"/>
            <w:shd w:val="clear" w:color="auto" w:fill="FAFBFD"/>
          </w:tcPr>
          <w:p>
            <w:pPr>
              <w:spacing w:after="20" w:before="20"/>
            </w:pPr>
            <w:r/>
            <w:r>
              <w:rPr>
                <w:rFonts w:ascii="Calibri" w:hAnsi="Calibri"/>
                <w:b w:val="0"/>
                <w:i w:val="0"/>
                <w:color w:val="334E68"/>
                <w:sz w:val="17"/>
              </w:rPr>
              <w:t>Policy attached to the wrong volume set</w:t>
            </w:r>
          </w:p>
        </w:tc>
      </w:tr>
      <w:tr>
        <w:trPr>
          <w:cantSplit/>
        </w:trPr>
        <w:tc>
          <w:tcPr>
            <w:tcW w:type="dxa" w:w="1928"/>
          </w:tcPr>
          <w:p>
            <w:pPr>
              <w:spacing w:after="20" w:before="20"/>
            </w:pPr>
            <w:r/>
            <w:r>
              <w:rPr>
                <w:rFonts w:ascii="Calibri" w:hAnsi="Calibri"/>
                <w:b/>
                <w:i w:val="0"/>
                <w:color w:val="334E68"/>
                <w:sz w:val="17"/>
              </w:rPr>
              <w:t>Tagging and CMDB</w:t>
            </w:r>
          </w:p>
        </w:tc>
        <w:tc>
          <w:tcPr>
            <w:tcW w:type="dxa" w:w="4048"/>
          </w:tcPr>
          <w:p>
            <w:pPr>
              <w:spacing w:after="20" w:before="20"/>
            </w:pPr>
            <w:r/>
            <w:r>
              <w:rPr>
                <w:rFonts w:ascii="Calibri" w:hAnsi="Calibri"/>
                <w:b w:val="0"/>
                <w:i w:val="0"/>
                <w:color w:val="334E68"/>
                <w:sz w:val="17"/>
              </w:rPr>
              <w:t>Tags present, CI created, relationships and status correct</w:t>
            </w:r>
          </w:p>
        </w:tc>
        <w:tc>
          <w:tcPr>
            <w:tcW w:type="dxa" w:w="3662"/>
          </w:tcPr>
          <w:p>
            <w:pPr>
              <w:spacing w:after="20" w:before="20"/>
            </w:pPr>
            <w:r/>
            <w:r>
              <w:rPr>
                <w:rFonts w:ascii="Calibri" w:hAnsi="Calibri"/>
                <w:b w:val="0"/>
                <w:i w:val="0"/>
                <w:color w:val="334E68"/>
                <w:sz w:val="17"/>
              </w:rPr>
              <w:t>CI created with source details, or left in “planned”</w:t>
            </w:r>
          </w:p>
        </w:tc>
      </w:tr>
    </w:tbl>
    <w:p>
      <w:pPr>
        <w:spacing w:after="40"/>
      </w:pPr>
    </w:p>
    <w:p>
      <w:pPr>
        <w:pStyle w:val="Heading2"/>
        <w:pBdr>
          <w:bottom w:val="single" w:sz="6" w:space="3" w:color="E8EDF3"/>
        </w:pBdr>
      </w:pPr>
      <w:r>
        <w:rPr>
          <w:rFonts w:ascii="Calibri" w:hAnsi="Calibri"/>
          <w:b/>
          <w:color w:val="0F2B4C"/>
          <w:sz w:val="26"/>
        </w:rPr>
        <w:t>5.4  Responsibility split</w:t>
      </w:r>
    </w:p>
    <w:p>
      <w:pPr>
        <w:spacing w:after="60" w:before="160"/>
        <w:keepNext/>
      </w:pPr>
      <w:r>
        <w:rPr>
          <w:rFonts w:ascii="Calibri" w:hAnsi="Calibri"/>
          <w:b/>
          <w:color w:val="5B7288"/>
          <w:sz w:val="15"/>
        </w:rPr>
        <w:t>RESPONSIBILITY SPLIT (SUMMARY — FULL MATRIX IN FIGURE 2)</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7325"/>
      </w:tblGrid>
      <w:tr>
        <w:trPr>
          <w:tblHeader/>
          <w:cantSplit/>
        </w:trPr>
        <w:tc>
          <w:tcPr>
            <w:tcW w:type="dxa" w:w="2313"/>
            <w:shd w:val="clear" w:color="auto" w:fill="0F2B4C"/>
          </w:tcPr>
          <w:p>
            <w:pPr>
              <w:spacing w:after="20" w:before="20"/>
            </w:pPr>
            <w:r/>
            <w:r>
              <w:rPr>
                <w:rFonts w:ascii="Calibri" w:hAnsi="Calibri"/>
                <w:b/>
                <w:color w:val="FFFFFF"/>
                <w:sz w:val="17"/>
              </w:rPr>
              <w:t>Role</w:t>
            </w:r>
          </w:p>
        </w:tc>
        <w:tc>
          <w:tcPr>
            <w:tcW w:type="dxa" w:w="7325"/>
            <w:shd w:val="clear" w:color="auto" w:fill="0F2B4C"/>
          </w:tcPr>
          <w:p>
            <w:pPr>
              <w:spacing w:after="20" w:before="20"/>
            </w:pPr>
            <w:r/>
            <w:r>
              <w:rPr>
                <w:rFonts w:ascii="Calibri" w:hAnsi="Calibri"/>
                <w:b/>
                <w:color w:val="FFFFFF"/>
                <w:sz w:val="17"/>
              </w:rPr>
              <w:t>Primary responsibilities</w:t>
            </w:r>
          </w:p>
        </w:tc>
      </w:tr>
      <w:tr>
        <w:trPr>
          <w:cantSplit/>
        </w:trPr>
        <w:tc>
          <w:tcPr>
            <w:tcW w:type="dxa" w:w="2313"/>
          </w:tcPr>
          <w:p>
            <w:pPr>
              <w:spacing w:after="20" w:before="20"/>
            </w:pPr>
            <w:r/>
            <w:r>
              <w:rPr>
                <w:rFonts w:ascii="Calibri" w:hAnsi="Calibri"/>
                <w:b/>
                <w:i w:val="0"/>
                <w:color w:val="334E68"/>
                <w:sz w:val="17"/>
              </w:rPr>
              <w:t>Automation team</w:t>
            </w:r>
          </w:p>
        </w:tc>
        <w:tc>
          <w:tcPr>
            <w:tcW w:type="dxa" w:w="7325"/>
          </w:tcPr>
          <w:p>
            <w:pPr>
              <w:spacing w:after="20" w:before="20"/>
            </w:pPr>
            <w:r/>
            <w:r>
              <w:rPr>
                <w:rFonts w:ascii="Calibri" w:hAnsi="Calibri"/>
                <w:b w:val="0"/>
                <w:i w:val="0"/>
                <w:color w:val="334E68"/>
                <w:sz w:val="17"/>
              </w:rPr>
              <w:t>AWS provisioning, server creation, automated build, DNS provisioning, tagging, Chef/configuration management, inventory and CMDB automation.</w:t>
            </w:r>
          </w:p>
        </w:tc>
      </w:tr>
      <w:tr>
        <w:trPr>
          <w:cantSplit/>
        </w:trPr>
        <w:tc>
          <w:tcPr>
            <w:tcW w:type="dxa" w:w="2313"/>
            <w:shd w:val="clear" w:color="auto" w:fill="FAFBFD"/>
          </w:tcPr>
          <w:p>
            <w:pPr>
              <w:spacing w:after="20" w:before="20"/>
            </w:pPr>
            <w:r/>
            <w:r>
              <w:rPr>
                <w:rFonts w:ascii="Calibri" w:hAnsi="Calibri"/>
                <w:b/>
                <w:i w:val="0"/>
                <w:color w:val="334E68"/>
                <w:sz w:val="17"/>
              </w:rPr>
              <w:t>Basis / migration team</w:t>
            </w:r>
          </w:p>
        </w:tc>
        <w:tc>
          <w:tcPr>
            <w:tcW w:type="dxa" w:w="7325"/>
            <w:shd w:val="clear" w:color="auto" w:fill="FAFBFD"/>
          </w:tcPr>
          <w:p>
            <w:pPr>
              <w:spacing w:after="20" w:before="20"/>
            </w:pPr>
            <w:r/>
            <w:r>
              <w:rPr>
                <w:rFonts w:ascii="Calibri" w:hAnsi="Calibri"/>
                <w:b w:val="0"/>
                <w:i w:val="0"/>
                <w:color w:val="334E68"/>
                <w:sz w:val="17"/>
              </w:rPr>
              <w:t>Build-sheet input, target validation, SAP-specific activities, SAP/database configuration validation, migration checks and handover.</w:t>
            </w:r>
          </w:p>
        </w:tc>
      </w:tr>
      <w:tr>
        <w:trPr>
          <w:cantSplit/>
        </w:trPr>
        <w:tc>
          <w:tcPr>
            <w:tcW w:type="dxa" w:w="2313"/>
          </w:tcPr>
          <w:p>
            <w:pPr>
              <w:spacing w:after="20" w:before="20"/>
            </w:pPr>
            <w:r/>
            <w:r>
              <w:rPr>
                <w:rFonts w:ascii="Calibri" w:hAnsi="Calibri"/>
                <w:b/>
                <w:i w:val="0"/>
                <w:color w:val="334E68"/>
                <w:sz w:val="17"/>
              </w:rPr>
              <w:t>Specialist teams</w:t>
            </w:r>
          </w:p>
        </w:tc>
        <w:tc>
          <w:tcPr>
            <w:tcW w:type="dxa" w:w="7325"/>
          </w:tcPr>
          <w:p>
            <w:pPr>
              <w:spacing w:after="20" w:before="20"/>
            </w:pPr>
            <w:r/>
            <w:r>
              <w:rPr>
                <w:rFonts w:ascii="Calibri" w:hAnsi="Calibri"/>
                <w:b w:val="0"/>
                <w:i w:val="0"/>
                <w:color w:val="334E68"/>
                <w:sz w:val="17"/>
              </w:rPr>
              <w:t>DBA, Linux, network, security, application, interface and DR teams support their respective specialist areas.</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WHERE THE SPLIT BREAKS IN PRACTICE</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DNS.</w:t>
      </w:r>
      <w:r>
        <w:rPr>
          <w:rFonts w:ascii="Calibri" w:hAnsi="Calibri"/>
          <w:b w:val="0"/>
          <w:i w:val="0"/>
          <w:color w:val="334E68"/>
          <w:sz w:val="19"/>
        </w:rPr>
        <w:t xml:space="preserve"> Automation provisions records; Basis validates resolution from the SAP host. If neither owns the private-zone association, name resolution fails at cutover.</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File systems.</w:t>
      </w:r>
      <w:r>
        <w:rPr>
          <w:rFonts w:ascii="Calibri" w:hAnsi="Calibri"/>
          <w:b w:val="0"/>
          <w:i w:val="0"/>
          <w:color w:val="334E68"/>
          <w:sz w:val="19"/>
        </w:rPr>
        <w:t xml:space="preserve"> Linux mounts the file systems; Basis validates that SAP directories and permissions are correct. Ownership of the mount options must be explicit.</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Credentials.</w:t>
      </w:r>
      <w:r>
        <w:rPr>
          <w:rFonts w:ascii="Calibri" w:hAnsi="Calibri"/>
          <w:b w:val="0"/>
          <w:i w:val="0"/>
          <w:color w:val="334E68"/>
          <w:sz w:val="19"/>
        </w:rPr>
        <w:t xml:space="preserve"> Security/AD issues them; Basis and DBA consume them. Requests must be raised early and tracked, not escalated on cutover day.</w:t>
      </w:r>
    </w:p>
    <w:p>
      <w:pPr>
        <w:spacing w:after="40"/>
        <w:ind w:left="567" w:hanging="227"/>
        <w:shd w:val="clear" w:color="auto" w:fill="FFFDF5"/>
      </w:pPr>
      <w:r>
        <w:rPr>
          <w:rFonts w:ascii="Calibri" w:hAnsi="Calibri"/>
          <w:b/>
          <w:color w:val="1B4F86"/>
          <w:sz w:val="19"/>
        </w:rPr>
        <w:t xml:space="preserve">▪  </w:t>
      </w:r>
      <w:r>
        <w:rPr>
          <w:rFonts w:ascii="Calibri" w:hAnsi="Calibri"/>
          <w:b/>
          <w:i w:val="0"/>
          <w:color w:val="334E68"/>
          <w:sz w:val="19"/>
        </w:rPr>
        <w:t>Agents.</w:t>
      </w:r>
      <w:r>
        <w:rPr>
          <w:rFonts w:ascii="Calibri" w:hAnsi="Calibri"/>
          <w:b w:val="0"/>
          <w:i w:val="0"/>
          <w:color w:val="334E68"/>
          <w:sz w:val="19"/>
        </w:rPr>
        <w:t xml:space="preserve"> Automation installs platform agents; the owning team installs application agents (backup, scheduling, monitoring). Both lists must be reconciled against the source.</w:t>
      </w:r>
    </w:p>
    <w:p>
      <w:pPr>
        <w:shd w:val="clear" w:color="auto" w:fill="FFFDF5"/>
        <w:pBdr>
          <w:left w:val="single" w:sz="6" w:space="6" w:color="D9A520"/>
          <w:bottom w:val="single" w:sz="6" w:space="6" w:color="D9A520"/>
          <w:right w:val="single" w:sz="6" w:space="6" w:color="D9A520"/>
        </w:pBdr>
        <w:spacing w:after="40"/>
      </w:pPr>
    </w:p>
    <w:p>
      <w:pPr>
        <w:pStyle w:val="Heading2"/>
        <w:pBdr>
          <w:bottom w:val="single" w:sz="6" w:space="3" w:color="E8EDF3"/>
        </w:pBdr>
      </w:pPr>
      <w:r>
        <w:rPr>
          <w:rFonts w:ascii="Calibri" w:hAnsi="Calibri"/>
          <w:b/>
          <w:color w:val="0F2B4C"/>
          <w:sz w:val="26"/>
        </w:rPr>
        <w:t>5.5  CMDB validation after build</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CI exists for every new server in ServiceNow</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CI relationship is correct (host → application → database)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Application / DB relationship is correct for each SID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CI status is deployed / operational (not planned or in build)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Target server details match the inventory and the build sheet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Hostname, IP, environment and owning team are correct on the CI</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Old source CIs flagged for retirement at the correct date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Tags on AWS resources match the CMDB and cost-allocation standard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5.6  Module 2 readiness checklist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Customer agreement recorded for target configuration and instance type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Architecture diagram covers region, AZs, SAP, DB, ASCS/ERS and connectivity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HA/DR design documented (ASCS, ERS/CRS, standby database, failover)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RPO/RTO and failover mechanism agreed with the customer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Build sheet prepared from approved sizing and architecture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Build sheet peer-reviewed by a second engineer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Build sheet finalised and confirmed with the customer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Provisioning used only approved build-sheet information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VPC, AZs, subnets and free IP availability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Required AWS resources validated against the build sheet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DNS and Route 53 configuration validated (forward and reverse)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S3 buckets and folders validated for backup and package use cases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S3 read/write permissions and backend connectivity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EFS / shared file systems mounted with correct ownership and permissions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Snapshot and backup policies attached and a restore path tested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Provisioned environment validated field-by-field against the build sheet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Deviations logged with an owner and a resolution date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br w:type="page"/>
      </w:r>
    </w:p>
    <w:p>
      <w:pPr>
        <w:spacing w:after="20"/>
      </w:pPr>
      <w:r>
        <w:rPr>
          <w:rFonts w:ascii="Calibri" w:hAnsi="Calibri"/>
          <w:b/>
          <w:color w:val="1B4F86"/>
          <w:sz w:val="16"/>
        </w:rPr>
        <w:t>MODULE 3 · SECTION 6</w:t>
      </w:r>
    </w:p>
    <w:p>
      <w:pPr>
        <w:pStyle w:val="Heading1"/>
        <w:pBdr>
          <w:bottom w:val="single" w:sz="12" w:space="5" w:color="1B4F86"/>
        </w:pBdr>
        <w:spacing w:after="160"/>
      </w:pPr>
      <w:r>
        <w:rPr>
          <w:rFonts w:ascii="Calibri Light" w:hAnsi="Calibri Light"/>
          <w:b/>
          <w:color w:val="0F2B4C"/>
          <w:sz w:val="38"/>
        </w:rPr>
        <w:t>6  Module 3 — SAP HANA MDC, backup and recovery</w:t>
      </w:r>
    </w:p>
    <w:p>
      <w:pPr>
        <w:spacing w:after="200"/>
      </w:pPr>
      <w:r>
        <w:rPr>
          <w:rFonts w:ascii="Calibri" w:hAnsi="Calibri"/>
          <w:i/>
          <w:color w:val="5B7288"/>
          <w:sz w:val="21"/>
        </w:rPr>
        <w:t>HANA migration succeeds or fails on the backup and recovery path. Understand the container model, prove the backend works, and never stop the source before the final backup is validated.</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5557500"/>
            <wp:docPr id="4" name="Picture 4"/>
            <wp:cNvGraphicFramePr>
              <a:graphicFrameLocks noChangeAspect="1"/>
            </wp:cNvGraphicFramePr>
            <a:graphic>
              <a:graphicData uri="http://schemas.openxmlformats.org/drawingml/2006/picture">
                <pic:pic>
                  <pic:nvPicPr>
                    <pic:cNvPr id="0" name="d4-hana-mdc.png"/>
                    <pic:cNvPicPr/>
                  </pic:nvPicPr>
                  <pic:blipFill>
                    <a:blip r:embed="rId14"/>
                    <a:stretch>
                      <a:fillRect/>
                    </a:stretch>
                  </pic:blipFill>
                  <pic:spPr>
                    <a:xfrm>
                      <a:off x="0" y="0"/>
                      <a:ext cx="8892000" cy="5557500"/>
                    </a:xfrm>
                    <a:prstGeom prst="rect"/>
                  </pic:spPr>
                </pic:pic>
              </a:graphicData>
            </a:graphic>
          </wp:inline>
        </w:drawing>
      </w:r>
    </w:p>
    <w:p>
      <w:pPr>
        <w:spacing w:after="240"/>
      </w:pPr>
      <w:r>
        <w:rPr>
          <w:rFonts w:ascii="Calibri" w:hAnsi="Calibri"/>
          <w:i/>
          <w:color w:val="5B7288"/>
          <w:sz w:val="17"/>
        </w:rPr>
        <w:t>Figure 4. HANA MDC containers inside one HANA system, the S3 backup backend, and the six-step recovery sequence. Note the separation on the left: the three tiers are validated bottom-up — the database is recovered first, then the application servers are started against it.</w:t>
      </w: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6.1  HANA MDC architecture</w:t>
      </w:r>
    </w:p>
    <w:p>
      <w:pPr>
        <w:spacing w:after="40"/>
        <w:ind w:left="351" w:hanging="227"/>
      </w:pPr>
      <w:r>
        <w:rPr>
          <w:rFonts w:ascii="Calibri" w:hAnsi="Calibri"/>
          <w:b/>
          <w:color w:val="1B4F86"/>
          <w:sz w:val="19"/>
        </w:rPr>
        <w:t xml:space="preserve">▪  </w:t>
      </w:r>
      <w:r>
        <w:rPr>
          <w:rFonts w:ascii="Calibri" w:hAnsi="Calibri"/>
          <w:b/>
          <w:i w:val="0"/>
          <w:color w:val="334E68"/>
          <w:sz w:val="19"/>
        </w:rPr>
        <w:t>SystemDB</w:t>
      </w:r>
      <w:r>
        <w:rPr>
          <w:rFonts w:ascii="Calibri" w:hAnsi="Calibri"/>
          <w:b w:val="0"/>
          <w:i w:val="0"/>
          <w:color w:val="334E68"/>
          <w:sz w:val="19"/>
        </w:rPr>
        <w:t xml:space="preserve"> provides central management and monitoring capabilities for the whole HANA system.</w:t>
      </w:r>
    </w:p>
    <w:p>
      <w:pPr>
        <w:spacing w:after="40"/>
        <w:ind w:left="351" w:hanging="227"/>
      </w:pPr>
      <w:r>
        <w:rPr>
          <w:rFonts w:ascii="Calibri" w:hAnsi="Calibri"/>
          <w:b/>
          <w:color w:val="1B4F86"/>
          <w:sz w:val="19"/>
        </w:rPr>
        <w:t xml:space="preserve">▪  </w:t>
      </w:r>
      <w:r>
        <w:rPr>
          <w:rFonts w:ascii="Calibri" w:hAnsi="Calibri"/>
          <w:b/>
          <w:i w:val="0"/>
          <w:color w:val="334E68"/>
          <w:sz w:val="19"/>
        </w:rPr>
        <w:t>TenantDB</w:t>
      </w:r>
      <w:r>
        <w:rPr>
          <w:rFonts w:ascii="Calibri" w:hAnsi="Calibri"/>
          <w:b w:val="0"/>
          <w:i w:val="0"/>
          <w:color w:val="334E68"/>
          <w:sz w:val="19"/>
        </w:rPr>
        <w:t xml:space="preserve"> contains the application and data workload for a specific SAP system.</w:t>
      </w:r>
    </w:p>
    <w:p>
      <w:pPr>
        <w:spacing w:after="40"/>
        <w:ind w:left="351" w:hanging="227"/>
      </w:pPr>
      <w:r>
        <w:rPr>
          <w:rFonts w:ascii="Calibri" w:hAnsi="Calibri"/>
          <w:b/>
          <w:color w:val="1B4F86"/>
          <w:sz w:val="19"/>
        </w:rPr>
        <w:t xml:space="preserve">▪  </w:t>
      </w:r>
      <w:r>
        <w:rPr>
          <w:rFonts w:ascii="Calibri" w:hAnsi="Calibri"/>
          <w:b w:val="0"/>
          <w:i w:val="0"/>
          <w:color w:val="334E68"/>
          <w:sz w:val="19"/>
        </w:rPr>
        <w:t>SystemDB and TenantDB have separate login contexts and credentials — connecting to the wrong context is a common operator error.</w:t>
      </w:r>
    </w:p>
    <w:p>
      <w:pPr>
        <w:spacing w:after="40"/>
        <w:ind w:left="351" w:hanging="227"/>
      </w:pPr>
      <w:r>
        <w:rPr>
          <w:rFonts w:ascii="Calibri" w:hAnsi="Calibri"/>
          <w:b/>
          <w:color w:val="1B4F86"/>
          <w:sz w:val="19"/>
        </w:rPr>
        <w:t xml:space="preserve">▪  </w:t>
      </w:r>
      <w:r>
        <w:rPr>
          <w:rFonts w:ascii="Calibri" w:hAnsi="Calibri"/>
          <w:b w:val="0"/>
          <w:i w:val="0"/>
          <w:color w:val="334E68"/>
          <w:sz w:val="19"/>
        </w:rPr>
        <w:t>SystemDB/TenantDB should not be confused with HA server architecture.</w:t>
      </w:r>
    </w:p>
    <w:p>
      <w:pPr>
        <w:spacing w:after="40"/>
        <w:ind w:left="351" w:hanging="227"/>
      </w:pPr>
      <w:r>
        <w:rPr>
          <w:rFonts w:ascii="Calibri" w:hAnsi="Calibri"/>
          <w:b/>
          <w:color w:val="1B4F86"/>
          <w:sz w:val="19"/>
        </w:rPr>
        <w:t xml:space="preserve">▪  </w:t>
      </w:r>
      <w:r>
        <w:rPr>
          <w:rFonts w:ascii="Calibri" w:hAnsi="Calibri"/>
          <w:b w:val="0"/>
          <w:i w:val="0"/>
          <w:color w:val="334E68"/>
          <w:sz w:val="19"/>
        </w:rPr>
        <w:t>SystemDB and TenantDB can reside within the same HANA server/VM; HA is a separate infrastructure/system-level design.</w:t>
      </w:r>
    </w:p>
    <w:p>
      <w:pPr>
        <w:spacing w:after="60" w:before="160"/>
        <w:keepNext/>
      </w:pPr>
      <w:r>
        <w:rPr>
          <w:rFonts w:ascii="Calibri" w:hAnsi="Calibri"/>
          <w:b/>
          <w:color w:val="5B7288"/>
          <w:sz w:val="15"/>
        </w:rPr>
        <w:t>SYSTEMDB VERSUS TENANTDB</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542"/>
        <w:gridCol w:w="4048"/>
        <w:gridCol w:w="4048"/>
      </w:tblGrid>
      <w:tr>
        <w:trPr>
          <w:tblHeader/>
          <w:cantSplit/>
        </w:trPr>
        <w:tc>
          <w:tcPr>
            <w:tcW w:type="dxa" w:w="1542"/>
            <w:shd w:val="clear" w:color="auto" w:fill="0F2B4C"/>
          </w:tcPr>
          <w:p>
            <w:pPr>
              <w:spacing w:after="20" w:before="20"/>
            </w:pPr>
            <w:r/>
            <w:r>
              <w:rPr>
                <w:rFonts w:ascii="Calibri" w:hAnsi="Calibri"/>
                <w:b/>
                <w:color w:val="FFFFFF"/>
                <w:sz w:val="17"/>
              </w:rPr>
              <w:t>Aspect</w:t>
            </w:r>
          </w:p>
        </w:tc>
        <w:tc>
          <w:tcPr>
            <w:tcW w:type="dxa" w:w="4048"/>
            <w:shd w:val="clear" w:color="auto" w:fill="0F2B4C"/>
          </w:tcPr>
          <w:p>
            <w:pPr>
              <w:spacing w:after="20" w:before="20"/>
            </w:pPr>
            <w:r/>
            <w:r>
              <w:rPr>
                <w:rFonts w:ascii="Calibri" w:hAnsi="Calibri"/>
                <w:b/>
                <w:color w:val="FFFFFF"/>
                <w:sz w:val="17"/>
              </w:rPr>
              <w:t>SystemDB</w:t>
            </w:r>
          </w:p>
        </w:tc>
        <w:tc>
          <w:tcPr>
            <w:tcW w:type="dxa" w:w="4048"/>
            <w:shd w:val="clear" w:color="auto" w:fill="0F2B4C"/>
          </w:tcPr>
          <w:p>
            <w:pPr>
              <w:spacing w:after="20" w:before="20"/>
            </w:pPr>
            <w:r/>
            <w:r>
              <w:rPr>
                <w:rFonts w:ascii="Calibri" w:hAnsi="Calibri"/>
                <w:b/>
                <w:color w:val="FFFFFF"/>
                <w:sz w:val="17"/>
              </w:rPr>
              <w:t>TenantDB</w:t>
            </w:r>
          </w:p>
        </w:tc>
      </w:tr>
      <w:tr>
        <w:trPr>
          <w:cantSplit/>
        </w:trPr>
        <w:tc>
          <w:tcPr>
            <w:tcW w:type="dxa" w:w="1542"/>
          </w:tcPr>
          <w:p>
            <w:pPr>
              <w:spacing w:after="20" w:before="20"/>
            </w:pPr>
            <w:r/>
            <w:r>
              <w:rPr>
                <w:rFonts w:ascii="Calibri" w:hAnsi="Calibri"/>
                <w:b/>
                <w:i w:val="0"/>
                <w:color w:val="334E68"/>
                <w:sz w:val="17"/>
              </w:rPr>
              <w:t>Purpose</w:t>
            </w:r>
          </w:p>
        </w:tc>
        <w:tc>
          <w:tcPr>
            <w:tcW w:type="dxa" w:w="4048"/>
          </w:tcPr>
          <w:p>
            <w:pPr>
              <w:spacing w:after="20" w:before="20"/>
            </w:pPr>
            <w:r/>
            <w:r>
              <w:rPr>
                <w:rFonts w:ascii="Calibri" w:hAnsi="Calibri"/>
                <w:b w:val="0"/>
                <w:i w:val="0"/>
                <w:color w:val="334E68"/>
                <w:sz w:val="17"/>
              </w:rPr>
              <w:t>Central management and monitoring of the HANA system</w:t>
            </w:r>
          </w:p>
        </w:tc>
        <w:tc>
          <w:tcPr>
            <w:tcW w:type="dxa" w:w="4048"/>
          </w:tcPr>
          <w:p>
            <w:pPr>
              <w:spacing w:after="20" w:before="20"/>
            </w:pPr>
            <w:r/>
            <w:r>
              <w:rPr>
                <w:rFonts w:ascii="Calibri" w:hAnsi="Calibri"/>
                <w:b w:val="0"/>
                <w:i w:val="0"/>
                <w:color w:val="334E68"/>
                <w:sz w:val="17"/>
              </w:rPr>
              <w:t>Hosts the application and data workload</w:t>
            </w:r>
          </w:p>
        </w:tc>
      </w:tr>
      <w:tr>
        <w:trPr>
          <w:cantSplit/>
        </w:trPr>
        <w:tc>
          <w:tcPr>
            <w:tcW w:type="dxa" w:w="1542"/>
            <w:shd w:val="clear" w:color="auto" w:fill="FAFBFD"/>
          </w:tcPr>
          <w:p>
            <w:pPr>
              <w:spacing w:after="20" w:before="20"/>
            </w:pPr>
            <w:r/>
            <w:r>
              <w:rPr>
                <w:rFonts w:ascii="Calibri" w:hAnsi="Calibri"/>
                <w:b/>
                <w:i w:val="0"/>
                <w:color w:val="334E68"/>
                <w:sz w:val="17"/>
              </w:rPr>
              <w:t>Contains</w:t>
            </w:r>
          </w:p>
        </w:tc>
        <w:tc>
          <w:tcPr>
            <w:tcW w:type="dxa" w:w="4048"/>
            <w:shd w:val="clear" w:color="auto" w:fill="FAFBFD"/>
          </w:tcPr>
          <w:p>
            <w:pPr>
              <w:spacing w:after="20" w:before="20"/>
            </w:pPr>
            <w:r/>
            <w:r>
              <w:rPr>
                <w:rFonts w:ascii="Calibri" w:hAnsi="Calibri"/>
                <w:b w:val="0"/>
                <w:i w:val="0"/>
                <w:color w:val="334E68"/>
                <w:sz w:val="17"/>
              </w:rPr>
              <w:t>System-wide configuration, nameserver, backup catalogue</w:t>
            </w:r>
          </w:p>
        </w:tc>
        <w:tc>
          <w:tcPr>
            <w:tcW w:type="dxa" w:w="4048"/>
            <w:shd w:val="clear" w:color="auto" w:fill="FAFBFD"/>
          </w:tcPr>
          <w:p>
            <w:pPr>
              <w:spacing w:after="20" w:before="20"/>
            </w:pPr>
            <w:r/>
            <w:r>
              <w:rPr>
                <w:rFonts w:ascii="Calibri" w:hAnsi="Calibri"/>
                <w:b w:val="0"/>
                <w:i w:val="0"/>
                <w:color w:val="334E68"/>
                <w:sz w:val="17"/>
              </w:rPr>
              <w:t>Application tables, tenant services, tenant configuration</w:t>
            </w:r>
          </w:p>
        </w:tc>
      </w:tr>
      <w:tr>
        <w:trPr>
          <w:cantSplit/>
        </w:trPr>
        <w:tc>
          <w:tcPr>
            <w:tcW w:type="dxa" w:w="1542"/>
          </w:tcPr>
          <w:p>
            <w:pPr>
              <w:spacing w:after="20" w:before="20"/>
            </w:pPr>
            <w:r/>
            <w:r>
              <w:rPr>
                <w:rFonts w:ascii="Calibri" w:hAnsi="Calibri"/>
                <w:b/>
                <w:i w:val="0"/>
                <w:color w:val="334E68"/>
                <w:sz w:val="17"/>
              </w:rPr>
              <w:t>Login context</w:t>
            </w:r>
          </w:p>
        </w:tc>
        <w:tc>
          <w:tcPr>
            <w:tcW w:type="dxa" w:w="4048"/>
          </w:tcPr>
          <w:p>
            <w:pPr>
              <w:spacing w:after="20" w:before="20"/>
            </w:pPr>
            <w:r/>
            <w:r>
              <w:rPr>
                <w:rFonts w:ascii="Calibri" w:hAnsi="Calibri"/>
                <w:b w:val="0"/>
                <w:i w:val="0"/>
                <w:color w:val="334E68"/>
                <w:sz w:val="17"/>
              </w:rPr>
              <w:t>Own context and credentials (for example the SYSTEM user)</w:t>
            </w:r>
          </w:p>
        </w:tc>
        <w:tc>
          <w:tcPr>
            <w:tcW w:type="dxa" w:w="4048"/>
          </w:tcPr>
          <w:p>
            <w:pPr>
              <w:spacing w:after="20" w:before="20"/>
            </w:pPr>
            <w:r/>
            <w:r>
              <w:rPr>
                <w:rFonts w:ascii="Calibri" w:hAnsi="Calibri"/>
                <w:b w:val="0"/>
                <w:i w:val="0"/>
                <w:color w:val="334E68"/>
                <w:sz w:val="17"/>
              </w:rPr>
              <w:t>Own context and credentials, separate from SystemDB</w:t>
            </w:r>
          </w:p>
        </w:tc>
      </w:tr>
      <w:tr>
        <w:trPr>
          <w:cantSplit/>
        </w:trPr>
        <w:tc>
          <w:tcPr>
            <w:tcW w:type="dxa" w:w="1542"/>
            <w:shd w:val="clear" w:color="auto" w:fill="FAFBFD"/>
          </w:tcPr>
          <w:p>
            <w:pPr>
              <w:spacing w:after="20" w:before="20"/>
            </w:pPr>
            <w:r/>
            <w:r>
              <w:rPr>
                <w:rFonts w:ascii="Calibri" w:hAnsi="Calibri"/>
                <w:b/>
                <w:i w:val="0"/>
                <w:color w:val="334E68"/>
                <w:sz w:val="17"/>
              </w:rPr>
              <w:t>Backup</w:t>
            </w:r>
          </w:p>
        </w:tc>
        <w:tc>
          <w:tcPr>
            <w:tcW w:type="dxa" w:w="4048"/>
            <w:shd w:val="clear" w:color="auto" w:fill="FAFBFD"/>
          </w:tcPr>
          <w:p>
            <w:pPr>
              <w:spacing w:after="20" w:before="20"/>
            </w:pPr>
            <w:r/>
            <w:r>
              <w:rPr>
                <w:rFonts w:ascii="Calibri" w:hAnsi="Calibri"/>
                <w:b w:val="0"/>
                <w:i w:val="0"/>
                <w:color w:val="334E68"/>
                <w:sz w:val="17"/>
              </w:rPr>
              <w:t>Holds the backup catalogue for the system</w:t>
            </w:r>
          </w:p>
        </w:tc>
        <w:tc>
          <w:tcPr>
            <w:tcW w:type="dxa" w:w="4048"/>
            <w:shd w:val="clear" w:color="auto" w:fill="FAFBFD"/>
          </w:tcPr>
          <w:p>
            <w:pPr>
              <w:spacing w:after="20" w:before="20"/>
            </w:pPr>
            <w:r/>
            <w:r>
              <w:rPr>
                <w:rFonts w:ascii="Calibri" w:hAnsi="Calibri"/>
                <w:b w:val="0"/>
                <w:i w:val="0"/>
                <w:color w:val="334E68"/>
                <w:sz w:val="17"/>
              </w:rPr>
              <w:t>Has its own backup configuration and data volume</w:t>
            </w:r>
          </w:p>
        </w:tc>
      </w:tr>
      <w:tr>
        <w:trPr>
          <w:cantSplit/>
        </w:trPr>
        <w:tc>
          <w:tcPr>
            <w:tcW w:type="dxa" w:w="1542"/>
          </w:tcPr>
          <w:p>
            <w:pPr>
              <w:spacing w:after="20" w:before="20"/>
            </w:pPr>
            <w:r/>
            <w:r>
              <w:rPr>
                <w:rFonts w:ascii="Calibri" w:hAnsi="Calibri"/>
                <w:b/>
                <w:i w:val="0"/>
                <w:color w:val="334E68"/>
                <w:sz w:val="17"/>
              </w:rPr>
              <w:t>Recovery</w:t>
            </w:r>
          </w:p>
        </w:tc>
        <w:tc>
          <w:tcPr>
            <w:tcW w:type="dxa" w:w="4048"/>
          </w:tcPr>
          <w:p>
            <w:pPr>
              <w:spacing w:after="20" w:before="20"/>
            </w:pPr>
            <w:r/>
            <w:r>
              <w:rPr>
                <w:rFonts w:ascii="Calibri" w:hAnsi="Calibri"/>
                <w:b w:val="0"/>
                <w:i w:val="0"/>
                <w:color w:val="334E68"/>
                <w:sz w:val="17"/>
              </w:rPr>
              <w:t>Recovered/restored first so tenants can be recovered</w:t>
            </w:r>
          </w:p>
        </w:tc>
        <w:tc>
          <w:tcPr>
            <w:tcW w:type="dxa" w:w="4048"/>
          </w:tcPr>
          <w:p>
            <w:pPr>
              <w:spacing w:after="20" w:before="20"/>
            </w:pPr>
            <w:r/>
            <w:r>
              <w:rPr>
                <w:rFonts w:ascii="Calibri" w:hAnsi="Calibri"/>
                <w:b w:val="0"/>
                <w:i w:val="0"/>
                <w:color w:val="334E68"/>
                <w:sz w:val="17"/>
              </w:rPr>
              <w:t>Recovered after the system context is available</w:t>
            </w:r>
          </w:p>
        </w:tc>
      </w:tr>
      <w:tr>
        <w:trPr>
          <w:cantSplit/>
        </w:trPr>
        <w:tc>
          <w:tcPr>
            <w:tcW w:type="dxa" w:w="1542"/>
            <w:shd w:val="clear" w:color="auto" w:fill="FAFBFD"/>
          </w:tcPr>
          <w:p>
            <w:pPr>
              <w:spacing w:after="20" w:before="20"/>
            </w:pPr>
            <w:r/>
            <w:r>
              <w:rPr>
                <w:rFonts w:ascii="Calibri" w:hAnsi="Calibri"/>
                <w:b/>
                <w:i w:val="0"/>
                <w:color w:val="334E68"/>
                <w:sz w:val="17"/>
              </w:rPr>
              <w:t>HA relationship</w:t>
            </w:r>
          </w:p>
        </w:tc>
        <w:tc>
          <w:tcPr>
            <w:tcW w:type="dxa" w:w="4048"/>
            <w:shd w:val="clear" w:color="auto" w:fill="FAFBFD"/>
          </w:tcPr>
          <w:p>
            <w:pPr>
              <w:spacing w:after="20" w:before="20"/>
            </w:pPr>
            <w:r/>
            <w:r>
              <w:rPr>
                <w:rFonts w:ascii="Calibri" w:hAnsi="Calibri"/>
                <w:b w:val="0"/>
                <w:i w:val="0"/>
                <w:color w:val="334E68"/>
                <w:sz w:val="17"/>
              </w:rPr>
              <w:t>Not an HA component — a database container</w:t>
            </w:r>
          </w:p>
        </w:tc>
        <w:tc>
          <w:tcPr>
            <w:tcW w:type="dxa" w:w="4048"/>
            <w:shd w:val="clear" w:color="auto" w:fill="FAFBFD"/>
          </w:tcPr>
          <w:p>
            <w:pPr>
              <w:spacing w:after="20" w:before="20"/>
            </w:pPr>
            <w:r/>
            <w:r>
              <w:rPr>
                <w:rFonts w:ascii="Calibri" w:hAnsi="Calibri"/>
                <w:b w:val="0"/>
                <w:i w:val="0"/>
                <w:color w:val="334E68"/>
                <w:sz w:val="17"/>
              </w:rPr>
              <w:t>Not an HA component — a database container</w:t>
            </w:r>
          </w:p>
        </w:tc>
      </w:tr>
    </w:tbl>
    <w:p>
      <w:pPr>
        <w:spacing w:after="40"/>
      </w:pP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THE MOST COMMON HANA CONCEPTUAL ERROR</w:t>
      </w:r>
    </w:p>
    <w:p>
      <w:pPr>
        <w:spacing w:after="40"/>
        <w:ind w:left="170"/>
        <w:shd w:val="clear" w:color="auto" w:fill="FFFBFB"/>
        <w:pBdr>
          <w:left w:val="single" w:sz="6" w:space="6" w:color="C8434B"/>
          <w:bottom w:val="single" w:sz="6" w:space="6" w:color="C8434B"/>
          <w:right w:val="single" w:sz="6" w:space="6" w:color="C8434B"/>
        </w:pBdr>
      </w:pPr>
      <w:r>
        <w:rPr>
          <w:rFonts w:ascii="Calibri" w:hAnsi="Calibri"/>
          <w:b w:val="0"/>
          <w:i w:val="0"/>
          <w:color w:val="334E68"/>
          <w:sz w:val="18"/>
        </w:rPr>
        <w:t>Treating SystemDB/TenantDB as a primary/standby pair. They are containers within one HANA system. High availability is achieved by a different mechanism (system replication plus clustering or failover tooling, with storage and network design), and it is decided at infrastructure level.</w:t>
      </w:r>
    </w:p>
    <w:p>
      <w:pPr>
        <w:pStyle w:val="Heading2"/>
        <w:pBdr>
          <w:bottom w:val="single" w:sz="6" w:space="3" w:color="E8EDF3"/>
        </w:pBdr>
      </w:pPr>
      <w:r>
        <w:rPr>
          <w:rFonts w:ascii="Calibri" w:hAnsi="Calibri"/>
          <w:b/>
          <w:color w:val="0F2B4C"/>
          <w:sz w:val="26"/>
        </w:rPr>
        <w:t>6.2  HANA pre-checks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Database / EC2 sizing confirmed against the approved sizing report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Shared file system sizing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Required INI files and HANA configuration present and consistent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S3 bucket and backend configuration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HANA DB server status checked (services running, no failed units)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Transparent Huge Pages (THP) configuration checked against the SAP requirement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Kernel and HANA version confirmed against the target design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Global INI and relevant service configuration reviewed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Index server and name server configuration reviewed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OS prerequisites verified: hugepages, shared memory, limits, scheduler tuning</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Evidence for every pre-check captured and stored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rPr>
          <w:rFonts w:ascii="Calibri" w:hAnsi="Calibri"/>
          <w:b w:val="0"/>
          <w:i w:val="0"/>
          <w:color w:val="334E68"/>
          <w:sz w:val="20"/>
        </w:rPr>
        <w:t>Pre-check output should be retained even when everything passes. A clean pre-check record is what allows you to say later that a problem was introduced by the migration rather than carried into it.</w:t>
      </w:r>
    </w:p>
    <w:p>
      <w:pPr>
        <w:pStyle w:val="Heading2"/>
        <w:pBdr>
          <w:bottom w:val="single" w:sz="6" w:space="3" w:color="E8EDF3"/>
        </w:pBdr>
      </w:pPr>
      <w:r>
        <w:rPr>
          <w:rFonts w:ascii="Calibri" w:hAnsi="Calibri"/>
          <w:b/>
          <w:color w:val="0F2B4C"/>
          <w:sz w:val="26"/>
        </w:rPr>
        <w:t>6.3  AWS S3 backup backend</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S3 bucket availability confirmed in the correct region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Required bucket and folder structure created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Read/write policies and permissions validated for the backup identity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Backup path configuration validated in HANA</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Backend connectivity from the HANA host validated (endpoint, DNS, proxy, security group)</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Encryption and key management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Required configuration / INI files available and consistent with the backup setup</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 real backup has been written to the backend and the objects verified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Retention and lifecycle rules match the project standard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BACKINT VERSUS FILE-BASED BACKUP</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 xml:space="preserve">The source training refers to an S3 backup backend without naming the mechanism. In practice this is either a certified Backint agent for S3 or a file-based backup to a mounted/S3-synced target. Confirm which one the project uses, because the configuration files, permissions, log locations and restore syntax differ. </w:t>
      </w:r>
      <w:r>
        <w:rPr>
          <w:rFonts w:ascii="Calibri" w:hAnsi="Calibri"/>
          <w:b w:val="0"/>
          <w:i w:val="0"/>
          <w:color w:val="334E68"/>
          <w:sz w:val="18"/>
        </w:rPr>
        <w:t>Validate</w:t>
      </w:r>
    </w:p>
    <w:p>
      <w:pPr>
        <w:pStyle w:val="Heading2"/>
        <w:pBdr>
          <w:bottom w:val="single" w:sz="6" w:space="3" w:color="E8EDF3"/>
        </w:pBdr>
      </w:pPr>
      <w:r>
        <w:rPr>
          <w:rFonts w:ascii="Calibri" w:hAnsi="Calibri"/>
          <w:b/>
          <w:color w:val="0F2B4C"/>
          <w:sz w:val="26"/>
        </w:rPr>
        <w:t>6.4  Backup and recovery sequence</w:t>
      </w:r>
    </w:p>
    <w:p>
      <w:pPr>
        <w:spacing w:after="40"/>
        <w:ind w:left="578" w:hanging="227"/>
      </w:pPr>
      <w:r>
        <w:rPr>
          <w:rFonts w:ascii="Calibri" w:hAnsi="Calibri"/>
          <w:b/>
          <w:color w:val="0F2B4C"/>
          <w:sz w:val="19"/>
        </w:rPr>
        <w:t xml:space="preserve">1.  </w:t>
      </w:r>
      <w:r>
        <w:rPr>
          <w:rFonts w:ascii="Calibri" w:hAnsi="Calibri"/>
          <w:b w:val="0"/>
          <w:i w:val="0"/>
          <w:color w:val="334E68"/>
          <w:sz w:val="19"/>
        </w:rPr>
        <w:t>Configure the backup destination on the source.</w:t>
      </w:r>
    </w:p>
    <w:p>
      <w:pPr>
        <w:spacing w:after="40"/>
        <w:ind w:left="578" w:hanging="227"/>
      </w:pPr>
      <w:r>
        <w:rPr>
          <w:rFonts w:ascii="Calibri" w:hAnsi="Calibri"/>
          <w:b/>
          <w:color w:val="0F2B4C"/>
          <w:sz w:val="19"/>
        </w:rPr>
        <w:t xml:space="preserve">2.  </w:t>
      </w:r>
      <w:r>
        <w:rPr>
          <w:rFonts w:ascii="Calibri" w:hAnsi="Calibri"/>
          <w:b w:val="0"/>
          <w:i w:val="0"/>
          <w:color w:val="334E68"/>
          <w:sz w:val="19"/>
        </w:rPr>
        <w:t>Validate S3/backend connectivity end to end (write and read).</w:t>
      </w:r>
    </w:p>
    <w:p>
      <w:pPr>
        <w:spacing w:after="40"/>
        <w:ind w:left="578" w:hanging="227"/>
      </w:pPr>
      <w:r>
        <w:rPr>
          <w:rFonts w:ascii="Calibri" w:hAnsi="Calibri"/>
          <w:b/>
          <w:color w:val="0F2B4C"/>
          <w:sz w:val="19"/>
        </w:rPr>
        <w:t xml:space="preserve">3.  </w:t>
      </w:r>
      <w:r>
        <w:rPr>
          <w:rFonts w:ascii="Calibri" w:hAnsi="Calibri"/>
          <w:b w:val="0"/>
          <w:i w:val="0"/>
          <w:color w:val="334E68"/>
          <w:sz w:val="19"/>
        </w:rPr>
        <w:t xml:space="preserve">Test backup and recovery </w:t>
      </w:r>
      <w:r>
        <w:rPr>
          <w:rFonts w:ascii="Calibri" w:hAnsi="Calibri"/>
          <w:b/>
          <w:i w:val="0"/>
          <w:color w:val="334E68"/>
          <w:sz w:val="19"/>
        </w:rPr>
        <w:t>before</w:t>
      </w:r>
      <w:r>
        <w:rPr>
          <w:rFonts w:ascii="Calibri" w:hAnsi="Calibri"/>
          <w:b w:val="0"/>
          <w:i w:val="0"/>
          <w:color w:val="334E68"/>
          <w:sz w:val="19"/>
        </w:rPr>
        <w:t xml:space="preserve"> cutover, on a target that mirrors production.</w:t>
      </w:r>
    </w:p>
    <w:p>
      <w:pPr>
        <w:spacing w:after="40"/>
        <w:ind w:left="578" w:hanging="227"/>
      </w:pPr>
      <w:r>
        <w:rPr>
          <w:rFonts w:ascii="Calibri" w:hAnsi="Calibri"/>
          <w:b/>
          <w:color w:val="0F2B4C"/>
          <w:sz w:val="19"/>
        </w:rPr>
        <w:t xml:space="preserve">4.  </w:t>
      </w:r>
      <w:r>
        <w:rPr>
          <w:rFonts w:ascii="Calibri" w:hAnsi="Calibri"/>
          <w:b w:val="0"/>
          <w:i w:val="0"/>
          <w:color w:val="334E68"/>
          <w:sz w:val="19"/>
        </w:rPr>
        <w:t>Verify recovered data consistency (row counts, key tables, application logon, no failed recovery steps in the log).</w:t>
      </w:r>
    </w:p>
    <w:p>
      <w:pPr>
        <w:spacing w:after="40"/>
        <w:ind w:left="578" w:hanging="227"/>
      </w:pPr>
      <w:r>
        <w:rPr>
          <w:rFonts w:ascii="Calibri" w:hAnsi="Calibri"/>
          <w:b/>
          <w:color w:val="0F2B4C"/>
          <w:sz w:val="19"/>
        </w:rPr>
        <w:t xml:space="preserve">5.  </w:t>
      </w:r>
      <w:r>
        <w:rPr>
          <w:rFonts w:ascii="Calibri" w:hAnsi="Calibri"/>
          <w:b w:val="0"/>
          <w:i w:val="0"/>
          <w:color w:val="334E68"/>
          <w:sz w:val="19"/>
        </w:rPr>
        <w:t>Capture evidence of the successful test: backup log, recovery log, timestamps, verification output.</w:t>
      </w:r>
    </w:p>
    <w:p>
      <w:pPr>
        <w:spacing w:after="40"/>
        <w:ind w:left="578" w:hanging="227"/>
      </w:pPr>
      <w:r>
        <w:rPr>
          <w:rFonts w:ascii="Calibri" w:hAnsi="Calibri"/>
          <w:b/>
          <w:color w:val="0F2B4C"/>
          <w:sz w:val="19"/>
        </w:rPr>
        <w:t xml:space="preserve">6.  </w:t>
      </w:r>
      <w:r>
        <w:rPr>
          <w:rFonts w:ascii="Calibri" w:hAnsi="Calibri"/>
          <w:b w:val="0"/>
          <w:i w:val="0"/>
          <w:color w:val="334E68"/>
          <w:sz w:val="19"/>
        </w:rPr>
        <w:t>During cutover, execute the final backup.</w:t>
      </w:r>
    </w:p>
    <w:p>
      <w:pPr>
        <w:spacing w:after="40"/>
        <w:ind w:left="578" w:hanging="227"/>
      </w:pPr>
      <w:r>
        <w:rPr>
          <w:rFonts w:ascii="Calibri" w:hAnsi="Calibri"/>
          <w:b/>
          <w:color w:val="0F2B4C"/>
          <w:sz w:val="19"/>
        </w:rPr>
        <w:t xml:space="preserve">7.  </w:t>
      </w:r>
      <w:r>
        <w:rPr>
          <w:rFonts w:ascii="Calibri" w:hAnsi="Calibri"/>
          <w:b w:val="0"/>
          <w:i w:val="0"/>
          <w:color w:val="334E68"/>
          <w:sz w:val="19"/>
        </w:rPr>
        <w:t xml:space="preserve">Complete final backup validation </w:t>
      </w:r>
      <w:r>
        <w:rPr>
          <w:rFonts w:ascii="Calibri" w:hAnsi="Calibri"/>
          <w:b/>
          <w:i w:val="0"/>
          <w:color w:val="334E68"/>
          <w:sz w:val="19"/>
        </w:rPr>
        <w:t>before</w:t>
      </w:r>
      <w:r>
        <w:rPr>
          <w:rFonts w:ascii="Calibri" w:hAnsi="Calibri"/>
          <w:b w:val="0"/>
          <w:i w:val="0"/>
          <w:color w:val="334E68"/>
          <w:sz w:val="19"/>
        </w:rPr>
        <w:t xml:space="preserve"> source shutdown.</w:t>
      </w:r>
    </w:p>
    <w:p>
      <w:pPr>
        <w:spacing w:after="40"/>
        <w:ind w:left="578" w:hanging="227"/>
      </w:pPr>
      <w:r>
        <w:rPr>
          <w:rFonts w:ascii="Calibri" w:hAnsi="Calibri"/>
          <w:b/>
          <w:color w:val="0F2B4C"/>
          <w:sz w:val="19"/>
        </w:rPr>
        <w:t xml:space="preserve">8.  </w:t>
      </w:r>
      <w:r>
        <w:rPr>
          <w:rFonts w:ascii="Calibri" w:hAnsi="Calibri"/>
          <w:b w:val="0"/>
          <w:i w:val="0"/>
          <w:color w:val="334E68"/>
          <w:sz w:val="19"/>
        </w:rPr>
        <w:t>Stop the source system only after the required backup activity has succeeded.</w:t>
      </w:r>
    </w:p>
    <w:p>
      <w:pPr>
        <w:spacing w:after="40"/>
        <w:ind w:left="578" w:hanging="227"/>
      </w:pPr>
      <w:r>
        <w:rPr>
          <w:rFonts w:ascii="Calibri" w:hAnsi="Calibri"/>
          <w:b/>
          <w:color w:val="0F2B4C"/>
          <w:sz w:val="19"/>
        </w:rPr>
        <w:t xml:space="preserve">9.  </w:t>
      </w:r>
      <w:r>
        <w:rPr>
          <w:rFonts w:ascii="Calibri" w:hAnsi="Calibri"/>
          <w:b w:val="0"/>
          <w:i w:val="0"/>
          <w:color w:val="334E68"/>
          <w:sz w:val="19"/>
        </w:rPr>
        <w:t>Configure the target and initiate recovery.</w:t>
      </w:r>
    </w:p>
    <w:p>
      <w:pPr>
        <w:spacing w:after="40"/>
        <w:ind w:left="578" w:hanging="227"/>
      </w:pPr>
      <w:r>
        <w:rPr>
          <w:rFonts w:ascii="Calibri" w:hAnsi="Calibri"/>
          <w:b/>
          <w:color w:val="0F2B4C"/>
          <w:sz w:val="19"/>
        </w:rPr>
        <w:t xml:space="preserve">10.  </w:t>
      </w:r>
      <w:r>
        <w:rPr>
          <w:rFonts w:ascii="Calibri" w:hAnsi="Calibri"/>
          <w:b w:val="0"/>
          <w:i w:val="0"/>
          <w:color w:val="334E68"/>
          <w:sz w:val="19"/>
        </w:rPr>
        <w:t>Validate database and application connectivity after recovery.</w:t>
      </w:r>
    </w:p>
    <w:p>
      <w:pPr>
        <w:spacing w:before="120" w:after="160"/>
        <w:shd w:val="clear" w:color="auto" w:fill="F4F7FB"/>
        <w:pBdr>
          <w:left w:val="single" w:sz="18" w:space="6" w:color="1B4F86"/>
        </w:pBdr>
      </w:pPr>
      <w:r>
        <w:rPr>
          <w:rFonts w:ascii="Calibri" w:hAnsi="Calibri"/>
          <w:b/>
          <w:color w:val="0F2B4C"/>
          <w:sz w:val="18"/>
        </w:rPr>
        <w:t>Source backup</w:t>
      </w:r>
      <w:r>
        <w:rPr>
          <w:b/>
          <w:color w:val="9EC3EC"/>
          <w:sz w:val="18"/>
        </w:rPr>
        <w:t xml:space="preserve">  →  </w:t>
      </w:r>
      <w:r>
        <w:rPr>
          <w:rFonts w:ascii="Calibri" w:hAnsi="Calibri"/>
          <w:b/>
          <w:color w:val="0F2B4C"/>
          <w:sz w:val="18"/>
        </w:rPr>
        <w:t>Configuration file</w:t>
      </w:r>
      <w:r>
        <w:rPr>
          <w:b/>
          <w:color w:val="9EC3EC"/>
          <w:sz w:val="18"/>
        </w:rPr>
        <w:t xml:space="preserve">  →  </w:t>
      </w:r>
      <w:r>
        <w:rPr>
          <w:rFonts w:ascii="Calibri" w:hAnsi="Calibri"/>
          <w:b/>
          <w:color w:val="0F2B4C"/>
          <w:sz w:val="18"/>
        </w:rPr>
        <w:t>S3 backend</w:t>
      </w:r>
      <w:r>
        <w:rPr>
          <w:b/>
          <w:color w:val="9EC3EC"/>
          <w:sz w:val="18"/>
        </w:rPr>
        <w:t xml:space="preserve">  →  </w:t>
      </w:r>
      <w:r>
        <w:rPr>
          <w:rFonts w:ascii="Calibri" w:hAnsi="Calibri"/>
          <w:b/>
          <w:color w:val="0F2B4C"/>
          <w:sz w:val="18"/>
        </w:rPr>
        <w:t>Target configuration</w:t>
      </w:r>
      <w:r>
        <w:rPr>
          <w:b/>
          <w:color w:val="9EC3EC"/>
          <w:sz w:val="18"/>
        </w:rPr>
        <w:t xml:space="preserve">  →  </w:t>
      </w:r>
      <w:r>
        <w:rPr>
          <w:rFonts w:ascii="Calibri" w:hAnsi="Calibri"/>
          <w:b/>
          <w:color w:val="0F2B4C"/>
          <w:sz w:val="18"/>
        </w:rPr>
        <w:t>Recovery</w:t>
      </w:r>
      <w:r>
        <w:rPr>
          <w:b/>
          <w:color w:val="9EC3EC"/>
          <w:sz w:val="18"/>
        </w:rPr>
        <w:t xml:space="preserve">  →  </w:t>
      </w:r>
      <w:r>
        <w:rPr>
          <w:rFonts w:ascii="Calibri" w:hAnsi="Calibri"/>
          <w:b/>
          <w:color w:val="0F2B4C"/>
          <w:sz w:val="18"/>
        </w:rPr>
        <w:t>Validation</w:t>
      </w: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SEQUENCING RULE THAT PROTECTS THE PROGRAMME</w:t>
      </w:r>
    </w:p>
    <w:p>
      <w:pPr>
        <w:spacing w:after="40"/>
        <w:ind w:left="170"/>
        <w:shd w:val="clear" w:color="auto" w:fill="FFFBFB"/>
        <w:pBdr>
          <w:left w:val="single" w:sz="6" w:space="6" w:color="C8434B"/>
          <w:bottom w:val="single" w:sz="6" w:space="6" w:color="C8434B"/>
          <w:right w:val="single" w:sz="6" w:space="6" w:color="C8434B"/>
        </w:pBdr>
      </w:pPr>
      <w:r>
        <w:rPr>
          <w:rFonts w:ascii="Calibri" w:hAnsi="Calibri"/>
          <w:b w:val="0"/>
          <w:i w:val="0"/>
          <w:color w:val="334E68"/>
          <w:sz w:val="18"/>
        </w:rPr>
        <w:t>Keep the source available until the required final backup activity is successfully completed. Stopping the source first removes the rollback option and turns a routine recovery into an incident.</w:t>
      </w:r>
    </w:p>
    <w:p>
      <w:pPr>
        <w:pStyle w:val="Heading2"/>
        <w:pBdr>
          <w:bottom w:val="single" w:sz="6" w:space="3" w:color="E8EDF3"/>
        </w:pBdr>
      </w:pPr>
      <w:r>
        <w:rPr>
          <w:rFonts w:ascii="Calibri" w:hAnsi="Calibri"/>
          <w:b/>
          <w:color w:val="0F2B4C"/>
          <w:sz w:val="26"/>
        </w:rPr>
        <w:t>6.5  Three-tier application validation</w:t>
      </w:r>
    </w:p>
    <w:p>
      <w:pPr>
        <w:spacing w:after="60" w:before="160"/>
        <w:keepNext/>
      </w:pPr>
      <w:r>
        <w:rPr>
          <w:rFonts w:ascii="Calibri" w:hAnsi="Calibri"/>
          <w:b/>
          <w:color w:val="5B7288"/>
          <w:sz w:val="15"/>
        </w:rPr>
        <w:t>THREE-TIER VALIDATION ORDER</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5783"/>
        <w:gridCol w:w="1735"/>
      </w:tblGrid>
      <w:tr>
        <w:trPr>
          <w:tblHeader/>
          <w:cantSplit/>
        </w:trPr>
        <w:tc>
          <w:tcPr>
            <w:tcW w:type="dxa" w:w="2120"/>
            <w:shd w:val="clear" w:color="auto" w:fill="0F2B4C"/>
          </w:tcPr>
          <w:p>
            <w:pPr>
              <w:spacing w:after="20" w:before="20"/>
            </w:pPr>
            <w:r/>
            <w:r>
              <w:rPr>
                <w:rFonts w:ascii="Calibri" w:hAnsi="Calibri"/>
                <w:b/>
                <w:color w:val="FFFFFF"/>
                <w:sz w:val="17"/>
              </w:rPr>
              <w:t>Layer</w:t>
            </w:r>
          </w:p>
        </w:tc>
        <w:tc>
          <w:tcPr>
            <w:tcW w:type="dxa" w:w="5783"/>
            <w:shd w:val="clear" w:color="auto" w:fill="0F2B4C"/>
          </w:tcPr>
          <w:p>
            <w:pPr>
              <w:spacing w:after="20" w:before="20"/>
            </w:pPr>
            <w:r/>
            <w:r>
              <w:rPr>
                <w:rFonts w:ascii="Calibri" w:hAnsi="Calibri"/>
                <w:b/>
                <w:color w:val="FFFFFF"/>
                <w:sz w:val="17"/>
              </w:rPr>
              <w:t>What is validated</w:t>
            </w:r>
          </w:p>
        </w:tc>
        <w:tc>
          <w:tcPr>
            <w:tcW w:type="dxa" w:w="1735"/>
            <w:shd w:val="clear" w:color="auto" w:fill="0F2B4C"/>
          </w:tcPr>
          <w:p>
            <w:pPr>
              <w:spacing w:after="20" w:before="20"/>
            </w:pPr>
            <w:r/>
            <w:r>
              <w:rPr>
                <w:rFonts w:ascii="Calibri" w:hAnsi="Calibri"/>
                <w:b/>
                <w:color w:val="FFFFFF"/>
                <w:sz w:val="17"/>
              </w:rPr>
              <w:t>Order</w:t>
            </w:r>
          </w:p>
        </w:tc>
      </w:tr>
      <w:tr>
        <w:trPr>
          <w:cantSplit/>
        </w:trPr>
        <w:tc>
          <w:tcPr>
            <w:tcW w:type="dxa" w:w="2120"/>
          </w:tcPr>
          <w:p>
            <w:pPr>
              <w:spacing w:after="20" w:before="20"/>
            </w:pPr>
            <w:r/>
            <w:r>
              <w:rPr>
                <w:rFonts w:ascii="Calibri" w:hAnsi="Calibri"/>
                <w:b/>
                <w:i w:val="0"/>
                <w:color w:val="334E68"/>
                <w:sz w:val="17"/>
              </w:rPr>
              <w:t>UI / presentation layer</w:t>
            </w:r>
          </w:p>
        </w:tc>
        <w:tc>
          <w:tcPr>
            <w:tcW w:type="dxa" w:w="5783"/>
          </w:tcPr>
          <w:p>
            <w:pPr>
              <w:spacing w:after="20" w:before="20"/>
            </w:pPr>
            <w:r/>
            <w:r>
              <w:rPr>
                <w:rFonts w:ascii="Calibri" w:hAnsi="Calibri"/>
                <w:b w:val="0"/>
                <w:i w:val="0"/>
                <w:color w:val="334E68"/>
                <w:sz w:val="17"/>
              </w:rPr>
              <w:t>SAP GUI or Fiori connectivity, login, transaction rendering, timeout behaviour</w:t>
            </w:r>
          </w:p>
        </w:tc>
        <w:tc>
          <w:tcPr>
            <w:tcW w:type="dxa" w:w="1735"/>
          </w:tcPr>
          <w:p>
            <w:pPr>
              <w:spacing w:after="20" w:before="20"/>
            </w:pPr>
            <w:r/>
            <w:r>
              <w:rPr>
                <w:rFonts w:ascii="Calibri" w:hAnsi="Calibri"/>
                <w:b w:val="0"/>
                <w:i w:val="0"/>
                <w:color w:val="334E68"/>
                <w:sz w:val="17"/>
              </w:rPr>
              <w:t>3rd</w:t>
            </w:r>
          </w:p>
        </w:tc>
      </w:tr>
      <w:tr>
        <w:trPr>
          <w:cantSplit/>
        </w:trPr>
        <w:tc>
          <w:tcPr>
            <w:tcW w:type="dxa" w:w="2120"/>
            <w:shd w:val="clear" w:color="auto" w:fill="FAFBFD"/>
          </w:tcPr>
          <w:p>
            <w:pPr>
              <w:spacing w:after="20" w:before="20"/>
            </w:pPr>
            <w:r/>
            <w:r>
              <w:rPr>
                <w:rFonts w:ascii="Calibri" w:hAnsi="Calibri"/>
                <w:b/>
                <w:i w:val="0"/>
                <w:color w:val="334E68"/>
                <w:sz w:val="17"/>
              </w:rPr>
              <w:t>Application layer</w:t>
            </w:r>
          </w:p>
        </w:tc>
        <w:tc>
          <w:tcPr>
            <w:tcW w:type="dxa" w:w="5783"/>
            <w:shd w:val="clear" w:color="auto" w:fill="FAFBFD"/>
          </w:tcPr>
          <w:p>
            <w:pPr>
              <w:spacing w:after="20" w:before="20"/>
            </w:pPr>
            <w:r/>
            <w:r>
              <w:rPr>
                <w:rFonts w:ascii="Calibri" w:hAnsi="Calibri"/>
                <w:b w:val="0"/>
                <w:i w:val="0"/>
                <w:color w:val="334E68"/>
                <w:sz w:val="17"/>
              </w:rPr>
              <w:t>Work processes, instance start, RFC and Gateway connectivity, spool, ICM services</w:t>
            </w:r>
          </w:p>
        </w:tc>
        <w:tc>
          <w:tcPr>
            <w:tcW w:type="dxa" w:w="1735"/>
            <w:shd w:val="clear" w:color="auto" w:fill="FAFBFD"/>
          </w:tcPr>
          <w:p>
            <w:pPr>
              <w:spacing w:after="20" w:before="20"/>
            </w:pPr>
            <w:r/>
            <w:r>
              <w:rPr>
                <w:rFonts w:ascii="Calibri" w:hAnsi="Calibri"/>
                <w:b w:val="0"/>
                <w:i w:val="0"/>
                <w:color w:val="334E68"/>
                <w:sz w:val="17"/>
              </w:rPr>
              <w:t>2nd</w:t>
            </w:r>
          </w:p>
        </w:tc>
      </w:tr>
      <w:tr>
        <w:trPr>
          <w:cantSplit/>
        </w:trPr>
        <w:tc>
          <w:tcPr>
            <w:tcW w:type="dxa" w:w="2120"/>
          </w:tcPr>
          <w:p>
            <w:pPr>
              <w:spacing w:after="20" w:before="20"/>
            </w:pPr>
            <w:r/>
            <w:r>
              <w:rPr>
                <w:rFonts w:ascii="Calibri" w:hAnsi="Calibri"/>
                <w:b/>
                <w:i w:val="0"/>
                <w:color w:val="334E68"/>
                <w:sz w:val="17"/>
              </w:rPr>
              <w:t>Database layer</w:t>
            </w:r>
          </w:p>
        </w:tc>
        <w:tc>
          <w:tcPr>
            <w:tcW w:type="dxa" w:w="5783"/>
          </w:tcPr>
          <w:p>
            <w:pPr>
              <w:spacing w:after="20" w:before="20"/>
            </w:pPr>
            <w:r/>
            <w:r>
              <w:rPr>
                <w:rFonts w:ascii="Calibri" w:hAnsi="Calibri"/>
                <w:b w:val="0"/>
                <w:i w:val="0"/>
                <w:color w:val="334E68"/>
                <w:sz w:val="17"/>
              </w:rPr>
              <w:t>HANA services, tenant status, connectivity from the application, data retrieval and updates</w:t>
            </w:r>
          </w:p>
        </w:tc>
        <w:tc>
          <w:tcPr>
            <w:tcW w:type="dxa" w:w="1735"/>
          </w:tcPr>
          <w:p>
            <w:pPr>
              <w:spacing w:after="20" w:before="20"/>
            </w:pPr>
            <w:r/>
            <w:r>
              <w:rPr>
                <w:rFonts w:ascii="Calibri" w:hAnsi="Calibri"/>
                <w:b w:val="0"/>
                <w:i w:val="0"/>
                <w:color w:val="334E68"/>
                <w:sz w:val="17"/>
              </w:rPr>
              <w:t>1st</w:t>
            </w:r>
          </w:p>
        </w:tc>
      </w:tr>
    </w:tbl>
    <w:p>
      <w:pPr>
        <w:spacing w:after="40"/>
      </w:pPr>
    </w:p>
    <w:p>
      <w:r>
        <w:rPr>
          <w:rFonts w:ascii="Calibri" w:hAnsi="Calibri"/>
          <w:b w:val="0"/>
          <w:i w:val="0"/>
          <w:color w:val="334E68"/>
          <w:sz w:val="20"/>
        </w:rPr>
        <w:t>Database recovery is completed first; application servers are then started and validated against the recovered HANA database. Validate application processing, data retrieval, updates and database connectivity — not just “the instance is green”.</w:t>
      </w:r>
    </w:p>
    <w:p>
      <w:pPr>
        <w:pStyle w:val="Heading2"/>
        <w:pBdr>
          <w:bottom w:val="single" w:sz="6" w:space="3" w:color="E8EDF3"/>
        </w:pBdr>
      </w:pPr>
      <w:r>
        <w:rPr>
          <w:rFonts w:ascii="Calibri" w:hAnsi="Calibri"/>
          <w:b/>
          <w:color w:val="0F2B4C"/>
          <w:sz w:val="26"/>
        </w:rPr>
        <w:t>6.6  Module 3 readiness checklist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SystemDB and TenantDB roles understood and documented for this system</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SystemDB/TenantDB not confused with the HA design in project documentation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HANA pre-checks executed with all output retained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S3 backup backend configured and connectivity proven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Backup tested successfully to the S3 backend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Recovery tested successfully on a non-production target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Recovered data consistency verified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Backup/recovery evidence pack complete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Cutover backup window and duration estimated from the test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Rollback anchor defined (final backup plus snapshot)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Three-tier validation performed in the correct order after recovery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br w:type="page"/>
      </w:r>
    </w:p>
    <w:p>
      <w:pPr>
        <w:spacing w:after="20"/>
      </w:pPr>
      <w:r>
        <w:rPr>
          <w:rFonts w:ascii="Calibri" w:hAnsi="Calibri"/>
          <w:b/>
          <w:color w:val="1B4F86"/>
          <w:sz w:val="16"/>
        </w:rPr>
        <w:t>MODULE 4 · SECTION 7</w:t>
      </w:r>
    </w:p>
    <w:p>
      <w:pPr>
        <w:pStyle w:val="Heading1"/>
        <w:pBdr>
          <w:bottom w:val="single" w:sz="12" w:space="5" w:color="1B4F86"/>
        </w:pBdr>
        <w:spacing w:after="160"/>
      </w:pPr>
      <w:r>
        <w:rPr>
          <w:rFonts w:ascii="Calibri Light" w:hAnsi="Calibri Light"/>
          <w:b/>
          <w:color w:val="0F2B4C"/>
          <w:sz w:val="38"/>
        </w:rPr>
        <w:t>7  Module 4 — SAP post-migration validation</w:t>
      </w:r>
    </w:p>
    <w:p>
      <w:pPr>
        <w:spacing w:after="200"/>
      </w:pPr>
      <w:r>
        <w:rPr>
          <w:rFonts w:ascii="Calibri" w:hAnsi="Calibri"/>
          <w:i/>
          <w:color w:val="5B7288"/>
          <w:sz w:val="21"/>
        </w:rPr>
        <w:t>Validation is comparison, not inspection. Every check in this module answers one question: does the target match the approved design and the source baseline, and if not, is the difference explained?</w:t>
      </w:r>
    </w:p>
    <w:p>
      <w:pPr>
        <w:pStyle w:val="Heading2"/>
        <w:pBdr>
          <w:bottom w:val="single" w:sz="6" w:space="3" w:color="E8EDF3"/>
        </w:pBdr>
      </w:pPr>
      <w:r>
        <w:rPr>
          <w:rFonts w:ascii="Calibri" w:hAnsi="Calibri"/>
          <w:b/>
          <w:color w:val="0F2B4C"/>
          <w:sz w:val="26"/>
        </w:rPr>
        <w:t>7.1  Auto-start validation</w:t>
      </w:r>
    </w:p>
    <w:p>
      <w:pPr>
        <w:spacing w:after="40"/>
        <w:ind w:left="578" w:hanging="227"/>
      </w:pPr>
      <w:r>
        <w:rPr>
          <w:rFonts w:ascii="Calibri" w:hAnsi="Calibri"/>
          <w:b/>
          <w:color w:val="0F2B4C"/>
          <w:sz w:val="19"/>
        </w:rPr>
        <w:t xml:space="preserve">1.  </w:t>
      </w:r>
      <w:r>
        <w:rPr>
          <w:rFonts w:ascii="Calibri" w:hAnsi="Calibri"/>
          <w:b w:val="0"/>
          <w:i w:val="0"/>
          <w:color w:val="334E68"/>
          <w:sz w:val="19"/>
        </w:rPr>
        <w:t>Check the configured SAP service (the init/systemd unit that starts SAP at boot).</w:t>
      </w:r>
    </w:p>
    <w:p>
      <w:pPr>
        <w:spacing w:after="40"/>
        <w:ind w:left="578" w:hanging="227"/>
      </w:pPr>
      <w:r>
        <w:rPr>
          <w:rFonts w:ascii="Calibri" w:hAnsi="Calibri"/>
          <w:b/>
          <w:color w:val="0F2B4C"/>
          <w:sz w:val="19"/>
        </w:rPr>
        <w:t xml:space="preserve">2.  </w:t>
      </w:r>
      <w:r>
        <w:rPr>
          <w:rFonts w:ascii="Calibri" w:hAnsi="Calibri"/>
          <w:b w:val="0"/>
          <w:i w:val="0"/>
          <w:color w:val="334E68"/>
          <w:sz w:val="19"/>
        </w:rPr>
        <w:t xml:space="preserve">Verify the service status is </w:t>
      </w:r>
      <w:r>
        <w:rPr>
          <w:rFonts w:ascii="Calibri" w:hAnsi="Calibri"/>
          <w:b/>
          <w:i w:val="0"/>
          <w:color w:val="334E68"/>
          <w:sz w:val="19"/>
        </w:rPr>
        <w:t>Active</w:t>
      </w:r>
      <w:r>
        <w:rPr>
          <w:rFonts w:ascii="Calibri" w:hAnsi="Calibri"/>
          <w:b w:val="0"/>
          <w:i w:val="0"/>
          <w:color w:val="334E68"/>
          <w:sz w:val="19"/>
        </w:rPr>
        <w:t>.</w:t>
      </w:r>
    </w:p>
    <w:p>
      <w:pPr>
        <w:spacing w:after="40"/>
        <w:ind w:left="578" w:hanging="227"/>
      </w:pPr>
      <w:r>
        <w:rPr>
          <w:rFonts w:ascii="Calibri" w:hAnsi="Calibri"/>
          <w:b/>
          <w:color w:val="0F2B4C"/>
          <w:sz w:val="19"/>
        </w:rPr>
        <w:t xml:space="preserve">3.  </w:t>
      </w:r>
      <w:r>
        <w:rPr>
          <w:rFonts w:ascii="Calibri" w:hAnsi="Calibri"/>
          <w:b w:val="0"/>
          <w:i w:val="0"/>
          <w:color w:val="334E68"/>
          <w:sz w:val="19"/>
        </w:rPr>
        <w:t>Verify the service return code.</w:t>
      </w:r>
    </w:p>
    <w:p>
      <w:pPr>
        <w:spacing w:after="40"/>
        <w:ind w:left="578" w:hanging="227"/>
      </w:pPr>
      <w:r>
        <w:rPr>
          <w:rFonts w:ascii="Calibri" w:hAnsi="Calibri"/>
          <w:b/>
          <w:color w:val="0F2B4C"/>
          <w:sz w:val="19"/>
        </w:rPr>
        <w:t xml:space="preserve">4.  </w:t>
      </w:r>
      <w:r>
        <w:rPr>
          <w:rFonts w:ascii="Calibri" w:hAnsi="Calibri"/>
          <w:b w:val="0"/>
          <w:i w:val="0"/>
          <w:color w:val="334E68"/>
          <w:sz w:val="19"/>
        </w:rPr>
        <w:t>Stop the required SAP instances cleanly.</w:t>
      </w:r>
    </w:p>
    <w:p>
      <w:pPr>
        <w:spacing w:after="40"/>
        <w:ind w:left="578" w:hanging="227"/>
      </w:pPr>
      <w:r>
        <w:rPr>
          <w:rFonts w:ascii="Calibri" w:hAnsi="Calibri"/>
          <w:b/>
          <w:color w:val="0F2B4C"/>
          <w:sz w:val="19"/>
        </w:rPr>
        <w:t xml:space="preserve">5.  </w:t>
      </w:r>
      <w:r>
        <w:rPr>
          <w:rFonts w:ascii="Calibri" w:hAnsi="Calibri"/>
          <w:b w:val="0"/>
          <w:i w:val="0"/>
          <w:color w:val="334E68"/>
          <w:sz w:val="19"/>
        </w:rPr>
        <w:t>Coordinate the server reboot with the Linux team (and with any cluster or HA manager).</w:t>
      </w:r>
    </w:p>
    <w:p>
      <w:pPr>
        <w:spacing w:after="40"/>
        <w:ind w:left="578" w:hanging="227"/>
      </w:pPr>
      <w:r>
        <w:rPr>
          <w:rFonts w:ascii="Calibri" w:hAnsi="Calibri"/>
          <w:b/>
          <w:color w:val="0F2B4C"/>
          <w:sz w:val="19"/>
        </w:rPr>
        <w:t xml:space="preserve">6.  </w:t>
      </w:r>
      <w:r>
        <w:rPr>
          <w:rFonts w:ascii="Calibri" w:hAnsi="Calibri"/>
          <w:b w:val="0"/>
          <w:i w:val="0"/>
          <w:color w:val="334E68"/>
          <w:sz w:val="19"/>
        </w:rPr>
        <w:t>After reboot, verify automatic SAP startup without manual intervention.</w:t>
      </w:r>
    </w:p>
    <w:p>
      <w:pPr>
        <w:spacing w:after="40"/>
        <w:ind w:left="578" w:hanging="227"/>
      </w:pPr>
      <w:r>
        <w:rPr>
          <w:rFonts w:ascii="Calibri" w:hAnsi="Calibri"/>
          <w:b/>
          <w:color w:val="0F2B4C"/>
          <w:sz w:val="19"/>
        </w:rPr>
        <w:t xml:space="preserve">7.  </w:t>
      </w:r>
      <w:r>
        <w:rPr>
          <w:rFonts w:ascii="Calibri" w:hAnsi="Calibri"/>
          <w:b w:val="0"/>
          <w:i w:val="0"/>
          <w:color w:val="334E68"/>
          <w:sz w:val="19"/>
        </w:rPr>
        <w:t>Confirm SAP availability: instances registered, work processes running, logon possible.</w:t>
      </w:r>
    </w:p>
    <w:p>
      <w:pPr>
        <w:spacing w:after="40"/>
        <w:ind w:left="578" w:hanging="227"/>
      </w:pPr>
      <w:r>
        <w:rPr>
          <w:rFonts w:ascii="Calibri" w:hAnsi="Calibri"/>
          <w:b/>
          <w:color w:val="0F2B4C"/>
          <w:sz w:val="19"/>
        </w:rPr>
        <w:t xml:space="preserve">8.  </w:t>
      </w:r>
      <w:r>
        <w:rPr>
          <w:rFonts w:ascii="Calibri" w:hAnsi="Calibri"/>
          <w:b w:val="0"/>
          <w:i w:val="0"/>
          <w:color w:val="334E68"/>
          <w:sz w:val="19"/>
        </w:rPr>
        <w:t>Capture evidence: service status, return code, instance list before and after, timestamps.</w:t>
      </w: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NEVER ASSUME AUTO-START WORKS. TEST IT THROUGH AN ACTUAL REBOOT.</w:t>
      </w:r>
    </w:p>
    <w:p>
      <w:pPr>
        <w:spacing w:after="40"/>
        <w:ind w:left="170"/>
        <w:shd w:val="clear" w:color="auto" w:fill="FFFBFB"/>
        <w:pBdr>
          <w:left w:val="single" w:sz="6" w:space="6" w:color="C8434B"/>
          <w:bottom w:val="single" w:sz="6" w:space="6" w:color="C8434B"/>
          <w:right w:val="single" w:sz="6" w:space="6" w:color="C8434B"/>
        </w:pBdr>
      </w:pPr>
      <w:r>
        <w:rPr>
          <w:rFonts w:ascii="Calibri" w:hAnsi="Calibri"/>
          <w:b w:val="0"/>
          <w:i w:val="0"/>
          <w:color w:val="334E68"/>
          <w:sz w:val="18"/>
        </w:rPr>
        <w:t>A service that is enabled and active can still fail at boot because of ordering: a file system that mounts late, a network interface that is not yet up, a cluster resource that owns the virtual IP, or a dependency on the database host. Only a real reboot proves the sequence.</w:t>
      </w:r>
    </w:p>
    <w:p>
      <w:pPr>
        <w:spacing w:after="60" w:before="160"/>
        <w:keepNext/>
      </w:pPr>
      <w:r>
        <w:rPr>
          <w:rFonts w:ascii="Calibri" w:hAnsi="Calibri"/>
          <w:b/>
          <w:color w:val="5B7288"/>
          <w:sz w:val="15"/>
        </w:rPr>
        <w:t>SERVICE RETURN CODES DISCUSSED IN THE TRAINING</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157"/>
        <w:gridCol w:w="3662"/>
        <w:gridCol w:w="4819"/>
      </w:tblGrid>
      <w:tr>
        <w:trPr>
          <w:tblHeader/>
          <w:cantSplit/>
        </w:trPr>
        <w:tc>
          <w:tcPr>
            <w:tcW w:type="dxa" w:w="1157"/>
            <w:shd w:val="clear" w:color="auto" w:fill="0F2B4C"/>
          </w:tcPr>
          <w:p>
            <w:pPr>
              <w:spacing w:after="20" w:before="20"/>
            </w:pPr>
            <w:r/>
            <w:r>
              <w:rPr>
                <w:rFonts w:ascii="Calibri" w:hAnsi="Calibri"/>
                <w:b/>
                <w:color w:val="FFFFFF"/>
                <w:sz w:val="17"/>
              </w:rPr>
              <w:t>Return code</w:t>
            </w:r>
          </w:p>
        </w:tc>
        <w:tc>
          <w:tcPr>
            <w:tcW w:type="dxa" w:w="3662"/>
            <w:shd w:val="clear" w:color="auto" w:fill="0F2B4C"/>
          </w:tcPr>
          <w:p>
            <w:pPr>
              <w:spacing w:after="20" w:before="20"/>
            </w:pPr>
            <w:r/>
            <w:r>
              <w:rPr>
                <w:rFonts w:ascii="Calibri" w:hAnsi="Calibri"/>
                <w:b/>
                <w:color w:val="FFFFFF"/>
                <w:sz w:val="17"/>
              </w:rPr>
              <w:t>Interpretation</w:t>
            </w:r>
          </w:p>
        </w:tc>
        <w:tc>
          <w:tcPr>
            <w:tcW w:type="dxa" w:w="4819"/>
            <w:shd w:val="clear" w:color="auto" w:fill="0F2B4C"/>
          </w:tcPr>
          <w:p>
            <w:pPr>
              <w:spacing w:after="20" w:before="20"/>
            </w:pPr>
            <w:r/>
            <w:r>
              <w:rPr>
                <w:rFonts w:ascii="Calibri" w:hAnsi="Calibri"/>
                <w:b/>
                <w:color w:val="FFFFFF"/>
                <w:sz w:val="17"/>
              </w:rPr>
              <w:t>First actions</w:t>
            </w:r>
          </w:p>
        </w:tc>
      </w:tr>
      <w:tr>
        <w:trPr>
          <w:cantSplit/>
        </w:trPr>
        <w:tc>
          <w:tcPr>
            <w:tcW w:type="dxa" w:w="1157"/>
          </w:tcPr>
          <w:p>
            <w:pPr>
              <w:spacing w:after="20" w:before="20"/>
            </w:pPr>
            <w:r/>
            <w:r>
              <w:rPr>
                <w:rFonts w:ascii="Consolas" w:hAnsi="Consolas"/>
                <w:b/>
                <w:i w:val="0"/>
                <w:color w:val="123A63"/>
                <w:sz w:val="17"/>
                <w:shd w:val="clear" w:color="auto" w:fill="EEF2F7"/>
              </w:rPr>
              <w:t>0</w:t>
            </w:r>
          </w:p>
        </w:tc>
        <w:tc>
          <w:tcPr>
            <w:tcW w:type="dxa" w:w="3662"/>
          </w:tcPr>
          <w:p>
            <w:pPr>
              <w:spacing w:after="20" w:before="20"/>
            </w:pPr>
            <w:r/>
            <w:r>
              <w:rPr>
                <w:rFonts w:ascii="Calibri" w:hAnsi="Calibri"/>
                <w:b w:val="0"/>
                <w:i w:val="0"/>
                <w:color w:val="334E68"/>
                <w:sz w:val="17"/>
              </w:rPr>
              <w:t>Success. The expected result after reboot.</w:t>
            </w:r>
          </w:p>
        </w:tc>
        <w:tc>
          <w:tcPr>
            <w:tcW w:type="dxa" w:w="4819"/>
          </w:tcPr>
          <w:p>
            <w:pPr>
              <w:spacing w:after="20" w:before="20"/>
            </w:pPr>
            <w:r/>
            <w:r>
              <w:rPr>
                <w:rFonts w:ascii="Calibri" w:hAnsi="Calibri"/>
                <w:b w:val="0"/>
                <w:i w:val="0"/>
                <w:color w:val="334E68"/>
                <w:sz w:val="17"/>
              </w:rPr>
              <w:t xml:space="preserve">Confirm instances are actually registered in </w:t>
            </w:r>
            <w:r>
              <w:rPr>
                <w:rFonts w:ascii="Consolas" w:hAnsi="Consolas"/>
                <w:b w:val="0"/>
                <w:i w:val="0"/>
                <w:color w:val="123A63"/>
                <w:sz w:val="17"/>
                <w:shd w:val="clear" w:color="auto" w:fill="EEF2F7"/>
              </w:rPr>
              <w:t>SM51</w:t>
            </w:r>
            <w:r>
              <w:rPr>
                <w:rFonts w:ascii="Calibri" w:hAnsi="Calibri"/>
                <w:b w:val="0"/>
                <w:i w:val="0"/>
                <w:color w:val="334E68"/>
                <w:sz w:val="17"/>
              </w:rPr>
              <w:t xml:space="preserve"> — a zero exit code is not proof that SAP is usable.</w:t>
            </w:r>
          </w:p>
        </w:tc>
      </w:tr>
      <w:tr>
        <w:trPr>
          <w:cantSplit/>
        </w:trPr>
        <w:tc>
          <w:tcPr>
            <w:tcW w:type="dxa" w:w="1157"/>
            <w:shd w:val="clear" w:color="auto" w:fill="FAFBFD"/>
          </w:tcPr>
          <w:p>
            <w:pPr>
              <w:spacing w:after="20" w:before="20"/>
            </w:pPr>
            <w:r/>
            <w:r>
              <w:rPr>
                <w:rFonts w:ascii="Consolas" w:hAnsi="Consolas"/>
                <w:b/>
                <w:i w:val="0"/>
                <w:color w:val="123A63"/>
                <w:sz w:val="17"/>
                <w:shd w:val="clear" w:color="auto" w:fill="EEF2F7"/>
              </w:rPr>
              <w:t>127</w:t>
            </w:r>
          </w:p>
        </w:tc>
        <w:tc>
          <w:tcPr>
            <w:tcW w:type="dxa" w:w="3662"/>
            <w:shd w:val="clear" w:color="auto" w:fill="FAFBFD"/>
          </w:tcPr>
          <w:p>
            <w:pPr>
              <w:spacing w:after="20" w:before="20"/>
            </w:pPr>
            <w:r/>
            <w:r>
              <w:rPr>
                <w:rFonts w:ascii="Calibri" w:hAnsi="Calibri"/>
                <w:b w:val="0"/>
                <w:i w:val="0"/>
                <w:color w:val="334E68"/>
                <w:sz w:val="17"/>
              </w:rPr>
              <w:t>Command or shared library not found: missing executable, wrong path, or an unresolved library dependency.</w:t>
            </w:r>
          </w:p>
        </w:tc>
        <w:tc>
          <w:tcPr>
            <w:tcW w:type="dxa" w:w="4819"/>
            <w:shd w:val="clear" w:color="auto" w:fill="FAFBFD"/>
          </w:tcPr>
          <w:p>
            <w:pPr>
              <w:spacing w:after="20" w:before="20"/>
            </w:pPr>
            <w:r/>
            <w:r>
              <w:rPr>
                <w:rFonts w:ascii="Calibri" w:hAnsi="Calibri"/>
                <w:b w:val="0"/>
                <w:i w:val="0"/>
                <w:color w:val="334E68"/>
                <w:sz w:val="17"/>
              </w:rPr>
              <w:t xml:space="preserve">Check the service </w:t>
            </w:r>
            <w:r>
              <w:rPr>
                <w:rFonts w:ascii="Consolas" w:hAnsi="Consolas"/>
                <w:b w:val="0"/>
                <w:i w:val="0"/>
                <w:color w:val="123A63"/>
                <w:sz w:val="17"/>
                <w:shd w:val="clear" w:color="auto" w:fill="EEF2F7"/>
              </w:rPr>
              <w:t>ExecStart</w:t>
            </w:r>
            <w:r>
              <w:rPr>
                <w:rFonts w:ascii="Calibri" w:hAnsi="Calibri"/>
                <w:b w:val="0"/>
                <w:i w:val="0"/>
                <w:color w:val="334E68"/>
                <w:sz w:val="17"/>
              </w:rPr>
              <w:t xml:space="preserve"> path, the </w:t>
            </w:r>
            <w:r>
              <w:rPr>
                <w:rFonts w:ascii="Consolas" w:hAnsi="Consolas"/>
                <w:b w:val="0"/>
                <w:i w:val="0"/>
                <w:color w:val="123A63"/>
                <w:sz w:val="17"/>
                <w:shd w:val="clear" w:color="auto" w:fill="EEF2F7"/>
              </w:rPr>
              <w:t>&lt;sid&gt;adm</w:t>
            </w:r>
            <w:r>
              <w:rPr>
                <w:rFonts w:ascii="Calibri" w:hAnsi="Calibri"/>
                <w:b w:val="0"/>
                <w:i w:val="0"/>
                <w:color w:val="334E68"/>
                <w:sz w:val="17"/>
              </w:rPr>
              <w:t xml:space="preserve"> environment, </w:t>
            </w:r>
            <w:r>
              <w:rPr>
                <w:rFonts w:ascii="Consolas" w:hAnsi="Consolas"/>
                <w:b w:val="0"/>
                <w:i w:val="0"/>
                <w:color w:val="123A63"/>
                <w:sz w:val="17"/>
                <w:shd w:val="clear" w:color="auto" w:fill="EEF2F7"/>
              </w:rPr>
              <w:t>LD_LIBRARY_PATH</w:t>
            </w:r>
            <w:r>
              <w:rPr>
                <w:rFonts w:ascii="Calibri" w:hAnsi="Calibri"/>
                <w:b w:val="0"/>
                <w:i w:val="0"/>
                <w:color w:val="334E68"/>
                <w:sz w:val="17"/>
              </w:rPr>
              <w:t>, and that the kernel and shared libraries were migrated with correct permissions.</w:t>
            </w:r>
          </w:p>
        </w:tc>
      </w:tr>
      <w:tr>
        <w:trPr>
          <w:cantSplit/>
        </w:trPr>
        <w:tc>
          <w:tcPr>
            <w:tcW w:type="dxa" w:w="1157"/>
          </w:tcPr>
          <w:p>
            <w:pPr>
              <w:spacing w:after="20" w:before="20"/>
            </w:pPr>
            <w:r/>
            <w:r>
              <w:rPr>
                <w:rFonts w:ascii="Consolas" w:hAnsi="Consolas"/>
                <w:b/>
                <w:i w:val="0"/>
                <w:color w:val="123A63"/>
                <w:sz w:val="17"/>
                <w:shd w:val="clear" w:color="auto" w:fill="EEF2F7"/>
              </w:rPr>
              <w:t>255</w:t>
            </w:r>
          </w:p>
        </w:tc>
        <w:tc>
          <w:tcPr>
            <w:tcW w:type="dxa" w:w="3662"/>
          </w:tcPr>
          <w:p>
            <w:pPr>
              <w:spacing w:after="20" w:before="20"/>
            </w:pPr>
            <w:r/>
            <w:r>
              <w:rPr>
                <w:rFonts w:ascii="Calibri" w:hAnsi="Calibri"/>
                <w:b w:val="0"/>
                <w:i w:val="0"/>
                <w:color w:val="334E68"/>
                <w:sz w:val="17"/>
              </w:rPr>
              <w:t>Generic/unknown failure returned by the start script or SAP program.</w:t>
            </w:r>
          </w:p>
        </w:tc>
        <w:tc>
          <w:tcPr>
            <w:tcW w:type="dxa" w:w="4819"/>
          </w:tcPr>
          <w:p>
            <w:pPr>
              <w:spacing w:after="20" w:before="20"/>
            </w:pPr>
            <w:r/>
            <w:r>
              <w:rPr>
                <w:rFonts w:ascii="Calibri" w:hAnsi="Calibri"/>
                <w:b w:val="0"/>
                <w:i w:val="0"/>
                <w:color w:val="334E68"/>
                <w:sz w:val="17"/>
              </w:rPr>
              <w:t xml:space="preserve">Read the actual logs: service journal, </w:t>
            </w:r>
            <w:r>
              <w:rPr>
                <w:rFonts w:ascii="Consolas" w:hAnsi="Consolas"/>
                <w:b w:val="0"/>
                <w:i w:val="0"/>
                <w:color w:val="123A63"/>
                <w:sz w:val="17"/>
                <w:shd w:val="clear" w:color="auto" w:fill="EEF2F7"/>
              </w:rPr>
              <w:t>startsap</w:t>
            </w:r>
            <w:r>
              <w:rPr>
                <w:rFonts w:ascii="Calibri" w:hAnsi="Calibri"/>
                <w:b w:val="0"/>
                <w:i w:val="0"/>
                <w:color w:val="334E68"/>
                <w:sz w:val="17"/>
              </w:rPr>
              <w:t xml:space="preserve">/SAPControl output, </w:t>
            </w:r>
            <w:r>
              <w:rPr>
                <w:rFonts w:ascii="Consolas" w:hAnsi="Consolas"/>
                <w:b w:val="0"/>
                <w:i w:val="0"/>
                <w:color w:val="123A63"/>
                <w:sz w:val="17"/>
                <w:shd w:val="clear" w:color="auto" w:fill="EEF2F7"/>
              </w:rPr>
              <w:t>dev_w0</w:t>
            </w:r>
            <w:r>
              <w:rPr>
                <w:rFonts w:ascii="Calibri" w:hAnsi="Calibri"/>
                <w:b w:val="0"/>
                <w:i w:val="0"/>
                <w:color w:val="334E68"/>
                <w:sz w:val="17"/>
              </w:rPr>
              <w:t xml:space="preserve">, </w:t>
            </w:r>
            <w:r>
              <w:rPr>
                <w:rFonts w:ascii="Consolas" w:hAnsi="Consolas"/>
                <w:b w:val="0"/>
                <w:i w:val="0"/>
                <w:color w:val="123A63"/>
                <w:sz w:val="17"/>
                <w:shd w:val="clear" w:color="auto" w:fill="EEF2F7"/>
              </w:rPr>
              <w:t>dev_disp</w:t>
            </w:r>
            <w:r>
              <w:rPr>
                <w:rFonts w:ascii="Calibri" w:hAnsi="Calibri"/>
                <w:b w:val="0"/>
                <w:i w:val="0"/>
                <w:color w:val="334E68"/>
                <w:sz w:val="17"/>
              </w:rPr>
              <w:t xml:space="preserve">, </w:t>
            </w:r>
            <w:r>
              <w:rPr>
                <w:rFonts w:ascii="Consolas" w:hAnsi="Consolas"/>
                <w:b w:val="0"/>
                <w:i w:val="0"/>
                <w:color w:val="123A63"/>
                <w:sz w:val="17"/>
                <w:shd w:val="clear" w:color="auto" w:fill="EEF2F7"/>
              </w:rPr>
              <w:t>dev_ms</w:t>
            </w:r>
            <w:r>
              <w:rPr>
                <w:rFonts w:ascii="Calibri" w:hAnsi="Calibri"/>
                <w:b w:val="0"/>
                <w:i w:val="0"/>
                <w:color w:val="334E68"/>
                <w:sz w:val="17"/>
              </w:rPr>
              <w:t>, and the database connection trace.</w:t>
            </w:r>
          </w:p>
        </w:tc>
      </w:tr>
      <w:tr>
        <w:trPr>
          <w:cantSplit/>
        </w:trPr>
        <w:tc>
          <w:tcPr>
            <w:tcW w:type="dxa" w:w="1157"/>
            <w:shd w:val="clear" w:color="auto" w:fill="FAFBFD"/>
          </w:tcPr>
          <w:p>
            <w:pPr>
              <w:spacing w:after="20" w:before="20"/>
            </w:pPr>
            <w:r/>
            <w:r>
              <w:rPr>
                <w:rFonts w:ascii="Calibri" w:hAnsi="Calibri"/>
                <w:b/>
                <w:i w:val="0"/>
                <w:color w:val="334E68"/>
                <w:sz w:val="17"/>
              </w:rPr>
              <w:t>Other non-zero</w:t>
            </w:r>
          </w:p>
        </w:tc>
        <w:tc>
          <w:tcPr>
            <w:tcW w:type="dxa" w:w="3662"/>
            <w:shd w:val="clear" w:color="auto" w:fill="FAFBFD"/>
          </w:tcPr>
          <w:p>
            <w:pPr>
              <w:spacing w:after="20" w:before="20"/>
            </w:pPr>
            <w:r/>
            <w:r>
              <w:rPr>
                <w:rFonts w:ascii="Calibri" w:hAnsi="Calibri"/>
                <w:b w:val="0"/>
                <w:i w:val="0"/>
                <w:color w:val="334E68"/>
                <w:sz w:val="17"/>
              </w:rPr>
              <w:t>Script- or component-specific failure.</w:t>
            </w:r>
          </w:p>
        </w:tc>
        <w:tc>
          <w:tcPr>
            <w:tcW w:type="dxa" w:w="4819"/>
            <w:shd w:val="clear" w:color="auto" w:fill="FAFBFD"/>
          </w:tcPr>
          <w:p>
            <w:pPr>
              <w:spacing w:after="20" w:before="20"/>
            </w:pPr>
            <w:r/>
            <w:r>
              <w:rPr>
                <w:rFonts w:ascii="Calibri" w:hAnsi="Calibri"/>
                <w:b w:val="0"/>
                <w:i w:val="0"/>
                <w:color w:val="334E68"/>
                <w:sz w:val="17"/>
              </w:rPr>
              <w:t>Map the code against the start script and SAP component logs; do not retry until the cause is known.</w:t>
            </w:r>
          </w:p>
        </w:tc>
      </w:tr>
    </w:tbl>
    <w:p>
      <w:pPr>
        <w:spacing w:after="40"/>
      </w:pPr>
    </w:p>
    <w:p>
      <w:pPr>
        <w:spacing w:after="160"/>
      </w:pPr>
      <w:r>
        <w:rPr>
          <w:rFonts w:ascii="Calibri" w:hAnsi="Calibri"/>
          <w:i/>
          <w:color w:val="5B7288"/>
          <w:sz w:val="16"/>
        </w:rPr>
        <w:t>Codes 127 and 255 were cited in the source training as indicators requiring troubleshooting. Treat the mapping above as a diagnostic starting point and confirm against the platform and SAP start mechanism used in the project.</w:t>
      </w:r>
    </w:p>
    <w:p>
      <w:pPr>
        <w:spacing w:before="120" w:after="0"/>
        <w:ind w:left="170"/>
        <w:shd w:val="clear" w:color="auto" w:fill="0E2340"/>
        <w:pBdr>
          <w:left w:val="single" w:sz="18" w:space="4" w:color="1B4F86"/>
        </w:pBdr>
      </w:pPr>
      <w:r>
        <w:rPr>
          <w:rFonts w:ascii="Consolas" w:hAnsi="Consolas"/>
          <w:color w:val="7FA2C8"/>
          <w:sz w:val="16"/>
        </w:rPr>
        <w:t># Service state and exit code (example — adapt to the project's unit naming)</w:t>
      </w:r>
    </w:p>
    <w:p>
      <w:pPr>
        <w:spacing w:before="0" w:after="0"/>
        <w:ind w:left="170"/>
        <w:shd w:val="clear" w:color="auto" w:fill="0E2340"/>
        <w:pBdr>
          <w:left w:val="single" w:sz="18" w:space="4" w:color="1B4F86"/>
        </w:pBdr>
      </w:pPr>
      <w:r>
        <w:rPr>
          <w:rFonts w:ascii="Consolas" w:hAnsi="Consolas"/>
          <w:color w:val="D6E4F5"/>
          <w:sz w:val="16"/>
        </w:rPr>
        <w:t>systemctl status SAP&lt;SID&gt;_&lt;NR&gt;.service   # expect: Active: active (exited/running)</w:t>
      </w:r>
    </w:p>
    <w:p>
      <w:pPr>
        <w:spacing w:before="0" w:after="0"/>
        <w:ind w:left="170"/>
        <w:shd w:val="clear" w:color="auto" w:fill="0E2340"/>
        <w:pBdr>
          <w:left w:val="single" w:sz="18" w:space="4" w:color="1B4F86"/>
        </w:pBdr>
      </w:pPr>
      <w:r>
        <w:rPr>
          <w:rFonts w:ascii="Consolas" w:hAnsi="Consolas"/>
          <w:color w:val="D6E4F5"/>
          <w:sz w:val="16"/>
        </w:rPr>
        <w:t>systemctl show -p ExecMainStatus,ExecMainCode,Result SAP&lt;SID&gt;_&lt;NR&gt;.service</w:t>
      </w:r>
    </w:p>
    <w:p>
      <w:pPr>
        <w:spacing w:before="0" w:after="0"/>
        <w:ind w:left="170"/>
        <w:shd w:val="clear" w:color="auto" w:fill="0E2340"/>
        <w:pBdr>
          <w:left w:val="single" w:sz="18" w:space="4" w:color="1B4F86"/>
        </w:pBdr>
      </w:pPr>
      <w:r>
        <w:rPr>
          <w:rFonts w:ascii="Consolas" w:hAnsi="Consolas"/>
          <w:color w:val="7FA2C8"/>
          <w:sz w:val="16"/>
        </w:rPr>
        <w:t># expect: ExecMainStatus=0  Result=success</w:t>
      </w:r>
    </w:p>
    <w:p>
      <w:pPr>
        <w:spacing w:before="0" w:after="0"/>
        <w:ind w:left="170"/>
        <w:shd w:val="clear" w:color="auto" w:fill="0E2340"/>
        <w:pBdr>
          <w:left w:val="single" w:sz="18" w:space="4" w:color="1B4F86"/>
        </w:pBdr>
      </w:pPr>
      <w:r>
        <w:rPr>
          <w:rFonts w:ascii="Consolas" w:hAnsi="Consolas"/>
          <w:color w:val="7FA2C8"/>
          <w:sz w:val="16"/>
        </w:rPr>
        <w:t># Instance state without the SAP GUI</w:t>
      </w:r>
    </w:p>
    <w:p>
      <w:pPr>
        <w:spacing w:before="0" w:after="0"/>
        <w:ind w:left="170"/>
        <w:shd w:val="clear" w:color="auto" w:fill="0E2340"/>
        <w:pBdr>
          <w:left w:val="single" w:sz="18" w:space="4" w:color="1B4F86"/>
        </w:pBdr>
      </w:pPr>
      <w:r>
        <w:rPr>
          <w:rFonts w:ascii="Consolas" w:hAnsi="Consolas"/>
          <w:color w:val="D6E4F5"/>
          <w:sz w:val="16"/>
        </w:rPr>
        <w:t>sapcontrol -nr &lt;instance-number&gt; -function GetSystemInstanceList</w:t>
      </w:r>
    </w:p>
    <w:p>
      <w:pPr>
        <w:spacing w:before="0" w:after="0"/>
        <w:ind w:left="170"/>
        <w:shd w:val="clear" w:color="auto" w:fill="0E2340"/>
        <w:pBdr>
          <w:left w:val="single" w:sz="18" w:space="4" w:color="1B4F86"/>
        </w:pBdr>
      </w:pPr>
      <w:r>
        <w:rPr>
          <w:rFonts w:ascii="Consolas" w:hAnsi="Consolas"/>
          <w:color w:val="D6E4F5"/>
          <w:sz w:val="16"/>
        </w:rPr>
        <w:t>sapcontrol -nr &lt;instance-number&gt; -function GetProcessList</w:t>
      </w:r>
    </w:p>
    <w:p>
      <w:pPr>
        <w:spacing w:before="0" w:after="120"/>
        <w:ind w:left="170"/>
        <w:shd w:val="clear" w:color="auto" w:fill="0E2340"/>
        <w:pBdr>
          <w:left w:val="single" w:sz="18" w:space="4" w:color="1B4F86"/>
        </w:pBdr>
      </w:pPr>
      <w:r>
        <w:rPr>
          <w:rFonts w:ascii="Consolas" w:hAnsi="Consolas"/>
          <w:color w:val="7FA2C8"/>
          <w:sz w:val="16"/>
        </w:rPr>
        <w:t># then confirm in SM51 that every instance is active and registered</w:t>
      </w:r>
    </w:p>
    <w:p>
      <w:pPr>
        <w:pStyle w:val="Heading2"/>
        <w:pBdr>
          <w:bottom w:val="single" w:sz="6" w:space="3" w:color="E8EDF3"/>
        </w:pBdr>
      </w:pPr>
      <w:r>
        <w:rPr>
          <w:rFonts w:ascii="Calibri" w:hAnsi="Calibri"/>
          <w:b/>
          <w:color w:val="0F2B4C"/>
          <w:sz w:val="26"/>
        </w:rPr>
        <w:t>7.2  OS validation</w:t>
      </w:r>
    </w:p>
    <w:p>
      <w:pPr>
        <w:spacing w:after="60" w:before="160"/>
        <w:keepNext/>
      </w:pPr>
      <w:r>
        <w:rPr>
          <w:rFonts w:ascii="Calibri" w:hAnsi="Calibri"/>
          <w:b/>
          <w:color w:val="5B7288"/>
          <w:sz w:val="15"/>
        </w:rPr>
        <w:t>OS VALIDATION DETAIL</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3855"/>
        <w:gridCol w:w="3662"/>
      </w:tblGrid>
      <w:tr>
        <w:trPr>
          <w:tblHeader/>
          <w:cantSplit/>
        </w:trPr>
        <w:tc>
          <w:tcPr>
            <w:tcW w:type="dxa" w:w="2120"/>
            <w:shd w:val="clear" w:color="auto" w:fill="0F2B4C"/>
          </w:tcPr>
          <w:p>
            <w:pPr>
              <w:spacing w:after="20" w:before="20"/>
            </w:pPr>
            <w:r/>
            <w:r>
              <w:rPr>
                <w:rFonts w:ascii="Calibri" w:hAnsi="Calibri"/>
                <w:b/>
                <w:color w:val="FFFFFF"/>
                <w:sz w:val="17"/>
              </w:rPr>
              <w:t>Check</w:t>
            </w:r>
          </w:p>
        </w:tc>
        <w:tc>
          <w:tcPr>
            <w:tcW w:type="dxa" w:w="3855"/>
            <w:shd w:val="clear" w:color="auto" w:fill="0F2B4C"/>
          </w:tcPr>
          <w:p>
            <w:pPr>
              <w:spacing w:after="20" w:before="20"/>
            </w:pPr>
            <w:r/>
            <w:r>
              <w:rPr>
                <w:rFonts w:ascii="Calibri" w:hAnsi="Calibri"/>
                <w:b/>
                <w:color w:val="FFFFFF"/>
                <w:sz w:val="17"/>
              </w:rPr>
              <w:t>What to compare</w:t>
            </w:r>
          </w:p>
        </w:tc>
        <w:tc>
          <w:tcPr>
            <w:tcW w:type="dxa" w:w="3662"/>
            <w:shd w:val="clear" w:color="auto" w:fill="0F2B4C"/>
          </w:tcPr>
          <w:p>
            <w:pPr>
              <w:spacing w:after="20" w:before="20"/>
            </w:pPr>
            <w:r/>
            <w:r>
              <w:rPr>
                <w:rFonts w:ascii="Calibri" w:hAnsi="Calibri"/>
                <w:b/>
                <w:color w:val="FFFFFF"/>
                <w:sz w:val="17"/>
              </w:rPr>
              <w:t>Typical commands / sources</w:t>
            </w:r>
          </w:p>
        </w:tc>
      </w:tr>
      <w:tr>
        <w:trPr>
          <w:cantSplit/>
        </w:trPr>
        <w:tc>
          <w:tcPr>
            <w:tcW w:type="dxa" w:w="2120"/>
          </w:tcPr>
          <w:p>
            <w:pPr>
              <w:spacing w:after="20" w:before="20"/>
            </w:pPr>
            <w:r/>
            <w:r>
              <w:rPr>
                <w:rFonts w:ascii="Calibri" w:hAnsi="Calibri"/>
                <w:b/>
                <w:i w:val="0"/>
                <w:color w:val="334E68"/>
                <w:sz w:val="17"/>
              </w:rPr>
              <w:t>File systems and mount points</w:t>
            </w:r>
          </w:p>
        </w:tc>
        <w:tc>
          <w:tcPr>
            <w:tcW w:type="dxa" w:w="3855"/>
          </w:tcPr>
          <w:p>
            <w:pPr>
              <w:spacing w:after="20" w:before="20"/>
            </w:pPr>
            <w:r/>
            <w:r>
              <w:rPr>
                <w:rFonts w:ascii="Calibri" w:hAnsi="Calibri"/>
                <w:b w:val="0"/>
                <w:i w:val="0"/>
                <w:color w:val="334E68"/>
                <w:sz w:val="17"/>
              </w:rPr>
              <w:t>Every mount present, correct size, type, options and owner</w:t>
            </w:r>
          </w:p>
        </w:tc>
        <w:tc>
          <w:tcPr>
            <w:tcW w:type="dxa" w:w="3662"/>
          </w:tcPr>
          <w:p>
            <w:pPr>
              <w:spacing w:after="20" w:before="20"/>
            </w:pPr>
            <w:r/>
            <w:r>
              <w:rPr>
                <w:rFonts w:ascii="Consolas" w:hAnsi="Consolas"/>
                <w:b w:val="0"/>
                <w:i w:val="0"/>
                <w:color w:val="123A63"/>
                <w:sz w:val="17"/>
                <w:shd w:val="clear" w:color="auto" w:fill="EEF2F7"/>
              </w:rPr>
              <w:t>df -h</w:t>
            </w:r>
            <w:r>
              <w:rPr>
                <w:rFonts w:ascii="Calibri" w:hAnsi="Calibri"/>
                <w:b w:val="0"/>
                <w:i w:val="0"/>
                <w:color w:val="334E68"/>
                <w:sz w:val="17"/>
              </w:rPr>
              <w:t xml:space="preserve">, </w:t>
            </w:r>
            <w:r>
              <w:rPr>
                <w:rFonts w:ascii="Consolas" w:hAnsi="Consolas"/>
                <w:b w:val="0"/>
                <w:i w:val="0"/>
                <w:color w:val="123A63"/>
                <w:sz w:val="17"/>
                <w:shd w:val="clear" w:color="auto" w:fill="EEF2F7"/>
              </w:rPr>
              <w:t>mount</w:t>
            </w:r>
            <w:r>
              <w:rPr>
                <w:rFonts w:ascii="Calibri" w:hAnsi="Calibri"/>
                <w:b w:val="0"/>
                <w:i w:val="0"/>
                <w:color w:val="334E68"/>
                <w:sz w:val="17"/>
              </w:rPr>
              <w:t xml:space="preserve">, </w:t>
            </w:r>
            <w:r>
              <w:rPr>
                <w:rFonts w:ascii="Consolas" w:hAnsi="Consolas"/>
                <w:b w:val="0"/>
                <w:i w:val="0"/>
                <w:color w:val="123A63"/>
                <w:sz w:val="17"/>
                <w:shd w:val="clear" w:color="auto" w:fill="EEF2F7"/>
              </w:rPr>
              <w:t>/etc/fstab</w:t>
            </w:r>
            <w:r>
              <w:rPr>
                <w:rFonts w:ascii="Calibri" w:hAnsi="Calibri"/>
                <w:b w:val="0"/>
                <w:i w:val="0"/>
                <w:color w:val="334E68"/>
                <w:sz w:val="17"/>
              </w:rPr>
              <w:t xml:space="preserve">, </w:t>
            </w:r>
            <w:r>
              <w:rPr>
                <w:rFonts w:ascii="Consolas" w:hAnsi="Consolas"/>
                <w:b w:val="0"/>
                <w:i w:val="0"/>
                <w:color w:val="123A63"/>
                <w:sz w:val="17"/>
                <w:shd w:val="clear" w:color="auto" w:fill="EEF2F7"/>
              </w:rPr>
              <w:t>lsblk</w:t>
            </w:r>
          </w:p>
        </w:tc>
      </w:tr>
      <w:tr>
        <w:trPr>
          <w:cantSplit/>
        </w:trPr>
        <w:tc>
          <w:tcPr>
            <w:tcW w:type="dxa" w:w="2120"/>
            <w:shd w:val="clear" w:color="auto" w:fill="FAFBFD"/>
          </w:tcPr>
          <w:p>
            <w:pPr>
              <w:spacing w:after="20" w:before="20"/>
            </w:pPr>
            <w:r/>
            <w:r>
              <w:rPr>
                <w:rFonts w:ascii="Calibri" w:hAnsi="Calibri"/>
                <w:b/>
                <w:i w:val="0"/>
                <w:color w:val="334E68"/>
                <w:sz w:val="17"/>
              </w:rPr>
              <w:t>CPU</w:t>
            </w:r>
          </w:p>
        </w:tc>
        <w:tc>
          <w:tcPr>
            <w:tcW w:type="dxa" w:w="3855"/>
            <w:shd w:val="clear" w:color="auto" w:fill="FAFBFD"/>
          </w:tcPr>
          <w:p>
            <w:pPr>
              <w:spacing w:after="20" w:before="20"/>
            </w:pPr>
            <w:r/>
            <w:r>
              <w:rPr>
                <w:rFonts w:ascii="Calibri" w:hAnsi="Calibri"/>
                <w:b w:val="0"/>
                <w:i w:val="0"/>
                <w:color w:val="334E68"/>
                <w:sz w:val="17"/>
              </w:rPr>
              <w:t>Core count and architecture match the approved sizing</w:t>
            </w:r>
          </w:p>
        </w:tc>
        <w:tc>
          <w:tcPr>
            <w:tcW w:type="dxa" w:w="3662"/>
            <w:shd w:val="clear" w:color="auto" w:fill="FAFBFD"/>
          </w:tcPr>
          <w:p>
            <w:pPr>
              <w:spacing w:after="20" w:before="20"/>
            </w:pPr>
            <w:r/>
            <w:r>
              <w:rPr>
                <w:rFonts w:ascii="Consolas" w:hAnsi="Consolas"/>
                <w:b w:val="0"/>
                <w:i w:val="0"/>
                <w:color w:val="123A63"/>
                <w:sz w:val="17"/>
                <w:shd w:val="clear" w:color="auto" w:fill="EEF2F7"/>
              </w:rPr>
              <w:t>lscpu</w:t>
            </w:r>
            <w:r>
              <w:rPr>
                <w:rFonts w:ascii="Calibri" w:hAnsi="Calibri"/>
                <w:b w:val="0"/>
                <w:i w:val="0"/>
                <w:color w:val="334E68"/>
                <w:sz w:val="17"/>
              </w:rPr>
              <w:t xml:space="preserve">, </w:t>
            </w:r>
            <w:r>
              <w:rPr>
                <w:rFonts w:ascii="Consolas" w:hAnsi="Consolas"/>
                <w:b w:val="0"/>
                <w:i w:val="0"/>
                <w:color w:val="123A63"/>
                <w:sz w:val="17"/>
                <w:shd w:val="clear" w:color="auto" w:fill="EEF2F7"/>
              </w:rPr>
              <w:t>nproc</w:t>
            </w:r>
          </w:p>
        </w:tc>
      </w:tr>
      <w:tr>
        <w:trPr>
          <w:cantSplit/>
        </w:trPr>
        <w:tc>
          <w:tcPr>
            <w:tcW w:type="dxa" w:w="2120"/>
          </w:tcPr>
          <w:p>
            <w:pPr>
              <w:spacing w:after="20" w:before="20"/>
            </w:pPr>
            <w:r/>
            <w:r>
              <w:rPr>
                <w:rFonts w:ascii="Calibri" w:hAnsi="Calibri"/>
                <w:b/>
                <w:i w:val="0"/>
                <w:color w:val="334E68"/>
                <w:sz w:val="17"/>
              </w:rPr>
              <w:t>RAM</w:t>
            </w:r>
          </w:p>
        </w:tc>
        <w:tc>
          <w:tcPr>
            <w:tcW w:type="dxa" w:w="3855"/>
          </w:tcPr>
          <w:p>
            <w:pPr>
              <w:spacing w:after="20" w:before="20"/>
            </w:pPr>
            <w:r/>
            <w:r>
              <w:rPr>
                <w:rFonts w:ascii="Calibri" w:hAnsi="Calibri"/>
                <w:b w:val="0"/>
                <w:i w:val="0"/>
                <w:color w:val="334E68"/>
                <w:sz w:val="17"/>
              </w:rPr>
              <w:t>Total memory matches the build sheet; HANA/DB allocation as designed</w:t>
            </w:r>
          </w:p>
        </w:tc>
        <w:tc>
          <w:tcPr>
            <w:tcW w:type="dxa" w:w="3662"/>
          </w:tcPr>
          <w:p>
            <w:pPr>
              <w:spacing w:after="20" w:before="20"/>
            </w:pPr>
            <w:r/>
            <w:r>
              <w:rPr>
                <w:rFonts w:ascii="Consolas" w:hAnsi="Consolas"/>
                <w:b w:val="0"/>
                <w:i w:val="0"/>
                <w:color w:val="123A63"/>
                <w:sz w:val="17"/>
                <w:shd w:val="clear" w:color="auto" w:fill="EEF2F7"/>
              </w:rPr>
              <w:t>free -g</w:t>
            </w:r>
            <w:r>
              <w:rPr>
                <w:rFonts w:ascii="Calibri" w:hAnsi="Calibri"/>
                <w:b w:val="0"/>
                <w:i w:val="0"/>
                <w:color w:val="334E68"/>
                <w:sz w:val="17"/>
              </w:rPr>
              <w:t xml:space="preserve">, </w:t>
            </w:r>
            <w:r>
              <w:rPr>
                <w:rFonts w:ascii="Consolas" w:hAnsi="Consolas"/>
                <w:b w:val="0"/>
                <w:i w:val="0"/>
                <w:color w:val="123A63"/>
                <w:sz w:val="17"/>
                <w:shd w:val="clear" w:color="auto" w:fill="EEF2F7"/>
              </w:rPr>
              <w:t>/proc/meminfo</w:t>
            </w:r>
          </w:p>
        </w:tc>
      </w:tr>
      <w:tr>
        <w:trPr>
          <w:cantSplit/>
        </w:trPr>
        <w:tc>
          <w:tcPr>
            <w:tcW w:type="dxa" w:w="2120"/>
            <w:shd w:val="clear" w:color="auto" w:fill="FAFBFD"/>
          </w:tcPr>
          <w:p>
            <w:pPr>
              <w:spacing w:after="20" w:before="20"/>
            </w:pPr>
            <w:r/>
            <w:r>
              <w:rPr>
                <w:rFonts w:ascii="Calibri" w:hAnsi="Calibri"/>
                <w:b/>
                <w:i w:val="0"/>
                <w:color w:val="334E68"/>
                <w:sz w:val="17"/>
              </w:rPr>
              <w:t>Swap</w:t>
            </w:r>
          </w:p>
        </w:tc>
        <w:tc>
          <w:tcPr>
            <w:tcW w:type="dxa" w:w="3855"/>
            <w:shd w:val="clear" w:color="auto" w:fill="FAFBFD"/>
          </w:tcPr>
          <w:p>
            <w:pPr>
              <w:spacing w:after="20" w:before="20"/>
            </w:pPr>
            <w:r/>
            <w:r>
              <w:rPr>
                <w:rFonts w:ascii="Calibri" w:hAnsi="Calibri"/>
                <w:b w:val="0"/>
                <w:i w:val="0"/>
                <w:color w:val="334E68"/>
                <w:sz w:val="17"/>
              </w:rPr>
              <w:t>Swap size and swappiness per the SAP/DB requirement</w:t>
            </w:r>
          </w:p>
        </w:tc>
        <w:tc>
          <w:tcPr>
            <w:tcW w:type="dxa" w:w="3662"/>
            <w:shd w:val="clear" w:color="auto" w:fill="FAFBFD"/>
          </w:tcPr>
          <w:p>
            <w:pPr>
              <w:spacing w:after="20" w:before="20"/>
            </w:pPr>
            <w:r/>
            <w:r>
              <w:rPr>
                <w:rFonts w:ascii="Consolas" w:hAnsi="Consolas"/>
                <w:b w:val="0"/>
                <w:i w:val="0"/>
                <w:color w:val="123A63"/>
                <w:sz w:val="17"/>
                <w:shd w:val="clear" w:color="auto" w:fill="EEF2F7"/>
              </w:rPr>
              <w:t>swapon -s</w:t>
            </w:r>
            <w:r>
              <w:rPr>
                <w:rFonts w:ascii="Calibri" w:hAnsi="Calibri"/>
                <w:b w:val="0"/>
                <w:i w:val="0"/>
                <w:color w:val="334E68"/>
                <w:sz w:val="17"/>
              </w:rPr>
              <w:t xml:space="preserve">, </w:t>
            </w:r>
            <w:r>
              <w:rPr>
                <w:rFonts w:ascii="Consolas" w:hAnsi="Consolas"/>
                <w:b w:val="0"/>
                <w:i w:val="0"/>
                <w:color w:val="123A63"/>
                <w:sz w:val="17"/>
                <w:shd w:val="clear" w:color="auto" w:fill="EEF2F7"/>
              </w:rPr>
              <w:t>sysctl vm.swappiness</w:t>
            </w:r>
          </w:p>
        </w:tc>
      </w:tr>
      <w:tr>
        <w:trPr>
          <w:cantSplit/>
        </w:trPr>
        <w:tc>
          <w:tcPr>
            <w:tcW w:type="dxa" w:w="2120"/>
          </w:tcPr>
          <w:p>
            <w:pPr>
              <w:spacing w:after="20" w:before="20"/>
            </w:pPr>
            <w:r/>
            <w:r>
              <w:rPr>
                <w:rFonts w:ascii="Calibri" w:hAnsi="Calibri"/>
                <w:b/>
                <w:i w:val="0"/>
                <w:color w:val="334E68"/>
                <w:sz w:val="17"/>
              </w:rPr>
              <w:t>OS and kernel versions</w:t>
            </w:r>
          </w:p>
        </w:tc>
        <w:tc>
          <w:tcPr>
            <w:tcW w:type="dxa" w:w="3855"/>
          </w:tcPr>
          <w:p>
            <w:pPr>
              <w:spacing w:after="20" w:before="20"/>
            </w:pPr>
            <w:r/>
            <w:r>
              <w:rPr>
                <w:rFonts w:ascii="Calibri" w:hAnsi="Calibri"/>
                <w:b w:val="0"/>
                <w:i w:val="0"/>
                <w:color w:val="334E68"/>
                <w:sz w:val="17"/>
              </w:rPr>
              <w:t>Distribution, release and kernel match the target design</w:t>
            </w:r>
          </w:p>
        </w:tc>
        <w:tc>
          <w:tcPr>
            <w:tcW w:type="dxa" w:w="3662"/>
          </w:tcPr>
          <w:p>
            <w:pPr>
              <w:spacing w:after="20" w:before="20"/>
            </w:pPr>
            <w:r/>
            <w:r>
              <w:rPr>
                <w:rFonts w:ascii="Consolas" w:hAnsi="Consolas"/>
                <w:b w:val="0"/>
                <w:i w:val="0"/>
                <w:color w:val="123A63"/>
                <w:sz w:val="17"/>
                <w:shd w:val="clear" w:color="auto" w:fill="EEF2F7"/>
              </w:rPr>
              <w:t>/etc/os-release</w:t>
            </w:r>
            <w:r>
              <w:rPr>
                <w:rFonts w:ascii="Calibri" w:hAnsi="Calibri"/>
                <w:b w:val="0"/>
                <w:i w:val="0"/>
                <w:color w:val="334E68"/>
                <w:sz w:val="17"/>
              </w:rPr>
              <w:t xml:space="preserve">, </w:t>
            </w:r>
            <w:r>
              <w:rPr>
                <w:rFonts w:ascii="Consolas" w:hAnsi="Consolas"/>
                <w:b w:val="0"/>
                <w:i w:val="0"/>
                <w:color w:val="123A63"/>
                <w:sz w:val="17"/>
                <w:shd w:val="clear" w:color="auto" w:fill="EEF2F7"/>
              </w:rPr>
              <w:t>uname -r</w:t>
            </w:r>
          </w:p>
        </w:tc>
      </w:tr>
      <w:tr>
        <w:trPr>
          <w:cantSplit/>
        </w:trPr>
        <w:tc>
          <w:tcPr>
            <w:tcW w:type="dxa" w:w="2120"/>
            <w:shd w:val="clear" w:color="auto" w:fill="FAFBFD"/>
          </w:tcPr>
          <w:p>
            <w:pPr>
              <w:spacing w:after="20" w:before="20"/>
            </w:pPr>
            <w:r/>
            <w:r>
              <w:rPr>
                <w:rFonts w:ascii="Calibri" w:hAnsi="Calibri"/>
                <w:b/>
                <w:i w:val="0"/>
                <w:color w:val="334E68"/>
                <w:sz w:val="17"/>
              </w:rPr>
              <w:t>UID/GID</w:t>
            </w:r>
          </w:p>
        </w:tc>
        <w:tc>
          <w:tcPr>
            <w:tcW w:type="dxa" w:w="3855"/>
            <w:shd w:val="clear" w:color="auto" w:fill="FAFBFD"/>
          </w:tcPr>
          <w:p>
            <w:pPr>
              <w:spacing w:after="20" w:before="20"/>
            </w:pPr>
            <w:r/>
            <w:r>
              <w:rPr>
                <w:rFonts w:ascii="Consolas" w:hAnsi="Consolas"/>
                <w:b w:val="0"/>
                <w:i w:val="0"/>
                <w:color w:val="123A63"/>
                <w:sz w:val="17"/>
                <w:shd w:val="clear" w:color="auto" w:fill="EEF2F7"/>
              </w:rPr>
              <w:t>sapadm</w:t>
            </w:r>
            <w:r>
              <w:rPr>
                <w:rFonts w:ascii="Calibri" w:hAnsi="Calibri"/>
                <w:b w:val="0"/>
                <w:i w:val="0"/>
                <w:color w:val="334E68"/>
                <w:sz w:val="17"/>
              </w:rPr>
              <w:t xml:space="preserve">, </w:t>
            </w:r>
            <w:r>
              <w:rPr>
                <w:rFonts w:ascii="Consolas" w:hAnsi="Consolas"/>
                <w:b w:val="0"/>
                <w:i w:val="0"/>
                <w:color w:val="123A63"/>
                <w:sz w:val="17"/>
                <w:shd w:val="clear" w:color="auto" w:fill="EEF2F7"/>
              </w:rPr>
              <w:t>&lt;sid&gt;adm</w:t>
            </w:r>
            <w:r>
              <w:rPr>
                <w:rFonts w:ascii="Calibri" w:hAnsi="Calibri"/>
                <w:b w:val="0"/>
                <w:i w:val="0"/>
                <w:color w:val="334E68"/>
                <w:sz w:val="17"/>
              </w:rPr>
              <w:t>, DB users and groups identical to source/design</w:t>
            </w:r>
          </w:p>
        </w:tc>
        <w:tc>
          <w:tcPr>
            <w:tcW w:type="dxa" w:w="3662"/>
            <w:shd w:val="clear" w:color="auto" w:fill="FAFBFD"/>
          </w:tcPr>
          <w:p>
            <w:pPr>
              <w:spacing w:after="20" w:before="20"/>
            </w:pPr>
            <w:r/>
            <w:r>
              <w:rPr>
                <w:rFonts w:ascii="Consolas" w:hAnsi="Consolas"/>
                <w:b w:val="0"/>
                <w:i w:val="0"/>
                <w:color w:val="123A63"/>
                <w:sz w:val="17"/>
                <w:shd w:val="clear" w:color="auto" w:fill="EEF2F7"/>
              </w:rPr>
              <w:t>id</w:t>
            </w:r>
            <w:r>
              <w:rPr>
                <w:rFonts w:ascii="Calibri" w:hAnsi="Calibri"/>
                <w:b w:val="0"/>
                <w:i w:val="0"/>
                <w:color w:val="334E68"/>
                <w:sz w:val="17"/>
              </w:rPr>
              <w:t xml:space="preserve">, </w:t>
            </w:r>
            <w:r>
              <w:rPr>
                <w:rFonts w:ascii="Consolas" w:hAnsi="Consolas"/>
                <w:b w:val="0"/>
                <w:i w:val="0"/>
                <w:color w:val="123A63"/>
                <w:sz w:val="17"/>
                <w:shd w:val="clear" w:color="auto" w:fill="EEF2F7"/>
              </w:rPr>
              <w:t>getent passwd</w:t>
            </w:r>
            <w:r>
              <w:rPr>
                <w:rFonts w:ascii="Calibri" w:hAnsi="Calibri"/>
                <w:b w:val="0"/>
                <w:i w:val="0"/>
                <w:color w:val="334E68"/>
                <w:sz w:val="17"/>
              </w:rPr>
              <w:t xml:space="preserve">, </w:t>
            </w:r>
            <w:r>
              <w:rPr>
                <w:rFonts w:ascii="Consolas" w:hAnsi="Consolas"/>
                <w:b w:val="0"/>
                <w:i w:val="0"/>
                <w:color w:val="123A63"/>
                <w:sz w:val="17"/>
                <w:shd w:val="clear" w:color="auto" w:fill="EEF2F7"/>
              </w:rPr>
              <w:t>getent group</w:t>
            </w:r>
          </w:p>
        </w:tc>
      </w:tr>
      <w:tr>
        <w:trPr>
          <w:cantSplit/>
        </w:trPr>
        <w:tc>
          <w:tcPr>
            <w:tcW w:type="dxa" w:w="2120"/>
          </w:tcPr>
          <w:p>
            <w:pPr>
              <w:spacing w:after="20" w:before="20"/>
            </w:pPr>
            <w:r/>
            <w:r>
              <w:rPr>
                <w:rFonts w:ascii="Calibri" w:hAnsi="Calibri"/>
                <w:b/>
                <w:i w:val="0"/>
                <w:color w:val="334E68"/>
                <w:sz w:val="17"/>
              </w:rPr>
              <w:t>Libraries</w:t>
            </w:r>
          </w:p>
        </w:tc>
        <w:tc>
          <w:tcPr>
            <w:tcW w:type="dxa" w:w="3855"/>
          </w:tcPr>
          <w:p>
            <w:pPr>
              <w:spacing w:after="20" w:before="20"/>
            </w:pPr>
            <w:r/>
            <w:r>
              <w:rPr>
                <w:rFonts w:ascii="Calibri" w:hAnsi="Calibri"/>
                <w:b w:val="0"/>
                <w:i w:val="0"/>
                <w:color w:val="334E68"/>
                <w:sz w:val="17"/>
              </w:rPr>
              <w:t>Required shared libraries present at the expected versions</w:t>
            </w:r>
          </w:p>
        </w:tc>
        <w:tc>
          <w:tcPr>
            <w:tcW w:type="dxa" w:w="3662"/>
          </w:tcPr>
          <w:p>
            <w:pPr>
              <w:spacing w:after="20" w:before="20"/>
            </w:pPr>
            <w:r/>
            <w:r>
              <w:rPr>
                <w:rFonts w:ascii="Consolas" w:hAnsi="Consolas"/>
                <w:b w:val="0"/>
                <w:i w:val="0"/>
                <w:color w:val="123A63"/>
                <w:sz w:val="17"/>
                <w:shd w:val="clear" w:color="auto" w:fill="EEF2F7"/>
              </w:rPr>
              <w:t>ldd</w:t>
            </w:r>
            <w:r>
              <w:rPr>
                <w:rFonts w:ascii="Calibri" w:hAnsi="Calibri"/>
                <w:b w:val="0"/>
                <w:i w:val="0"/>
                <w:color w:val="334E68"/>
                <w:sz w:val="17"/>
              </w:rPr>
              <w:t xml:space="preserve"> on key binaries, package list comparison</w:t>
            </w:r>
          </w:p>
        </w:tc>
      </w:tr>
      <w:tr>
        <w:trPr>
          <w:cantSplit/>
        </w:trPr>
        <w:tc>
          <w:tcPr>
            <w:tcW w:type="dxa" w:w="2120"/>
            <w:shd w:val="clear" w:color="auto" w:fill="FAFBFD"/>
          </w:tcPr>
          <w:p>
            <w:pPr>
              <w:spacing w:after="20" w:before="20"/>
            </w:pPr>
            <w:r/>
            <w:r>
              <w:rPr>
                <w:rFonts w:ascii="Calibri" w:hAnsi="Calibri"/>
                <w:b/>
                <w:i w:val="0"/>
                <w:color w:val="334E68"/>
                <w:sz w:val="17"/>
              </w:rPr>
              <w:t>FTP users and OS groups</w:t>
            </w:r>
          </w:p>
        </w:tc>
        <w:tc>
          <w:tcPr>
            <w:tcW w:type="dxa" w:w="3855"/>
            <w:shd w:val="clear" w:color="auto" w:fill="FAFBFD"/>
          </w:tcPr>
          <w:p>
            <w:pPr>
              <w:spacing w:after="20" w:before="20"/>
            </w:pPr>
            <w:r/>
            <w:r>
              <w:rPr>
                <w:rFonts w:ascii="Calibri" w:hAnsi="Calibri"/>
                <w:b w:val="0"/>
                <w:i w:val="0"/>
                <w:color w:val="334E68"/>
                <w:sz w:val="17"/>
              </w:rPr>
              <w:t>Service accounts and group memberships migrated correctly</w:t>
            </w:r>
          </w:p>
        </w:tc>
        <w:tc>
          <w:tcPr>
            <w:tcW w:type="dxa" w:w="3662"/>
            <w:shd w:val="clear" w:color="auto" w:fill="FAFBFD"/>
          </w:tcPr>
          <w:p>
            <w:pPr>
              <w:spacing w:after="20" w:before="20"/>
            </w:pPr>
            <w:r/>
            <w:r>
              <w:rPr>
                <w:rFonts w:ascii="Consolas" w:hAnsi="Consolas"/>
                <w:b w:val="0"/>
                <w:i w:val="0"/>
                <w:color w:val="123A63"/>
                <w:sz w:val="17"/>
                <w:shd w:val="clear" w:color="auto" w:fill="EEF2F7"/>
              </w:rPr>
              <w:t>getent passwd</w:t>
            </w:r>
            <w:r>
              <w:rPr>
                <w:rFonts w:ascii="Calibri" w:hAnsi="Calibri"/>
                <w:b w:val="0"/>
                <w:i w:val="0"/>
                <w:color w:val="334E68"/>
                <w:sz w:val="17"/>
              </w:rPr>
              <w:t xml:space="preserve">, </w:t>
            </w:r>
            <w:r>
              <w:rPr>
                <w:rFonts w:ascii="Consolas" w:hAnsi="Consolas"/>
                <w:b w:val="0"/>
                <w:i w:val="0"/>
                <w:color w:val="123A63"/>
                <w:sz w:val="17"/>
                <w:shd w:val="clear" w:color="auto" w:fill="EEF2F7"/>
              </w:rPr>
              <w:t>getent group</w:t>
            </w:r>
            <w:r>
              <w:rPr>
                <w:rFonts w:ascii="Calibri" w:hAnsi="Calibri"/>
                <w:b w:val="0"/>
                <w:i w:val="0"/>
                <w:color w:val="334E68"/>
                <w:sz w:val="17"/>
              </w:rPr>
              <w:t>, FTP/SFTP config</w:t>
            </w:r>
          </w:p>
        </w:tc>
      </w:tr>
      <w:tr>
        <w:trPr>
          <w:cantSplit/>
        </w:trPr>
        <w:tc>
          <w:tcPr>
            <w:tcW w:type="dxa" w:w="2120"/>
          </w:tcPr>
          <w:p>
            <w:pPr>
              <w:spacing w:after="20" w:before="20"/>
            </w:pPr>
            <w:r/>
            <w:r>
              <w:rPr>
                <w:rFonts w:ascii="Calibri" w:hAnsi="Calibri"/>
                <w:b/>
                <w:i w:val="0"/>
                <w:color w:val="334E68"/>
                <w:sz w:val="17"/>
              </w:rPr>
              <w:t>Physical and virtual IPs</w:t>
            </w:r>
          </w:p>
        </w:tc>
        <w:tc>
          <w:tcPr>
            <w:tcW w:type="dxa" w:w="3855"/>
          </w:tcPr>
          <w:p>
            <w:pPr>
              <w:spacing w:after="20" w:before="20"/>
            </w:pPr>
            <w:r/>
            <w:r>
              <w:rPr>
                <w:rFonts w:ascii="Calibri" w:hAnsi="Calibri"/>
                <w:b w:val="0"/>
                <w:i w:val="0"/>
                <w:color w:val="334E68"/>
                <w:sz w:val="17"/>
              </w:rPr>
              <w:t>Both present, bound to the right interfaces, correct netmask/gateway</w:t>
            </w:r>
          </w:p>
        </w:tc>
        <w:tc>
          <w:tcPr>
            <w:tcW w:type="dxa" w:w="3662"/>
          </w:tcPr>
          <w:p>
            <w:pPr>
              <w:spacing w:after="20" w:before="20"/>
            </w:pPr>
            <w:r/>
            <w:r>
              <w:rPr>
                <w:rFonts w:ascii="Consolas" w:hAnsi="Consolas"/>
                <w:b w:val="0"/>
                <w:i w:val="0"/>
                <w:color w:val="123A63"/>
                <w:sz w:val="17"/>
                <w:shd w:val="clear" w:color="auto" w:fill="EEF2F7"/>
              </w:rPr>
              <w:t>ip a</w:t>
            </w:r>
            <w:r>
              <w:rPr>
                <w:rFonts w:ascii="Calibri" w:hAnsi="Calibri"/>
                <w:b w:val="0"/>
                <w:i w:val="0"/>
                <w:color w:val="334E68"/>
                <w:sz w:val="17"/>
              </w:rPr>
              <w:t xml:space="preserve">, </w:t>
            </w:r>
            <w:r>
              <w:rPr>
                <w:rFonts w:ascii="Consolas" w:hAnsi="Consolas"/>
                <w:b w:val="0"/>
                <w:i w:val="0"/>
                <w:color w:val="123A63"/>
                <w:sz w:val="17"/>
                <w:shd w:val="clear" w:color="auto" w:fill="EEF2F7"/>
              </w:rPr>
              <w:t>ip r</w:t>
            </w:r>
          </w:p>
        </w:tc>
      </w:tr>
      <w:tr>
        <w:trPr>
          <w:cantSplit/>
        </w:trPr>
        <w:tc>
          <w:tcPr>
            <w:tcW w:type="dxa" w:w="2120"/>
            <w:shd w:val="clear" w:color="auto" w:fill="FAFBFD"/>
          </w:tcPr>
          <w:p>
            <w:pPr>
              <w:spacing w:after="20" w:before="20"/>
            </w:pPr>
            <w:r/>
            <w:r>
              <w:rPr>
                <w:rFonts w:ascii="Calibri" w:hAnsi="Calibri"/>
                <w:b/>
                <w:i w:val="0"/>
                <w:color w:val="334E68"/>
                <w:sz w:val="17"/>
              </w:rPr>
              <w:t>Physical and virtual hostnames</w:t>
            </w:r>
          </w:p>
        </w:tc>
        <w:tc>
          <w:tcPr>
            <w:tcW w:type="dxa" w:w="3855"/>
            <w:shd w:val="clear" w:color="auto" w:fill="FAFBFD"/>
          </w:tcPr>
          <w:p>
            <w:pPr>
              <w:spacing w:after="20" w:before="20"/>
            </w:pPr>
            <w:r/>
            <w:r>
              <w:rPr>
                <w:rFonts w:ascii="Calibri" w:hAnsi="Calibri"/>
                <w:b w:val="0"/>
                <w:i w:val="0"/>
                <w:color w:val="334E68"/>
                <w:sz w:val="17"/>
              </w:rPr>
              <w:t>Hostname, FQDN and virtual hostname resolve as designed</w:t>
            </w:r>
          </w:p>
        </w:tc>
        <w:tc>
          <w:tcPr>
            <w:tcW w:type="dxa" w:w="3662"/>
            <w:shd w:val="clear" w:color="auto" w:fill="FAFBFD"/>
          </w:tcPr>
          <w:p>
            <w:pPr>
              <w:spacing w:after="20" w:before="20"/>
            </w:pPr>
            <w:r/>
            <w:r>
              <w:rPr>
                <w:rFonts w:ascii="Consolas" w:hAnsi="Consolas"/>
                <w:b w:val="0"/>
                <w:i w:val="0"/>
                <w:color w:val="123A63"/>
                <w:sz w:val="17"/>
                <w:shd w:val="clear" w:color="auto" w:fill="EEF2F7"/>
              </w:rPr>
              <w:t>hostname</w:t>
            </w:r>
            <w:r>
              <w:rPr>
                <w:rFonts w:ascii="Calibri" w:hAnsi="Calibri"/>
                <w:b w:val="0"/>
                <w:i w:val="0"/>
                <w:color w:val="334E68"/>
                <w:sz w:val="17"/>
              </w:rPr>
              <w:t xml:space="preserve">, </w:t>
            </w:r>
            <w:r>
              <w:rPr>
                <w:rFonts w:ascii="Consolas" w:hAnsi="Consolas"/>
                <w:b w:val="0"/>
                <w:i w:val="0"/>
                <w:color w:val="123A63"/>
                <w:sz w:val="17"/>
                <w:shd w:val="clear" w:color="auto" w:fill="EEF2F7"/>
              </w:rPr>
              <w:t>hostname -f</w:t>
            </w:r>
            <w:r>
              <w:rPr>
                <w:rFonts w:ascii="Calibri" w:hAnsi="Calibri"/>
                <w:b w:val="0"/>
                <w:i w:val="0"/>
                <w:color w:val="334E68"/>
                <w:sz w:val="17"/>
              </w:rPr>
              <w:t xml:space="preserve">, </w:t>
            </w:r>
            <w:r>
              <w:rPr>
                <w:rFonts w:ascii="Consolas" w:hAnsi="Consolas"/>
                <w:b w:val="0"/>
                <w:i w:val="0"/>
                <w:color w:val="123A63"/>
                <w:sz w:val="17"/>
                <w:shd w:val="clear" w:color="auto" w:fill="EEF2F7"/>
              </w:rPr>
              <w:t>getent hosts</w:t>
            </w:r>
          </w:p>
        </w:tc>
      </w:tr>
      <w:tr>
        <w:trPr>
          <w:cantSplit/>
        </w:trPr>
        <w:tc>
          <w:tcPr>
            <w:tcW w:type="dxa" w:w="2120"/>
          </w:tcPr>
          <w:p>
            <w:pPr>
              <w:spacing w:after="20" w:before="20"/>
            </w:pPr>
            <w:r/>
            <w:r>
              <w:rPr>
                <w:rFonts w:ascii="Consolas" w:hAnsi="Consolas"/>
                <w:b/>
                <w:i w:val="0"/>
                <w:color w:val="123A63"/>
                <w:sz w:val="17"/>
                <w:shd w:val="clear" w:color="auto" w:fill="EEF2F7"/>
              </w:rPr>
              <w:t>/etc/services</w:t>
            </w:r>
            <w:r>
              <w:rPr>
                <w:rFonts w:ascii="Calibri" w:hAnsi="Calibri"/>
                <w:b/>
                <w:i w:val="0"/>
                <w:color w:val="334E68"/>
                <w:sz w:val="17"/>
              </w:rPr>
              <w:t xml:space="preserve"> and </w:t>
            </w:r>
            <w:r>
              <w:rPr>
                <w:rFonts w:ascii="Consolas" w:hAnsi="Consolas"/>
                <w:b/>
                <w:i w:val="0"/>
                <w:color w:val="123A63"/>
                <w:sz w:val="17"/>
                <w:shd w:val="clear" w:color="auto" w:fill="EEF2F7"/>
              </w:rPr>
              <w:t>/etc/hosts</w:t>
            </w:r>
          </w:p>
        </w:tc>
        <w:tc>
          <w:tcPr>
            <w:tcW w:type="dxa" w:w="3855"/>
          </w:tcPr>
          <w:p>
            <w:pPr>
              <w:spacing w:after="20" w:before="20"/>
            </w:pPr>
            <w:r/>
            <w:r>
              <w:rPr>
                <w:rFonts w:ascii="Calibri" w:hAnsi="Calibri"/>
                <w:b w:val="0"/>
                <w:i w:val="0"/>
                <w:color w:val="334E68"/>
                <w:sz w:val="17"/>
              </w:rPr>
              <w:t>SAP service ports (sapdp/sapgw), sapdbhost entries, no stale source IPs</w:t>
            </w:r>
          </w:p>
        </w:tc>
        <w:tc>
          <w:tcPr>
            <w:tcW w:type="dxa" w:w="3662"/>
          </w:tcPr>
          <w:p>
            <w:pPr>
              <w:spacing w:after="20" w:before="20"/>
            </w:pPr>
            <w:r/>
            <w:r>
              <w:rPr>
                <w:rFonts w:ascii="Consolas" w:hAnsi="Consolas"/>
                <w:b w:val="0"/>
                <w:i w:val="0"/>
                <w:color w:val="123A63"/>
                <w:sz w:val="17"/>
                <w:shd w:val="clear" w:color="auto" w:fill="EEF2F7"/>
              </w:rPr>
              <w:t>grep sap /etc/services</w:t>
            </w:r>
            <w:r>
              <w:rPr>
                <w:rFonts w:ascii="Calibri" w:hAnsi="Calibri"/>
                <w:b w:val="0"/>
                <w:i w:val="0"/>
                <w:color w:val="334E68"/>
                <w:sz w:val="17"/>
              </w:rPr>
              <w:t xml:space="preserve">, </w:t>
            </w:r>
            <w:r>
              <w:rPr>
                <w:rFonts w:ascii="Consolas" w:hAnsi="Consolas"/>
                <w:b w:val="0"/>
                <w:i w:val="0"/>
                <w:color w:val="123A63"/>
                <w:sz w:val="17"/>
                <w:shd w:val="clear" w:color="auto" w:fill="EEF2F7"/>
              </w:rPr>
              <w:t>/etc/hosts</w:t>
            </w:r>
          </w:p>
        </w:tc>
      </w:tr>
      <w:tr>
        <w:trPr>
          <w:cantSplit/>
        </w:trPr>
        <w:tc>
          <w:tcPr>
            <w:tcW w:type="dxa" w:w="2120"/>
            <w:shd w:val="clear" w:color="auto" w:fill="FAFBFD"/>
          </w:tcPr>
          <w:p>
            <w:pPr>
              <w:spacing w:after="20" w:before="20"/>
            </w:pPr>
            <w:r/>
            <w:r>
              <w:rPr>
                <w:rFonts w:ascii="Calibri" w:hAnsi="Calibri"/>
                <w:b/>
                <w:i w:val="0"/>
                <w:color w:val="334E68"/>
                <w:sz w:val="17"/>
              </w:rPr>
              <w:t>SAP directories and permissions</w:t>
            </w:r>
          </w:p>
        </w:tc>
        <w:tc>
          <w:tcPr>
            <w:tcW w:type="dxa" w:w="3855"/>
            <w:shd w:val="clear" w:color="auto" w:fill="FAFBFD"/>
          </w:tcPr>
          <w:p>
            <w:pPr>
              <w:spacing w:after="20" w:before="20"/>
            </w:pPr>
            <w:r/>
            <w:r>
              <w:rPr>
                <w:rFonts w:ascii="Calibri" w:hAnsi="Calibri"/>
                <w:b w:val="0"/>
                <w:i w:val="0"/>
                <w:color w:val="334E68"/>
                <w:sz w:val="17"/>
              </w:rPr>
              <w:t>Kernel, profile, work, log, transport, interface directories present with correct ownership</w:t>
            </w:r>
          </w:p>
        </w:tc>
        <w:tc>
          <w:tcPr>
            <w:tcW w:type="dxa" w:w="3662"/>
            <w:shd w:val="clear" w:color="auto" w:fill="FAFBFD"/>
          </w:tcPr>
          <w:p>
            <w:pPr>
              <w:spacing w:after="20" w:before="20"/>
            </w:pPr>
            <w:r/>
            <w:r>
              <w:rPr>
                <w:rFonts w:ascii="Consolas" w:hAnsi="Consolas"/>
                <w:b w:val="0"/>
                <w:i w:val="0"/>
                <w:color w:val="123A63"/>
                <w:sz w:val="17"/>
                <w:shd w:val="clear" w:color="auto" w:fill="EEF2F7"/>
              </w:rPr>
              <w:t>ls -ld</w:t>
            </w:r>
            <w:r>
              <w:rPr>
                <w:rFonts w:ascii="Calibri" w:hAnsi="Calibri"/>
                <w:b w:val="0"/>
                <w:i w:val="0"/>
                <w:color w:val="334E68"/>
                <w:sz w:val="17"/>
              </w:rPr>
              <w:t xml:space="preserve"> per directory, compare with the source listing</w:t>
            </w:r>
          </w:p>
        </w:tc>
      </w:tr>
      <w:tr>
        <w:trPr>
          <w:cantSplit/>
        </w:trPr>
        <w:tc>
          <w:tcPr>
            <w:tcW w:type="dxa" w:w="2120"/>
          </w:tcPr>
          <w:p>
            <w:pPr>
              <w:spacing w:after="20" w:before="20"/>
            </w:pPr>
            <w:r/>
            <w:r>
              <w:rPr>
                <w:rFonts w:ascii="Calibri" w:hAnsi="Calibri"/>
                <w:b/>
                <w:i w:val="0"/>
                <w:color w:val="334E68"/>
                <w:sz w:val="17"/>
              </w:rPr>
              <w:t>OS tuning</w:t>
            </w:r>
          </w:p>
        </w:tc>
        <w:tc>
          <w:tcPr>
            <w:tcW w:type="dxa" w:w="3855"/>
          </w:tcPr>
          <w:p>
            <w:pPr>
              <w:spacing w:after="20" w:before="20"/>
            </w:pPr>
            <w:r/>
            <w:r>
              <w:rPr>
                <w:rFonts w:ascii="Calibri" w:hAnsi="Calibri"/>
                <w:b w:val="0"/>
                <w:i w:val="0"/>
                <w:color w:val="334E68"/>
                <w:sz w:val="17"/>
              </w:rPr>
              <w:t>Hugepages, THP, semaphores, shared memory, file limits, scheduler</w:t>
            </w:r>
          </w:p>
        </w:tc>
        <w:tc>
          <w:tcPr>
            <w:tcW w:type="dxa" w:w="3662"/>
          </w:tcPr>
          <w:p>
            <w:pPr>
              <w:spacing w:after="20" w:before="20"/>
            </w:pPr>
            <w:r/>
            <w:r>
              <w:rPr>
                <w:rFonts w:ascii="Consolas" w:hAnsi="Consolas"/>
                <w:b w:val="0"/>
                <w:i w:val="0"/>
                <w:color w:val="123A63"/>
                <w:sz w:val="17"/>
                <w:shd w:val="clear" w:color="auto" w:fill="EEF2F7"/>
              </w:rPr>
              <w:t>sysctl -a</w:t>
            </w:r>
            <w:r>
              <w:rPr>
                <w:rFonts w:ascii="Calibri" w:hAnsi="Calibri"/>
                <w:b w:val="0"/>
                <w:i w:val="0"/>
                <w:color w:val="334E68"/>
                <w:sz w:val="17"/>
              </w:rPr>
              <w:t xml:space="preserve"> subset, </w:t>
            </w:r>
            <w:r>
              <w:rPr>
                <w:rFonts w:ascii="Consolas" w:hAnsi="Consolas"/>
                <w:b w:val="0"/>
                <w:i w:val="0"/>
                <w:color w:val="123A63"/>
                <w:sz w:val="17"/>
                <w:shd w:val="clear" w:color="auto" w:fill="EEF2F7"/>
              </w:rPr>
              <w:t>/proc/meminfo</w:t>
            </w:r>
            <w:r>
              <w:rPr>
                <w:rFonts w:ascii="Calibri" w:hAnsi="Calibri"/>
                <w:b w:val="0"/>
                <w:i w:val="0"/>
                <w:color w:val="334E68"/>
                <w:sz w:val="17"/>
              </w:rPr>
              <w:t xml:space="preserve">, </w:t>
            </w:r>
            <w:r>
              <w:rPr>
                <w:rFonts w:ascii="Consolas" w:hAnsi="Consolas"/>
                <w:b w:val="0"/>
                <w:i w:val="0"/>
                <w:color w:val="123A63"/>
                <w:sz w:val="17"/>
                <w:shd w:val="clear" w:color="auto" w:fill="EEF2F7"/>
              </w:rPr>
              <w:t>ulimit -a</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UID/GID MISMATCHES ARE QUIET AND EXPENSIVE</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 xml:space="preserve">A different UID for </w:t>
      </w:r>
      <w:r>
        <w:rPr>
          <w:rFonts w:ascii="Consolas" w:hAnsi="Consolas"/>
          <w:b w:val="0"/>
          <w:i w:val="0"/>
          <w:color w:val="123A63"/>
          <w:sz w:val="18"/>
          <w:shd w:val="clear" w:color="auto" w:fill="EEF2F7"/>
        </w:rPr>
        <w:t>&lt;sid&gt;adm</w:t>
      </w:r>
      <w:r>
        <w:rPr>
          <w:rFonts w:ascii="Calibri" w:hAnsi="Calibri"/>
          <w:b w:val="0"/>
          <w:i w:val="0"/>
          <w:color w:val="334E68"/>
          <w:sz w:val="18"/>
        </w:rPr>
        <w:t xml:space="preserve"> on the target makes files look correctly named but wrongly owned. The symptoms appear later and elsewhere: SAP start failures, permission denied on the transport or interface directory, NFS squash problems, or inter-server communication failures. Compare numeric IDs, not just names.</w:t>
      </w:r>
    </w:p>
    <w:p>
      <w:pPr>
        <w:pStyle w:val="Heading2"/>
        <w:pBdr>
          <w:bottom w:val="single" w:sz="6" w:space="3" w:color="E8EDF3"/>
        </w:pBdr>
      </w:pPr>
      <w:r>
        <w:rPr>
          <w:rFonts w:ascii="Calibri" w:hAnsi="Calibri"/>
          <w:b/>
          <w:color w:val="0F2B4C"/>
          <w:sz w:val="26"/>
        </w:rPr>
        <w:t>7.3  SAP application validation</w:t>
      </w:r>
    </w:p>
    <w:p>
      <w:pPr>
        <w:spacing w:after="60" w:before="160"/>
        <w:keepNext/>
      </w:pPr>
      <w:r>
        <w:rPr>
          <w:rFonts w:ascii="Calibri" w:hAnsi="Calibri"/>
          <w:b/>
          <w:color w:val="5B7288"/>
          <w:sz w:val="15"/>
        </w:rPr>
        <w:t>SAP APPLICATION VALIDATION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1928"/>
        <w:gridCol w:w="5590"/>
      </w:tblGrid>
      <w:tr>
        <w:trPr>
          <w:tblHeader/>
          <w:cantSplit/>
        </w:trPr>
        <w:tc>
          <w:tcPr>
            <w:tcW w:type="dxa" w:w="2120"/>
            <w:shd w:val="clear" w:color="auto" w:fill="0F2B4C"/>
          </w:tcPr>
          <w:p>
            <w:pPr>
              <w:spacing w:after="20" w:before="20"/>
            </w:pPr>
            <w:r/>
            <w:r>
              <w:rPr>
                <w:rFonts w:ascii="Calibri" w:hAnsi="Calibri"/>
                <w:b/>
                <w:color w:val="FFFFFF"/>
                <w:sz w:val="17"/>
              </w:rPr>
              <w:t>Area</w:t>
            </w:r>
          </w:p>
        </w:tc>
        <w:tc>
          <w:tcPr>
            <w:tcW w:type="dxa" w:w="1928"/>
            <w:shd w:val="clear" w:color="auto" w:fill="0F2B4C"/>
          </w:tcPr>
          <w:p>
            <w:pPr>
              <w:spacing w:after="20" w:before="20"/>
            </w:pPr>
            <w:r/>
            <w:r>
              <w:rPr>
                <w:rFonts w:ascii="Calibri" w:hAnsi="Calibri"/>
                <w:b/>
                <w:color w:val="FFFFFF"/>
                <w:sz w:val="17"/>
              </w:rPr>
              <w:t>Transaction / tool</w:t>
            </w:r>
          </w:p>
        </w:tc>
        <w:tc>
          <w:tcPr>
            <w:tcW w:type="dxa" w:w="5590"/>
            <w:shd w:val="clear" w:color="auto" w:fill="0F2B4C"/>
          </w:tcPr>
          <w:p>
            <w:pPr>
              <w:spacing w:after="20" w:before="20"/>
            </w:pPr>
            <w:r/>
            <w:r>
              <w:rPr>
                <w:rFonts w:ascii="Calibri" w:hAnsi="Calibri"/>
                <w:b/>
                <w:color w:val="FFFFFF"/>
                <w:sz w:val="17"/>
              </w:rPr>
              <w:t>What a pass looks like</w:t>
            </w:r>
          </w:p>
        </w:tc>
      </w:tr>
      <w:tr>
        <w:trPr>
          <w:cantSplit/>
        </w:trPr>
        <w:tc>
          <w:tcPr>
            <w:tcW w:type="dxa" w:w="2120"/>
          </w:tcPr>
          <w:p>
            <w:pPr>
              <w:spacing w:after="20" w:before="20"/>
            </w:pPr>
            <w:r/>
            <w:r>
              <w:rPr>
                <w:rFonts w:ascii="Calibri" w:hAnsi="Calibri"/>
                <w:b/>
                <w:i w:val="0"/>
                <w:color w:val="334E68"/>
                <w:sz w:val="17"/>
              </w:rPr>
              <w:t>SAP services and processes</w:t>
            </w:r>
          </w:p>
        </w:tc>
        <w:tc>
          <w:tcPr>
            <w:tcW w:type="dxa" w:w="1928"/>
          </w:tcPr>
          <w:p>
            <w:pPr>
              <w:spacing w:after="20" w:before="20"/>
            </w:pPr>
            <w:r/>
            <w:r>
              <w:rPr>
                <w:rFonts w:ascii="Calibri" w:hAnsi="Calibri"/>
                <w:b w:val="0"/>
                <w:i w:val="0"/>
                <w:color w:val="334E68"/>
                <w:sz w:val="17"/>
              </w:rPr>
              <w:t xml:space="preserve">OS service, </w:t>
            </w:r>
            <w:r>
              <w:rPr>
                <w:rFonts w:ascii="Consolas" w:hAnsi="Consolas"/>
                <w:b w:val="0"/>
                <w:i w:val="0"/>
                <w:color w:val="123A63"/>
                <w:sz w:val="17"/>
                <w:shd w:val="clear" w:color="auto" w:fill="EEF2F7"/>
              </w:rPr>
              <w:t>sapcontrol</w:t>
            </w:r>
          </w:p>
        </w:tc>
        <w:tc>
          <w:tcPr>
            <w:tcW w:type="dxa" w:w="5590"/>
          </w:tcPr>
          <w:p>
            <w:pPr>
              <w:spacing w:after="20" w:before="20"/>
            </w:pPr>
            <w:r/>
            <w:r>
              <w:rPr>
                <w:rFonts w:ascii="Calibri" w:hAnsi="Calibri"/>
                <w:b w:val="0"/>
                <w:i w:val="0"/>
                <w:color w:val="334E68"/>
                <w:sz w:val="17"/>
              </w:rPr>
              <w:t>Service active, return code 0, all processes green</w:t>
            </w:r>
          </w:p>
        </w:tc>
      </w:tr>
      <w:tr>
        <w:trPr>
          <w:cantSplit/>
        </w:trPr>
        <w:tc>
          <w:tcPr>
            <w:tcW w:type="dxa" w:w="2120"/>
            <w:shd w:val="clear" w:color="auto" w:fill="FAFBFD"/>
          </w:tcPr>
          <w:p>
            <w:pPr>
              <w:spacing w:after="20" w:before="20"/>
            </w:pPr>
            <w:r/>
            <w:r>
              <w:rPr>
                <w:rFonts w:ascii="Calibri" w:hAnsi="Calibri"/>
                <w:b/>
                <w:i w:val="0"/>
                <w:color w:val="334E68"/>
                <w:sz w:val="17"/>
              </w:rPr>
              <w:t>Application servers</w:t>
            </w:r>
          </w:p>
        </w:tc>
        <w:tc>
          <w:tcPr>
            <w:tcW w:type="dxa" w:w="1928"/>
            <w:shd w:val="clear" w:color="auto" w:fill="FAFBFD"/>
          </w:tcPr>
          <w:p>
            <w:pPr>
              <w:spacing w:after="20" w:before="20"/>
            </w:pPr>
            <w:r/>
            <w:r>
              <w:rPr>
                <w:rFonts w:ascii="Consolas" w:hAnsi="Consolas"/>
                <w:b w:val="0"/>
                <w:i w:val="0"/>
                <w:color w:val="123A63"/>
                <w:sz w:val="17"/>
                <w:shd w:val="clear" w:color="auto" w:fill="EEF2F7"/>
              </w:rPr>
              <w:t>SM51</w:t>
            </w:r>
          </w:p>
        </w:tc>
        <w:tc>
          <w:tcPr>
            <w:tcW w:type="dxa" w:w="5590"/>
            <w:shd w:val="clear" w:color="auto" w:fill="FAFBFD"/>
          </w:tcPr>
          <w:p>
            <w:pPr>
              <w:spacing w:after="20" w:before="20"/>
            </w:pPr>
            <w:r/>
            <w:r>
              <w:rPr>
                <w:rFonts w:ascii="Calibri" w:hAnsi="Calibri"/>
                <w:b w:val="0"/>
                <w:i w:val="0"/>
                <w:color w:val="334E68"/>
                <w:sz w:val="17"/>
              </w:rPr>
              <w:t>Every planned instance listed, active, with the expected work process configuration</w:t>
            </w:r>
          </w:p>
        </w:tc>
      </w:tr>
      <w:tr>
        <w:trPr>
          <w:cantSplit/>
        </w:trPr>
        <w:tc>
          <w:tcPr>
            <w:tcW w:type="dxa" w:w="2120"/>
          </w:tcPr>
          <w:p>
            <w:pPr>
              <w:spacing w:after="20" w:before="20"/>
            </w:pPr>
            <w:r/>
            <w:r>
              <w:rPr>
                <w:rFonts w:ascii="Calibri" w:hAnsi="Calibri"/>
                <w:b/>
                <w:i w:val="0"/>
                <w:color w:val="334E68"/>
                <w:sz w:val="17"/>
              </w:rPr>
              <w:t>Gateway</w:t>
            </w:r>
          </w:p>
        </w:tc>
        <w:tc>
          <w:tcPr>
            <w:tcW w:type="dxa" w:w="1928"/>
          </w:tcPr>
          <w:p>
            <w:pPr>
              <w:spacing w:after="20" w:before="20"/>
            </w:pPr>
            <w:r/>
            <w:r>
              <w:rPr>
                <w:rFonts w:ascii="Consolas" w:hAnsi="Consolas"/>
                <w:b w:val="0"/>
                <w:i w:val="0"/>
                <w:color w:val="123A63"/>
                <w:sz w:val="17"/>
                <w:shd w:val="clear" w:color="auto" w:fill="EEF2F7"/>
              </w:rPr>
              <w:t>SMGW</w:t>
            </w:r>
          </w:p>
        </w:tc>
        <w:tc>
          <w:tcPr>
            <w:tcW w:type="dxa" w:w="5590"/>
          </w:tcPr>
          <w:p>
            <w:pPr>
              <w:spacing w:after="20" w:before="20"/>
            </w:pPr>
            <w:r/>
            <w:r>
              <w:rPr>
                <w:rFonts w:ascii="Calibri" w:hAnsi="Calibri"/>
                <w:b w:val="0"/>
                <w:i w:val="0"/>
                <w:color w:val="334E68"/>
                <w:sz w:val="17"/>
              </w:rPr>
              <w:t>Gateway running, expected connections present, no unexplained external registrations</w:t>
            </w:r>
          </w:p>
        </w:tc>
      </w:tr>
      <w:tr>
        <w:trPr>
          <w:cantSplit/>
        </w:trPr>
        <w:tc>
          <w:tcPr>
            <w:tcW w:type="dxa" w:w="2120"/>
            <w:shd w:val="clear" w:color="auto" w:fill="FAFBFD"/>
          </w:tcPr>
          <w:p>
            <w:pPr>
              <w:spacing w:after="20" w:before="20"/>
            </w:pPr>
            <w:r/>
            <w:r>
              <w:rPr>
                <w:rFonts w:ascii="Calibri" w:hAnsi="Calibri"/>
                <w:b/>
                <w:i w:val="0"/>
                <w:color w:val="334E68"/>
                <w:sz w:val="17"/>
              </w:rPr>
              <w:t>RFC destinations</w:t>
            </w:r>
          </w:p>
        </w:tc>
        <w:tc>
          <w:tcPr>
            <w:tcW w:type="dxa" w:w="1928"/>
            <w:shd w:val="clear" w:color="auto" w:fill="FAFBFD"/>
          </w:tcPr>
          <w:p>
            <w:pPr>
              <w:spacing w:after="20" w:before="20"/>
            </w:pPr>
            <w:r/>
            <w:r>
              <w:rPr>
                <w:rFonts w:ascii="Consolas" w:hAnsi="Consolas"/>
                <w:b w:val="0"/>
                <w:i w:val="0"/>
                <w:color w:val="123A63"/>
                <w:sz w:val="17"/>
                <w:shd w:val="clear" w:color="auto" w:fill="EEF2F7"/>
              </w:rPr>
              <w:t>SM59</w:t>
            </w:r>
          </w:p>
        </w:tc>
        <w:tc>
          <w:tcPr>
            <w:tcW w:type="dxa" w:w="5590"/>
            <w:shd w:val="clear" w:color="auto" w:fill="FAFBFD"/>
          </w:tcPr>
          <w:p>
            <w:pPr>
              <w:spacing w:after="20" w:before="20"/>
            </w:pPr>
            <w:r/>
            <w:r>
              <w:rPr>
                <w:rFonts w:ascii="Calibri" w:hAnsi="Calibri"/>
                <w:b w:val="0"/>
                <w:i w:val="0"/>
                <w:color w:val="334E68"/>
                <w:sz w:val="17"/>
              </w:rPr>
              <w:t>Each destination from the baseline exists and its connection test succeeds (or matches a documented pre-existing failure)</w:t>
            </w:r>
          </w:p>
        </w:tc>
      </w:tr>
      <w:tr>
        <w:trPr>
          <w:cantSplit/>
        </w:trPr>
        <w:tc>
          <w:tcPr>
            <w:tcW w:type="dxa" w:w="2120"/>
          </w:tcPr>
          <w:p>
            <w:pPr>
              <w:spacing w:after="20" w:before="20"/>
            </w:pPr>
            <w:r/>
            <w:r>
              <w:rPr>
                <w:rFonts w:ascii="Calibri" w:hAnsi="Calibri"/>
                <w:b/>
                <w:i w:val="0"/>
                <w:color w:val="334E68"/>
                <w:sz w:val="17"/>
              </w:rPr>
              <w:t>RFC connectivity report</w:t>
            </w:r>
          </w:p>
        </w:tc>
        <w:tc>
          <w:tcPr>
            <w:tcW w:type="dxa" w:w="1928"/>
          </w:tcPr>
          <w:p>
            <w:pPr>
              <w:spacing w:after="20" w:before="20"/>
            </w:pPr>
            <w:r/>
            <w:r>
              <w:rPr>
                <w:rFonts w:ascii="Consolas" w:hAnsi="Consolas"/>
                <w:b w:val="0"/>
                <w:i w:val="0"/>
                <w:color w:val="123A63"/>
                <w:sz w:val="17"/>
                <w:shd w:val="clear" w:color="auto" w:fill="EEF2F7"/>
              </w:rPr>
              <w:t>SA38</w:t>
            </w:r>
            <w:r>
              <w:rPr>
                <w:rFonts w:ascii="Calibri" w:hAnsi="Calibri"/>
                <w:b w:val="0"/>
                <w:i w:val="0"/>
                <w:color w:val="334E68"/>
                <w:sz w:val="17"/>
              </w:rPr>
              <w:t xml:space="preserve"> / project report</w:t>
            </w:r>
          </w:p>
        </w:tc>
        <w:tc>
          <w:tcPr>
            <w:tcW w:type="dxa" w:w="5590"/>
          </w:tcPr>
          <w:p>
            <w:pPr>
              <w:spacing w:after="20" w:before="20"/>
            </w:pPr>
            <w:r/>
            <w:r>
              <w:rPr>
                <w:rFonts w:ascii="Calibri" w:hAnsi="Calibri"/>
                <w:b w:val="0"/>
                <w:i w:val="0"/>
                <w:color w:val="334E68"/>
                <w:sz w:val="17"/>
              </w:rPr>
              <w:t>Bulk test result matches the baseline interface list</w:t>
            </w:r>
          </w:p>
        </w:tc>
      </w:tr>
      <w:tr>
        <w:trPr>
          <w:cantSplit/>
        </w:trPr>
        <w:tc>
          <w:tcPr>
            <w:tcW w:type="dxa" w:w="2120"/>
            <w:shd w:val="clear" w:color="auto" w:fill="FAFBFD"/>
          </w:tcPr>
          <w:p>
            <w:pPr>
              <w:spacing w:after="20" w:before="20"/>
            </w:pPr>
            <w:r/>
            <w:r>
              <w:rPr>
                <w:rFonts w:ascii="Calibri" w:hAnsi="Calibri"/>
                <w:b/>
                <w:i w:val="0"/>
                <w:color w:val="334E68"/>
                <w:sz w:val="17"/>
              </w:rPr>
              <w:t>Transport landscape</w:t>
            </w:r>
          </w:p>
        </w:tc>
        <w:tc>
          <w:tcPr>
            <w:tcW w:type="dxa" w:w="1928"/>
            <w:shd w:val="clear" w:color="auto" w:fill="FAFBFD"/>
          </w:tcPr>
          <w:p>
            <w:pPr>
              <w:spacing w:after="20" w:before="20"/>
            </w:pPr>
            <w:r/>
            <w:r>
              <w:rPr>
                <w:rFonts w:ascii="Consolas" w:hAnsi="Consolas"/>
                <w:b w:val="0"/>
                <w:i w:val="0"/>
                <w:color w:val="123A63"/>
                <w:sz w:val="17"/>
                <w:shd w:val="clear" w:color="auto" w:fill="EEF2F7"/>
              </w:rPr>
              <w:t>STMS</w:t>
            </w:r>
          </w:p>
        </w:tc>
        <w:tc>
          <w:tcPr>
            <w:tcW w:type="dxa" w:w="5590"/>
            <w:shd w:val="clear" w:color="auto" w:fill="FAFBFD"/>
          </w:tcPr>
          <w:p>
            <w:pPr>
              <w:spacing w:after="20" w:before="20"/>
            </w:pPr>
            <w:r/>
            <w:r>
              <w:rPr>
                <w:rFonts w:ascii="Calibri" w:hAnsi="Calibri"/>
                <w:b w:val="0"/>
                <w:i w:val="0"/>
                <w:color w:val="334E68"/>
                <w:sz w:val="17"/>
              </w:rPr>
              <w:t>Domain, systems, routes and transport directory correct; import works end to end</w:t>
            </w:r>
          </w:p>
        </w:tc>
      </w:tr>
      <w:tr>
        <w:trPr>
          <w:cantSplit/>
        </w:trPr>
        <w:tc>
          <w:tcPr>
            <w:tcW w:type="dxa" w:w="2120"/>
          </w:tcPr>
          <w:p>
            <w:pPr>
              <w:spacing w:after="20" w:before="20"/>
            </w:pPr>
            <w:r/>
            <w:r>
              <w:rPr>
                <w:rFonts w:ascii="Calibri" w:hAnsi="Calibri"/>
                <w:b/>
                <w:i w:val="0"/>
                <w:color w:val="334E68"/>
                <w:sz w:val="17"/>
              </w:rPr>
              <w:t>Directories</w:t>
            </w:r>
          </w:p>
        </w:tc>
        <w:tc>
          <w:tcPr>
            <w:tcW w:type="dxa" w:w="1928"/>
          </w:tcPr>
          <w:p>
            <w:pPr>
              <w:spacing w:after="20" w:before="20"/>
            </w:pPr>
            <w:r/>
            <w:r>
              <w:rPr>
                <w:rFonts w:ascii="Consolas" w:hAnsi="Consolas"/>
                <w:b w:val="0"/>
                <w:i w:val="0"/>
                <w:color w:val="123A63"/>
                <w:sz w:val="17"/>
                <w:shd w:val="clear" w:color="auto" w:fill="EEF2F7"/>
              </w:rPr>
              <w:t>AL11</w:t>
            </w:r>
          </w:p>
        </w:tc>
        <w:tc>
          <w:tcPr>
            <w:tcW w:type="dxa" w:w="5590"/>
          </w:tcPr>
          <w:p>
            <w:pPr>
              <w:spacing w:after="20" w:before="20"/>
            </w:pPr>
            <w:r/>
            <w:r>
              <w:rPr>
                <w:rFonts w:ascii="Calibri" w:hAnsi="Calibri"/>
                <w:b w:val="0"/>
                <w:i w:val="0"/>
                <w:color w:val="334E68"/>
                <w:sz w:val="17"/>
              </w:rPr>
              <w:t>All baseline directories present with correct permissions and content</w:t>
            </w:r>
          </w:p>
        </w:tc>
      </w:tr>
      <w:tr>
        <w:trPr>
          <w:cantSplit/>
        </w:trPr>
        <w:tc>
          <w:tcPr>
            <w:tcW w:type="dxa" w:w="2120"/>
            <w:shd w:val="clear" w:color="auto" w:fill="FAFBFD"/>
          </w:tcPr>
          <w:p>
            <w:pPr>
              <w:spacing w:after="20" w:before="20"/>
            </w:pPr>
            <w:r/>
            <w:r>
              <w:rPr>
                <w:rFonts w:ascii="Calibri" w:hAnsi="Calibri"/>
                <w:b/>
                <w:i w:val="0"/>
                <w:color w:val="334E68"/>
                <w:sz w:val="17"/>
              </w:rPr>
              <w:t>Printers and spool</w:t>
            </w:r>
          </w:p>
        </w:tc>
        <w:tc>
          <w:tcPr>
            <w:tcW w:type="dxa" w:w="1928"/>
            <w:shd w:val="clear" w:color="auto" w:fill="FAFBFD"/>
          </w:tcPr>
          <w:p>
            <w:pPr>
              <w:spacing w:after="20" w:before="20"/>
            </w:pPr>
            <w:r/>
            <w:r>
              <w:rPr>
                <w:rFonts w:ascii="Consolas" w:hAnsi="Consolas"/>
                <w:b w:val="0"/>
                <w:i w:val="0"/>
                <w:color w:val="123A63"/>
                <w:sz w:val="17"/>
                <w:shd w:val="clear" w:color="auto" w:fill="EEF2F7"/>
              </w:rPr>
              <w:t>SPAD</w:t>
            </w:r>
            <w:r>
              <w:rPr>
                <w:rFonts w:ascii="Calibri" w:hAnsi="Calibri"/>
                <w:b w:val="0"/>
                <w:i w:val="0"/>
                <w:color w:val="334E68"/>
                <w:sz w:val="17"/>
              </w:rPr>
              <w:t xml:space="preserve">, </w:t>
            </w:r>
            <w:r>
              <w:rPr>
                <w:rFonts w:ascii="Consolas" w:hAnsi="Consolas"/>
                <w:b w:val="0"/>
                <w:i w:val="0"/>
                <w:color w:val="123A63"/>
                <w:sz w:val="17"/>
                <w:shd w:val="clear" w:color="auto" w:fill="EEF2F7"/>
              </w:rPr>
              <w:t>SP01</w:t>
            </w:r>
          </w:p>
        </w:tc>
        <w:tc>
          <w:tcPr>
            <w:tcW w:type="dxa" w:w="5590"/>
            <w:shd w:val="clear" w:color="auto" w:fill="FAFBFD"/>
          </w:tcPr>
          <w:p>
            <w:pPr>
              <w:spacing w:after="20" w:before="20"/>
            </w:pPr>
            <w:r/>
            <w:r>
              <w:rPr>
                <w:rFonts w:ascii="Calibri" w:hAnsi="Calibri"/>
                <w:b w:val="0"/>
                <w:i w:val="0"/>
                <w:color w:val="334E68"/>
                <w:sz w:val="17"/>
              </w:rPr>
              <w:t>Device types and output devices correct; test page prints; spool processes run</w:t>
            </w:r>
          </w:p>
        </w:tc>
      </w:tr>
      <w:tr>
        <w:trPr>
          <w:cantSplit/>
        </w:trPr>
        <w:tc>
          <w:tcPr>
            <w:tcW w:type="dxa" w:w="2120"/>
          </w:tcPr>
          <w:p>
            <w:pPr>
              <w:spacing w:after="20" w:before="20"/>
            </w:pPr>
            <w:r/>
            <w:r>
              <w:rPr>
                <w:rFonts w:ascii="Calibri" w:hAnsi="Calibri"/>
                <w:b/>
                <w:i w:val="0"/>
                <w:color w:val="334E68"/>
                <w:sz w:val="17"/>
              </w:rPr>
              <w:t>ICM / HTTP(S)</w:t>
            </w:r>
          </w:p>
        </w:tc>
        <w:tc>
          <w:tcPr>
            <w:tcW w:type="dxa" w:w="1928"/>
          </w:tcPr>
          <w:p>
            <w:pPr>
              <w:spacing w:after="20" w:before="20"/>
            </w:pPr>
            <w:r/>
            <w:r>
              <w:rPr>
                <w:rFonts w:ascii="Consolas" w:hAnsi="Consolas"/>
                <w:b w:val="0"/>
                <w:i w:val="0"/>
                <w:color w:val="123A63"/>
                <w:sz w:val="17"/>
                <w:shd w:val="clear" w:color="auto" w:fill="EEF2F7"/>
              </w:rPr>
              <w:t>SMICM</w:t>
            </w:r>
          </w:p>
        </w:tc>
        <w:tc>
          <w:tcPr>
            <w:tcW w:type="dxa" w:w="5590"/>
          </w:tcPr>
          <w:p>
            <w:pPr>
              <w:spacing w:after="20" w:before="20"/>
            </w:pPr>
            <w:r/>
            <w:r>
              <w:rPr>
                <w:rFonts w:ascii="Calibri" w:hAnsi="Calibri"/>
                <w:b w:val="0"/>
                <w:i w:val="0"/>
                <w:color w:val="334E68"/>
                <w:sz w:val="17"/>
              </w:rPr>
              <w:t>ICM services active on the expected ports; HTTPS endpoints answer with the right certificate</w:t>
            </w:r>
          </w:p>
        </w:tc>
      </w:tr>
      <w:tr>
        <w:trPr>
          <w:cantSplit/>
        </w:trPr>
        <w:tc>
          <w:tcPr>
            <w:tcW w:type="dxa" w:w="2120"/>
            <w:shd w:val="clear" w:color="auto" w:fill="FAFBFD"/>
          </w:tcPr>
          <w:p>
            <w:pPr>
              <w:spacing w:after="20" w:before="20"/>
            </w:pPr>
            <w:r/>
            <w:r>
              <w:rPr>
                <w:rFonts w:ascii="Calibri" w:hAnsi="Calibri"/>
                <w:b/>
                <w:i w:val="0"/>
                <w:color w:val="334E68"/>
                <w:sz w:val="17"/>
              </w:rPr>
              <w:t>SNC and secure communication</w:t>
            </w:r>
          </w:p>
        </w:tc>
        <w:tc>
          <w:tcPr>
            <w:tcW w:type="dxa" w:w="1928"/>
            <w:shd w:val="clear" w:color="auto" w:fill="FAFBFD"/>
          </w:tcPr>
          <w:p>
            <w:pPr>
              <w:spacing w:after="20" w:before="20"/>
            </w:pPr>
            <w:r/>
            <w:r>
              <w:rPr>
                <w:rFonts w:ascii="Consolas" w:hAnsi="Consolas"/>
                <w:b w:val="0"/>
                <w:i w:val="0"/>
                <w:color w:val="123A63"/>
                <w:sz w:val="17"/>
                <w:shd w:val="clear" w:color="auto" w:fill="EEF2F7"/>
              </w:rPr>
              <w:t>SNC</w:t>
            </w:r>
            <w:r>
              <w:rPr>
                <w:rFonts w:ascii="Calibri" w:hAnsi="Calibri"/>
                <w:b w:val="0"/>
                <w:i w:val="0"/>
                <w:color w:val="334E68"/>
                <w:sz w:val="17"/>
              </w:rPr>
              <w:t xml:space="preserve"> configuration, PSE/keystore</w:t>
            </w:r>
          </w:p>
        </w:tc>
        <w:tc>
          <w:tcPr>
            <w:tcW w:type="dxa" w:w="5590"/>
            <w:shd w:val="clear" w:color="auto" w:fill="FAFBFD"/>
          </w:tcPr>
          <w:p>
            <w:pPr>
              <w:spacing w:after="20" w:before="20"/>
            </w:pPr>
            <w:r/>
            <w:r>
              <w:rPr>
                <w:rFonts w:ascii="Calibri" w:hAnsi="Calibri"/>
                <w:b w:val="0"/>
                <w:i w:val="0"/>
                <w:color w:val="334E68"/>
                <w:sz w:val="17"/>
              </w:rPr>
              <w:t>SNC enabled where designed, correct users, valid PSE, no handshake errors</w:t>
            </w:r>
          </w:p>
        </w:tc>
      </w:tr>
      <w:tr>
        <w:trPr>
          <w:cantSplit/>
        </w:trPr>
        <w:tc>
          <w:tcPr>
            <w:tcW w:type="dxa" w:w="2120"/>
          </w:tcPr>
          <w:p>
            <w:pPr>
              <w:spacing w:after="20" w:before="20"/>
            </w:pPr>
            <w:r/>
            <w:r>
              <w:rPr>
                <w:rFonts w:ascii="Calibri" w:hAnsi="Calibri"/>
                <w:b/>
                <w:i w:val="0"/>
                <w:color w:val="334E68"/>
                <w:sz w:val="17"/>
              </w:rPr>
              <w:t>Certificates</w:t>
            </w:r>
          </w:p>
        </w:tc>
        <w:tc>
          <w:tcPr>
            <w:tcW w:type="dxa" w:w="1928"/>
          </w:tcPr>
          <w:p>
            <w:pPr>
              <w:spacing w:after="20" w:before="20"/>
            </w:pPr>
            <w:r/>
            <w:r>
              <w:rPr>
                <w:rFonts w:ascii="Consolas" w:hAnsi="Consolas"/>
                <w:b w:val="0"/>
                <w:i w:val="0"/>
                <w:color w:val="123A63"/>
                <w:sz w:val="17"/>
                <w:shd w:val="clear" w:color="auto" w:fill="EEF2F7"/>
              </w:rPr>
              <w:t>STRUST</w:t>
            </w:r>
          </w:p>
        </w:tc>
        <w:tc>
          <w:tcPr>
            <w:tcW w:type="dxa" w:w="5590"/>
          </w:tcPr>
          <w:p>
            <w:pPr>
              <w:spacing w:after="20" w:before="20"/>
            </w:pPr>
            <w:r/>
            <w:r>
              <w:rPr>
                <w:rFonts w:ascii="Calibri" w:hAnsi="Calibri"/>
                <w:b w:val="0"/>
                <w:i w:val="0"/>
                <w:color w:val="334E68"/>
                <w:sz w:val="17"/>
              </w:rPr>
              <w:t>Certificates valid, correct hostname/domain, chain complete, expiry dates acceptable</w:t>
            </w:r>
          </w:p>
        </w:tc>
      </w:tr>
      <w:tr>
        <w:trPr>
          <w:cantSplit/>
        </w:trPr>
        <w:tc>
          <w:tcPr>
            <w:tcW w:type="dxa" w:w="2120"/>
            <w:shd w:val="clear" w:color="auto" w:fill="FAFBFD"/>
          </w:tcPr>
          <w:p>
            <w:pPr>
              <w:spacing w:after="20" w:before="20"/>
            </w:pPr>
            <w:r/>
            <w:r>
              <w:rPr>
                <w:rFonts w:ascii="Calibri" w:hAnsi="Calibri"/>
                <w:b/>
                <w:i w:val="0"/>
                <w:color w:val="334E68"/>
                <w:sz w:val="17"/>
              </w:rPr>
              <w:t>SAP license</w:t>
            </w:r>
          </w:p>
        </w:tc>
        <w:tc>
          <w:tcPr>
            <w:tcW w:type="dxa" w:w="1928"/>
            <w:shd w:val="clear" w:color="auto" w:fill="FAFBFD"/>
          </w:tcPr>
          <w:p>
            <w:pPr>
              <w:spacing w:after="20" w:before="20"/>
            </w:pPr>
            <w:r/>
            <w:r>
              <w:rPr>
                <w:rFonts w:ascii="Consolas" w:hAnsi="Consolas"/>
                <w:b w:val="0"/>
                <w:i w:val="0"/>
                <w:color w:val="123A63"/>
                <w:sz w:val="17"/>
                <w:shd w:val="clear" w:color="auto" w:fill="EEF2F7"/>
              </w:rPr>
              <w:t>SLICENSE</w:t>
            </w:r>
          </w:p>
        </w:tc>
        <w:tc>
          <w:tcPr>
            <w:tcW w:type="dxa" w:w="5590"/>
            <w:shd w:val="clear" w:color="auto" w:fill="FAFBFD"/>
          </w:tcPr>
          <w:p>
            <w:pPr>
              <w:spacing w:after="20" w:before="20"/>
            </w:pPr>
            <w:r/>
            <w:r>
              <w:rPr>
                <w:rFonts w:ascii="Calibri" w:hAnsi="Calibri"/>
                <w:b w:val="0"/>
                <w:i w:val="0"/>
                <w:color w:val="334E68"/>
                <w:sz w:val="17"/>
              </w:rPr>
              <w:t>Correct license installed for the new hardware key; temporary license not left to expire</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HARDWARE KEY AND LICENSE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 migration normally changes the hardware key, which invalidates the permanent SAP license. Install the correct license (or a valid temporary one) during cutover and record the expiry date so it is replaced before it lapses. This is a go-live blocker that is easy to overlook because the system works without it for a while.</w:t>
      </w:r>
    </w:p>
    <w:p>
      <w:pPr>
        <w:pStyle w:val="Heading2"/>
        <w:pBdr>
          <w:bottom w:val="single" w:sz="6" w:space="3" w:color="E8EDF3"/>
        </w:pBdr>
      </w:pPr>
      <w:r>
        <w:rPr>
          <w:rFonts w:ascii="Calibri" w:hAnsi="Calibri"/>
          <w:b/>
          <w:color w:val="0F2B4C"/>
          <w:sz w:val="26"/>
        </w:rPr>
        <w:t>7.4  Database validation</w:t>
      </w:r>
    </w:p>
    <w:p>
      <w:pPr>
        <w:spacing w:after="60" w:before="160"/>
        <w:keepNext/>
      </w:pPr>
      <w:r>
        <w:rPr>
          <w:rFonts w:ascii="Calibri" w:hAnsi="Calibri"/>
          <w:b/>
          <w:color w:val="5B7288"/>
          <w:sz w:val="15"/>
        </w:rPr>
        <w:t>DATABASE VALIDATION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5012"/>
        <w:gridCol w:w="2506"/>
      </w:tblGrid>
      <w:tr>
        <w:trPr>
          <w:tblHeader/>
          <w:cantSplit/>
        </w:trPr>
        <w:tc>
          <w:tcPr>
            <w:tcW w:type="dxa" w:w="2120"/>
            <w:shd w:val="clear" w:color="auto" w:fill="0F2B4C"/>
          </w:tcPr>
          <w:p>
            <w:pPr>
              <w:spacing w:after="20" w:before="20"/>
            </w:pPr>
            <w:r/>
            <w:r>
              <w:rPr>
                <w:rFonts w:ascii="Calibri" w:hAnsi="Calibri"/>
                <w:b/>
                <w:color w:val="FFFFFF"/>
                <w:sz w:val="17"/>
              </w:rPr>
              <w:t>Check</w:t>
            </w:r>
          </w:p>
        </w:tc>
        <w:tc>
          <w:tcPr>
            <w:tcW w:type="dxa" w:w="5012"/>
            <w:shd w:val="clear" w:color="auto" w:fill="0F2B4C"/>
          </w:tcPr>
          <w:p>
            <w:pPr>
              <w:spacing w:after="20" w:before="20"/>
            </w:pPr>
            <w:r/>
            <w:r>
              <w:rPr>
                <w:rFonts w:ascii="Calibri" w:hAnsi="Calibri"/>
                <w:b/>
                <w:color w:val="FFFFFF"/>
                <w:sz w:val="17"/>
              </w:rPr>
              <w:t>Detail to record</w:t>
            </w:r>
          </w:p>
        </w:tc>
        <w:tc>
          <w:tcPr>
            <w:tcW w:type="dxa" w:w="2506"/>
            <w:shd w:val="clear" w:color="auto" w:fill="0F2B4C"/>
          </w:tcPr>
          <w:p>
            <w:pPr>
              <w:spacing w:after="20" w:before="20"/>
            </w:pPr>
            <w:r/>
            <w:r>
              <w:rPr>
                <w:rFonts w:ascii="Calibri" w:hAnsi="Calibri"/>
                <w:b/>
                <w:color w:val="FFFFFF"/>
                <w:sz w:val="17"/>
              </w:rPr>
              <w:t>Tool</w:t>
            </w:r>
          </w:p>
        </w:tc>
      </w:tr>
      <w:tr>
        <w:trPr>
          <w:cantSplit/>
        </w:trPr>
        <w:tc>
          <w:tcPr>
            <w:tcW w:type="dxa" w:w="2120"/>
          </w:tcPr>
          <w:p>
            <w:pPr>
              <w:spacing w:after="20" w:before="20"/>
            </w:pPr>
            <w:r/>
            <w:r>
              <w:rPr>
                <w:rFonts w:ascii="Calibri" w:hAnsi="Calibri"/>
                <w:b/>
                <w:i w:val="0"/>
                <w:color w:val="334E68"/>
                <w:sz w:val="17"/>
              </w:rPr>
              <w:t>DB status</w:t>
            </w:r>
          </w:p>
        </w:tc>
        <w:tc>
          <w:tcPr>
            <w:tcW w:type="dxa" w:w="5012"/>
          </w:tcPr>
          <w:p>
            <w:pPr>
              <w:spacing w:after="20" w:before="20"/>
            </w:pPr>
            <w:r/>
            <w:r>
              <w:rPr>
                <w:rFonts w:ascii="Calibri" w:hAnsi="Calibri"/>
                <w:b w:val="0"/>
                <w:i w:val="0"/>
                <w:color w:val="334E68"/>
                <w:sz w:val="17"/>
              </w:rPr>
              <w:t>Instance up, services/processes running, no failed components</w:t>
            </w:r>
          </w:p>
        </w:tc>
        <w:tc>
          <w:tcPr>
            <w:tcW w:type="dxa" w:w="2506"/>
          </w:tcPr>
          <w:p>
            <w:pPr>
              <w:spacing w:after="20" w:before="20"/>
            </w:pPr>
            <w:r/>
            <w:r>
              <w:rPr>
                <w:rFonts w:ascii="Consolas" w:hAnsi="Consolas"/>
                <w:b w:val="0"/>
                <w:i w:val="0"/>
                <w:color w:val="123A63"/>
                <w:sz w:val="17"/>
                <w:shd w:val="clear" w:color="auto" w:fill="EEF2F7"/>
              </w:rPr>
              <w:t>DB02</w:t>
            </w:r>
            <w:r>
              <w:rPr>
                <w:rFonts w:ascii="Calibri" w:hAnsi="Calibri"/>
                <w:b w:val="0"/>
                <w:i w:val="0"/>
                <w:color w:val="334E68"/>
                <w:sz w:val="17"/>
              </w:rPr>
              <w:t>, DB-specific console</w:t>
            </w:r>
          </w:p>
        </w:tc>
      </w:tr>
      <w:tr>
        <w:trPr>
          <w:cantSplit/>
        </w:trPr>
        <w:tc>
          <w:tcPr>
            <w:tcW w:type="dxa" w:w="2120"/>
            <w:shd w:val="clear" w:color="auto" w:fill="FAFBFD"/>
          </w:tcPr>
          <w:p>
            <w:pPr>
              <w:spacing w:after="20" w:before="20"/>
            </w:pPr>
            <w:r/>
            <w:r>
              <w:rPr>
                <w:rFonts w:ascii="Calibri" w:hAnsi="Calibri"/>
                <w:b/>
                <w:i w:val="0"/>
                <w:color w:val="334E68"/>
                <w:sz w:val="17"/>
              </w:rPr>
              <w:t>Space utilisation</w:t>
            </w:r>
          </w:p>
        </w:tc>
        <w:tc>
          <w:tcPr>
            <w:tcW w:type="dxa" w:w="5012"/>
            <w:shd w:val="clear" w:color="auto" w:fill="FAFBFD"/>
          </w:tcPr>
          <w:p>
            <w:pPr>
              <w:spacing w:after="20" w:before="20"/>
            </w:pPr>
            <w:r/>
            <w:r>
              <w:rPr>
                <w:rFonts w:ascii="Calibri" w:hAnsi="Calibri"/>
                <w:b w:val="0"/>
                <w:i w:val="0"/>
                <w:color w:val="334E68"/>
                <w:sz w:val="17"/>
              </w:rPr>
              <w:t>Data, log, archive, backup area; percent used and absolute free</w:t>
            </w:r>
          </w:p>
        </w:tc>
        <w:tc>
          <w:tcPr>
            <w:tcW w:type="dxa" w:w="2506"/>
            <w:shd w:val="clear" w:color="auto" w:fill="FAFBFD"/>
          </w:tcPr>
          <w:p>
            <w:pPr>
              <w:spacing w:after="20" w:before="20"/>
            </w:pPr>
            <w:r/>
            <w:r>
              <w:rPr>
                <w:rFonts w:ascii="Consolas" w:hAnsi="Consolas"/>
                <w:b w:val="0"/>
                <w:i w:val="0"/>
                <w:color w:val="123A63"/>
                <w:sz w:val="17"/>
                <w:shd w:val="clear" w:color="auto" w:fill="EEF2F7"/>
              </w:rPr>
              <w:t>DB02</w:t>
            </w:r>
          </w:p>
        </w:tc>
      </w:tr>
      <w:tr>
        <w:trPr>
          <w:cantSplit/>
        </w:trPr>
        <w:tc>
          <w:tcPr>
            <w:tcW w:type="dxa" w:w="2120"/>
          </w:tcPr>
          <w:p>
            <w:pPr>
              <w:spacing w:after="20" w:before="20"/>
            </w:pPr>
            <w:r/>
            <w:r>
              <w:rPr>
                <w:rFonts w:ascii="Calibri" w:hAnsi="Calibri"/>
                <w:b/>
                <w:i w:val="0"/>
                <w:color w:val="334E68"/>
                <w:sz w:val="17"/>
              </w:rPr>
              <w:t>Tablespaces</w:t>
            </w:r>
          </w:p>
        </w:tc>
        <w:tc>
          <w:tcPr>
            <w:tcW w:type="dxa" w:w="5012"/>
          </w:tcPr>
          <w:p>
            <w:pPr>
              <w:spacing w:after="20" w:before="20"/>
            </w:pPr>
            <w:r/>
            <w:r>
              <w:rPr>
                <w:rFonts w:ascii="Calibri" w:hAnsi="Calibri"/>
                <w:b w:val="0"/>
                <w:i w:val="0"/>
                <w:color w:val="334E68"/>
                <w:sz w:val="17"/>
              </w:rPr>
              <w:t>Each tablespace size, free space, autoextend setting, largest objects</w:t>
            </w:r>
          </w:p>
        </w:tc>
        <w:tc>
          <w:tcPr>
            <w:tcW w:type="dxa" w:w="2506"/>
          </w:tcPr>
          <w:p>
            <w:pPr>
              <w:spacing w:after="20" w:before="20"/>
            </w:pPr>
            <w:r/>
            <w:r>
              <w:rPr>
                <w:rFonts w:ascii="Consolas" w:hAnsi="Consolas"/>
                <w:b w:val="0"/>
                <w:i w:val="0"/>
                <w:color w:val="123A63"/>
                <w:sz w:val="17"/>
                <w:shd w:val="clear" w:color="auto" w:fill="EEF2F7"/>
              </w:rPr>
              <w:t>DB02</w:t>
            </w:r>
          </w:p>
        </w:tc>
      </w:tr>
      <w:tr>
        <w:trPr>
          <w:cantSplit/>
        </w:trPr>
        <w:tc>
          <w:tcPr>
            <w:tcW w:type="dxa" w:w="2120"/>
            <w:shd w:val="clear" w:color="auto" w:fill="FAFBFD"/>
          </w:tcPr>
          <w:p>
            <w:pPr>
              <w:spacing w:after="20" w:before="20"/>
            </w:pPr>
            <w:r/>
            <w:r>
              <w:rPr>
                <w:rFonts w:ascii="Calibri" w:hAnsi="Calibri"/>
                <w:b/>
                <w:i w:val="0"/>
                <w:color w:val="334E68"/>
                <w:sz w:val="17"/>
              </w:rPr>
              <w:t>Growth</w:t>
            </w:r>
          </w:p>
        </w:tc>
        <w:tc>
          <w:tcPr>
            <w:tcW w:type="dxa" w:w="5012"/>
            <w:shd w:val="clear" w:color="auto" w:fill="FAFBFD"/>
          </w:tcPr>
          <w:p>
            <w:pPr>
              <w:spacing w:after="20" w:before="20"/>
            </w:pPr>
            <w:r/>
            <w:r>
              <w:rPr>
                <w:rFonts w:ascii="Calibri" w:hAnsi="Calibri"/>
                <w:b w:val="0"/>
                <w:i w:val="0"/>
                <w:color w:val="334E68"/>
                <w:sz w:val="17"/>
              </w:rPr>
              <w:t>Growth rate compared with the source baseline and the sizing assumption</w:t>
            </w:r>
          </w:p>
        </w:tc>
        <w:tc>
          <w:tcPr>
            <w:tcW w:type="dxa" w:w="2506"/>
            <w:shd w:val="clear" w:color="auto" w:fill="FAFBFD"/>
          </w:tcPr>
          <w:p>
            <w:pPr>
              <w:spacing w:after="20" w:before="20"/>
            </w:pPr>
            <w:r/>
            <w:r>
              <w:rPr>
                <w:rFonts w:ascii="Consolas" w:hAnsi="Consolas"/>
                <w:b w:val="0"/>
                <w:i w:val="0"/>
                <w:color w:val="123A63"/>
                <w:sz w:val="17"/>
                <w:shd w:val="clear" w:color="auto" w:fill="EEF2F7"/>
              </w:rPr>
              <w:t>DB02</w:t>
            </w:r>
            <w:r>
              <w:rPr>
                <w:rFonts w:ascii="Calibri" w:hAnsi="Calibri"/>
                <w:b w:val="0"/>
                <w:i w:val="0"/>
                <w:color w:val="334E68"/>
                <w:sz w:val="17"/>
              </w:rPr>
              <w:t>, historical reports</w:t>
            </w:r>
          </w:p>
        </w:tc>
      </w:tr>
      <w:tr>
        <w:trPr>
          <w:cantSplit/>
        </w:trPr>
        <w:tc>
          <w:tcPr>
            <w:tcW w:type="dxa" w:w="2120"/>
          </w:tcPr>
          <w:p>
            <w:pPr>
              <w:spacing w:after="20" w:before="20"/>
            </w:pPr>
            <w:r/>
            <w:r>
              <w:rPr>
                <w:rFonts w:ascii="Calibri" w:hAnsi="Calibri"/>
                <w:b/>
                <w:i w:val="0"/>
                <w:color w:val="334E68"/>
                <w:sz w:val="17"/>
              </w:rPr>
              <w:t>Latest successful backup</w:t>
            </w:r>
          </w:p>
        </w:tc>
        <w:tc>
          <w:tcPr>
            <w:tcW w:type="dxa" w:w="5012"/>
          </w:tcPr>
          <w:p>
            <w:pPr>
              <w:spacing w:after="20" w:before="20"/>
            </w:pPr>
            <w:r/>
            <w:r>
              <w:rPr>
                <w:rFonts w:ascii="Calibri" w:hAnsi="Calibri"/>
                <w:b w:val="0"/>
                <w:i w:val="0"/>
                <w:color w:val="334E68"/>
                <w:sz w:val="17"/>
              </w:rPr>
              <w:t>Timestamp, type, duration, size, and that it is on the intended target</w:t>
            </w:r>
          </w:p>
        </w:tc>
        <w:tc>
          <w:tcPr>
            <w:tcW w:type="dxa" w:w="2506"/>
          </w:tcPr>
          <w:p>
            <w:pPr>
              <w:spacing w:after="20" w:before="20"/>
            </w:pPr>
            <w:r/>
            <w:r>
              <w:rPr>
                <w:rFonts w:ascii="Calibri" w:hAnsi="Calibri"/>
                <w:b w:val="0"/>
                <w:i w:val="0"/>
                <w:color w:val="334E68"/>
                <w:sz w:val="17"/>
              </w:rPr>
              <w:t xml:space="preserve">Backup tool / </w:t>
            </w:r>
            <w:r>
              <w:rPr>
                <w:rFonts w:ascii="Consolas" w:hAnsi="Consolas"/>
                <w:b w:val="0"/>
                <w:i w:val="0"/>
                <w:color w:val="123A63"/>
                <w:sz w:val="17"/>
                <w:shd w:val="clear" w:color="auto" w:fill="EEF2F7"/>
              </w:rPr>
              <w:t>DB02</w:t>
            </w:r>
          </w:p>
        </w:tc>
      </w:tr>
      <w:tr>
        <w:trPr>
          <w:cantSplit/>
        </w:trPr>
        <w:tc>
          <w:tcPr>
            <w:tcW w:type="dxa" w:w="2120"/>
            <w:shd w:val="clear" w:color="auto" w:fill="FAFBFD"/>
          </w:tcPr>
          <w:p>
            <w:pPr>
              <w:spacing w:after="20" w:before="20"/>
            </w:pPr>
            <w:r/>
            <w:r>
              <w:rPr>
                <w:rFonts w:ascii="Calibri" w:hAnsi="Calibri"/>
                <w:b/>
                <w:i w:val="0"/>
                <w:color w:val="334E68"/>
                <w:sz w:val="17"/>
              </w:rPr>
              <w:t>Backup history</w:t>
            </w:r>
          </w:p>
        </w:tc>
        <w:tc>
          <w:tcPr>
            <w:tcW w:type="dxa" w:w="5012"/>
            <w:shd w:val="clear" w:color="auto" w:fill="FAFBFD"/>
          </w:tcPr>
          <w:p>
            <w:pPr>
              <w:spacing w:after="20" w:before="20"/>
            </w:pPr>
            <w:r/>
            <w:r>
              <w:rPr>
                <w:rFonts w:ascii="Calibri" w:hAnsi="Calibri"/>
                <w:b w:val="0"/>
                <w:i w:val="0"/>
                <w:color w:val="334E68"/>
                <w:sz w:val="17"/>
              </w:rPr>
              <w:t>Sequence complete, no gaps, retention as designed</w:t>
            </w:r>
          </w:p>
        </w:tc>
        <w:tc>
          <w:tcPr>
            <w:tcW w:type="dxa" w:w="2506"/>
            <w:shd w:val="clear" w:color="auto" w:fill="FAFBFD"/>
          </w:tcPr>
          <w:p>
            <w:pPr>
              <w:spacing w:after="20" w:before="20"/>
            </w:pPr>
            <w:r/>
            <w:r>
              <w:rPr>
                <w:rFonts w:ascii="Calibri" w:hAnsi="Calibri"/>
                <w:b w:val="0"/>
                <w:i w:val="0"/>
                <w:color w:val="334E68"/>
                <w:sz w:val="17"/>
              </w:rPr>
              <w:t>Backup catalogue</w:t>
            </w:r>
          </w:p>
        </w:tc>
      </w:tr>
      <w:tr>
        <w:trPr>
          <w:cantSplit/>
        </w:trPr>
        <w:tc>
          <w:tcPr>
            <w:tcW w:type="dxa" w:w="2120"/>
          </w:tcPr>
          <w:p>
            <w:pPr>
              <w:spacing w:after="20" w:before="20"/>
            </w:pPr>
            <w:r/>
            <w:r>
              <w:rPr>
                <w:rFonts w:ascii="Calibri" w:hAnsi="Calibri"/>
                <w:b/>
                <w:i w:val="0"/>
                <w:color w:val="334E68"/>
                <w:sz w:val="17"/>
              </w:rPr>
              <w:t>Redo / archive log status</w:t>
            </w:r>
          </w:p>
        </w:tc>
        <w:tc>
          <w:tcPr>
            <w:tcW w:type="dxa" w:w="5012"/>
          </w:tcPr>
          <w:p>
            <w:pPr>
              <w:spacing w:after="20" w:before="20"/>
            </w:pPr>
            <w:r/>
            <w:r>
              <w:rPr>
                <w:rFonts w:ascii="Calibri" w:hAnsi="Calibri"/>
                <w:b w:val="0"/>
                <w:i w:val="0"/>
                <w:color w:val="334E68"/>
                <w:sz w:val="17"/>
              </w:rPr>
              <w:t>Archive destination reachable, no log-switch stalls, archiver running</w:t>
            </w:r>
          </w:p>
        </w:tc>
        <w:tc>
          <w:tcPr>
            <w:tcW w:type="dxa" w:w="2506"/>
          </w:tcPr>
          <w:p>
            <w:pPr>
              <w:spacing w:after="20" w:before="20"/>
            </w:pPr>
            <w:r/>
            <w:r>
              <w:rPr>
                <w:rFonts w:ascii="Calibri" w:hAnsi="Calibri"/>
                <w:b w:val="0"/>
                <w:i w:val="0"/>
                <w:color w:val="334E68"/>
                <w:sz w:val="17"/>
              </w:rPr>
              <w:t>DB log mode and archive status</w:t>
            </w:r>
          </w:p>
        </w:tc>
      </w:tr>
      <w:tr>
        <w:trPr>
          <w:cantSplit/>
        </w:trPr>
        <w:tc>
          <w:tcPr>
            <w:tcW w:type="dxa" w:w="2120"/>
            <w:shd w:val="clear" w:color="auto" w:fill="FAFBFD"/>
          </w:tcPr>
          <w:p>
            <w:pPr>
              <w:spacing w:after="20" w:before="20"/>
            </w:pPr>
            <w:r/>
            <w:r>
              <w:rPr>
                <w:rFonts w:ascii="Calibri" w:hAnsi="Calibri"/>
                <w:b/>
                <w:i w:val="0"/>
                <w:color w:val="334E68"/>
                <w:sz w:val="17"/>
              </w:rPr>
              <w:t>Recovery considerations</w:t>
            </w:r>
          </w:p>
        </w:tc>
        <w:tc>
          <w:tcPr>
            <w:tcW w:type="dxa" w:w="5012"/>
            <w:shd w:val="clear" w:color="auto" w:fill="FAFBFD"/>
          </w:tcPr>
          <w:p>
            <w:pPr>
              <w:spacing w:after="20" w:before="20"/>
            </w:pPr>
            <w:r/>
            <w:r>
              <w:rPr>
                <w:rFonts w:ascii="Calibri" w:hAnsi="Calibri"/>
                <w:b w:val="0"/>
                <w:i w:val="0"/>
                <w:color w:val="334E68"/>
                <w:sz w:val="17"/>
              </w:rPr>
              <w:t>Point-in-time recovery possible; restore path and required files verified</w:t>
            </w:r>
          </w:p>
        </w:tc>
        <w:tc>
          <w:tcPr>
            <w:tcW w:type="dxa" w:w="2506"/>
            <w:shd w:val="clear" w:color="auto" w:fill="FAFBFD"/>
          </w:tcPr>
          <w:p>
            <w:pPr>
              <w:spacing w:after="20" w:before="20"/>
            </w:pPr>
            <w:r/>
            <w:r>
              <w:rPr>
                <w:rFonts w:ascii="Calibri" w:hAnsi="Calibri"/>
                <w:b w:val="0"/>
                <w:i w:val="0"/>
                <w:color w:val="334E68"/>
                <w:sz w:val="17"/>
              </w:rPr>
              <w:t>Recovery test record</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A GREEN DATABASE IS NOT A VALIDATED DATABASE</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Compare sizes and object counts with the source baseline. A recovery that completes but silently misses a tablespace, or a log archive destination that is full, will not show up as an error at start-up — it shows up as an incident two weeks into hypercare.</w:t>
      </w:r>
    </w:p>
    <w:p>
      <w:pPr>
        <w:pStyle w:val="Heading2"/>
        <w:pBdr>
          <w:bottom w:val="single" w:sz="6" w:space="3" w:color="E8EDF3"/>
        </w:pBdr>
      </w:pPr>
      <w:r>
        <w:rPr>
          <w:rFonts w:ascii="Calibri" w:hAnsi="Calibri"/>
          <w:b/>
          <w:color w:val="0F2B4C"/>
          <w:sz w:val="26"/>
        </w:rPr>
        <w:t>7.5  Handling deviations found during validation</w:t>
      </w:r>
    </w:p>
    <w:p>
      <w:pPr>
        <w:spacing w:after="40"/>
        <w:ind w:left="578" w:hanging="227"/>
      </w:pPr>
      <w:r>
        <w:rPr>
          <w:rFonts w:ascii="Calibri" w:hAnsi="Calibri"/>
          <w:b/>
          <w:color w:val="0F2B4C"/>
          <w:sz w:val="19"/>
        </w:rPr>
        <w:t xml:space="preserve">1.  </w:t>
      </w:r>
      <w:r>
        <w:rPr>
          <w:rFonts w:ascii="Calibri" w:hAnsi="Calibri"/>
          <w:b w:val="0"/>
          <w:i w:val="0"/>
          <w:color w:val="334E68"/>
          <w:sz w:val="19"/>
        </w:rPr>
        <w:t>Record the deviation immediately: what was expected, what was found, and the evidence for both.</w:t>
      </w:r>
    </w:p>
    <w:p>
      <w:pPr>
        <w:spacing w:after="40"/>
        <w:ind w:left="578" w:hanging="227"/>
      </w:pPr>
      <w:r>
        <w:rPr>
          <w:rFonts w:ascii="Calibri" w:hAnsi="Calibri"/>
          <w:b/>
          <w:color w:val="0F2B4C"/>
          <w:sz w:val="19"/>
        </w:rPr>
        <w:t xml:space="preserve">2.  </w:t>
      </w:r>
      <w:r>
        <w:rPr>
          <w:rFonts w:ascii="Calibri" w:hAnsi="Calibri"/>
          <w:b w:val="0"/>
          <w:i w:val="0"/>
          <w:color w:val="334E68"/>
          <w:sz w:val="19"/>
        </w:rPr>
        <w:t>Classify it: configuration drift, migration defect, pre-existing condition, or an intentional approved difference.</w:t>
      </w:r>
    </w:p>
    <w:p>
      <w:pPr>
        <w:spacing w:after="40"/>
        <w:ind w:left="578" w:hanging="227"/>
      </w:pPr>
      <w:r>
        <w:rPr>
          <w:rFonts w:ascii="Calibri" w:hAnsi="Calibri"/>
          <w:b/>
          <w:color w:val="0F2B4C"/>
          <w:sz w:val="19"/>
        </w:rPr>
        <w:t xml:space="preserve">3.  </w:t>
      </w:r>
      <w:r>
        <w:rPr>
          <w:rFonts w:ascii="Calibri" w:hAnsi="Calibri"/>
          <w:b w:val="0"/>
          <w:i w:val="0"/>
          <w:color w:val="334E68"/>
          <w:sz w:val="19"/>
        </w:rPr>
        <w:t>Assign it to the responsible team and owner — do not carry an unowned deviation into the cutover gate.</w:t>
      </w:r>
    </w:p>
    <w:p>
      <w:pPr>
        <w:spacing w:after="40"/>
        <w:ind w:left="578" w:hanging="227"/>
      </w:pPr>
      <w:r>
        <w:rPr>
          <w:rFonts w:ascii="Calibri" w:hAnsi="Calibri"/>
          <w:b/>
          <w:color w:val="0F2B4C"/>
          <w:sz w:val="19"/>
        </w:rPr>
        <w:t xml:space="preserve">4.  </w:t>
      </w:r>
      <w:r>
        <w:rPr>
          <w:rFonts w:ascii="Calibri" w:hAnsi="Calibri"/>
          <w:b w:val="0"/>
          <w:i w:val="0"/>
          <w:color w:val="334E68"/>
          <w:sz w:val="19"/>
        </w:rPr>
        <w:t>Correct it through the approved change route.</w:t>
      </w:r>
    </w:p>
    <w:p>
      <w:pPr>
        <w:spacing w:after="40"/>
        <w:ind w:left="578" w:hanging="227"/>
      </w:pPr>
      <w:r>
        <w:rPr>
          <w:rFonts w:ascii="Calibri" w:hAnsi="Calibri"/>
          <w:b/>
          <w:color w:val="0F2B4C"/>
          <w:sz w:val="19"/>
        </w:rPr>
        <w:t xml:space="preserve">5.  </w:t>
      </w:r>
      <w:r>
        <w:rPr>
          <w:rFonts w:ascii="Calibri" w:hAnsi="Calibri"/>
          <w:b w:val="0"/>
          <w:i w:val="0"/>
          <w:color w:val="334E68"/>
          <w:sz w:val="19"/>
        </w:rPr>
        <w:t>Retest the specific check, not just the fix.</w:t>
      </w:r>
    </w:p>
    <w:p>
      <w:pPr>
        <w:spacing w:after="40"/>
        <w:ind w:left="578" w:hanging="227"/>
      </w:pPr>
      <w:r>
        <w:rPr>
          <w:rFonts w:ascii="Calibri" w:hAnsi="Calibri"/>
          <w:b/>
          <w:color w:val="0F2B4C"/>
          <w:sz w:val="19"/>
        </w:rPr>
        <w:t xml:space="preserve">6.  </w:t>
      </w:r>
      <w:r>
        <w:rPr>
          <w:rFonts w:ascii="Calibri" w:hAnsi="Calibri"/>
          <w:b w:val="0"/>
          <w:i w:val="0"/>
          <w:color w:val="334E68"/>
          <w:sz w:val="19"/>
        </w:rPr>
        <w:t>Re-capture the evidence and close the item with a reference to the change record.</w:t>
      </w:r>
    </w:p>
    <w:p>
      <w:r>
        <w:br w:type="page"/>
      </w:r>
    </w:p>
    <w:p>
      <w:pPr>
        <w:spacing w:after="20"/>
      </w:pPr>
      <w:r>
        <w:rPr>
          <w:rFonts w:ascii="Calibri" w:hAnsi="Calibri"/>
          <w:b/>
          <w:color w:val="1B4F86"/>
          <w:sz w:val="16"/>
        </w:rPr>
        <w:t>MODULE 5 · SECTION 8</w:t>
      </w:r>
    </w:p>
    <w:p>
      <w:pPr>
        <w:pStyle w:val="Heading1"/>
        <w:pBdr>
          <w:bottom w:val="single" w:sz="12" w:space="5" w:color="1B4F86"/>
        </w:pBdr>
        <w:spacing w:after="160"/>
      </w:pPr>
      <w:r>
        <w:rPr>
          <w:rFonts w:ascii="Calibri Light" w:hAnsi="Calibri Light"/>
          <w:b/>
          <w:color w:val="0F2B4C"/>
          <w:sz w:val="38"/>
        </w:rPr>
        <w:t>8  Module 5 — Performance monitoring and troubleshooting</w:t>
      </w:r>
    </w:p>
    <w:p>
      <w:pPr>
        <w:spacing w:after="200"/>
      </w:pPr>
      <w:r>
        <w:rPr>
          <w:rFonts w:ascii="Calibri" w:hAnsi="Calibri"/>
          <w:i/>
          <w:color w:val="5B7288"/>
          <w:sz w:val="21"/>
        </w:rPr>
        <w:t>Performance work after a migration is comparison work. The pre-migration baseline turns a subjective complaint into a measurable delta, and the triage path keeps you from changing parameters before you understand the cause.</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5125250"/>
            <wp:docPr id="5" name="Picture 5"/>
            <wp:cNvGraphicFramePr>
              <a:graphicFrameLocks noChangeAspect="1"/>
            </wp:cNvGraphicFramePr>
            <a:graphic>
              <a:graphicData uri="http://schemas.openxmlformats.org/drawingml/2006/picture">
                <pic:pic>
                  <pic:nvPicPr>
                    <pic:cNvPr id="0" name="d7-performance.png"/>
                    <pic:cNvPicPr/>
                  </pic:nvPicPr>
                  <pic:blipFill>
                    <a:blip r:embed="rId15"/>
                    <a:stretch>
                      <a:fillRect/>
                    </a:stretch>
                  </pic:blipFill>
                  <pic:spPr>
                    <a:xfrm>
                      <a:off x="0" y="0"/>
                      <a:ext cx="8892000" cy="5125250"/>
                    </a:xfrm>
                    <a:prstGeom prst="rect"/>
                  </pic:spPr>
                </pic:pic>
              </a:graphicData>
            </a:graphic>
          </wp:inline>
        </w:drawing>
      </w:r>
    </w:p>
    <w:p>
      <w:pPr>
        <w:spacing w:after="240"/>
      </w:pPr>
      <w:r>
        <w:rPr>
          <w:rFonts w:ascii="Calibri" w:hAnsi="Calibri"/>
          <w:i/>
          <w:color w:val="5B7288"/>
          <w:sz w:val="17"/>
        </w:rPr>
        <w:t>Figure 7. Left: the SAP memory escalation described in the training — extended memory is consumed first, and when it is exhausted work processes move into heap/private memory. Right: the top-down triage path from workload statistics to a root-cause fix with the owning team.</w:t>
      </w: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8.1  ST02 — memory monitoring</w:t>
      </w:r>
    </w:p>
    <w:p>
      <w:pPr>
        <w:spacing w:after="60" w:before="160"/>
        <w:keepNext/>
      </w:pPr>
      <w:r>
        <w:rPr>
          <w:rFonts w:ascii="Calibri" w:hAnsi="Calibri"/>
          <w:b/>
          <w:color w:val="5B7288"/>
          <w:sz w:val="15"/>
        </w:rPr>
        <w:t>ST02 MEMORY AREAS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928"/>
        <w:gridCol w:w="4048"/>
        <w:gridCol w:w="3662"/>
      </w:tblGrid>
      <w:tr>
        <w:trPr>
          <w:tblHeader/>
          <w:cantSplit/>
        </w:trPr>
        <w:tc>
          <w:tcPr>
            <w:tcW w:type="dxa" w:w="1928"/>
            <w:shd w:val="clear" w:color="auto" w:fill="0F2B4C"/>
          </w:tcPr>
          <w:p>
            <w:pPr>
              <w:spacing w:after="20" w:before="20"/>
            </w:pPr>
            <w:r/>
            <w:r>
              <w:rPr>
                <w:rFonts w:ascii="Calibri" w:hAnsi="Calibri"/>
                <w:b/>
                <w:color w:val="FFFFFF"/>
                <w:sz w:val="17"/>
              </w:rPr>
              <w:t>Memory area</w:t>
            </w:r>
          </w:p>
        </w:tc>
        <w:tc>
          <w:tcPr>
            <w:tcW w:type="dxa" w:w="4048"/>
            <w:shd w:val="clear" w:color="auto" w:fill="0F2B4C"/>
          </w:tcPr>
          <w:p>
            <w:pPr>
              <w:spacing w:after="20" w:before="20"/>
            </w:pPr>
            <w:r/>
            <w:r>
              <w:rPr>
                <w:rFonts w:ascii="Calibri" w:hAnsi="Calibri"/>
                <w:b/>
                <w:color w:val="FFFFFF"/>
                <w:sz w:val="17"/>
              </w:rPr>
              <w:t>What it is</w:t>
            </w:r>
          </w:p>
        </w:tc>
        <w:tc>
          <w:tcPr>
            <w:tcW w:type="dxa" w:w="3662"/>
            <w:shd w:val="clear" w:color="auto" w:fill="0F2B4C"/>
          </w:tcPr>
          <w:p>
            <w:pPr>
              <w:spacing w:after="20" w:before="20"/>
            </w:pPr>
            <w:r/>
            <w:r>
              <w:rPr>
                <w:rFonts w:ascii="Calibri" w:hAnsi="Calibri"/>
                <w:b/>
                <w:color w:val="FFFFFF"/>
                <w:sz w:val="17"/>
              </w:rPr>
              <w:t>What to watch</w:t>
            </w:r>
          </w:p>
        </w:tc>
      </w:tr>
      <w:tr>
        <w:trPr>
          <w:cantSplit/>
        </w:trPr>
        <w:tc>
          <w:tcPr>
            <w:tcW w:type="dxa" w:w="1928"/>
          </w:tcPr>
          <w:p>
            <w:pPr>
              <w:spacing w:after="20" w:before="20"/>
            </w:pPr>
            <w:r/>
            <w:r>
              <w:rPr>
                <w:rFonts w:ascii="Calibri" w:hAnsi="Calibri"/>
                <w:b/>
                <w:i w:val="0"/>
                <w:color w:val="334E68"/>
                <w:sz w:val="17"/>
              </w:rPr>
              <w:t>Extended memory (EM)</w:t>
            </w:r>
          </w:p>
        </w:tc>
        <w:tc>
          <w:tcPr>
            <w:tcW w:type="dxa" w:w="4048"/>
          </w:tcPr>
          <w:p>
            <w:pPr>
              <w:spacing w:after="20" w:before="20"/>
            </w:pPr>
            <w:r/>
            <w:r>
              <w:rPr>
                <w:rFonts w:ascii="Calibri" w:hAnsi="Calibri"/>
                <w:b w:val="0"/>
                <w:i w:val="0"/>
                <w:color w:val="334E68"/>
                <w:sz w:val="17"/>
              </w:rPr>
              <w:t>Shared memory used first for user context; allocated per instance</w:t>
            </w:r>
          </w:p>
        </w:tc>
        <w:tc>
          <w:tcPr>
            <w:tcW w:type="dxa" w:w="3662"/>
          </w:tcPr>
          <w:p>
            <w:pPr>
              <w:spacing w:after="20" w:before="20"/>
            </w:pPr>
            <w:r/>
            <w:r>
              <w:rPr>
                <w:rFonts w:ascii="Calibri" w:hAnsi="Calibri"/>
                <w:b w:val="0"/>
                <w:i w:val="0"/>
                <w:color w:val="334E68"/>
                <w:sz w:val="17"/>
              </w:rPr>
              <w:t>Max, used and free; whether processes are being pushed out of EM</w:t>
            </w:r>
          </w:p>
        </w:tc>
      </w:tr>
      <w:tr>
        <w:trPr>
          <w:cantSplit/>
        </w:trPr>
        <w:tc>
          <w:tcPr>
            <w:tcW w:type="dxa" w:w="1928"/>
            <w:shd w:val="clear" w:color="auto" w:fill="FAFBFD"/>
          </w:tcPr>
          <w:p>
            <w:pPr>
              <w:spacing w:after="20" w:before="20"/>
            </w:pPr>
            <w:r/>
            <w:r>
              <w:rPr>
                <w:rFonts w:ascii="Calibri" w:hAnsi="Calibri"/>
                <w:b/>
                <w:i w:val="0"/>
                <w:color w:val="334E68"/>
                <w:sz w:val="17"/>
              </w:rPr>
              <w:t>Heap / private memory</w:t>
            </w:r>
          </w:p>
        </w:tc>
        <w:tc>
          <w:tcPr>
            <w:tcW w:type="dxa" w:w="4048"/>
            <w:shd w:val="clear" w:color="auto" w:fill="FAFBFD"/>
          </w:tcPr>
          <w:p>
            <w:pPr>
              <w:spacing w:after="20" w:before="20"/>
            </w:pPr>
            <w:r/>
            <w:r>
              <w:rPr>
                <w:rFonts w:ascii="Calibri" w:hAnsi="Calibri"/>
                <w:b w:val="0"/>
                <w:i w:val="0"/>
                <w:color w:val="334E68"/>
                <w:sz w:val="17"/>
              </w:rPr>
              <w:t>Process-private memory used when EM is exhausted; the process mode becomes PRIVATE</w:t>
            </w:r>
          </w:p>
        </w:tc>
        <w:tc>
          <w:tcPr>
            <w:tcW w:type="dxa" w:w="3662"/>
            <w:shd w:val="clear" w:color="auto" w:fill="FAFBFD"/>
          </w:tcPr>
          <w:p>
            <w:pPr>
              <w:spacing w:after="20" w:before="20"/>
            </w:pPr>
            <w:r/>
            <w:r>
              <w:rPr>
                <w:rFonts w:ascii="Calibri" w:hAnsi="Calibri"/>
                <w:b w:val="0"/>
                <w:i w:val="0"/>
                <w:color w:val="334E68"/>
                <w:sz w:val="17"/>
              </w:rPr>
              <w:t>Frequency and duration of PRIVATE mode — a strong signal of under-allocation or a memory leak</w:t>
            </w:r>
          </w:p>
        </w:tc>
      </w:tr>
      <w:tr>
        <w:trPr>
          <w:cantSplit/>
        </w:trPr>
        <w:tc>
          <w:tcPr>
            <w:tcW w:type="dxa" w:w="1928"/>
          </w:tcPr>
          <w:p>
            <w:pPr>
              <w:spacing w:after="20" w:before="20"/>
            </w:pPr>
            <w:r/>
            <w:r>
              <w:rPr>
                <w:rFonts w:ascii="Calibri" w:hAnsi="Calibri"/>
                <w:b/>
                <w:i w:val="0"/>
                <w:color w:val="334E68"/>
                <w:sz w:val="17"/>
              </w:rPr>
              <w:t>Roll memory / roll area</w:t>
            </w:r>
          </w:p>
        </w:tc>
        <w:tc>
          <w:tcPr>
            <w:tcW w:type="dxa" w:w="4048"/>
          </w:tcPr>
          <w:p>
            <w:pPr>
              <w:spacing w:after="20" w:before="20"/>
            </w:pPr>
            <w:r/>
            <w:r>
              <w:rPr>
                <w:rFonts w:ascii="Calibri" w:hAnsi="Calibri"/>
                <w:b w:val="0"/>
                <w:i w:val="0"/>
                <w:color w:val="334E68"/>
                <w:sz w:val="17"/>
              </w:rPr>
              <w:t>Per work process area holding rolled user context</w:t>
            </w:r>
          </w:p>
        </w:tc>
        <w:tc>
          <w:tcPr>
            <w:tcW w:type="dxa" w:w="3662"/>
          </w:tcPr>
          <w:p>
            <w:pPr>
              <w:spacing w:after="20" w:before="20"/>
            </w:pPr>
            <w:r/>
            <w:r>
              <w:rPr>
                <w:rFonts w:ascii="Calibri" w:hAnsi="Calibri"/>
                <w:b w:val="0"/>
                <w:i w:val="0"/>
                <w:color w:val="334E68"/>
                <w:sz w:val="17"/>
              </w:rPr>
              <w:t>Roll-in/roll-out activity and whether the roll area is a bottleneck</w:t>
            </w:r>
          </w:p>
        </w:tc>
      </w:tr>
      <w:tr>
        <w:trPr>
          <w:cantSplit/>
        </w:trPr>
        <w:tc>
          <w:tcPr>
            <w:tcW w:type="dxa" w:w="1928"/>
            <w:shd w:val="clear" w:color="auto" w:fill="FAFBFD"/>
          </w:tcPr>
          <w:p>
            <w:pPr>
              <w:spacing w:after="20" w:before="20"/>
            </w:pPr>
            <w:r/>
            <w:r>
              <w:rPr>
                <w:rFonts w:ascii="Calibri" w:hAnsi="Calibri"/>
                <w:b/>
                <w:i w:val="0"/>
                <w:color w:val="334E68"/>
                <w:sz w:val="17"/>
              </w:rPr>
              <w:t>Paging memory</w:t>
            </w:r>
          </w:p>
        </w:tc>
        <w:tc>
          <w:tcPr>
            <w:tcW w:type="dxa" w:w="4048"/>
            <w:shd w:val="clear" w:color="auto" w:fill="FAFBFD"/>
          </w:tcPr>
          <w:p>
            <w:pPr>
              <w:spacing w:after="20" w:before="20"/>
            </w:pPr>
            <w:r/>
            <w:r>
              <w:rPr>
                <w:rFonts w:ascii="Calibri" w:hAnsi="Calibri"/>
                <w:b w:val="0"/>
                <w:i w:val="0"/>
                <w:color w:val="334E68"/>
                <w:sz w:val="17"/>
              </w:rPr>
              <w:t>Paged user context (paging area / swaps)</w:t>
            </w:r>
          </w:p>
        </w:tc>
        <w:tc>
          <w:tcPr>
            <w:tcW w:type="dxa" w:w="3662"/>
            <w:shd w:val="clear" w:color="auto" w:fill="FAFBFD"/>
          </w:tcPr>
          <w:p>
            <w:pPr>
              <w:spacing w:after="20" w:before="20"/>
            </w:pPr>
            <w:r/>
            <w:r>
              <w:rPr>
                <w:rFonts w:ascii="Calibri" w:hAnsi="Calibri"/>
                <w:b w:val="0"/>
                <w:i w:val="0"/>
                <w:color w:val="334E68"/>
                <w:sz w:val="17"/>
              </w:rPr>
              <w:t>Swaps and paging rate; high paging means context is being thrown away and rebuilt</w:t>
            </w:r>
          </w:p>
        </w:tc>
      </w:tr>
      <w:tr>
        <w:trPr>
          <w:cantSplit/>
        </w:trPr>
        <w:tc>
          <w:tcPr>
            <w:tcW w:type="dxa" w:w="1928"/>
          </w:tcPr>
          <w:p>
            <w:pPr>
              <w:spacing w:after="20" w:before="20"/>
            </w:pPr>
            <w:r/>
            <w:r>
              <w:rPr>
                <w:rFonts w:ascii="Calibri" w:hAnsi="Calibri"/>
                <w:b/>
                <w:i w:val="0"/>
                <w:color w:val="334E68"/>
                <w:sz w:val="17"/>
              </w:rPr>
              <w:t>Buffer memory</w:t>
            </w:r>
          </w:p>
        </w:tc>
        <w:tc>
          <w:tcPr>
            <w:tcW w:type="dxa" w:w="4048"/>
          </w:tcPr>
          <w:p>
            <w:pPr>
              <w:spacing w:after="20" w:before="20"/>
            </w:pPr>
            <w:r/>
            <w:r>
              <w:rPr>
                <w:rFonts w:ascii="Calibri" w:hAnsi="Calibri"/>
                <w:b w:val="0"/>
                <w:i w:val="0"/>
                <w:color w:val="334E68"/>
                <w:sz w:val="17"/>
              </w:rPr>
              <w:t>Program buffer, single record buffer, table buffer, export/import buffer</w:t>
            </w:r>
          </w:p>
        </w:tc>
        <w:tc>
          <w:tcPr>
            <w:tcW w:type="dxa" w:w="3662"/>
          </w:tcPr>
          <w:p>
            <w:pPr>
              <w:spacing w:after="20" w:before="20"/>
            </w:pPr>
            <w:r/>
            <w:r>
              <w:rPr>
                <w:rFonts w:ascii="Calibri" w:hAnsi="Calibri"/>
                <w:b w:val="0"/>
                <w:i w:val="0"/>
                <w:color w:val="334E68"/>
                <w:sz w:val="17"/>
              </w:rPr>
              <w:t>Utilisation and hit ratio per buffer; low hit ratio with high reads means sizing or access-pattern problems</w:t>
            </w:r>
          </w:p>
        </w:tc>
      </w:tr>
    </w:tbl>
    <w:p>
      <w:pPr>
        <w:spacing w:after="40"/>
      </w:pPr>
    </w:p>
    <w:p>
      <w:r>
        <w:rPr>
          <w:rFonts w:ascii="Calibri" w:hAnsi="Calibri"/>
          <w:b w:val="0"/>
          <w:i w:val="0"/>
          <w:color w:val="334E68"/>
          <w:sz w:val="20"/>
        </w:rPr>
        <w:t xml:space="preserve">For each area record </w:t>
      </w:r>
      <w:r>
        <w:rPr>
          <w:rFonts w:ascii="Calibri" w:hAnsi="Calibri"/>
          <w:b/>
          <w:i w:val="0"/>
          <w:color w:val="334E68"/>
          <w:sz w:val="20"/>
        </w:rPr>
        <w:t>available, used and free</w:t>
      </w:r>
      <w:r>
        <w:rPr>
          <w:rFonts w:ascii="Calibri" w:hAnsi="Calibri"/>
          <w:b w:val="0"/>
          <w:i w:val="0"/>
          <w:color w:val="334E68"/>
          <w:sz w:val="20"/>
        </w:rPr>
        <w:t>, plus buffer utilisation and hit ratio, so the target can be compared with the source snapshot rather than judged in isolation.</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MEMORY TROUBLESHOOTING PRINCIPLE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 xml:space="preserve">The training described the general relationship as: </w:t>
      </w:r>
      <w:r>
        <w:rPr>
          <w:rFonts w:ascii="Calibri" w:hAnsi="Calibri"/>
          <w:b/>
          <w:i w:val="0"/>
          <w:color w:val="334E68"/>
          <w:sz w:val="18"/>
        </w:rPr>
        <w:t>Extended Memory → if exhausted → Heap/Private Memory</w:t>
      </w:r>
      <w:r>
        <w:rPr>
          <w:rFonts w:ascii="Calibri" w:hAnsi="Calibri"/>
          <w:b w:val="0"/>
          <w:i w:val="0"/>
          <w:color w:val="334E68"/>
          <w:sz w:val="18"/>
        </w:rPr>
        <w:t>. Investigate the cause rather than simply increasing memory. A parameter increase hides the symptom and can move the failure somewhere worse — for example into OS swapping or an OOM condition.</w:t>
      </w:r>
    </w:p>
    <w:p>
      <w:pPr>
        <w:spacing w:after="60" w:before="160"/>
        <w:keepNext/>
      </w:pPr>
      <w:r>
        <w:rPr>
          <w:rFonts w:ascii="Calibri" w:hAnsi="Calibri"/>
          <w:b/>
          <w:color w:val="5B7288"/>
          <w:sz w:val="15"/>
        </w:rPr>
        <w:t>MEMORY SYMPTOM TABLE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506"/>
        <w:gridCol w:w="4241"/>
        <w:gridCol w:w="2891"/>
      </w:tblGrid>
      <w:tr>
        <w:trPr>
          <w:tblHeader/>
          <w:cantSplit/>
        </w:trPr>
        <w:tc>
          <w:tcPr>
            <w:tcW w:type="dxa" w:w="2506"/>
            <w:shd w:val="clear" w:color="auto" w:fill="0F2B4C"/>
          </w:tcPr>
          <w:p>
            <w:pPr>
              <w:spacing w:after="20" w:before="20"/>
            </w:pPr>
            <w:r/>
            <w:r>
              <w:rPr>
                <w:rFonts w:ascii="Calibri" w:hAnsi="Calibri"/>
                <w:b/>
                <w:color w:val="FFFFFF"/>
                <w:sz w:val="17"/>
              </w:rPr>
              <w:t>Symptom</w:t>
            </w:r>
          </w:p>
        </w:tc>
        <w:tc>
          <w:tcPr>
            <w:tcW w:type="dxa" w:w="4241"/>
            <w:shd w:val="clear" w:color="auto" w:fill="0F2B4C"/>
          </w:tcPr>
          <w:p>
            <w:pPr>
              <w:spacing w:after="20" w:before="20"/>
            </w:pPr>
            <w:r/>
            <w:r>
              <w:rPr>
                <w:rFonts w:ascii="Calibri" w:hAnsi="Calibri"/>
                <w:b/>
                <w:color w:val="FFFFFF"/>
                <w:sz w:val="17"/>
              </w:rPr>
              <w:t>Likely causes to investigate first</w:t>
            </w:r>
          </w:p>
        </w:tc>
        <w:tc>
          <w:tcPr>
            <w:tcW w:type="dxa" w:w="2891"/>
            <w:shd w:val="clear" w:color="auto" w:fill="0F2B4C"/>
          </w:tcPr>
          <w:p>
            <w:pPr>
              <w:spacing w:after="20" w:before="20"/>
            </w:pPr>
            <w:r/>
            <w:r>
              <w:rPr>
                <w:rFonts w:ascii="Calibri" w:hAnsi="Calibri"/>
                <w:b/>
                <w:color w:val="FFFFFF"/>
                <w:sz w:val="17"/>
              </w:rPr>
              <w:t>Do not do this</w:t>
            </w:r>
          </w:p>
        </w:tc>
      </w:tr>
      <w:tr>
        <w:trPr>
          <w:cantSplit/>
        </w:trPr>
        <w:tc>
          <w:tcPr>
            <w:tcW w:type="dxa" w:w="2506"/>
          </w:tcPr>
          <w:p>
            <w:pPr>
              <w:spacing w:after="20" w:before="20"/>
            </w:pPr>
            <w:r/>
            <w:r>
              <w:rPr>
                <w:rFonts w:ascii="Calibri" w:hAnsi="Calibri"/>
                <w:b/>
                <w:i w:val="0"/>
                <w:color w:val="334E68"/>
                <w:sz w:val="17"/>
              </w:rPr>
              <w:t>Work processes frequently in PRIVATE mode</w:t>
            </w:r>
          </w:p>
        </w:tc>
        <w:tc>
          <w:tcPr>
            <w:tcW w:type="dxa" w:w="4241"/>
          </w:tcPr>
          <w:p>
            <w:pPr>
              <w:spacing w:after="20" w:before="20"/>
            </w:pPr>
            <w:r/>
            <w:r>
              <w:rPr>
                <w:rFonts w:ascii="Calibri" w:hAnsi="Calibri"/>
                <w:b w:val="0"/>
                <w:i w:val="0"/>
                <w:color w:val="334E68"/>
                <w:sz w:val="17"/>
              </w:rPr>
              <w:t>EM under-sized for the workload, long-running transactions, high dialog step counts, memory-consuming custom code</w:t>
            </w:r>
          </w:p>
        </w:tc>
        <w:tc>
          <w:tcPr>
            <w:tcW w:type="dxa" w:w="2891"/>
          </w:tcPr>
          <w:p>
            <w:pPr>
              <w:spacing w:after="20" w:before="20"/>
            </w:pPr>
            <w:r/>
            <w:r>
              <w:rPr>
                <w:rFonts w:ascii="Calibri" w:hAnsi="Calibri"/>
                <w:b w:val="0"/>
                <w:i w:val="0"/>
                <w:color w:val="334E68"/>
                <w:sz w:val="17"/>
              </w:rPr>
              <w:t xml:space="preserve">Raise </w:t>
            </w:r>
            <w:r>
              <w:rPr>
                <w:rFonts w:ascii="Consolas" w:hAnsi="Consolas"/>
                <w:b w:val="0"/>
                <w:i w:val="0"/>
                <w:color w:val="123A63"/>
                <w:sz w:val="17"/>
                <w:shd w:val="clear" w:color="auto" w:fill="EEF2F7"/>
              </w:rPr>
              <w:t>ztta/roll_area</w:t>
            </w:r>
            <w:r>
              <w:rPr>
                <w:rFonts w:ascii="Calibri" w:hAnsi="Calibri"/>
                <w:b w:val="0"/>
                <w:i w:val="0"/>
                <w:color w:val="334E68"/>
                <w:sz w:val="17"/>
              </w:rPr>
              <w:t>/EM parameters before measuring actual consumption</w:t>
            </w:r>
          </w:p>
        </w:tc>
      </w:tr>
      <w:tr>
        <w:trPr>
          <w:cantSplit/>
        </w:trPr>
        <w:tc>
          <w:tcPr>
            <w:tcW w:type="dxa" w:w="2506"/>
            <w:shd w:val="clear" w:color="auto" w:fill="FAFBFD"/>
          </w:tcPr>
          <w:p>
            <w:pPr>
              <w:spacing w:after="20" w:before="20"/>
            </w:pPr>
            <w:r/>
            <w:r>
              <w:rPr>
                <w:rFonts w:ascii="Calibri" w:hAnsi="Calibri"/>
                <w:b/>
                <w:i w:val="0"/>
                <w:color w:val="334E68"/>
                <w:sz w:val="17"/>
              </w:rPr>
              <w:t>High paging / swap rate</w:t>
            </w:r>
          </w:p>
        </w:tc>
        <w:tc>
          <w:tcPr>
            <w:tcW w:type="dxa" w:w="4241"/>
            <w:shd w:val="clear" w:color="auto" w:fill="FAFBFD"/>
          </w:tcPr>
          <w:p>
            <w:pPr>
              <w:spacing w:after="20" w:before="20"/>
            </w:pPr>
            <w:r/>
            <w:r>
              <w:rPr>
                <w:rFonts w:ascii="Calibri" w:hAnsi="Calibri"/>
                <w:b w:val="0"/>
                <w:i w:val="0"/>
                <w:color w:val="334E68"/>
                <w:sz w:val="17"/>
              </w:rPr>
              <w:t>Paging area too small for the number of users, or context held too long</w:t>
            </w:r>
          </w:p>
        </w:tc>
        <w:tc>
          <w:tcPr>
            <w:tcW w:type="dxa" w:w="2891"/>
            <w:shd w:val="clear" w:color="auto" w:fill="FAFBFD"/>
          </w:tcPr>
          <w:p>
            <w:pPr>
              <w:spacing w:after="20" w:before="20"/>
            </w:pPr>
            <w:r/>
            <w:r>
              <w:rPr>
                <w:rFonts w:ascii="Calibri" w:hAnsi="Calibri"/>
                <w:b w:val="0"/>
                <w:i w:val="0"/>
                <w:color w:val="334E68"/>
                <w:sz w:val="17"/>
              </w:rPr>
              <w:t>Add OS swap to “fix” an SAP memory design issue</w:t>
            </w:r>
          </w:p>
        </w:tc>
      </w:tr>
      <w:tr>
        <w:trPr>
          <w:cantSplit/>
        </w:trPr>
        <w:tc>
          <w:tcPr>
            <w:tcW w:type="dxa" w:w="2506"/>
          </w:tcPr>
          <w:p>
            <w:pPr>
              <w:spacing w:after="20" w:before="20"/>
            </w:pPr>
            <w:r/>
            <w:r>
              <w:rPr>
                <w:rFonts w:ascii="Calibri" w:hAnsi="Calibri"/>
                <w:b/>
                <w:i w:val="0"/>
                <w:color w:val="334E68"/>
                <w:sz w:val="17"/>
              </w:rPr>
              <w:t>Low table-buffer hit ratio</w:t>
            </w:r>
          </w:p>
        </w:tc>
        <w:tc>
          <w:tcPr>
            <w:tcW w:type="dxa" w:w="4241"/>
          </w:tcPr>
          <w:p>
            <w:pPr>
              <w:spacing w:after="20" w:before="20"/>
            </w:pPr>
            <w:r/>
            <w:r>
              <w:rPr>
                <w:rFonts w:ascii="Calibri" w:hAnsi="Calibri"/>
                <w:b w:val="0"/>
                <w:i w:val="0"/>
                <w:color w:val="334E68"/>
                <w:sz w:val="17"/>
              </w:rPr>
              <w:t>Buffer sizing, or access patterns that bypass the buffer (non-key reads, generic selects)</w:t>
            </w:r>
          </w:p>
        </w:tc>
        <w:tc>
          <w:tcPr>
            <w:tcW w:type="dxa" w:w="2891"/>
          </w:tcPr>
          <w:p>
            <w:pPr>
              <w:spacing w:after="20" w:before="20"/>
            </w:pPr>
            <w:r/>
            <w:r>
              <w:rPr>
                <w:rFonts w:ascii="Calibri" w:hAnsi="Calibri"/>
                <w:b w:val="0"/>
                <w:i w:val="0"/>
                <w:color w:val="334E68"/>
                <w:sz w:val="17"/>
              </w:rPr>
              <w:t>Enlarge buffers without checking whether the code can use them</w:t>
            </w:r>
          </w:p>
        </w:tc>
      </w:tr>
      <w:tr>
        <w:trPr>
          <w:cantSplit/>
        </w:trPr>
        <w:tc>
          <w:tcPr>
            <w:tcW w:type="dxa" w:w="2506"/>
            <w:shd w:val="clear" w:color="auto" w:fill="FAFBFD"/>
          </w:tcPr>
          <w:p>
            <w:pPr>
              <w:spacing w:after="20" w:before="20"/>
            </w:pPr>
            <w:r/>
            <w:r>
              <w:rPr>
                <w:rFonts w:ascii="Calibri" w:hAnsi="Calibri"/>
                <w:b/>
                <w:i w:val="0"/>
                <w:color w:val="334E68"/>
                <w:sz w:val="17"/>
              </w:rPr>
              <w:t>Growing heap over days</w:t>
            </w:r>
          </w:p>
        </w:tc>
        <w:tc>
          <w:tcPr>
            <w:tcW w:type="dxa" w:w="4241"/>
            <w:shd w:val="clear" w:color="auto" w:fill="FAFBFD"/>
          </w:tcPr>
          <w:p>
            <w:pPr>
              <w:spacing w:after="20" w:before="20"/>
            </w:pPr>
            <w:r/>
            <w:r>
              <w:rPr>
                <w:rFonts w:ascii="Calibri" w:hAnsi="Calibri"/>
                <w:b w:val="0"/>
                <w:i w:val="0"/>
                <w:color w:val="334E68"/>
                <w:sz w:val="17"/>
              </w:rPr>
              <w:t>Memory leak in custom code, unfreed internal tables, session accumulation</w:t>
            </w:r>
          </w:p>
        </w:tc>
        <w:tc>
          <w:tcPr>
            <w:tcW w:type="dxa" w:w="2891"/>
            <w:shd w:val="clear" w:color="auto" w:fill="FAFBFD"/>
          </w:tcPr>
          <w:p>
            <w:pPr>
              <w:spacing w:after="20" w:before="20"/>
            </w:pPr>
            <w:r/>
            <w:r>
              <w:rPr>
                <w:rFonts w:ascii="Calibri" w:hAnsi="Calibri"/>
                <w:b w:val="0"/>
                <w:i w:val="0"/>
                <w:color w:val="334E68"/>
                <w:sz w:val="17"/>
              </w:rPr>
              <w:t>Schedule restarts as a permanent workaround</w:t>
            </w:r>
          </w:p>
        </w:tc>
      </w:tr>
      <w:tr>
        <w:trPr>
          <w:cantSplit/>
        </w:trPr>
        <w:tc>
          <w:tcPr>
            <w:tcW w:type="dxa" w:w="2506"/>
          </w:tcPr>
          <w:p>
            <w:pPr>
              <w:spacing w:after="20" w:before="20"/>
            </w:pPr>
            <w:r/>
            <w:r>
              <w:rPr>
                <w:rFonts w:ascii="Calibri" w:hAnsi="Calibri"/>
                <w:b/>
                <w:i w:val="0"/>
                <w:color w:val="334E68"/>
                <w:sz w:val="17"/>
              </w:rPr>
              <w:t>Slow response only at peak</w:t>
            </w:r>
          </w:p>
        </w:tc>
        <w:tc>
          <w:tcPr>
            <w:tcW w:type="dxa" w:w="4241"/>
          </w:tcPr>
          <w:p>
            <w:pPr>
              <w:spacing w:after="20" w:before="20"/>
            </w:pPr>
            <w:r/>
            <w:r>
              <w:rPr>
                <w:rFonts w:ascii="Calibri" w:hAnsi="Calibri"/>
                <w:b w:val="0"/>
                <w:i w:val="0"/>
                <w:color w:val="334E68"/>
                <w:sz w:val="17"/>
              </w:rPr>
              <w:t>Work process saturation, DB contention, enqueue or RFC waits</w:t>
            </w:r>
          </w:p>
        </w:tc>
        <w:tc>
          <w:tcPr>
            <w:tcW w:type="dxa" w:w="2891"/>
          </w:tcPr>
          <w:p>
            <w:pPr>
              <w:spacing w:after="20" w:before="20"/>
            </w:pPr>
            <w:r/>
            <w:r>
              <w:rPr>
                <w:rFonts w:ascii="Calibri" w:hAnsi="Calibri"/>
                <w:b w:val="0"/>
                <w:i w:val="0"/>
                <w:color w:val="334E68"/>
                <w:sz w:val="17"/>
              </w:rPr>
              <w:t>Tune a parameter that is not the constraint</w:t>
            </w:r>
          </w:p>
        </w:tc>
      </w:tr>
    </w:tbl>
    <w:p>
      <w:pPr>
        <w:spacing w:after="40"/>
      </w:pPr>
    </w:p>
    <w:p>
      <w:pPr>
        <w:pStyle w:val="Heading2"/>
        <w:pBdr>
          <w:bottom w:val="single" w:sz="6" w:space="3" w:color="E8EDF3"/>
        </w:pBdr>
      </w:pPr>
      <w:r>
        <w:rPr>
          <w:rFonts w:ascii="Calibri" w:hAnsi="Calibri"/>
          <w:b/>
          <w:color w:val="0F2B4C"/>
          <w:sz w:val="26"/>
        </w:rPr>
        <w:t>8.2  RZ10 versus RZ11</w:t>
      </w:r>
    </w:p>
    <w:p>
      <w:pPr>
        <w:spacing w:after="60" w:before="160"/>
        <w:keepNext/>
      </w:pPr>
      <w:r>
        <w:rPr>
          <w:rFonts w:ascii="Calibri" w:hAnsi="Calibri"/>
          <w:b/>
          <w:color w:val="5B7288"/>
          <w:sz w:val="15"/>
        </w:rPr>
        <w:t>RZ10 VERSUS RZ11</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964"/>
        <w:gridCol w:w="2506"/>
        <w:gridCol w:w="2313"/>
        <w:gridCol w:w="1928"/>
        <w:gridCol w:w="1928"/>
      </w:tblGrid>
      <w:tr>
        <w:trPr>
          <w:tblHeader/>
          <w:cantSplit/>
        </w:trPr>
        <w:tc>
          <w:tcPr>
            <w:tcW w:type="dxa" w:w="964"/>
            <w:shd w:val="clear" w:color="auto" w:fill="0F2B4C"/>
          </w:tcPr>
          <w:p>
            <w:pPr>
              <w:spacing w:after="20" w:before="20"/>
            </w:pPr>
            <w:r/>
            <w:r>
              <w:rPr>
                <w:rFonts w:ascii="Calibri" w:hAnsi="Calibri"/>
                <w:b/>
                <w:color w:val="FFFFFF"/>
                <w:sz w:val="17"/>
              </w:rPr>
              <w:t>Transaction</w:t>
            </w:r>
          </w:p>
        </w:tc>
        <w:tc>
          <w:tcPr>
            <w:tcW w:type="dxa" w:w="2506"/>
            <w:shd w:val="clear" w:color="auto" w:fill="0F2B4C"/>
          </w:tcPr>
          <w:p>
            <w:pPr>
              <w:spacing w:after="20" w:before="20"/>
            </w:pPr>
            <w:r/>
            <w:r>
              <w:rPr>
                <w:rFonts w:ascii="Calibri" w:hAnsi="Calibri"/>
                <w:b/>
                <w:color w:val="FFFFFF"/>
                <w:sz w:val="17"/>
              </w:rPr>
              <w:t>Nature</w:t>
            </w:r>
          </w:p>
        </w:tc>
        <w:tc>
          <w:tcPr>
            <w:tcW w:type="dxa" w:w="2313"/>
            <w:shd w:val="clear" w:color="auto" w:fill="0F2B4C"/>
          </w:tcPr>
          <w:p>
            <w:pPr>
              <w:spacing w:after="20" w:before="20"/>
            </w:pPr>
            <w:r/>
            <w:r>
              <w:rPr>
                <w:rFonts w:ascii="Calibri" w:hAnsi="Calibri"/>
                <w:b/>
                <w:color w:val="FFFFFF"/>
                <w:sz w:val="17"/>
              </w:rPr>
              <w:t>Persistence</w:t>
            </w:r>
          </w:p>
        </w:tc>
        <w:tc>
          <w:tcPr>
            <w:tcW w:type="dxa" w:w="1928"/>
            <w:shd w:val="clear" w:color="auto" w:fill="0F2B4C"/>
          </w:tcPr>
          <w:p>
            <w:pPr>
              <w:spacing w:after="20" w:before="20"/>
            </w:pPr>
            <w:r/>
            <w:r>
              <w:rPr>
                <w:rFonts w:ascii="Calibri" w:hAnsi="Calibri"/>
                <w:b/>
                <w:color w:val="FFFFFF"/>
                <w:sz w:val="17"/>
              </w:rPr>
              <w:t>Restart</w:t>
            </w:r>
          </w:p>
        </w:tc>
        <w:tc>
          <w:tcPr>
            <w:tcW w:type="dxa" w:w="1928"/>
            <w:shd w:val="clear" w:color="auto" w:fill="0F2B4C"/>
          </w:tcPr>
          <w:p>
            <w:pPr>
              <w:spacing w:after="20" w:before="20"/>
            </w:pPr>
            <w:r/>
            <w:r>
              <w:rPr>
                <w:rFonts w:ascii="Calibri" w:hAnsi="Calibri"/>
                <w:b/>
                <w:color w:val="FFFFFF"/>
                <w:sz w:val="17"/>
              </w:rPr>
              <w:t>Use when</w:t>
            </w:r>
          </w:p>
        </w:tc>
      </w:tr>
      <w:tr>
        <w:trPr>
          <w:cantSplit/>
        </w:trPr>
        <w:tc>
          <w:tcPr>
            <w:tcW w:type="dxa" w:w="964"/>
          </w:tcPr>
          <w:p>
            <w:pPr>
              <w:spacing w:after="20" w:before="20"/>
            </w:pPr>
            <w:r/>
            <w:r>
              <w:rPr>
                <w:rFonts w:ascii="Consolas" w:hAnsi="Consolas"/>
                <w:b/>
                <w:i w:val="0"/>
                <w:color w:val="123A63"/>
                <w:sz w:val="17"/>
                <w:shd w:val="clear" w:color="auto" w:fill="EEF2F7"/>
              </w:rPr>
              <w:t>RZ10</w:t>
            </w:r>
          </w:p>
        </w:tc>
        <w:tc>
          <w:tcPr>
            <w:tcW w:type="dxa" w:w="2506"/>
          </w:tcPr>
          <w:p>
            <w:pPr>
              <w:spacing w:after="20" w:before="20"/>
            </w:pPr>
            <w:r/>
            <w:r>
              <w:rPr>
                <w:rFonts w:ascii="Calibri" w:hAnsi="Calibri"/>
                <w:b w:val="0"/>
                <w:i w:val="0"/>
                <w:color w:val="334E68"/>
                <w:sz w:val="17"/>
              </w:rPr>
              <w:t>Profile parameter maintenance (instance, default and start profiles)</w:t>
            </w:r>
          </w:p>
        </w:tc>
        <w:tc>
          <w:tcPr>
            <w:tcW w:type="dxa" w:w="2313"/>
          </w:tcPr>
          <w:p>
            <w:pPr>
              <w:spacing w:after="20" w:before="20"/>
            </w:pPr>
            <w:r/>
            <w:r>
              <w:rPr>
                <w:rFonts w:ascii="Calibri" w:hAnsi="Calibri"/>
                <w:b w:val="0"/>
                <w:i w:val="0"/>
                <w:color w:val="334E68"/>
                <w:sz w:val="17"/>
              </w:rPr>
              <w:t>Persistent — written to the profile and activated</w:t>
            </w:r>
          </w:p>
        </w:tc>
        <w:tc>
          <w:tcPr>
            <w:tcW w:type="dxa" w:w="1928"/>
          </w:tcPr>
          <w:p>
            <w:pPr>
              <w:spacing w:after="20" w:before="20"/>
            </w:pPr>
            <w:r/>
            <w:r>
              <w:rPr>
                <w:rFonts w:ascii="Calibri" w:hAnsi="Calibri"/>
                <w:b w:val="0"/>
                <w:i w:val="0"/>
                <w:color w:val="334E68"/>
                <w:sz w:val="17"/>
              </w:rPr>
              <w:t>Required for many parameters; some take effect at the next instance start</w:t>
            </w:r>
          </w:p>
        </w:tc>
        <w:tc>
          <w:tcPr>
            <w:tcW w:type="dxa" w:w="1928"/>
          </w:tcPr>
          <w:p>
            <w:pPr>
              <w:spacing w:after="20" w:before="20"/>
            </w:pPr>
            <w:r/>
            <w:r>
              <w:rPr>
                <w:rFonts w:ascii="Calibri" w:hAnsi="Calibri"/>
                <w:b w:val="0"/>
                <w:i w:val="0"/>
                <w:color w:val="334E68"/>
                <w:sz w:val="17"/>
              </w:rPr>
              <w:t>The change must survive a restart and be part of the configuration baseline</w:t>
            </w:r>
          </w:p>
        </w:tc>
      </w:tr>
      <w:tr>
        <w:trPr>
          <w:cantSplit/>
        </w:trPr>
        <w:tc>
          <w:tcPr>
            <w:tcW w:type="dxa" w:w="964"/>
            <w:shd w:val="clear" w:color="auto" w:fill="FAFBFD"/>
          </w:tcPr>
          <w:p>
            <w:pPr>
              <w:spacing w:after="20" w:before="20"/>
            </w:pPr>
            <w:r/>
            <w:r>
              <w:rPr>
                <w:rFonts w:ascii="Consolas" w:hAnsi="Consolas"/>
                <w:b/>
                <w:i w:val="0"/>
                <w:color w:val="123A63"/>
                <w:sz w:val="17"/>
                <w:shd w:val="clear" w:color="auto" w:fill="EEF2F7"/>
              </w:rPr>
              <w:t>RZ11</w:t>
            </w:r>
          </w:p>
        </w:tc>
        <w:tc>
          <w:tcPr>
            <w:tcW w:type="dxa" w:w="2506"/>
            <w:shd w:val="clear" w:color="auto" w:fill="FAFBFD"/>
          </w:tcPr>
          <w:p>
            <w:pPr>
              <w:spacing w:after="20" w:before="20"/>
            </w:pPr>
            <w:r/>
            <w:r>
              <w:rPr>
                <w:rFonts w:ascii="Calibri" w:hAnsi="Calibri"/>
                <w:b w:val="0"/>
                <w:i w:val="0"/>
                <w:color w:val="334E68"/>
                <w:sz w:val="17"/>
              </w:rPr>
              <w:t>Runtime parameter display and change where the parameter is dynamically switchable</w:t>
            </w:r>
          </w:p>
        </w:tc>
        <w:tc>
          <w:tcPr>
            <w:tcW w:type="dxa" w:w="2313"/>
            <w:shd w:val="clear" w:color="auto" w:fill="FAFBFD"/>
          </w:tcPr>
          <w:p>
            <w:pPr>
              <w:spacing w:after="20" w:before="20"/>
            </w:pPr>
            <w:r/>
            <w:r>
              <w:rPr>
                <w:rFonts w:ascii="Calibri" w:hAnsi="Calibri"/>
                <w:b w:val="0"/>
                <w:i w:val="0"/>
                <w:color w:val="334E68"/>
                <w:sz w:val="17"/>
              </w:rPr>
              <w:t>Temporary — lost at restart unless also set in the profile</w:t>
            </w:r>
          </w:p>
        </w:tc>
        <w:tc>
          <w:tcPr>
            <w:tcW w:type="dxa" w:w="1928"/>
            <w:shd w:val="clear" w:color="auto" w:fill="FAFBFD"/>
          </w:tcPr>
          <w:p>
            <w:pPr>
              <w:spacing w:after="20" w:before="20"/>
            </w:pPr>
            <w:r/>
            <w:r>
              <w:rPr>
                <w:rFonts w:ascii="Calibri" w:hAnsi="Calibri"/>
                <w:b w:val="0"/>
                <w:i w:val="0"/>
                <w:color w:val="334E68"/>
                <w:sz w:val="17"/>
              </w:rPr>
              <w:t>Not required for dynamic parameters</w:t>
            </w:r>
          </w:p>
        </w:tc>
        <w:tc>
          <w:tcPr>
            <w:tcW w:type="dxa" w:w="1928"/>
            <w:shd w:val="clear" w:color="auto" w:fill="FAFBFD"/>
          </w:tcPr>
          <w:p>
            <w:pPr>
              <w:spacing w:after="20" w:before="20"/>
            </w:pPr>
            <w:r/>
            <w:r>
              <w:rPr>
                <w:rFonts w:ascii="Calibri" w:hAnsi="Calibri"/>
                <w:b w:val="0"/>
                <w:i w:val="0"/>
                <w:color w:val="334E68"/>
                <w:sz w:val="17"/>
              </w:rPr>
              <w:t>Testing a value, or applying a supported dynamic change within an approved window</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PROFILE DISCIPLINE DURING MIGRATION</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 xml:space="preserve">Any </w:t>
      </w:r>
      <w:r>
        <w:rPr>
          <w:rFonts w:ascii="Consolas" w:hAnsi="Consolas"/>
          <w:b w:val="0"/>
          <w:i w:val="0"/>
          <w:color w:val="123A63"/>
          <w:sz w:val="19"/>
          <w:shd w:val="clear" w:color="auto" w:fill="EEF2F7"/>
        </w:rPr>
        <w:t>RZ11</w:t>
      </w:r>
      <w:r>
        <w:rPr>
          <w:rFonts w:ascii="Calibri" w:hAnsi="Calibri"/>
          <w:b w:val="0"/>
          <w:i w:val="0"/>
          <w:color w:val="334E68"/>
          <w:sz w:val="19"/>
        </w:rPr>
        <w:t xml:space="preserve"> change made to get through a cutover must be followed by a matching </w:t>
      </w:r>
      <w:r>
        <w:rPr>
          <w:rFonts w:ascii="Consolas" w:hAnsi="Consolas"/>
          <w:b w:val="0"/>
          <w:i w:val="0"/>
          <w:color w:val="123A63"/>
          <w:sz w:val="19"/>
          <w:shd w:val="clear" w:color="auto" w:fill="EEF2F7"/>
        </w:rPr>
        <w:t>RZ10</w:t>
      </w:r>
      <w:r>
        <w:rPr>
          <w:rFonts w:ascii="Calibri" w:hAnsi="Calibri"/>
          <w:b w:val="0"/>
          <w:i w:val="0"/>
          <w:color w:val="334E68"/>
          <w:sz w:val="19"/>
        </w:rPr>
        <w:t xml:space="preserve"> entry, or the fix disappears at the next restart.</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Profile changes are configuration changes: they need the same approval, documentation and transport/record discipline as any other change.</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Compare the source and target profile parameter sets explicitly after migration — parameters that no longer exist, or that were silently defaulted, are a frequent cause of post-migration behavioural differences.</w:t>
      </w:r>
    </w:p>
    <w:p>
      <w:pPr>
        <w:shd w:val="clear" w:color="auto" w:fill="FFFDF5"/>
        <w:pBdr>
          <w:left w:val="single" w:sz="6" w:space="6" w:color="D9A520"/>
          <w:bottom w:val="single" w:sz="6" w:space="6" w:color="D9A520"/>
          <w:right w:val="single" w:sz="6" w:space="6" w:color="D9A520"/>
        </w:pBdr>
        <w:spacing w:after="40"/>
      </w:pPr>
    </w:p>
    <w:p>
      <w:pPr>
        <w:pStyle w:val="Heading2"/>
        <w:pBdr>
          <w:bottom w:val="single" w:sz="6" w:space="3" w:color="E8EDF3"/>
        </w:pBdr>
      </w:pPr>
      <w:r>
        <w:rPr>
          <w:rFonts w:ascii="Calibri" w:hAnsi="Calibri"/>
          <w:b/>
          <w:color w:val="0F2B4C"/>
          <w:sz w:val="26"/>
        </w:rPr>
        <w:t>8.3  ST03 / ST03N — workload analysis</w:t>
      </w:r>
    </w:p>
    <w:p>
      <w:pPr>
        <w:spacing w:after="60" w:before="160"/>
        <w:keepNext/>
      </w:pPr>
      <w:r>
        <w:rPr>
          <w:rFonts w:ascii="Calibri" w:hAnsi="Calibri"/>
          <w:b/>
          <w:color w:val="5B7288"/>
          <w:sz w:val="15"/>
        </w:rPr>
        <w:t>WORKLOAD METRICS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735"/>
        <w:gridCol w:w="3855"/>
        <w:gridCol w:w="4048"/>
      </w:tblGrid>
      <w:tr>
        <w:trPr>
          <w:tblHeader/>
          <w:cantSplit/>
        </w:trPr>
        <w:tc>
          <w:tcPr>
            <w:tcW w:type="dxa" w:w="1735"/>
            <w:shd w:val="clear" w:color="auto" w:fill="0F2B4C"/>
          </w:tcPr>
          <w:p>
            <w:pPr>
              <w:spacing w:after="20" w:before="20"/>
            </w:pPr>
            <w:r/>
            <w:r>
              <w:rPr>
                <w:rFonts w:ascii="Calibri" w:hAnsi="Calibri"/>
                <w:b/>
                <w:color w:val="FFFFFF"/>
                <w:sz w:val="17"/>
              </w:rPr>
              <w:t>Metric</w:t>
            </w:r>
          </w:p>
        </w:tc>
        <w:tc>
          <w:tcPr>
            <w:tcW w:type="dxa" w:w="3855"/>
            <w:shd w:val="clear" w:color="auto" w:fill="0F2B4C"/>
          </w:tcPr>
          <w:p>
            <w:pPr>
              <w:spacing w:after="20" w:before="20"/>
            </w:pPr>
            <w:r/>
            <w:r>
              <w:rPr>
                <w:rFonts w:ascii="Calibri" w:hAnsi="Calibri"/>
                <w:b/>
                <w:color w:val="FFFFFF"/>
                <w:sz w:val="17"/>
              </w:rPr>
              <w:t>Definition</w:t>
            </w:r>
          </w:p>
        </w:tc>
        <w:tc>
          <w:tcPr>
            <w:tcW w:type="dxa" w:w="4048"/>
            <w:shd w:val="clear" w:color="auto" w:fill="0F2B4C"/>
          </w:tcPr>
          <w:p>
            <w:pPr>
              <w:spacing w:after="20" w:before="20"/>
            </w:pPr>
            <w:r/>
            <w:r>
              <w:rPr>
                <w:rFonts w:ascii="Calibri" w:hAnsi="Calibri"/>
                <w:b/>
                <w:color w:val="FFFFFF"/>
                <w:sz w:val="17"/>
              </w:rPr>
              <w:t>How to use it in a migration</w:t>
            </w:r>
          </w:p>
        </w:tc>
      </w:tr>
      <w:tr>
        <w:trPr>
          <w:cantSplit/>
        </w:trPr>
        <w:tc>
          <w:tcPr>
            <w:tcW w:type="dxa" w:w="1735"/>
          </w:tcPr>
          <w:p>
            <w:pPr>
              <w:spacing w:after="20" w:before="20"/>
            </w:pPr>
            <w:r/>
            <w:r>
              <w:rPr>
                <w:rFonts w:ascii="Calibri" w:hAnsi="Calibri"/>
                <w:b/>
                <w:i w:val="0"/>
                <w:color w:val="334E68"/>
                <w:sz w:val="17"/>
              </w:rPr>
              <w:t>Response time</w:t>
            </w:r>
          </w:p>
        </w:tc>
        <w:tc>
          <w:tcPr>
            <w:tcW w:type="dxa" w:w="3855"/>
          </w:tcPr>
          <w:p>
            <w:pPr>
              <w:spacing w:after="20" w:before="20"/>
            </w:pPr>
            <w:r/>
            <w:r>
              <w:rPr>
                <w:rFonts w:ascii="Calibri" w:hAnsi="Calibri"/>
                <w:b w:val="0"/>
                <w:i w:val="0"/>
                <w:color w:val="334E68"/>
                <w:sz w:val="17"/>
              </w:rPr>
              <w:t>Total time from dialog step start to end, as experienced by the user</w:t>
            </w:r>
          </w:p>
        </w:tc>
        <w:tc>
          <w:tcPr>
            <w:tcW w:type="dxa" w:w="4048"/>
          </w:tcPr>
          <w:p>
            <w:pPr>
              <w:spacing w:after="20" w:before="20"/>
            </w:pPr>
            <w:r/>
            <w:r>
              <w:rPr>
                <w:rFonts w:ascii="Calibri" w:hAnsi="Calibri"/>
                <w:b w:val="0"/>
                <w:i w:val="0"/>
                <w:color w:val="334E68"/>
                <w:sz w:val="17"/>
              </w:rPr>
              <w:t>Compare target against the source baseline for the same period type (business hours, month-end)</w:t>
            </w:r>
          </w:p>
        </w:tc>
      </w:tr>
      <w:tr>
        <w:trPr>
          <w:cantSplit/>
        </w:trPr>
        <w:tc>
          <w:tcPr>
            <w:tcW w:type="dxa" w:w="1735"/>
            <w:shd w:val="clear" w:color="auto" w:fill="FAFBFD"/>
          </w:tcPr>
          <w:p>
            <w:pPr>
              <w:spacing w:after="20" w:before="20"/>
            </w:pPr>
            <w:r/>
            <w:r>
              <w:rPr>
                <w:rFonts w:ascii="Calibri" w:hAnsi="Calibri"/>
                <w:b/>
                <w:i w:val="0"/>
                <w:color w:val="334E68"/>
                <w:sz w:val="17"/>
              </w:rPr>
              <w:t>Database time</w:t>
            </w:r>
          </w:p>
        </w:tc>
        <w:tc>
          <w:tcPr>
            <w:tcW w:type="dxa" w:w="3855"/>
            <w:shd w:val="clear" w:color="auto" w:fill="FAFBFD"/>
          </w:tcPr>
          <w:p>
            <w:pPr>
              <w:spacing w:after="20" w:before="20"/>
            </w:pPr>
            <w:r/>
            <w:r>
              <w:rPr>
                <w:rFonts w:ascii="Calibri" w:hAnsi="Calibri"/>
                <w:b w:val="0"/>
                <w:i w:val="0"/>
                <w:color w:val="334E68"/>
                <w:sz w:val="17"/>
              </w:rPr>
              <w:t>Time spent in database requests</w:t>
            </w:r>
          </w:p>
        </w:tc>
        <w:tc>
          <w:tcPr>
            <w:tcW w:type="dxa" w:w="4048"/>
            <w:shd w:val="clear" w:color="auto" w:fill="FAFBFD"/>
          </w:tcPr>
          <w:p>
            <w:pPr>
              <w:spacing w:after="20" w:before="20"/>
            </w:pPr>
            <w:r/>
            <w:r>
              <w:rPr>
                <w:rFonts w:ascii="Calibri" w:hAnsi="Calibri"/>
                <w:b w:val="0"/>
                <w:i w:val="0"/>
                <w:color w:val="334E68"/>
                <w:sz w:val="17"/>
              </w:rPr>
              <w:t>The single most useful split: high DB time points to the database, network or SQL, not to ABAP</w:t>
            </w:r>
          </w:p>
        </w:tc>
      </w:tr>
      <w:tr>
        <w:trPr>
          <w:cantSplit/>
        </w:trPr>
        <w:tc>
          <w:tcPr>
            <w:tcW w:type="dxa" w:w="1735"/>
          </w:tcPr>
          <w:p>
            <w:pPr>
              <w:spacing w:after="20" w:before="20"/>
            </w:pPr>
            <w:r/>
            <w:r>
              <w:rPr>
                <w:rFonts w:ascii="Calibri" w:hAnsi="Calibri"/>
                <w:b/>
                <w:i w:val="0"/>
                <w:color w:val="334E68"/>
                <w:sz w:val="17"/>
              </w:rPr>
              <w:t>CPU time</w:t>
            </w:r>
          </w:p>
        </w:tc>
        <w:tc>
          <w:tcPr>
            <w:tcW w:type="dxa" w:w="3855"/>
          </w:tcPr>
          <w:p>
            <w:pPr>
              <w:spacing w:after="20" w:before="20"/>
            </w:pPr>
            <w:r/>
            <w:r>
              <w:rPr>
                <w:rFonts w:ascii="Calibri" w:hAnsi="Calibri"/>
                <w:b w:val="0"/>
                <w:i w:val="0"/>
                <w:color w:val="334E68"/>
                <w:sz w:val="17"/>
              </w:rPr>
              <w:t>Time spent executing on the application server CPU</w:t>
            </w:r>
          </w:p>
        </w:tc>
        <w:tc>
          <w:tcPr>
            <w:tcW w:type="dxa" w:w="4048"/>
          </w:tcPr>
          <w:p>
            <w:pPr>
              <w:spacing w:after="20" w:before="20"/>
            </w:pPr>
            <w:r/>
            <w:r>
              <w:rPr>
                <w:rFonts w:ascii="Calibri" w:hAnsi="Calibri"/>
                <w:b w:val="0"/>
                <w:i w:val="0"/>
                <w:color w:val="334E68"/>
                <w:sz w:val="17"/>
              </w:rPr>
              <w:t>High CPU time with normal DB time points to code, volume or under-sized compute</w:t>
            </w:r>
          </w:p>
        </w:tc>
      </w:tr>
      <w:tr>
        <w:trPr>
          <w:cantSplit/>
        </w:trPr>
        <w:tc>
          <w:tcPr>
            <w:tcW w:type="dxa" w:w="1735"/>
            <w:shd w:val="clear" w:color="auto" w:fill="FAFBFD"/>
          </w:tcPr>
          <w:p>
            <w:pPr>
              <w:spacing w:after="20" w:before="20"/>
            </w:pPr>
            <w:r/>
            <w:r>
              <w:rPr>
                <w:rFonts w:ascii="Calibri" w:hAnsi="Calibri"/>
                <w:b/>
                <w:i w:val="0"/>
                <w:color w:val="334E68"/>
                <w:sz w:val="17"/>
              </w:rPr>
              <w:t>Wait time</w:t>
            </w:r>
          </w:p>
        </w:tc>
        <w:tc>
          <w:tcPr>
            <w:tcW w:type="dxa" w:w="3855"/>
            <w:shd w:val="clear" w:color="auto" w:fill="FAFBFD"/>
          </w:tcPr>
          <w:p>
            <w:pPr>
              <w:spacing w:after="20" w:before="20"/>
            </w:pPr>
            <w:r/>
            <w:r>
              <w:rPr>
                <w:rFonts w:ascii="Calibri" w:hAnsi="Calibri"/>
                <w:b w:val="0"/>
                <w:i w:val="0"/>
                <w:color w:val="334E68"/>
                <w:sz w:val="17"/>
              </w:rPr>
              <w:t>Time waiting for resources: roll, paging, enqueue, RFC, dispatcher</w:t>
            </w:r>
          </w:p>
        </w:tc>
        <w:tc>
          <w:tcPr>
            <w:tcW w:type="dxa" w:w="4048"/>
            <w:shd w:val="clear" w:color="auto" w:fill="FAFBFD"/>
          </w:tcPr>
          <w:p>
            <w:pPr>
              <w:spacing w:after="20" w:before="20"/>
            </w:pPr>
            <w:r/>
            <w:r>
              <w:rPr>
                <w:rFonts w:ascii="Calibri" w:hAnsi="Calibri"/>
                <w:b w:val="0"/>
                <w:i w:val="0"/>
                <w:color w:val="334E68"/>
                <w:sz w:val="17"/>
              </w:rPr>
              <w:t>High wait time is a resource or dependency problem — check memory and external systems</w:t>
            </w:r>
          </w:p>
        </w:tc>
      </w:tr>
      <w:tr>
        <w:trPr>
          <w:cantSplit/>
        </w:trPr>
        <w:tc>
          <w:tcPr>
            <w:tcW w:type="dxa" w:w="1735"/>
          </w:tcPr>
          <w:p>
            <w:pPr>
              <w:spacing w:after="20" w:before="20"/>
            </w:pPr>
            <w:r/>
            <w:r>
              <w:rPr>
                <w:rFonts w:ascii="Calibri" w:hAnsi="Calibri"/>
                <w:b/>
                <w:i w:val="0"/>
                <w:color w:val="334E68"/>
                <w:sz w:val="17"/>
              </w:rPr>
              <w:t>Workload / steps</w:t>
            </w:r>
          </w:p>
        </w:tc>
        <w:tc>
          <w:tcPr>
            <w:tcW w:type="dxa" w:w="3855"/>
          </w:tcPr>
          <w:p>
            <w:pPr>
              <w:spacing w:after="20" w:before="20"/>
            </w:pPr>
            <w:r/>
            <w:r>
              <w:rPr>
                <w:rFonts w:ascii="Calibri" w:hAnsi="Calibri"/>
                <w:b w:val="0"/>
                <w:i w:val="0"/>
                <w:color w:val="334E68"/>
                <w:sz w:val="17"/>
              </w:rPr>
              <w:t>Number of dialog steps, background and RFC steps</w:t>
            </w:r>
          </w:p>
        </w:tc>
        <w:tc>
          <w:tcPr>
            <w:tcW w:type="dxa" w:w="4048"/>
          </w:tcPr>
          <w:p>
            <w:pPr>
              <w:spacing w:after="20" w:before="20"/>
            </w:pPr>
            <w:r/>
            <w:r>
              <w:rPr>
                <w:rFonts w:ascii="Calibri" w:hAnsi="Calibri"/>
                <w:b w:val="0"/>
                <w:i w:val="0"/>
                <w:color w:val="334E68"/>
                <w:sz w:val="17"/>
              </w:rPr>
              <w:t>Confirms you are comparing equivalent load, not a quiet day against a peak day</w:t>
            </w:r>
          </w:p>
        </w:tc>
      </w:tr>
      <w:tr>
        <w:trPr>
          <w:cantSplit/>
        </w:trPr>
        <w:tc>
          <w:tcPr>
            <w:tcW w:type="dxa" w:w="1735"/>
            <w:shd w:val="clear" w:color="auto" w:fill="FAFBFD"/>
          </w:tcPr>
          <w:p>
            <w:pPr>
              <w:spacing w:after="20" w:before="20"/>
            </w:pPr>
            <w:r/>
            <w:r>
              <w:rPr>
                <w:rFonts w:ascii="Calibri" w:hAnsi="Calibri"/>
                <w:b/>
                <w:i w:val="0"/>
                <w:color w:val="334E68"/>
                <w:sz w:val="17"/>
              </w:rPr>
              <w:t>User activity</w:t>
            </w:r>
          </w:p>
        </w:tc>
        <w:tc>
          <w:tcPr>
            <w:tcW w:type="dxa" w:w="3855"/>
            <w:shd w:val="clear" w:color="auto" w:fill="FAFBFD"/>
          </w:tcPr>
          <w:p>
            <w:pPr>
              <w:spacing w:after="20" w:before="20"/>
            </w:pPr>
            <w:r/>
            <w:r>
              <w:rPr>
                <w:rFonts w:ascii="Calibri" w:hAnsi="Calibri"/>
                <w:b w:val="0"/>
                <w:i w:val="0"/>
                <w:color w:val="334E68"/>
                <w:sz w:val="17"/>
              </w:rPr>
              <w:t>Active users and their distribution</w:t>
            </w:r>
          </w:p>
        </w:tc>
        <w:tc>
          <w:tcPr>
            <w:tcW w:type="dxa" w:w="4048"/>
            <w:shd w:val="clear" w:color="auto" w:fill="FAFBFD"/>
          </w:tcPr>
          <w:p>
            <w:pPr>
              <w:spacing w:after="20" w:before="20"/>
            </w:pPr>
            <w:r/>
            <w:r>
              <w:rPr>
                <w:rFonts w:ascii="Calibri" w:hAnsi="Calibri"/>
                <w:b w:val="0"/>
                <w:i w:val="0"/>
                <w:color w:val="334E68"/>
                <w:sz w:val="17"/>
              </w:rPr>
              <w:t>Explains load differences and identifies who to interview about slowness</w:t>
            </w:r>
          </w:p>
        </w:tc>
      </w:tr>
    </w:tbl>
    <w:p>
      <w:pPr>
        <w:spacing w:after="40"/>
      </w:pPr>
    </w:p>
    <w:p>
      <w:pPr>
        <w:spacing w:after="40"/>
        <w:ind w:left="351" w:hanging="227"/>
      </w:pPr>
      <w:r>
        <w:rPr>
          <w:rFonts w:ascii="Calibri" w:hAnsi="Calibri"/>
          <w:b/>
          <w:color w:val="1B4F86"/>
          <w:sz w:val="19"/>
        </w:rPr>
        <w:t xml:space="preserve">▪  </w:t>
      </w:r>
      <w:r>
        <w:rPr>
          <w:rFonts w:ascii="Calibri" w:hAnsi="Calibri"/>
          <w:b w:val="0"/>
          <w:i w:val="0"/>
          <w:color w:val="334E68"/>
          <w:sz w:val="19"/>
        </w:rPr>
        <w:t>Analyse daily, weekly and monthly views: a single day is noise, a month shows the trend and the peaks.</w:t>
      </w:r>
    </w:p>
    <w:p>
      <w:pPr>
        <w:spacing w:after="40"/>
        <w:ind w:left="351" w:hanging="227"/>
      </w:pPr>
      <w:r>
        <w:rPr>
          <w:rFonts w:ascii="Calibri" w:hAnsi="Calibri"/>
          <w:b/>
          <w:color w:val="1B4F86"/>
          <w:sz w:val="19"/>
        </w:rPr>
        <w:t xml:space="preserve">▪  </w:t>
      </w:r>
      <w:r>
        <w:rPr>
          <w:rFonts w:ascii="Calibri" w:hAnsi="Calibri"/>
          <w:b w:val="0"/>
          <w:i w:val="0"/>
          <w:color w:val="334E68"/>
          <w:sz w:val="19"/>
        </w:rPr>
        <w:t>Compare like with like — same day type, same time window, same workload mix.</w:t>
      </w:r>
    </w:p>
    <w:p>
      <w:pPr>
        <w:spacing w:after="40"/>
        <w:ind w:left="351" w:hanging="227"/>
      </w:pPr>
      <w:r>
        <w:rPr>
          <w:rFonts w:ascii="Calibri" w:hAnsi="Calibri"/>
          <w:b/>
          <w:color w:val="1B4F86"/>
          <w:sz w:val="19"/>
        </w:rPr>
        <w:t xml:space="preserve">▪  </w:t>
      </w:r>
      <w:r>
        <w:rPr>
          <w:rFonts w:ascii="Calibri" w:hAnsi="Calibri"/>
          <w:b w:val="0"/>
          <w:i w:val="0"/>
          <w:color w:val="334E68"/>
          <w:sz w:val="19"/>
        </w:rPr>
        <w:t>Record the top transactions by response time and by total load; they become your re-test list after any change.</w:t>
      </w:r>
    </w:p>
    <w:p>
      <w:pPr>
        <w:spacing w:after="40"/>
        <w:ind w:left="351" w:hanging="227"/>
      </w:pPr>
      <w:r>
        <w:rPr>
          <w:rFonts w:ascii="Calibri" w:hAnsi="Calibri"/>
          <w:b/>
          <w:color w:val="1B4F86"/>
          <w:sz w:val="19"/>
        </w:rPr>
        <w:t xml:space="preserve">▪  </w:t>
      </w:r>
      <w:r>
        <w:rPr>
          <w:rFonts w:ascii="Consolas" w:hAnsi="Consolas"/>
          <w:b w:val="0"/>
          <w:i w:val="0"/>
          <w:color w:val="123A63"/>
          <w:sz w:val="19"/>
          <w:shd w:val="clear" w:color="auto" w:fill="EEF2F7"/>
        </w:rPr>
        <w:t>ST03N</w:t>
      </w:r>
      <w:r>
        <w:rPr>
          <w:rFonts w:ascii="Calibri" w:hAnsi="Calibri"/>
          <w:b w:val="0"/>
          <w:i w:val="0"/>
          <w:color w:val="334E68"/>
          <w:sz w:val="19"/>
        </w:rPr>
        <w:t xml:space="preserve"> is the current workload transaction; </w:t>
      </w:r>
      <w:r>
        <w:rPr>
          <w:rFonts w:ascii="Consolas" w:hAnsi="Consolas"/>
          <w:b w:val="0"/>
          <w:i w:val="0"/>
          <w:color w:val="123A63"/>
          <w:sz w:val="19"/>
          <w:shd w:val="clear" w:color="auto" w:fill="EEF2F7"/>
        </w:rPr>
        <w:t>ST03</w:t>
      </w:r>
      <w:r>
        <w:rPr>
          <w:rFonts w:ascii="Calibri" w:hAnsi="Calibri"/>
          <w:b w:val="0"/>
          <w:i w:val="0"/>
          <w:color w:val="334E68"/>
          <w:sz w:val="19"/>
        </w:rPr>
        <w:t xml:space="preserve"> is retained here because the source material and many runbooks still reference it.</w:t>
      </w:r>
    </w:p>
    <w:p>
      <w:pPr>
        <w:pStyle w:val="Heading2"/>
        <w:pBdr>
          <w:bottom w:val="single" w:sz="6" w:space="3" w:color="E8EDF3"/>
        </w:pBdr>
      </w:pPr>
      <w:r>
        <w:rPr>
          <w:rFonts w:ascii="Calibri" w:hAnsi="Calibri"/>
          <w:b/>
          <w:color w:val="0F2B4C"/>
          <w:sz w:val="26"/>
        </w:rPr>
        <w:t>8.4  STAD — detailed statistical records</w:t>
      </w:r>
    </w:p>
    <w:p>
      <w:r>
        <w:rPr>
          <w:rFonts w:ascii="Calibri" w:hAnsi="Calibri"/>
          <w:b w:val="0"/>
          <w:i w:val="0"/>
          <w:color w:val="334E68"/>
          <w:sz w:val="20"/>
        </w:rPr>
        <w:t xml:space="preserve">Where ST03/ST03N gives you aggregates, </w:t>
      </w:r>
      <w:r>
        <w:rPr>
          <w:rFonts w:ascii="Consolas" w:hAnsi="Consolas"/>
          <w:b w:val="0"/>
          <w:i w:val="0"/>
          <w:color w:val="123A63"/>
          <w:sz w:val="20"/>
          <w:shd w:val="clear" w:color="auto" w:fill="EEF2F7"/>
        </w:rPr>
        <w:t>STAD</w:t>
      </w:r>
      <w:r>
        <w:rPr>
          <w:rFonts w:ascii="Calibri" w:hAnsi="Calibri"/>
          <w:b w:val="0"/>
          <w:i w:val="0"/>
          <w:color w:val="334E68"/>
          <w:sz w:val="20"/>
        </w:rPr>
        <w:t xml:space="preserve"> gives you the individual statistical records behind them. Use it to answer “which specific step, for which user, at which time, and where did the time go?”</w:t>
      </w:r>
    </w:p>
    <w:p>
      <w:pPr>
        <w:spacing w:after="60" w:before="160"/>
        <w:keepNext/>
      </w:pPr>
      <w:r>
        <w:rPr>
          <w:rFonts w:ascii="Calibri" w:hAnsi="Calibri"/>
          <w:b/>
          <w:color w:val="5B7288"/>
          <w:sz w:val="15"/>
        </w:rPr>
        <w:t>STAD ANALYSIS TARGETS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506"/>
        <w:gridCol w:w="7132"/>
      </w:tblGrid>
      <w:tr>
        <w:trPr>
          <w:tblHeader/>
          <w:cantSplit/>
        </w:trPr>
        <w:tc>
          <w:tcPr>
            <w:tcW w:type="dxa" w:w="2506"/>
            <w:shd w:val="clear" w:color="auto" w:fill="0F2B4C"/>
          </w:tcPr>
          <w:p>
            <w:pPr>
              <w:spacing w:after="20" w:before="20"/>
            </w:pPr>
            <w:r/>
            <w:r>
              <w:rPr>
                <w:rFonts w:ascii="Calibri" w:hAnsi="Calibri"/>
                <w:b/>
                <w:color w:val="FFFFFF"/>
                <w:sz w:val="17"/>
              </w:rPr>
              <w:t>Analysis goal</w:t>
            </w:r>
          </w:p>
        </w:tc>
        <w:tc>
          <w:tcPr>
            <w:tcW w:type="dxa" w:w="7132"/>
            <w:shd w:val="clear" w:color="auto" w:fill="0F2B4C"/>
          </w:tcPr>
          <w:p>
            <w:pPr>
              <w:spacing w:after="20" w:before="20"/>
            </w:pPr>
            <w:r/>
            <w:r>
              <w:rPr>
                <w:rFonts w:ascii="Calibri" w:hAnsi="Calibri"/>
                <w:b/>
                <w:color w:val="FFFFFF"/>
                <w:sz w:val="17"/>
              </w:rPr>
              <w:t>What to look for in STAD</w:t>
            </w:r>
          </w:p>
        </w:tc>
      </w:tr>
      <w:tr>
        <w:trPr>
          <w:cantSplit/>
        </w:trPr>
        <w:tc>
          <w:tcPr>
            <w:tcW w:type="dxa" w:w="2506"/>
          </w:tcPr>
          <w:p>
            <w:pPr>
              <w:spacing w:after="20" w:before="20"/>
            </w:pPr>
            <w:r/>
            <w:r>
              <w:rPr>
                <w:rFonts w:ascii="Calibri" w:hAnsi="Calibri"/>
                <w:b/>
                <w:i w:val="0"/>
                <w:color w:val="334E68"/>
                <w:sz w:val="17"/>
              </w:rPr>
              <w:t>Slow transactions</w:t>
            </w:r>
          </w:p>
        </w:tc>
        <w:tc>
          <w:tcPr>
            <w:tcW w:type="dxa" w:w="7132"/>
          </w:tcPr>
          <w:p>
            <w:pPr>
              <w:spacing w:after="20" w:before="20"/>
            </w:pPr>
            <w:r/>
            <w:r>
              <w:rPr>
                <w:rFonts w:ascii="Calibri" w:hAnsi="Calibri"/>
                <w:b w:val="0"/>
                <w:i w:val="0"/>
                <w:color w:val="334E68"/>
                <w:sz w:val="17"/>
              </w:rPr>
              <w:t>Records with the highest response time, grouped by transaction code</w:t>
            </w:r>
          </w:p>
        </w:tc>
      </w:tr>
      <w:tr>
        <w:trPr>
          <w:cantSplit/>
        </w:trPr>
        <w:tc>
          <w:tcPr>
            <w:tcW w:type="dxa" w:w="2506"/>
            <w:shd w:val="clear" w:color="auto" w:fill="FAFBFD"/>
          </w:tcPr>
          <w:p>
            <w:pPr>
              <w:spacing w:after="20" w:before="20"/>
            </w:pPr>
            <w:r/>
            <w:r>
              <w:rPr>
                <w:rFonts w:ascii="Calibri" w:hAnsi="Calibri"/>
                <w:b/>
                <w:i w:val="0"/>
                <w:color w:val="334E68"/>
                <w:sz w:val="17"/>
              </w:rPr>
              <w:t>Long response times</w:t>
            </w:r>
          </w:p>
        </w:tc>
        <w:tc>
          <w:tcPr>
            <w:tcW w:type="dxa" w:w="7132"/>
            <w:shd w:val="clear" w:color="auto" w:fill="FAFBFD"/>
          </w:tcPr>
          <w:p>
            <w:pPr>
              <w:spacing w:after="20" w:before="20"/>
            </w:pPr>
            <w:r/>
            <w:r>
              <w:rPr>
                <w:rFonts w:ascii="Calibri" w:hAnsi="Calibri"/>
                <w:b w:val="0"/>
                <w:i w:val="0"/>
                <w:color w:val="334E68"/>
                <w:sz w:val="17"/>
              </w:rPr>
              <w:t>Distribution of response time — a few extreme records or a general shift</w:t>
            </w:r>
          </w:p>
        </w:tc>
      </w:tr>
      <w:tr>
        <w:trPr>
          <w:cantSplit/>
        </w:trPr>
        <w:tc>
          <w:tcPr>
            <w:tcW w:type="dxa" w:w="2506"/>
          </w:tcPr>
          <w:p>
            <w:pPr>
              <w:spacing w:after="20" w:before="20"/>
            </w:pPr>
            <w:r/>
            <w:r>
              <w:rPr>
                <w:rFonts w:ascii="Calibri" w:hAnsi="Calibri"/>
                <w:b/>
                <w:i w:val="0"/>
                <w:color w:val="334E68"/>
                <w:sz w:val="17"/>
              </w:rPr>
              <w:t>Database-intensive activity</w:t>
            </w:r>
          </w:p>
        </w:tc>
        <w:tc>
          <w:tcPr>
            <w:tcW w:type="dxa" w:w="7132"/>
          </w:tcPr>
          <w:p>
            <w:pPr>
              <w:spacing w:after="20" w:before="20"/>
            </w:pPr>
            <w:r/>
            <w:r>
              <w:rPr>
                <w:rFonts w:ascii="Calibri" w:hAnsi="Calibri"/>
                <w:b w:val="0"/>
                <w:i w:val="0"/>
                <w:color w:val="334E68"/>
                <w:sz w:val="17"/>
              </w:rPr>
              <w:t>High DB time relative to response time; number of DB requests per step; sequential reads</w:t>
            </w:r>
          </w:p>
        </w:tc>
      </w:tr>
      <w:tr>
        <w:trPr>
          <w:cantSplit/>
        </w:trPr>
        <w:tc>
          <w:tcPr>
            <w:tcW w:type="dxa" w:w="2506"/>
            <w:shd w:val="clear" w:color="auto" w:fill="FAFBFD"/>
          </w:tcPr>
          <w:p>
            <w:pPr>
              <w:spacing w:after="20" w:before="20"/>
            </w:pPr>
            <w:r/>
            <w:r>
              <w:rPr>
                <w:rFonts w:ascii="Calibri" w:hAnsi="Calibri"/>
                <w:b/>
                <w:i w:val="0"/>
                <w:color w:val="334E68"/>
                <w:sz w:val="17"/>
              </w:rPr>
              <w:t>CPU-intensive activity</w:t>
            </w:r>
          </w:p>
        </w:tc>
        <w:tc>
          <w:tcPr>
            <w:tcW w:type="dxa" w:w="7132"/>
            <w:shd w:val="clear" w:color="auto" w:fill="FAFBFD"/>
          </w:tcPr>
          <w:p>
            <w:pPr>
              <w:spacing w:after="20" w:before="20"/>
            </w:pPr>
            <w:r/>
            <w:r>
              <w:rPr>
                <w:rFonts w:ascii="Calibri" w:hAnsi="Calibri"/>
                <w:b w:val="0"/>
                <w:i w:val="0"/>
                <w:color w:val="334E68"/>
                <w:sz w:val="17"/>
              </w:rPr>
              <w:t>High CPU time relative to response time, often with low DB time</w:t>
            </w:r>
          </w:p>
        </w:tc>
      </w:tr>
      <w:tr>
        <w:trPr>
          <w:cantSplit/>
        </w:trPr>
        <w:tc>
          <w:tcPr>
            <w:tcW w:type="dxa" w:w="2506"/>
          </w:tcPr>
          <w:p>
            <w:pPr>
              <w:spacing w:after="20" w:before="20"/>
            </w:pPr>
            <w:r/>
            <w:r>
              <w:rPr>
                <w:rFonts w:ascii="Calibri" w:hAnsi="Calibri"/>
                <w:b/>
                <w:i w:val="0"/>
                <w:color w:val="334E68"/>
                <w:sz w:val="17"/>
              </w:rPr>
              <w:t>User-specific workload</w:t>
            </w:r>
          </w:p>
        </w:tc>
        <w:tc>
          <w:tcPr>
            <w:tcW w:type="dxa" w:w="7132"/>
          </w:tcPr>
          <w:p>
            <w:pPr>
              <w:spacing w:after="20" w:before="20"/>
            </w:pPr>
            <w:r/>
            <w:r>
              <w:rPr>
                <w:rFonts w:ascii="Calibri" w:hAnsi="Calibri"/>
                <w:b w:val="0"/>
                <w:i w:val="0"/>
                <w:color w:val="334E68"/>
                <w:sz w:val="17"/>
              </w:rPr>
              <w:t>Records by user — identifies a single heavy session, a broken client, or a report run ad hoc</w:t>
            </w:r>
          </w:p>
        </w:tc>
      </w:tr>
      <w:tr>
        <w:trPr>
          <w:cantSplit/>
        </w:trPr>
        <w:tc>
          <w:tcPr>
            <w:tcW w:type="dxa" w:w="2506"/>
            <w:shd w:val="clear" w:color="auto" w:fill="FAFBFD"/>
          </w:tcPr>
          <w:p>
            <w:pPr>
              <w:spacing w:after="20" w:before="20"/>
            </w:pPr>
            <w:r/>
            <w:r>
              <w:rPr>
                <w:rFonts w:ascii="Calibri" w:hAnsi="Calibri"/>
                <w:b/>
                <w:i w:val="0"/>
                <w:color w:val="334E68"/>
                <w:sz w:val="17"/>
              </w:rPr>
              <w:t>Performance bottlenecks</w:t>
            </w:r>
          </w:p>
        </w:tc>
        <w:tc>
          <w:tcPr>
            <w:tcW w:type="dxa" w:w="7132"/>
            <w:shd w:val="clear" w:color="auto" w:fill="FAFBFD"/>
          </w:tcPr>
          <w:p>
            <w:pPr>
              <w:spacing w:after="20" w:before="20"/>
            </w:pPr>
            <w:r/>
            <w:r>
              <w:rPr>
                <w:rFonts w:ascii="Calibri" w:hAnsi="Calibri"/>
                <w:b w:val="0"/>
                <w:i w:val="0"/>
                <w:color w:val="334E68"/>
                <w:sz w:val="17"/>
              </w:rPr>
              <w:t>Roll/wait time, enqueue time, RFC time, and spool time as separate components</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THRESHOLD CAUTION</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 xml:space="preserve">The source training referenced approximately </w:t>
      </w:r>
      <w:r>
        <w:rPr>
          <w:rFonts w:ascii="Calibri" w:hAnsi="Calibri"/>
          <w:b/>
          <w:i w:val="0"/>
          <w:color w:val="334E68"/>
          <w:sz w:val="18"/>
        </w:rPr>
        <w:t>1200 ms</w:t>
      </w:r>
      <w:r>
        <w:rPr>
          <w:rFonts w:ascii="Calibri" w:hAnsi="Calibri"/>
          <w:b w:val="0"/>
          <w:i w:val="0"/>
          <w:color w:val="334E68"/>
          <w:sz w:val="18"/>
        </w:rPr>
        <w:t xml:space="preserve"> response time and </w:t>
      </w:r>
      <w:r>
        <w:rPr>
          <w:rFonts w:ascii="Calibri" w:hAnsi="Calibri"/>
          <w:b/>
          <w:i w:val="0"/>
          <w:color w:val="334E68"/>
          <w:sz w:val="18"/>
        </w:rPr>
        <w:t>40%</w:t>
      </w:r>
      <w:r>
        <w:rPr>
          <w:rFonts w:ascii="Calibri" w:hAnsi="Calibri"/>
          <w:b w:val="0"/>
          <w:i w:val="0"/>
          <w:color w:val="334E68"/>
          <w:sz w:val="18"/>
        </w:rPr>
        <w:t xml:space="preserve"> average database request time as discussion/reference values. These are teaching aids, not standards. Validate them against the applicable SAP and client baseline — and against the measured source performance for the same system — before using them as production alerting thresholds. </w:t>
      </w:r>
      <w:r>
        <w:rPr>
          <w:rFonts w:ascii="Calibri" w:hAnsi="Calibri"/>
          <w:b w:val="0"/>
          <w:i w:val="0"/>
          <w:color w:val="334E68"/>
          <w:sz w:val="18"/>
        </w:rPr>
        <w:t>Validate</w:t>
      </w:r>
    </w:p>
    <w:p>
      <w:pPr>
        <w:pStyle w:val="Heading2"/>
        <w:pBdr>
          <w:bottom w:val="single" w:sz="6" w:space="3" w:color="E8EDF3"/>
        </w:pBdr>
      </w:pPr>
      <w:r>
        <w:rPr>
          <w:rFonts w:ascii="Calibri" w:hAnsi="Calibri"/>
          <w:b/>
          <w:color w:val="0F2B4C"/>
          <w:sz w:val="26"/>
        </w:rPr>
        <w:t>8.5  Triage path</w:t>
      </w:r>
    </w:p>
    <w:p>
      <w:pPr>
        <w:spacing w:after="40"/>
        <w:ind w:left="578" w:hanging="227"/>
      </w:pPr>
      <w:r>
        <w:rPr>
          <w:rFonts w:ascii="Calibri" w:hAnsi="Calibri"/>
          <w:b/>
          <w:color w:val="0F2B4C"/>
          <w:sz w:val="19"/>
        </w:rPr>
        <w:t xml:space="preserve">1.  </w:t>
      </w:r>
      <w:r>
        <w:rPr>
          <w:rFonts w:ascii="Calibri" w:hAnsi="Calibri"/>
          <w:b w:val="0"/>
          <w:i w:val="0"/>
          <w:color w:val="334E68"/>
          <w:sz w:val="19"/>
        </w:rPr>
        <w:t>Reproduce or evidence the symptom: which transaction, which user, which time window, how often.</w:t>
      </w:r>
    </w:p>
    <w:p>
      <w:pPr>
        <w:spacing w:after="40"/>
        <w:ind w:left="578" w:hanging="227"/>
      </w:pPr>
      <w:r>
        <w:rPr>
          <w:rFonts w:ascii="Calibri" w:hAnsi="Calibri"/>
          <w:b/>
          <w:color w:val="0F2B4C"/>
          <w:sz w:val="19"/>
        </w:rPr>
        <w:t xml:space="preserve">2.  </w:t>
      </w:r>
      <w:r>
        <w:rPr>
          <w:rFonts w:ascii="Calibri" w:hAnsi="Calibri"/>
          <w:b w:val="0"/>
          <w:i w:val="0"/>
          <w:color w:val="334E68"/>
          <w:sz w:val="19"/>
        </w:rPr>
        <w:t xml:space="preserve">Check the aggregate view in </w:t>
      </w:r>
      <w:r>
        <w:rPr>
          <w:rFonts w:ascii="Consolas" w:hAnsi="Consolas"/>
          <w:b w:val="0"/>
          <w:i w:val="0"/>
          <w:color w:val="123A63"/>
          <w:sz w:val="19"/>
          <w:shd w:val="clear" w:color="auto" w:fill="EEF2F7"/>
        </w:rPr>
        <w:t>ST03</w:t>
      </w:r>
      <w:r>
        <w:rPr>
          <w:rFonts w:ascii="Calibri" w:hAnsi="Calibri"/>
          <w:b w:val="0"/>
          <w:i w:val="0"/>
          <w:color w:val="334E68"/>
          <w:sz w:val="19"/>
        </w:rPr>
        <w:t>/</w:t>
      </w:r>
      <w:r>
        <w:rPr>
          <w:rFonts w:ascii="Consolas" w:hAnsi="Consolas"/>
          <w:b w:val="0"/>
          <w:i w:val="0"/>
          <w:color w:val="123A63"/>
          <w:sz w:val="19"/>
          <w:shd w:val="clear" w:color="auto" w:fill="EEF2F7"/>
        </w:rPr>
        <w:t>ST03N</w:t>
      </w:r>
      <w:r>
        <w:rPr>
          <w:rFonts w:ascii="Calibri" w:hAnsi="Calibri"/>
          <w:b w:val="0"/>
          <w:i w:val="0"/>
          <w:color w:val="334E68"/>
          <w:sz w:val="19"/>
        </w:rPr>
        <w:t xml:space="preserve"> and compare it with the pre-migration baseline for the same period type.</w:t>
      </w:r>
    </w:p>
    <w:p>
      <w:pPr>
        <w:spacing w:after="40"/>
        <w:ind w:left="578" w:hanging="227"/>
      </w:pPr>
      <w:r>
        <w:rPr>
          <w:rFonts w:ascii="Calibri" w:hAnsi="Calibri"/>
          <w:b/>
          <w:color w:val="0F2B4C"/>
          <w:sz w:val="19"/>
        </w:rPr>
        <w:t xml:space="preserve">3.  </w:t>
      </w:r>
      <w:r>
        <w:rPr>
          <w:rFonts w:ascii="Calibri" w:hAnsi="Calibri"/>
          <w:b w:val="0"/>
          <w:i w:val="0"/>
          <w:color w:val="334E68"/>
          <w:sz w:val="19"/>
        </w:rPr>
        <w:t>Split the time: database, CPU, wait, roll, RFC. This decides which team owns the investigation.</w:t>
      </w:r>
    </w:p>
    <w:p>
      <w:pPr>
        <w:spacing w:after="40"/>
        <w:ind w:left="578" w:hanging="227"/>
      </w:pPr>
      <w:r>
        <w:rPr>
          <w:rFonts w:ascii="Calibri" w:hAnsi="Calibri"/>
          <w:b/>
          <w:color w:val="0F2B4C"/>
          <w:sz w:val="19"/>
        </w:rPr>
        <w:t xml:space="preserve">4.  </w:t>
      </w:r>
      <w:r>
        <w:rPr>
          <w:rFonts w:ascii="Calibri" w:hAnsi="Calibri"/>
          <w:b w:val="0"/>
          <w:i w:val="0"/>
          <w:color w:val="334E68"/>
          <w:sz w:val="19"/>
        </w:rPr>
        <w:t xml:space="preserve">Drill into </w:t>
      </w:r>
      <w:r>
        <w:rPr>
          <w:rFonts w:ascii="Consolas" w:hAnsi="Consolas"/>
          <w:b w:val="0"/>
          <w:i w:val="0"/>
          <w:color w:val="123A63"/>
          <w:sz w:val="19"/>
          <w:shd w:val="clear" w:color="auto" w:fill="EEF2F7"/>
        </w:rPr>
        <w:t>STAD</w:t>
      </w:r>
      <w:r>
        <w:rPr>
          <w:rFonts w:ascii="Calibri" w:hAnsi="Calibri"/>
          <w:b w:val="0"/>
          <w:i w:val="0"/>
          <w:color w:val="334E68"/>
          <w:sz w:val="19"/>
        </w:rPr>
        <w:t xml:space="preserve"> for the specific slow records.</w:t>
      </w:r>
    </w:p>
    <w:p>
      <w:pPr>
        <w:spacing w:after="40"/>
        <w:ind w:left="578" w:hanging="227"/>
      </w:pPr>
      <w:r>
        <w:rPr>
          <w:rFonts w:ascii="Calibri" w:hAnsi="Calibri"/>
          <w:b/>
          <w:color w:val="0F2B4C"/>
          <w:sz w:val="19"/>
        </w:rPr>
        <w:t xml:space="preserve">5.  </w:t>
      </w:r>
      <w:r>
        <w:rPr>
          <w:rFonts w:ascii="Calibri" w:hAnsi="Calibri"/>
          <w:b w:val="0"/>
          <w:i w:val="0"/>
          <w:color w:val="334E68"/>
          <w:sz w:val="19"/>
        </w:rPr>
        <w:t xml:space="preserve">If memory is implicated, check </w:t>
      </w:r>
      <w:r>
        <w:rPr>
          <w:rFonts w:ascii="Consolas" w:hAnsi="Consolas"/>
          <w:b w:val="0"/>
          <w:i w:val="0"/>
          <w:color w:val="123A63"/>
          <w:sz w:val="19"/>
          <w:shd w:val="clear" w:color="auto" w:fill="EEF2F7"/>
        </w:rPr>
        <w:t>ST02</w:t>
      </w:r>
      <w:r>
        <w:rPr>
          <w:rFonts w:ascii="Calibri" w:hAnsi="Calibri"/>
          <w:b w:val="0"/>
          <w:i w:val="0"/>
          <w:color w:val="334E68"/>
          <w:sz w:val="19"/>
        </w:rPr>
        <w:t>: EM, heap/private, roll, paging, buffer hit ratios.</w:t>
      </w:r>
    </w:p>
    <w:p>
      <w:pPr>
        <w:spacing w:after="40"/>
        <w:ind w:left="578" w:hanging="227"/>
      </w:pPr>
      <w:r>
        <w:rPr>
          <w:rFonts w:ascii="Calibri" w:hAnsi="Calibri"/>
          <w:b/>
          <w:color w:val="0F2B4C"/>
          <w:sz w:val="19"/>
        </w:rPr>
        <w:t xml:space="preserve">6.  </w:t>
      </w:r>
      <w:r>
        <w:rPr>
          <w:rFonts w:ascii="Calibri" w:hAnsi="Calibri"/>
          <w:b w:val="0"/>
          <w:i w:val="0"/>
          <w:color w:val="334E68"/>
          <w:sz w:val="19"/>
        </w:rPr>
        <w:t>Check the non-SAP layer when the split points there: database statistics and SQL, network latency to the DB, storage throughput, host CPU and memory pressure.</w:t>
      </w:r>
    </w:p>
    <w:p>
      <w:pPr>
        <w:spacing w:after="40"/>
        <w:ind w:left="578" w:hanging="227"/>
      </w:pPr>
      <w:r>
        <w:rPr>
          <w:rFonts w:ascii="Calibri" w:hAnsi="Calibri"/>
          <w:b/>
          <w:color w:val="0F2B4C"/>
          <w:sz w:val="19"/>
        </w:rPr>
        <w:t xml:space="preserve">7.  </w:t>
      </w:r>
      <w:r>
        <w:rPr>
          <w:rFonts w:ascii="Calibri" w:hAnsi="Calibri"/>
          <w:b w:val="0"/>
          <w:i w:val="0"/>
          <w:color w:val="334E68"/>
          <w:sz w:val="19"/>
        </w:rPr>
        <w:t>Identify the root cause and agree the fix with the owning team (DBA, ABAP, Linux, network).</w:t>
      </w:r>
    </w:p>
    <w:p>
      <w:pPr>
        <w:spacing w:after="40"/>
        <w:ind w:left="578" w:hanging="227"/>
      </w:pPr>
      <w:r>
        <w:rPr>
          <w:rFonts w:ascii="Calibri" w:hAnsi="Calibri"/>
          <w:b/>
          <w:color w:val="0F2B4C"/>
          <w:sz w:val="19"/>
        </w:rPr>
        <w:t xml:space="preserve">8.  </w:t>
      </w:r>
      <w:r>
        <w:rPr>
          <w:rFonts w:ascii="Calibri" w:hAnsi="Calibri"/>
          <w:b w:val="0"/>
          <w:i w:val="0"/>
          <w:color w:val="334E68"/>
          <w:sz w:val="19"/>
        </w:rPr>
        <w:t>Apply the fix through the approved change route, then re-measure against the baseline.</w:t>
      </w:r>
    </w:p>
    <w:p>
      <w:pPr>
        <w:spacing w:after="40"/>
        <w:ind w:left="578" w:hanging="227"/>
      </w:pPr>
      <w:r>
        <w:rPr>
          <w:rFonts w:ascii="Calibri" w:hAnsi="Calibri"/>
          <w:b/>
          <w:color w:val="0F2B4C"/>
          <w:sz w:val="19"/>
        </w:rPr>
        <w:t xml:space="preserve">9.  </w:t>
      </w:r>
      <w:r>
        <w:rPr>
          <w:rFonts w:ascii="Calibri" w:hAnsi="Calibri"/>
          <w:b w:val="0"/>
          <w:i w:val="0"/>
          <w:color w:val="334E68"/>
          <w:sz w:val="19"/>
        </w:rPr>
        <w:t>Record before/after evidence and close the item.</w:t>
      </w:r>
    </w:p>
    <w:p>
      <w:pPr>
        <w:spacing w:after="60" w:before="160"/>
        <w:keepNext/>
      </w:pPr>
      <w:r>
        <w:rPr>
          <w:rFonts w:ascii="Calibri" w:hAnsi="Calibri"/>
          <w:b/>
          <w:color w:val="5B7288"/>
          <w:sz w:val="15"/>
        </w:rPr>
        <w:t>FROM SYMPTOM TO OWNER</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5204"/>
        <w:gridCol w:w="2313"/>
      </w:tblGrid>
      <w:tr>
        <w:trPr>
          <w:tblHeader/>
          <w:cantSplit/>
        </w:trPr>
        <w:tc>
          <w:tcPr>
            <w:tcW w:type="dxa" w:w="2120"/>
            <w:shd w:val="clear" w:color="auto" w:fill="0F2B4C"/>
          </w:tcPr>
          <w:p>
            <w:pPr>
              <w:spacing w:after="20" w:before="20"/>
            </w:pPr>
            <w:r/>
            <w:r>
              <w:rPr>
                <w:rFonts w:ascii="Calibri" w:hAnsi="Calibri"/>
                <w:b/>
                <w:color w:val="FFFFFF"/>
                <w:sz w:val="17"/>
              </w:rPr>
              <w:t>Time component dominates</w:t>
            </w:r>
          </w:p>
        </w:tc>
        <w:tc>
          <w:tcPr>
            <w:tcW w:type="dxa" w:w="5204"/>
            <w:shd w:val="clear" w:color="auto" w:fill="0F2B4C"/>
          </w:tcPr>
          <w:p>
            <w:pPr>
              <w:spacing w:after="20" w:before="20"/>
            </w:pPr>
            <w:r/>
            <w:r>
              <w:rPr>
                <w:rFonts w:ascii="Calibri" w:hAnsi="Calibri"/>
                <w:b/>
                <w:color w:val="FFFFFF"/>
                <w:sz w:val="17"/>
              </w:rPr>
              <w:t>Look at</w:t>
            </w:r>
          </w:p>
        </w:tc>
        <w:tc>
          <w:tcPr>
            <w:tcW w:type="dxa" w:w="2313"/>
            <w:shd w:val="clear" w:color="auto" w:fill="0F2B4C"/>
          </w:tcPr>
          <w:p>
            <w:pPr>
              <w:spacing w:after="20" w:before="20"/>
            </w:pPr>
            <w:r/>
            <w:r>
              <w:rPr>
                <w:rFonts w:ascii="Calibri" w:hAnsi="Calibri"/>
                <w:b/>
                <w:color w:val="FFFFFF"/>
                <w:sz w:val="17"/>
              </w:rPr>
              <w:t>Usual owner</w:t>
            </w:r>
          </w:p>
        </w:tc>
      </w:tr>
      <w:tr>
        <w:trPr>
          <w:cantSplit/>
        </w:trPr>
        <w:tc>
          <w:tcPr>
            <w:tcW w:type="dxa" w:w="2120"/>
          </w:tcPr>
          <w:p>
            <w:pPr>
              <w:spacing w:after="20" w:before="20"/>
            </w:pPr>
            <w:r/>
            <w:r>
              <w:rPr>
                <w:rFonts w:ascii="Calibri" w:hAnsi="Calibri"/>
                <w:b/>
                <w:i w:val="0"/>
                <w:color w:val="334E68"/>
                <w:sz w:val="17"/>
              </w:rPr>
              <w:t>Database time</w:t>
            </w:r>
          </w:p>
        </w:tc>
        <w:tc>
          <w:tcPr>
            <w:tcW w:type="dxa" w:w="5204"/>
          </w:tcPr>
          <w:p>
            <w:pPr>
              <w:spacing w:after="20" w:before="20"/>
            </w:pPr>
            <w:r/>
            <w:r>
              <w:rPr>
                <w:rFonts w:ascii="Calibri" w:hAnsi="Calibri"/>
                <w:b w:val="0"/>
                <w:i w:val="0"/>
                <w:color w:val="334E68"/>
                <w:sz w:val="17"/>
              </w:rPr>
              <w:t>SQL and access path, missing or stale statistics/indexes, DB parameters, network latency to the DB, storage throughput</w:t>
            </w:r>
          </w:p>
        </w:tc>
        <w:tc>
          <w:tcPr>
            <w:tcW w:type="dxa" w:w="2313"/>
          </w:tcPr>
          <w:p>
            <w:pPr>
              <w:spacing w:after="20" w:before="20"/>
            </w:pPr>
            <w:r/>
            <w:r>
              <w:rPr>
                <w:rFonts w:ascii="Calibri" w:hAnsi="Calibri"/>
                <w:b w:val="0"/>
                <w:i w:val="0"/>
                <w:color w:val="334E68"/>
                <w:sz w:val="17"/>
              </w:rPr>
              <w:t>DBA (with ABAP for access paths)</w:t>
            </w:r>
          </w:p>
        </w:tc>
      </w:tr>
      <w:tr>
        <w:trPr>
          <w:cantSplit/>
        </w:trPr>
        <w:tc>
          <w:tcPr>
            <w:tcW w:type="dxa" w:w="2120"/>
            <w:shd w:val="clear" w:color="auto" w:fill="FAFBFD"/>
          </w:tcPr>
          <w:p>
            <w:pPr>
              <w:spacing w:after="20" w:before="20"/>
            </w:pPr>
            <w:r/>
            <w:r>
              <w:rPr>
                <w:rFonts w:ascii="Calibri" w:hAnsi="Calibri"/>
                <w:b/>
                <w:i w:val="0"/>
                <w:color w:val="334E68"/>
                <w:sz w:val="17"/>
              </w:rPr>
              <w:t>CPU time</w:t>
            </w:r>
          </w:p>
        </w:tc>
        <w:tc>
          <w:tcPr>
            <w:tcW w:type="dxa" w:w="5204"/>
            <w:shd w:val="clear" w:color="auto" w:fill="FAFBFD"/>
          </w:tcPr>
          <w:p>
            <w:pPr>
              <w:spacing w:after="20" w:before="20"/>
            </w:pPr>
            <w:r/>
            <w:r>
              <w:rPr>
                <w:rFonts w:ascii="Calibri" w:hAnsi="Calibri"/>
                <w:b w:val="0"/>
                <w:i w:val="0"/>
                <w:color w:val="334E68"/>
                <w:sz w:val="17"/>
              </w:rPr>
              <w:t>Custom code, volume of data processed, loop and internal-table behaviour, under-sized instance type</w:t>
            </w:r>
          </w:p>
        </w:tc>
        <w:tc>
          <w:tcPr>
            <w:tcW w:type="dxa" w:w="2313"/>
            <w:shd w:val="clear" w:color="auto" w:fill="FAFBFD"/>
          </w:tcPr>
          <w:p>
            <w:pPr>
              <w:spacing w:after="20" w:before="20"/>
            </w:pPr>
            <w:r/>
            <w:r>
              <w:rPr>
                <w:rFonts w:ascii="Calibri" w:hAnsi="Calibri"/>
                <w:b w:val="0"/>
                <w:i w:val="0"/>
                <w:color w:val="334E68"/>
                <w:sz w:val="17"/>
              </w:rPr>
              <w:t>ABAP / application team</w:t>
            </w:r>
          </w:p>
        </w:tc>
      </w:tr>
      <w:tr>
        <w:trPr>
          <w:cantSplit/>
        </w:trPr>
        <w:tc>
          <w:tcPr>
            <w:tcW w:type="dxa" w:w="2120"/>
          </w:tcPr>
          <w:p>
            <w:pPr>
              <w:spacing w:after="20" w:before="20"/>
            </w:pPr>
            <w:r/>
            <w:r>
              <w:rPr>
                <w:rFonts w:ascii="Calibri" w:hAnsi="Calibri"/>
                <w:b/>
                <w:i w:val="0"/>
                <w:color w:val="334E68"/>
                <w:sz w:val="17"/>
              </w:rPr>
              <w:t>Wait time</w:t>
            </w:r>
          </w:p>
        </w:tc>
        <w:tc>
          <w:tcPr>
            <w:tcW w:type="dxa" w:w="5204"/>
          </w:tcPr>
          <w:p>
            <w:pPr>
              <w:spacing w:after="20" w:before="20"/>
            </w:pPr>
            <w:r/>
            <w:r>
              <w:rPr>
                <w:rFonts w:ascii="Calibri" w:hAnsi="Calibri"/>
                <w:b w:val="0"/>
                <w:i w:val="0"/>
                <w:color w:val="334E68"/>
                <w:sz w:val="17"/>
              </w:rPr>
              <w:t>Roll and paging behaviour, EM/heap configuration, enqueue contention, slow RFC destinations</w:t>
            </w:r>
          </w:p>
        </w:tc>
        <w:tc>
          <w:tcPr>
            <w:tcW w:type="dxa" w:w="2313"/>
          </w:tcPr>
          <w:p>
            <w:pPr>
              <w:spacing w:after="20" w:before="20"/>
            </w:pPr>
            <w:r/>
            <w:r>
              <w:rPr>
                <w:rFonts w:ascii="Calibri" w:hAnsi="Calibri"/>
                <w:b w:val="0"/>
                <w:i w:val="0"/>
                <w:color w:val="334E68"/>
                <w:sz w:val="17"/>
              </w:rPr>
              <w:t>Basis (with the interface owner)</w:t>
            </w:r>
          </w:p>
        </w:tc>
      </w:tr>
      <w:tr>
        <w:trPr>
          <w:cantSplit/>
        </w:trPr>
        <w:tc>
          <w:tcPr>
            <w:tcW w:type="dxa" w:w="2120"/>
            <w:shd w:val="clear" w:color="auto" w:fill="FAFBFD"/>
          </w:tcPr>
          <w:p>
            <w:pPr>
              <w:spacing w:after="20" w:before="20"/>
            </w:pPr>
            <w:r/>
            <w:r>
              <w:rPr>
                <w:rFonts w:ascii="Calibri" w:hAnsi="Calibri"/>
                <w:b/>
                <w:i w:val="0"/>
                <w:color w:val="334E68"/>
                <w:sz w:val="17"/>
              </w:rPr>
              <w:t>Roll time</w:t>
            </w:r>
          </w:p>
        </w:tc>
        <w:tc>
          <w:tcPr>
            <w:tcW w:type="dxa" w:w="5204"/>
            <w:shd w:val="clear" w:color="auto" w:fill="FAFBFD"/>
          </w:tcPr>
          <w:p>
            <w:pPr>
              <w:spacing w:after="20" w:before="20"/>
            </w:pPr>
            <w:r/>
            <w:r>
              <w:rPr>
                <w:rFonts w:ascii="Calibri" w:hAnsi="Calibri"/>
                <w:b w:val="0"/>
                <w:i w:val="0"/>
                <w:color w:val="334E68"/>
                <w:sz w:val="17"/>
              </w:rPr>
              <w:t>Roll area sizing, number of dialog steps, context size</w:t>
            </w:r>
          </w:p>
        </w:tc>
        <w:tc>
          <w:tcPr>
            <w:tcW w:type="dxa" w:w="2313"/>
            <w:shd w:val="clear" w:color="auto" w:fill="FAFBFD"/>
          </w:tcPr>
          <w:p>
            <w:pPr>
              <w:spacing w:after="20" w:before="20"/>
            </w:pPr>
            <w:r/>
            <w:r>
              <w:rPr>
                <w:rFonts w:ascii="Calibri" w:hAnsi="Calibri"/>
                <w:b w:val="0"/>
                <w:i w:val="0"/>
                <w:color w:val="334E68"/>
                <w:sz w:val="17"/>
              </w:rPr>
              <w:t>Basis</w:t>
            </w:r>
          </w:p>
        </w:tc>
      </w:tr>
      <w:tr>
        <w:trPr>
          <w:cantSplit/>
        </w:trPr>
        <w:tc>
          <w:tcPr>
            <w:tcW w:type="dxa" w:w="2120"/>
          </w:tcPr>
          <w:p>
            <w:pPr>
              <w:spacing w:after="20" w:before="20"/>
            </w:pPr>
            <w:r/>
            <w:r>
              <w:rPr>
                <w:rFonts w:ascii="Calibri" w:hAnsi="Calibri"/>
                <w:b/>
                <w:i w:val="0"/>
                <w:color w:val="334E68"/>
                <w:sz w:val="17"/>
              </w:rPr>
              <w:t>RFC / external time</w:t>
            </w:r>
          </w:p>
        </w:tc>
        <w:tc>
          <w:tcPr>
            <w:tcW w:type="dxa" w:w="5204"/>
          </w:tcPr>
          <w:p>
            <w:pPr>
              <w:spacing w:after="20" w:before="20"/>
            </w:pPr>
            <w:r/>
            <w:r>
              <w:rPr>
                <w:rFonts w:ascii="Calibri" w:hAnsi="Calibri"/>
                <w:b w:val="0"/>
                <w:i w:val="0"/>
                <w:color w:val="334E68"/>
                <w:sz w:val="17"/>
              </w:rPr>
              <w:t>Destination response, middleware, partner system, network path</w:t>
            </w:r>
          </w:p>
        </w:tc>
        <w:tc>
          <w:tcPr>
            <w:tcW w:type="dxa" w:w="2313"/>
          </w:tcPr>
          <w:p>
            <w:pPr>
              <w:spacing w:after="20" w:before="20"/>
            </w:pPr>
            <w:r/>
            <w:r>
              <w:rPr>
                <w:rFonts w:ascii="Calibri" w:hAnsi="Calibri"/>
                <w:b w:val="0"/>
                <w:i w:val="0"/>
                <w:color w:val="334E68"/>
                <w:sz w:val="17"/>
              </w:rPr>
              <w:t>Interface owner + network</w:t>
            </w:r>
          </w:p>
        </w:tc>
      </w:tr>
      <w:tr>
        <w:trPr>
          <w:cantSplit/>
        </w:trPr>
        <w:tc>
          <w:tcPr>
            <w:tcW w:type="dxa" w:w="2120"/>
            <w:shd w:val="clear" w:color="auto" w:fill="FAFBFD"/>
          </w:tcPr>
          <w:p>
            <w:pPr>
              <w:spacing w:after="20" w:before="20"/>
            </w:pPr>
            <w:r/>
            <w:r>
              <w:rPr>
                <w:rFonts w:ascii="Calibri" w:hAnsi="Calibri"/>
                <w:b/>
                <w:i w:val="0"/>
                <w:color w:val="334E68"/>
                <w:sz w:val="17"/>
              </w:rPr>
              <w:t>Spool time</w:t>
            </w:r>
          </w:p>
        </w:tc>
        <w:tc>
          <w:tcPr>
            <w:tcW w:type="dxa" w:w="5204"/>
            <w:shd w:val="clear" w:color="auto" w:fill="FAFBFD"/>
          </w:tcPr>
          <w:p>
            <w:pPr>
              <w:spacing w:after="20" w:before="20"/>
            </w:pPr>
            <w:r/>
            <w:r>
              <w:rPr>
                <w:rFonts w:ascii="Calibri" w:hAnsi="Calibri"/>
                <w:b w:val="0"/>
                <w:i w:val="0"/>
                <w:color w:val="334E68"/>
                <w:sz w:val="17"/>
              </w:rPr>
              <w:t>Spool server, device type, output volume, printer availability</w:t>
            </w:r>
          </w:p>
        </w:tc>
        <w:tc>
          <w:tcPr>
            <w:tcW w:type="dxa" w:w="2313"/>
            <w:shd w:val="clear" w:color="auto" w:fill="FAFBFD"/>
          </w:tcPr>
          <w:p>
            <w:pPr>
              <w:spacing w:after="20" w:before="20"/>
            </w:pPr>
            <w:r/>
            <w:r>
              <w:rPr>
                <w:rFonts w:ascii="Calibri" w:hAnsi="Calibri"/>
                <w:b w:val="0"/>
                <w:i w:val="0"/>
                <w:color w:val="334E68"/>
                <w:sz w:val="17"/>
              </w:rPr>
              <w:t>Basis</w:t>
            </w:r>
          </w:p>
        </w:tc>
      </w:tr>
    </w:tbl>
    <w:p>
      <w:pPr>
        <w:spacing w:after="40"/>
      </w:pPr>
    </w:p>
    <w:p>
      <w:pPr>
        <w:pStyle w:val="Heading2"/>
        <w:pBdr>
          <w:bottom w:val="single" w:sz="6" w:space="3" w:color="E8EDF3"/>
        </w:pBdr>
      </w:pPr>
      <w:r>
        <w:rPr>
          <w:rFonts w:ascii="Calibri" w:hAnsi="Calibri"/>
          <w:b/>
          <w:color w:val="0F2B4C"/>
          <w:sz w:val="26"/>
        </w:rPr>
        <w:t>8.6  Module 5 readiness checklist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ST02 captured on source and target: EM, heap/private, roll, paging</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Buffer utilisation and hit ratio recorded for each buffer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ST03/ST03N daily, weekly and monthly views captured on source and target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Response, DB, CPU and wait times compared with the baseline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STAD samples captured for the slowest transactions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Top transactions by response time and total load listed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Bottleneck classified by dominant time component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Root cause identified with the owning team (not a parameter guess)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Any RZ11 runtime change mirrored in RZ10 or formally withdrawn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Profile parameter sets compared between source and target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Reference thresholds validated against the client baseline before alerting use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Before/after evidence attached to the change record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br w:type="page"/>
      </w:r>
    </w:p>
    <w:p>
      <w:pPr>
        <w:spacing w:after="20"/>
      </w:pPr>
      <w:r>
        <w:rPr>
          <w:rFonts w:ascii="Calibri" w:hAnsi="Calibri"/>
          <w:b/>
          <w:color w:val="1B4F86"/>
          <w:sz w:val="16"/>
        </w:rPr>
        <w:t>MODULE 6 · SECTION 9</w:t>
      </w:r>
    </w:p>
    <w:p>
      <w:pPr>
        <w:pStyle w:val="Heading1"/>
        <w:pBdr>
          <w:bottom w:val="single" w:sz="12" w:space="5" w:color="1B4F86"/>
        </w:pBdr>
        <w:spacing w:after="160"/>
      </w:pPr>
      <w:r>
        <w:rPr>
          <w:rFonts w:ascii="Calibri Light" w:hAnsi="Calibri Light"/>
          <w:b/>
          <w:color w:val="0F2B4C"/>
          <w:sz w:val="38"/>
        </w:rPr>
        <w:t>9  Module 6 — Oracle database migration and switchover</w:t>
      </w:r>
    </w:p>
    <w:p>
      <w:pPr>
        <w:spacing w:after="200"/>
      </w:pPr>
      <w:r>
        <w:rPr>
          <w:rFonts w:ascii="Calibri" w:hAnsi="Calibri"/>
          <w:i/>
          <w:color w:val="5B7288"/>
          <w:sz w:val="21"/>
        </w:rPr>
        <w:t>The Oracle scenario covered in the training moves the database by building a standby in AWS, synchronising it with Data Guard, then performing a planned switchover during the cutover window.</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6360250"/>
            <wp:docPr id="6" name="Picture 6"/>
            <wp:cNvGraphicFramePr>
              <a:graphicFrameLocks noChangeAspect="1"/>
            </wp:cNvGraphicFramePr>
            <a:graphic>
              <a:graphicData uri="http://schemas.openxmlformats.org/drawingml/2006/picture">
                <pic:pic>
                  <pic:nvPicPr>
                    <pic:cNvPr id="0" name="d5-oracle-dataguard.png"/>
                    <pic:cNvPicPr/>
                  </pic:nvPicPr>
                  <pic:blipFill>
                    <a:blip r:embed="rId16"/>
                    <a:stretch>
                      <a:fillRect/>
                    </a:stretch>
                  </pic:blipFill>
                  <pic:spPr>
                    <a:xfrm>
                      <a:off x="0" y="0"/>
                      <a:ext cx="8892000" cy="6360250"/>
                    </a:xfrm>
                    <a:prstGeom prst="rect"/>
                  </pic:spPr>
                </pic:pic>
              </a:graphicData>
            </a:graphic>
          </wp:inline>
        </w:drawing>
      </w:r>
    </w:p>
    <w:p>
      <w:pPr>
        <w:spacing w:after="240"/>
      </w:pPr>
      <w:r>
        <w:rPr>
          <w:rFonts w:ascii="Calibri" w:hAnsi="Calibri"/>
          <w:i/>
          <w:color w:val="5B7288"/>
          <w:sz w:val="17"/>
        </w:rPr>
        <w:t>Figure 5. Data Guard switchover sequence. Redo flows from the source primary to the target standby throughout the project; SCN values are compared to prove synchronisation; a snapshot creates the rollback point; the roles are swapped only after evidence and approval; and the new primary is validated with DBVERIFY, RMAN and the OEM agent before it is accepted.</w:t>
      </w: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9.1  Oracle Data Guard in the migration scenario</w:t>
      </w:r>
    </w:p>
    <w:p>
      <w:pPr>
        <w:spacing w:after="40"/>
        <w:ind w:left="351" w:hanging="227"/>
      </w:pPr>
      <w:r>
        <w:rPr>
          <w:rFonts w:ascii="Calibri" w:hAnsi="Calibri"/>
          <w:b/>
          <w:color w:val="1B4F86"/>
          <w:sz w:val="19"/>
        </w:rPr>
        <w:t xml:space="preserve">▪  </w:t>
      </w:r>
      <w:r>
        <w:rPr>
          <w:rFonts w:ascii="Calibri" w:hAnsi="Calibri"/>
          <w:b w:val="0"/>
          <w:i w:val="0"/>
          <w:color w:val="334E68"/>
          <w:sz w:val="19"/>
        </w:rPr>
        <w:t>Source primary and target standby are synchronized using Oracle Data Guard.</w:t>
      </w:r>
    </w:p>
    <w:p>
      <w:pPr>
        <w:spacing w:after="40"/>
        <w:ind w:left="351" w:hanging="227"/>
      </w:pPr>
      <w:r>
        <w:rPr>
          <w:rFonts w:ascii="Calibri" w:hAnsi="Calibri"/>
          <w:b/>
          <w:color w:val="1B4F86"/>
          <w:sz w:val="19"/>
        </w:rPr>
        <w:t xml:space="preserve">▪  </w:t>
      </w:r>
      <w:r>
        <w:rPr>
          <w:rFonts w:ascii="Calibri" w:hAnsi="Calibri"/>
          <w:b w:val="0"/>
          <w:i w:val="0"/>
          <w:color w:val="334E68"/>
          <w:sz w:val="19"/>
        </w:rPr>
        <w:t>Log switching and synchronization are reviewed before switchover — apply lag must be zero (or within the agreed tolerance) at the moment of the change.</w:t>
      </w:r>
    </w:p>
    <w:p>
      <w:pPr>
        <w:spacing w:after="40"/>
        <w:ind w:left="351" w:hanging="227"/>
      </w:pPr>
      <w:r>
        <w:rPr>
          <w:rFonts w:ascii="Calibri" w:hAnsi="Calibri"/>
          <w:b/>
          <w:color w:val="1B4F86"/>
          <w:sz w:val="19"/>
        </w:rPr>
        <w:t xml:space="preserve">▪  </w:t>
      </w:r>
      <w:r>
        <w:rPr>
          <w:rFonts w:ascii="Calibri" w:hAnsi="Calibri"/>
          <w:b w:val="0"/>
          <w:i w:val="0"/>
          <w:color w:val="334E68"/>
          <w:sz w:val="19"/>
        </w:rPr>
        <w:t>Source and target System Change Number (SCN) values are compared to verify synchronization and data consistency.</w:t>
      </w:r>
    </w:p>
    <w:p>
      <w:pPr>
        <w:spacing w:after="40"/>
        <w:ind w:left="351" w:hanging="227"/>
      </w:pPr>
      <w:r>
        <w:rPr>
          <w:rFonts w:ascii="Calibri" w:hAnsi="Calibri"/>
          <w:b/>
          <w:color w:val="1B4F86"/>
          <w:sz w:val="19"/>
        </w:rPr>
        <w:t xml:space="preserve">▪  </w:t>
      </w:r>
      <w:r>
        <w:rPr>
          <w:rFonts w:ascii="Calibri" w:hAnsi="Calibri"/>
          <w:b w:val="0"/>
          <w:i w:val="0"/>
          <w:color w:val="334E68"/>
          <w:sz w:val="19"/>
        </w:rPr>
        <w:t>Evidence must be captured and attached to the relevant Jira/change ticket for approval.</w:t>
      </w:r>
    </w:p>
    <w:p>
      <w:pPr>
        <w:spacing w:after="40"/>
        <w:ind w:left="351" w:hanging="227"/>
      </w:pPr>
      <w:r>
        <w:rPr>
          <w:rFonts w:ascii="Calibri" w:hAnsi="Calibri"/>
          <w:b/>
          <w:color w:val="1B4F86"/>
          <w:sz w:val="19"/>
        </w:rPr>
        <w:t xml:space="preserve">▪  </w:t>
      </w:r>
      <w:r>
        <w:rPr>
          <w:rFonts w:ascii="Calibri" w:hAnsi="Calibri"/>
          <w:b w:val="0"/>
          <w:i w:val="0"/>
          <w:color w:val="334E68"/>
          <w:sz w:val="19"/>
        </w:rPr>
        <w:t>After successful validation, the source is shut down and the target standby is activated as the new primary.</w:t>
      </w:r>
    </w:p>
    <w:p>
      <w:pPr>
        <w:spacing w:after="60" w:before="160"/>
        <w:keepNext/>
      </w:pPr>
      <w:r>
        <w:rPr>
          <w:rFonts w:ascii="Calibri" w:hAnsi="Calibri"/>
          <w:b/>
          <w:color w:val="5B7288"/>
          <w:sz w:val="15"/>
        </w:rPr>
        <w:t>DATA GUARD VOCABULARY</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735"/>
        <w:gridCol w:w="3855"/>
        <w:gridCol w:w="4048"/>
      </w:tblGrid>
      <w:tr>
        <w:trPr>
          <w:tblHeader/>
          <w:cantSplit/>
        </w:trPr>
        <w:tc>
          <w:tcPr>
            <w:tcW w:type="dxa" w:w="1735"/>
            <w:shd w:val="clear" w:color="auto" w:fill="0F2B4C"/>
          </w:tcPr>
          <w:p>
            <w:pPr>
              <w:spacing w:after="20" w:before="20"/>
            </w:pPr>
            <w:r/>
            <w:r>
              <w:rPr>
                <w:rFonts w:ascii="Calibri" w:hAnsi="Calibri"/>
                <w:b/>
                <w:color w:val="FFFFFF"/>
                <w:sz w:val="17"/>
              </w:rPr>
              <w:t>Concept</w:t>
            </w:r>
          </w:p>
        </w:tc>
        <w:tc>
          <w:tcPr>
            <w:tcW w:type="dxa" w:w="3855"/>
            <w:shd w:val="clear" w:color="auto" w:fill="0F2B4C"/>
          </w:tcPr>
          <w:p>
            <w:pPr>
              <w:spacing w:after="20" w:before="20"/>
            </w:pPr>
            <w:r/>
            <w:r>
              <w:rPr>
                <w:rFonts w:ascii="Calibri" w:hAnsi="Calibri"/>
                <w:b/>
                <w:color w:val="FFFFFF"/>
                <w:sz w:val="17"/>
              </w:rPr>
              <w:t>Meaning</w:t>
            </w:r>
          </w:p>
        </w:tc>
        <w:tc>
          <w:tcPr>
            <w:tcW w:type="dxa" w:w="4048"/>
            <w:shd w:val="clear" w:color="auto" w:fill="0F2B4C"/>
          </w:tcPr>
          <w:p>
            <w:pPr>
              <w:spacing w:after="20" w:before="20"/>
            </w:pPr>
            <w:r/>
            <w:r>
              <w:rPr>
                <w:rFonts w:ascii="Calibri" w:hAnsi="Calibri"/>
                <w:b/>
                <w:color w:val="FFFFFF"/>
                <w:sz w:val="17"/>
              </w:rPr>
              <w:t>Why it matters at cutover</w:t>
            </w:r>
          </w:p>
        </w:tc>
      </w:tr>
      <w:tr>
        <w:trPr>
          <w:cantSplit/>
        </w:trPr>
        <w:tc>
          <w:tcPr>
            <w:tcW w:type="dxa" w:w="1735"/>
          </w:tcPr>
          <w:p>
            <w:pPr>
              <w:spacing w:after="20" w:before="20"/>
            </w:pPr>
            <w:r/>
            <w:r>
              <w:rPr>
                <w:rFonts w:ascii="Calibri" w:hAnsi="Calibri"/>
                <w:b/>
                <w:i w:val="0"/>
                <w:color w:val="334E68"/>
                <w:sz w:val="17"/>
              </w:rPr>
              <w:t>Primary</w:t>
            </w:r>
          </w:p>
        </w:tc>
        <w:tc>
          <w:tcPr>
            <w:tcW w:type="dxa" w:w="3855"/>
          </w:tcPr>
          <w:p>
            <w:pPr>
              <w:spacing w:after="20" w:before="20"/>
            </w:pPr>
            <w:r/>
            <w:r>
              <w:rPr>
                <w:rFonts w:ascii="Calibri" w:hAnsi="Calibri"/>
                <w:b w:val="0"/>
                <w:i w:val="0"/>
                <w:color w:val="334E68"/>
                <w:sz w:val="17"/>
              </w:rPr>
              <w:t>The database that accepts writes and generates redo</w:t>
            </w:r>
          </w:p>
        </w:tc>
        <w:tc>
          <w:tcPr>
            <w:tcW w:type="dxa" w:w="4048"/>
          </w:tcPr>
          <w:p>
            <w:pPr>
              <w:spacing w:after="20" w:before="20"/>
            </w:pPr>
            <w:r/>
            <w:r>
              <w:rPr>
                <w:rFonts w:ascii="Calibri" w:hAnsi="Calibri"/>
                <w:b w:val="0"/>
                <w:i w:val="0"/>
                <w:color w:val="334E68"/>
                <w:sz w:val="17"/>
              </w:rPr>
              <w:t>The source is primary until the switchover moment</w:t>
            </w:r>
          </w:p>
        </w:tc>
      </w:tr>
      <w:tr>
        <w:trPr>
          <w:cantSplit/>
        </w:trPr>
        <w:tc>
          <w:tcPr>
            <w:tcW w:type="dxa" w:w="1735"/>
            <w:shd w:val="clear" w:color="auto" w:fill="FAFBFD"/>
          </w:tcPr>
          <w:p>
            <w:pPr>
              <w:spacing w:after="20" w:before="20"/>
            </w:pPr>
            <w:r/>
            <w:r>
              <w:rPr>
                <w:rFonts w:ascii="Calibri" w:hAnsi="Calibri"/>
                <w:b/>
                <w:i w:val="0"/>
                <w:color w:val="334E68"/>
                <w:sz w:val="17"/>
              </w:rPr>
              <w:t>Physical standby</w:t>
            </w:r>
          </w:p>
        </w:tc>
        <w:tc>
          <w:tcPr>
            <w:tcW w:type="dxa" w:w="3855"/>
            <w:shd w:val="clear" w:color="auto" w:fill="FAFBFD"/>
          </w:tcPr>
          <w:p>
            <w:pPr>
              <w:spacing w:after="20" w:before="20"/>
            </w:pPr>
            <w:r/>
            <w:r>
              <w:rPr>
                <w:rFonts w:ascii="Calibri" w:hAnsi="Calibri"/>
                <w:b w:val="0"/>
                <w:i w:val="0"/>
                <w:color w:val="334E68"/>
                <w:sz w:val="17"/>
              </w:rPr>
              <w:t>A copy of the primary kept current by applying shipped redo</w:t>
            </w:r>
          </w:p>
        </w:tc>
        <w:tc>
          <w:tcPr>
            <w:tcW w:type="dxa" w:w="4048"/>
            <w:shd w:val="clear" w:color="auto" w:fill="FAFBFD"/>
          </w:tcPr>
          <w:p>
            <w:pPr>
              <w:spacing w:after="20" w:before="20"/>
            </w:pPr>
            <w:r/>
            <w:r>
              <w:rPr>
                <w:rFonts w:ascii="Calibri" w:hAnsi="Calibri"/>
                <w:b w:val="0"/>
                <w:i w:val="0"/>
                <w:color w:val="334E68"/>
                <w:sz w:val="17"/>
              </w:rPr>
              <w:t>The migration target during the project phase</w:t>
            </w:r>
          </w:p>
        </w:tc>
      </w:tr>
      <w:tr>
        <w:trPr>
          <w:cantSplit/>
        </w:trPr>
        <w:tc>
          <w:tcPr>
            <w:tcW w:type="dxa" w:w="1735"/>
          </w:tcPr>
          <w:p>
            <w:pPr>
              <w:spacing w:after="20" w:before="20"/>
            </w:pPr>
            <w:r/>
            <w:r>
              <w:rPr>
                <w:rFonts w:ascii="Calibri" w:hAnsi="Calibri"/>
                <w:b/>
                <w:i w:val="0"/>
                <w:color w:val="334E68"/>
                <w:sz w:val="17"/>
              </w:rPr>
              <w:t>Redo transport</w:t>
            </w:r>
          </w:p>
        </w:tc>
        <w:tc>
          <w:tcPr>
            <w:tcW w:type="dxa" w:w="3855"/>
          </w:tcPr>
          <w:p>
            <w:pPr>
              <w:spacing w:after="20" w:before="20"/>
            </w:pPr>
            <w:r/>
            <w:r>
              <w:rPr>
                <w:rFonts w:ascii="Calibri" w:hAnsi="Calibri"/>
                <w:b w:val="0"/>
                <w:i w:val="0"/>
                <w:color w:val="334E68"/>
                <w:sz w:val="17"/>
              </w:rPr>
              <w:t>Shipping of redo from primary to standby</w:t>
            </w:r>
          </w:p>
        </w:tc>
        <w:tc>
          <w:tcPr>
            <w:tcW w:type="dxa" w:w="4048"/>
          </w:tcPr>
          <w:p>
            <w:pPr>
              <w:spacing w:after="20" w:before="20"/>
            </w:pPr>
            <w:r/>
            <w:r>
              <w:rPr>
                <w:rFonts w:ascii="Calibri" w:hAnsi="Calibri"/>
                <w:b w:val="0"/>
                <w:i w:val="0"/>
                <w:color w:val="334E68"/>
                <w:sz w:val="17"/>
              </w:rPr>
              <w:t>A break here silently widens the gap between source and target</w:t>
            </w:r>
          </w:p>
        </w:tc>
      </w:tr>
      <w:tr>
        <w:trPr>
          <w:cantSplit/>
        </w:trPr>
        <w:tc>
          <w:tcPr>
            <w:tcW w:type="dxa" w:w="1735"/>
            <w:shd w:val="clear" w:color="auto" w:fill="FAFBFD"/>
          </w:tcPr>
          <w:p>
            <w:pPr>
              <w:spacing w:after="20" w:before="20"/>
            </w:pPr>
            <w:r/>
            <w:r>
              <w:rPr>
                <w:rFonts w:ascii="Calibri" w:hAnsi="Calibri"/>
                <w:b/>
                <w:i w:val="0"/>
                <w:color w:val="334E68"/>
                <w:sz w:val="17"/>
              </w:rPr>
              <w:t>Managed recovery (apply)</w:t>
            </w:r>
          </w:p>
        </w:tc>
        <w:tc>
          <w:tcPr>
            <w:tcW w:type="dxa" w:w="3855"/>
            <w:shd w:val="clear" w:color="auto" w:fill="FAFBFD"/>
          </w:tcPr>
          <w:p>
            <w:pPr>
              <w:spacing w:after="20" w:before="20"/>
            </w:pPr>
            <w:r/>
            <w:r>
              <w:rPr>
                <w:rFonts w:ascii="Calibri" w:hAnsi="Calibri"/>
                <w:b w:val="0"/>
                <w:i w:val="0"/>
                <w:color w:val="334E68"/>
                <w:sz w:val="17"/>
              </w:rPr>
              <w:t>Standby process applying received redo</w:t>
            </w:r>
          </w:p>
        </w:tc>
        <w:tc>
          <w:tcPr>
            <w:tcW w:type="dxa" w:w="4048"/>
            <w:shd w:val="clear" w:color="auto" w:fill="FAFBFD"/>
          </w:tcPr>
          <w:p>
            <w:pPr>
              <w:spacing w:after="20" w:before="20"/>
            </w:pPr>
            <w:r/>
            <w:r>
              <w:rPr>
                <w:rFonts w:ascii="Calibri" w:hAnsi="Calibri"/>
                <w:b w:val="0"/>
                <w:i w:val="0"/>
                <w:color w:val="334E68"/>
                <w:sz w:val="17"/>
              </w:rPr>
              <w:t>Apply lag is the number to watch before switchover</w:t>
            </w:r>
          </w:p>
        </w:tc>
      </w:tr>
      <w:tr>
        <w:trPr>
          <w:cantSplit/>
        </w:trPr>
        <w:tc>
          <w:tcPr>
            <w:tcW w:type="dxa" w:w="1735"/>
          </w:tcPr>
          <w:p>
            <w:pPr>
              <w:spacing w:after="20" w:before="20"/>
            </w:pPr>
            <w:r/>
            <w:r>
              <w:rPr>
                <w:rFonts w:ascii="Calibri" w:hAnsi="Calibri"/>
                <w:b/>
                <w:i w:val="0"/>
                <w:color w:val="334E68"/>
                <w:sz w:val="17"/>
              </w:rPr>
              <w:t>SCN (System Change Number)</w:t>
            </w:r>
          </w:p>
        </w:tc>
        <w:tc>
          <w:tcPr>
            <w:tcW w:type="dxa" w:w="3855"/>
          </w:tcPr>
          <w:p>
            <w:pPr>
              <w:spacing w:after="20" w:before="20"/>
            </w:pPr>
            <w:r/>
            <w:r>
              <w:rPr>
                <w:rFonts w:ascii="Calibri" w:hAnsi="Calibri"/>
                <w:b w:val="0"/>
                <w:i w:val="0"/>
                <w:color w:val="334E68"/>
                <w:sz w:val="17"/>
              </w:rPr>
              <w:t>A logical point-in-time marker for the database</w:t>
            </w:r>
          </w:p>
        </w:tc>
        <w:tc>
          <w:tcPr>
            <w:tcW w:type="dxa" w:w="4048"/>
          </w:tcPr>
          <w:p>
            <w:pPr>
              <w:spacing w:after="20" w:before="20"/>
            </w:pPr>
            <w:r/>
            <w:r>
              <w:rPr>
                <w:rFonts w:ascii="Calibri" w:hAnsi="Calibri"/>
                <w:b w:val="0"/>
                <w:i w:val="0"/>
                <w:color w:val="334E68"/>
                <w:sz w:val="17"/>
              </w:rPr>
              <w:t>Comparing source and target SCN proves the data is consistent</w:t>
            </w:r>
          </w:p>
        </w:tc>
      </w:tr>
      <w:tr>
        <w:trPr>
          <w:cantSplit/>
        </w:trPr>
        <w:tc>
          <w:tcPr>
            <w:tcW w:type="dxa" w:w="1735"/>
            <w:shd w:val="clear" w:color="auto" w:fill="FAFBFD"/>
          </w:tcPr>
          <w:p>
            <w:pPr>
              <w:spacing w:after="20" w:before="20"/>
            </w:pPr>
            <w:r/>
            <w:r>
              <w:rPr>
                <w:rFonts w:ascii="Calibri" w:hAnsi="Calibri"/>
                <w:b/>
                <w:i w:val="0"/>
                <w:color w:val="334E68"/>
                <w:sz w:val="17"/>
              </w:rPr>
              <w:t>Log switch / archive</w:t>
            </w:r>
          </w:p>
        </w:tc>
        <w:tc>
          <w:tcPr>
            <w:tcW w:type="dxa" w:w="3855"/>
            <w:shd w:val="clear" w:color="auto" w:fill="FAFBFD"/>
          </w:tcPr>
          <w:p>
            <w:pPr>
              <w:spacing w:after="20" w:before="20"/>
            </w:pPr>
            <w:r/>
            <w:r>
              <w:rPr>
                <w:rFonts w:ascii="Calibri" w:hAnsi="Calibri"/>
                <w:b w:val="0"/>
                <w:i w:val="0"/>
                <w:color w:val="334E68"/>
                <w:sz w:val="17"/>
              </w:rPr>
              <w:t>Closing and archiving the current redo log</w:t>
            </w:r>
          </w:p>
        </w:tc>
        <w:tc>
          <w:tcPr>
            <w:tcW w:type="dxa" w:w="4048"/>
            <w:shd w:val="clear" w:color="auto" w:fill="FAFBFD"/>
          </w:tcPr>
          <w:p>
            <w:pPr>
              <w:spacing w:after="20" w:before="20"/>
            </w:pPr>
            <w:r/>
            <w:r>
              <w:rPr>
                <w:rFonts w:ascii="Calibri" w:hAnsi="Calibri"/>
                <w:b w:val="0"/>
                <w:i w:val="0"/>
                <w:color w:val="334E68"/>
                <w:sz w:val="17"/>
              </w:rPr>
              <w:t>Forcing log switches confirms the pipeline is live, not stalled</w:t>
            </w:r>
          </w:p>
        </w:tc>
      </w:tr>
      <w:tr>
        <w:trPr>
          <w:cantSplit/>
        </w:trPr>
        <w:tc>
          <w:tcPr>
            <w:tcW w:type="dxa" w:w="1735"/>
          </w:tcPr>
          <w:p>
            <w:pPr>
              <w:spacing w:after="20" w:before="20"/>
            </w:pPr>
            <w:r/>
            <w:r>
              <w:rPr>
                <w:rFonts w:ascii="Calibri" w:hAnsi="Calibri"/>
                <w:b/>
                <w:i w:val="0"/>
                <w:color w:val="334E68"/>
                <w:sz w:val="17"/>
              </w:rPr>
              <w:t>Switchover</w:t>
            </w:r>
          </w:p>
        </w:tc>
        <w:tc>
          <w:tcPr>
            <w:tcW w:type="dxa" w:w="3855"/>
          </w:tcPr>
          <w:p>
            <w:pPr>
              <w:spacing w:after="20" w:before="20"/>
            </w:pPr>
            <w:r/>
            <w:r>
              <w:rPr>
                <w:rFonts w:ascii="Calibri" w:hAnsi="Calibri"/>
                <w:b w:val="0"/>
                <w:i w:val="0"/>
                <w:color w:val="334E68"/>
                <w:sz w:val="17"/>
              </w:rPr>
              <w:t>Planned, reversible role swap between primary and standby</w:t>
            </w:r>
          </w:p>
        </w:tc>
        <w:tc>
          <w:tcPr>
            <w:tcW w:type="dxa" w:w="4048"/>
          </w:tcPr>
          <w:p>
            <w:pPr>
              <w:spacing w:after="20" w:before="20"/>
            </w:pPr>
            <w:r/>
            <w:r>
              <w:rPr>
                <w:rFonts w:ascii="Calibri" w:hAnsi="Calibri"/>
                <w:b w:val="0"/>
                <w:i w:val="0"/>
                <w:color w:val="334E68"/>
                <w:sz w:val="17"/>
              </w:rPr>
              <w:t>The migration mechanism in this scenario</w:t>
            </w:r>
          </w:p>
        </w:tc>
      </w:tr>
      <w:tr>
        <w:trPr>
          <w:cantSplit/>
        </w:trPr>
        <w:tc>
          <w:tcPr>
            <w:tcW w:type="dxa" w:w="1735"/>
            <w:shd w:val="clear" w:color="auto" w:fill="FAFBFD"/>
          </w:tcPr>
          <w:p>
            <w:pPr>
              <w:spacing w:after="20" w:before="20"/>
            </w:pPr>
            <w:r/>
            <w:r>
              <w:rPr>
                <w:rFonts w:ascii="Calibri" w:hAnsi="Calibri"/>
                <w:b/>
                <w:i w:val="0"/>
                <w:color w:val="334E68"/>
                <w:sz w:val="17"/>
              </w:rPr>
              <w:t>Failover</w:t>
            </w:r>
          </w:p>
        </w:tc>
        <w:tc>
          <w:tcPr>
            <w:tcW w:type="dxa" w:w="3855"/>
            <w:shd w:val="clear" w:color="auto" w:fill="FAFBFD"/>
          </w:tcPr>
          <w:p>
            <w:pPr>
              <w:spacing w:after="20" w:before="20"/>
            </w:pPr>
            <w:r/>
            <w:r>
              <w:rPr>
                <w:rFonts w:ascii="Calibri" w:hAnsi="Calibri"/>
                <w:b w:val="0"/>
                <w:i w:val="0"/>
                <w:color w:val="334E68"/>
                <w:sz w:val="17"/>
              </w:rPr>
              <w:t>Unplanned promotion of the standby after a primary failure</w:t>
            </w:r>
          </w:p>
        </w:tc>
        <w:tc>
          <w:tcPr>
            <w:tcW w:type="dxa" w:w="4048"/>
            <w:shd w:val="clear" w:color="auto" w:fill="FAFBFD"/>
          </w:tcPr>
          <w:p>
            <w:pPr>
              <w:spacing w:after="20" w:before="20"/>
            </w:pPr>
            <w:r/>
            <w:r>
              <w:rPr>
                <w:rFonts w:ascii="Calibri" w:hAnsi="Calibri"/>
                <w:b w:val="0"/>
                <w:i w:val="0"/>
                <w:color w:val="334E68"/>
                <w:sz w:val="17"/>
              </w:rPr>
              <w:t>Not reversible in the same way — this is DR, not migration</w:t>
            </w:r>
          </w:p>
        </w:tc>
      </w:tr>
      <w:tr>
        <w:trPr>
          <w:cantSplit/>
        </w:trPr>
        <w:tc>
          <w:tcPr>
            <w:tcW w:type="dxa" w:w="1735"/>
          </w:tcPr>
          <w:p>
            <w:pPr>
              <w:spacing w:after="20" w:before="20"/>
            </w:pPr>
            <w:r/>
            <w:r>
              <w:rPr>
                <w:rFonts w:ascii="Calibri" w:hAnsi="Calibri"/>
                <w:b/>
                <w:i w:val="0"/>
                <w:color w:val="334E68"/>
                <w:sz w:val="17"/>
              </w:rPr>
              <w:t>Data Guard Broker</w:t>
            </w:r>
          </w:p>
        </w:tc>
        <w:tc>
          <w:tcPr>
            <w:tcW w:type="dxa" w:w="3855"/>
          </w:tcPr>
          <w:p>
            <w:pPr>
              <w:spacing w:after="20" w:before="20"/>
            </w:pPr>
            <w:r/>
            <w:r>
              <w:rPr>
                <w:rFonts w:ascii="Calibri" w:hAnsi="Calibri"/>
                <w:b w:val="0"/>
                <w:i w:val="0"/>
                <w:color w:val="334E68"/>
                <w:sz w:val="17"/>
              </w:rPr>
              <w:t>Management layer that coordinates Data Guard configuration and operations</w:t>
            </w:r>
          </w:p>
        </w:tc>
        <w:tc>
          <w:tcPr>
            <w:tcW w:type="dxa" w:w="4048"/>
          </w:tcPr>
          <w:p>
            <w:pPr>
              <w:spacing w:after="20" w:before="20"/>
            </w:pPr>
            <w:r/>
            <w:r>
              <w:rPr>
                <w:rFonts w:ascii="Calibri" w:hAnsi="Calibri"/>
                <w:b w:val="0"/>
                <w:i w:val="0"/>
                <w:color w:val="334E68"/>
                <w:sz w:val="17"/>
              </w:rPr>
              <w:t>Simplifies and standardises the switchover where it is used</w:t>
            </w:r>
          </w:p>
        </w:tc>
      </w:tr>
      <w:tr>
        <w:trPr>
          <w:cantSplit/>
        </w:trPr>
        <w:tc>
          <w:tcPr>
            <w:tcW w:type="dxa" w:w="1735"/>
            <w:shd w:val="clear" w:color="auto" w:fill="FAFBFD"/>
          </w:tcPr>
          <w:p>
            <w:pPr>
              <w:spacing w:after="20" w:before="20"/>
            </w:pPr>
            <w:r/>
            <w:r>
              <w:rPr>
                <w:rFonts w:ascii="Calibri" w:hAnsi="Calibri"/>
                <w:b/>
                <w:i w:val="0"/>
                <w:color w:val="334E68"/>
                <w:sz w:val="17"/>
              </w:rPr>
              <w:t>Observer node</w:t>
            </w:r>
          </w:p>
        </w:tc>
        <w:tc>
          <w:tcPr>
            <w:tcW w:type="dxa" w:w="3855"/>
            <w:shd w:val="clear" w:color="auto" w:fill="FAFBFD"/>
          </w:tcPr>
          <w:p>
            <w:pPr>
              <w:spacing w:after="20" w:before="20"/>
            </w:pPr>
            <w:r/>
            <w:r>
              <w:rPr>
                <w:rFonts w:ascii="Calibri" w:hAnsi="Calibri"/>
                <w:b w:val="0"/>
                <w:i w:val="0"/>
                <w:color w:val="334E68"/>
                <w:sz w:val="17"/>
              </w:rPr>
              <w:t>Independent node that monitors the configuration (used with fast-start failover)</w:t>
            </w:r>
          </w:p>
        </w:tc>
        <w:tc>
          <w:tcPr>
            <w:tcW w:type="dxa" w:w="4048"/>
            <w:shd w:val="clear" w:color="auto" w:fill="FAFBFD"/>
          </w:tcPr>
          <w:p>
            <w:pPr>
              <w:spacing w:after="20" w:before="20"/>
            </w:pPr>
            <w:r/>
            <w:r>
              <w:rPr>
                <w:rFonts w:ascii="Calibri" w:hAnsi="Calibri"/>
                <w:b w:val="0"/>
                <w:i w:val="0"/>
                <w:color w:val="334E68"/>
                <w:sz w:val="17"/>
              </w:rPr>
              <w:t>Required for HA environments where automatic failover is designed</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SWITCHOVER VERSUS FAILOVER</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 xml:space="preserve">A </w:t>
      </w:r>
      <w:r>
        <w:rPr>
          <w:rFonts w:ascii="Calibri" w:hAnsi="Calibri"/>
          <w:b/>
          <w:i w:val="0"/>
          <w:color w:val="334E68"/>
          <w:sz w:val="18"/>
        </w:rPr>
        <w:t>switchover</w:t>
      </w:r>
      <w:r>
        <w:rPr>
          <w:rFonts w:ascii="Calibri" w:hAnsi="Calibri"/>
          <w:b w:val="0"/>
          <w:i w:val="0"/>
          <w:color w:val="334E68"/>
          <w:sz w:val="18"/>
        </w:rPr>
        <w:t xml:space="preserve"> is planned and reversible: both databases end the operation in a valid role, and you can switch back. A </w:t>
      </w:r>
      <w:r>
        <w:rPr>
          <w:rFonts w:ascii="Calibri" w:hAnsi="Calibri"/>
          <w:b/>
          <w:i w:val="0"/>
          <w:color w:val="334E68"/>
          <w:sz w:val="18"/>
        </w:rPr>
        <w:t>failover</w:t>
      </w:r>
      <w:r>
        <w:rPr>
          <w:rFonts w:ascii="Calibri" w:hAnsi="Calibri"/>
          <w:b w:val="0"/>
          <w:i w:val="0"/>
          <w:color w:val="334E68"/>
          <w:sz w:val="18"/>
        </w:rPr>
        <w:t xml:space="preserve"> is a disaster-recovery action: the standby becomes primary and the old primary usually needs rebuilding. Migration uses switchover. Confusing the two in a runbook is how a reversible operation becomes an unrecoverable one.</w:t>
      </w:r>
    </w:p>
    <w:p>
      <w:pPr>
        <w:pStyle w:val="Heading2"/>
        <w:pBdr>
          <w:bottom w:val="single" w:sz="6" w:space="3" w:color="E8EDF3"/>
        </w:pBdr>
      </w:pPr>
      <w:r>
        <w:rPr>
          <w:rFonts w:ascii="Calibri" w:hAnsi="Calibri"/>
          <w:b/>
          <w:color w:val="0F2B4C"/>
          <w:sz w:val="26"/>
        </w:rPr>
        <w:t>9.2  Oracle configuration checks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SQL*Net and listener configuration validated on source and target (tnsnames, listener.ora, service names)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Listener registered services confirmed and reachable from the SAP application hosts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Data Guard parameters validated (log archive destinations, transport/apply settings)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SID-specific settings confirmed (SID, ORACLE_HOME, environment files, profile entries)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Data Guard Broker configuration reviewed (where Broker is used)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Observer-node configuration reviewed for HA environments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Required source/target patch-level alignment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Archive log mode and destination space validated on both sides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Password files, wallets and credentials available to the DBA team</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Network path and latency between source and target measured and acceptable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Character set, national character set and database options match</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9.3  Switchover sequence</w:t>
      </w:r>
    </w:p>
    <w:p>
      <w:pPr>
        <w:spacing w:after="40"/>
        <w:ind w:left="578" w:hanging="227"/>
      </w:pPr>
      <w:r>
        <w:rPr>
          <w:rFonts w:ascii="Calibri" w:hAnsi="Calibri"/>
          <w:b/>
          <w:color w:val="0F2B4C"/>
          <w:sz w:val="19"/>
        </w:rPr>
        <w:t xml:space="preserve">1.  </w:t>
      </w:r>
      <w:r>
        <w:rPr>
          <w:rFonts w:ascii="Calibri" w:hAnsi="Calibri"/>
          <w:b w:val="0"/>
          <w:i w:val="0"/>
          <w:color w:val="334E68"/>
          <w:sz w:val="19"/>
        </w:rPr>
        <w:t>Complete pre-checks: listener, SQL*Net, Data Guard parameters, SID settings, Broker, observer node, patch alignment.</w:t>
      </w:r>
    </w:p>
    <w:p>
      <w:pPr>
        <w:spacing w:after="40"/>
        <w:ind w:left="578" w:hanging="227"/>
      </w:pPr>
      <w:r>
        <w:rPr>
          <w:rFonts w:ascii="Calibri" w:hAnsi="Calibri"/>
          <w:b/>
          <w:color w:val="0F2B4C"/>
          <w:sz w:val="19"/>
        </w:rPr>
        <w:t xml:space="preserve">2.  </w:t>
      </w:r>
      <w:r>
        <w:rPr>
          <w:rFonts w:ascii="Calibri" w:hAnsi="Calibri"/>
          <w:b w:val="0"/>
          <w:i w:val="0"/>
          <w:color w:val="334E68"/>
          <w:sz w:val="19"/>
        </w:rPr>
        <w:t>Review log switching and apply status; confirm the standby is applying with no gap.</w:t>
      </w:r>
    </w:p>
    <w:p>
      <w:pPr>
        <w:spacing w:after="40"/>
        <w:ind w:left="578" w:hanging="227"/>
      </w:pPr>
      <w:r>
        <w:rPr>
          <w:rFonts w:ascii="Calibri" w:hAnsi="Calibri"/>
          <w:b/>
          <w:color w:val="0F2B4C"/>
          <w:sz w:val="19"/>
        </w:rPr>
        <w:t xml:space="preserve">3.  </w:t>
      </w:r>
      <w:r>
        <w:rPr>
          <w:rFonts w:ascii="Calibri" w:hAnsi="Calibri"/>
          <w:b w:val="0"/>
          <w:i w:val="0"/>
          <w:color w:val="334E68"/>
          <w:sz w:val="19"/>
        </w:rPr>
        <w:t>Compare source and target SCN values and record both.</w:t>
      </w:r>
    </w:p>
    <w:p>
      <w:pPr>
        <w:spacing w:after="40"/>
        <w:ind w:left="578" w:hanging="227"/>
      </w:pPr>
      <w:r>
        <w:rPr>
          <w:rFonts w:ascii="Calibri" w:hAnsi="Calibri"/>
          <w:b/>
          <w:color w:val="0F2B4C"/>
          <w:sz w:val="19"/>
        </w:rPr>
        <w:t xml:space="preserve">4.  </w:t>
      </w:r>
      <w:r>
        <w:rPr>
          <w:rFonts w:ascii="Calibri" w:hAnsi="Calibri"/>
          <w:b w:val="0"/>
          <w:i w:val="0"/>
          <w:color w:val="334E68"/>
          <w:sz w:val="19"/>
        </w:rPr>
        <w:t>Capture evidence and attach it to the Jira/change ticket; obtain approval.</w:t>
      </w:r>
    </w:p>
    <w:p>
      <w:pPr>
        <w:spacing w:after="40"/>
        <w:ind w:left="578" w:hanging="227"/>
      </w:pPr>
      <w:r>
        <w:rPr>
          <w:rFonts w:ascii="Calibri" w:hAnsi="Calibri"/>
          <w:b/>
          <w:color w:val="0F2B4C"/>
          <w:sz w:val="19"/>
        </w:rPr>
        <w:t xml:space="preserve">5.  </w:t>
      </w:r>
      <w:r>
        <w:rPr>
          <w:rFonts w:ascii="Calibri" w:hAnsi="Calibri"/>
          <w:b w:val="0"/>
          <w:i w:val="0"/>
          <w:color w:val="334E68"/>
          <w:sz w:val="19"/>
        </w:rPr>
        <w:t>Take the AWS disk-level snapshot of the target to establish the rollback recovery point.</w:t>
      </w:r>
    </w:p>
    <w:p>
      <w:pPr>
        <w:spacing w:after="40"/>
        <w:ind w:left="578" w:hanging="227"/>
      </w:pPr>
      <w:r>
        <w:rPr>
          <w:rFonts w:ascii="Calibri" w:hAnsi="Calibri"/>
          <w:b/>
          <w:color w:val="0F2B4C"/>
          <w:sz w:val="19"/>
        </w:rPr>
        <w:t xml:space="preserve">6.  </w:t>
      </w:r>
      <w:r>
        <w:rPr>
          <w:rFonts w:ascii="Calibri" w:hAnsi="Calibri"/>
          <w:b w:val="0"/>
          <w:i w:val="0"/>
          <w:color w:val="334E68"/>
          <w:sz w:val="19"/>
        </w:rPr>
        <w:t>Confirm application shutdown is complete and the DBA handover has been accepted.</w:t>
      </w:r>
    </w:p>
    <w:p>
      <w:pPr>
        <w:spacing w:after="40"/>
        <w:ind w:left="578" w:hanging="227"/>
      </w:pPr>
      <w:r>
        <w:rPr>
          <w:rFonts w:ascii="Calibri" w:hAnsi="Calibri"/>
          <w:b/>
          <w:color w:val="0F2B4C"/>
          <w:sz w:val="19"/>
        </w:rPr>
        <w:t xml:space="preserve">7.  </w:t>
      </w:r>
      <w:r>
        <w:rPr>
          <w:rFonts w:ascii="Calibri" w:hAnsi="Calibri"/>
          <w:b w:val="0"/>
          <w:i w:val="0"/>
          <w:color w:val="334E68"/>
          <w:sz w:val="19"/>
        </w:rPr>
        <w:t>Shut down / close the source primary as designed.</w:t>
      </w:r>
    </w:p>
    <w:p>
      <w:pPr>
        <w:spacing w:after="40"/>
        <w:ind w:left="578" w:hanging="227"/>
      </w:pPr>
      <w:r>
        <w:rPr>
          <w:rFonts w:ascii="Calibri" w:hAnsi="Calibri"/>
          <w:b/>
          <w:color w:val="0F2B4C"/>
          <w:sz w:val="19"/>
        </w:rPr>
        <w:t xml:space="preserve">8.  </w:t>
      </w:r>
      <w:r>
        <w:rPr>
          <w:rFonts w:ascii="Calibri" w:hAnsi="Calibri"/>
          <w:b w:val="0"/>
          <w:i w:val="0"/>
          <w:color w:val="334E68"/>
          <w:sz w:val="19"/>
        </w:rPr>
        <w:t>Perform the switchover and activate the target standby as the new primary.</w:t>
      </w:r>
    </w:p>
    <w:p>
      <w:pPr>
        <w:spacing w:after="40"/>
        <w:ind w:left="578" w:hanging="227"/>
      </w:pPr>
      <w:r>
        <w:rPr>
          <w:rFonts w:ascii="Calibri" w:hAnsi="Calibri"/>
          <w:b/>
          <w:color w:val="0F2B4C"/>
          <w:sz w:val="19"/>
        </w:rPr>
        <w:t xml:space="preserve">9.  </w:t>
      </w:r>
      <w:r>
        <w:rPr>
          <w:rFonts w:ascii="Calibri" w:hAnsi="Calibri"/>
          <w:b w:val="0"/>
          <w:i w:val="0"/>
          <w:color w:val="334E68"/>
          <w:sz w:val="19"/>
        </w:rPr>
        <w:t>Open the new primary and validate it: services registered, listener responding, SAP can connect.</w:t>
      </w:r>
    </w:p>
    <w:p>
      <w:pPr>
        <w:spacing w:after="40"/>
        <w:ind w:left="578" w:hanging="227"/>
      </w:pPr>
      <w:r>
        <w:rPr>
          <w:rFonts w:ascii="Calibri" w:hAnsi="Calibri"/>
          <w:b/>
          <w:color w:val="0F2B4C"/>
          <w:sz w:val="19"/>
        </w:rPr>
        <w:t xml:space="preserve">10.  </w:t>
      </w:r>
      <w:r>
        <w:rPr>
          <w:rFonts w:ascii="Calibri" w:hAnsi="Calibri"/>
          <w:b w:val="0"/>
          <w:i w:val="0"/>
          <w:color w:val="334E68"/>
          <w:sz w:val="19"/>
        </w:rPr>
        <w:t xml:space="preserve">Run </w:t>
      </w:r>
      <w:r>
        <w:rPr>
          <w:rFonts w:ascii="Consolas" w:hAnsi="Consolas"/>
          <w:b w:val="0"/>
          <w:i w:val="0"/>
          <w:color w:val="123A63"/>
          <w:sz w:val="19"/>
          <w:shd w:val="clear" w:color="auto" w:fill="EEF2F7"/>
        </w:rPr>
        <w:t>DBVERIFY</w:t>
      </w:r>
      <w:r>
        <w:rPr>
          <w:rFonts w:ascii="Calibri" w:hAnsi="Calibri"/>
          <w:b w:val="0"/>
          <w:i w:val="0"/>
          <w:color w:val="334E68"/>
          <w:sz w:val="19"/>
        </w:rPr>
        <w:t xml:space="preserve"> to check for database block corruption.</w:t>
      </w:r>
    </w:p>
    <w:p>
      <w:pPr>
        <w:spacing w:after="40"/>
        <w:ind w:left="578" w:hanging="227"/>
      </w:pPr>
      <w:r>
        <w:rPr>
          <w:rFonts w:ascii="Calibri" w:hAnsi="Calibri"/>
          <w:b/>
          <w:color w:val="0F2B4C"/>
          <w:sz w:val="19"/>
        </w:rPr>
        <w:t xml:space="preserve">11.  </w:t>
      </w:r>
      <w:r>
        <w:rPr>
          <w:rFonts w:ascii="Calibri" w:hAnsi="Calibri"/>
          <w:b w:val="0"/>
          <w:i w:val="0"/>
          <w:color w:val="334E68"/>
          <w:sz w:val="19"/>
        </w:rPr>
        <w:t xml:space="preserve">Take an Oracle </w:t>
      </w:r>
      <w:r>
        <w:rPr>
          <w:rFonts w:ascii="Consolas" w:hAnsi="Consolas"/>
          <w:b w:val="0"/>
          <w:i w:val="0"/>
          <w:color w:val="123A63"/>
          <w:sz w:val="19"/>
          <w:shd w:val="clear" w:color="auto" w:fill="EEF2F7"/>
        </w:rPr>
        <w:t>RMAN</w:t>
      </w:r>
      <w:r>
        <w:rPr>
          <w:rFonts w:ascii="Calibri" w:hAnsi="Calibri"/>
          <w:b w:val="0"/>
          <w:i w:val="0"/>
          <w:color w:val="334E68"/>
          <w:sz w:val="19"/>
        </w:rPr>
        <w:t xml:space="preserve"> backup after successful validation.</w:t>
      </w:r>
    </w:p>
    <w:p>
      <w:pPr>
        <w:spacing w:after="40"/>
        <w:ind w:left="578" w:hanging="227"/>
      </w:pPr>
      <w:r>
        <w:rPr>
          <w:rFonts w:ascii="Calibri" w:hAnsi="Calibri"/>
          <w:b/>
          <w:color w:val="0F2B4C"/>
          <w:sz w:val="19"/>
        </w:rPr>
        <w:t xml:space="preserve">12.  </w:t>
      </w:r>
      <w:r>
        <w:rPr>
          <w:rFonts w:ascii="Calibri" w:hAnsi="Calibri"/>
          <w:b w:val="0"/>
          <w:i w:val="0"/>
          <w:color w:val="334E68"/>
          <w:sz w:val="19"/>
        </w:rPr>
        <w:t>Install or verify the OEM agent in production where applicable.</w:t>
      </w:r>
    </w:p>
    <w:p>
      <w:pPr>
        <w:spacing w:after="40"/>
        <w:ind w:left="578" w:hanging="227"/>
      </w:pPr>
      <w:r>
        <w:rPr>
          <w:rFonts w:ascii="Calibri" w:hAnsi="Calibri"/>
          <w:b/>
          <w:color w:val="0F2B4C"/>
          <w:sz w:val="19"/>
        </w:rPr>
        <w:t xml:space="preserve">13.  </w:t>
      </w:r>
      <w:r>
        <w:rPr>
          <w:rFonts w:ascii="Calibri" w:hAnsi="Calibri"/>
          <w:b w:val="0"/>
          <w:i w:val="0"/>
          <w:color w:val="334E68"/>
          <w:sz w:val="19"/>
        </w:rPr>
        <w:t>Hand back to Basis for the DNS/IPAM update and SAP-side validation.</w:t>
      </w:r>
    </w:p>
    <w:p>
      <w:pPr>
        <w:spacing w:before="120" w:after="0"/>
        <w:ind w:left="170"/>
        <w:shd w:val="clear" w:color="auto" w:fill="0E2340"/>
        <w:pBdr>
          <w:left w:val="single" w:sz="18" w:space="4" w:color="1B4F86"/>
        </w:pBdr>
      </w:pPr>
      <w:r>
        <w:rPr>
          <w:rFonts w:ascii="Consolas" w:hAnsi="Consolas"/>
          <w:color w:val="7FA2C8"/>
          <w:sz w:val="16"/>
        </w:rPr>
        <w:t>-- Synchronisation evidence typically captured before switchover (illustrative)</w:t>
      </w:r>
    </w:p>
    <w:p>
      <w:pPr>
        <w:spacing w:before="0" w:after="0"/>
        <w:ind w:left="170"/>
        <w:shd w:val="clear" w:color="auto" w:fill="0E2340"/>
        <w:pBdr>
          <w:left w:val="single" w:sz="18" w:space="4" w:color="1B4F86"/>
        </w:pBdr>
      </w:pPr>
      <w:r>
        <w:rPr>
          <w:rFonts w:ascii="Consolas" w:hAnsi="Consolas"/>
          <w:color w:val="D6E4F5"/>
          <w:sz w:val="16"/>
        </w:rPr>
        <w:t>SELECT database_role, open_mode, current_scn FROM v$database;</w:t>
      </w:r>
    </w:p>
    <w:p>
      <w:pPr>
        <w:spacing w:before="0" w:after="0"/>
        <w:ind w:left="170"/>
        <w:shd w:val="clear" w:color="auto" w:fill="0E2340"/>
        <w:pBdr>
          <w:left w:val="single" w:sz="18" w:space="4" w:color="1B4F86"/>
        </w:pBdr>
      </w:pPr>
      <w:r>
        <w:rPr>
          <w:rFonts w:ascii="Consolas" w:hAnsi="Consolas"/>
          <w:color w:val="7FA2C8"/>
          <w:sz w:val="16"/>
        </w:rPr>
        <w:t>-- run on BOTH source and target; compare current_scn</w:t>
      </w:r>
    </w:p>
    <w:p>
      <w:pPr>
        <w:spacing w:before="0" w:after="0"/>
        <w:ind w:left="170"/>
        <w:shd w:val="clear" w:color="auto" w:fill="0E2340"/>
        <w:pBdr>
          <w:left w:val="single" w:sz="18" w:space="4" w:color="1B4F86"/>
        </w:pBdr>
      </w:pPr>
      <w:r>
        <w:rPr>
          <w:rFonts w:ascii="Consolas" w:hAnsi="Consolas"/>
          <w:color w:val="D6E4F5"/>
          <w:sz w:val="16"/>
        </w:rPr>
        <w:t>SELECT process, status, thread#, sequence#, block# FROM v$managed_standby;</w:t>
      </w:r>
    </w:p>
    <w:p>
      <w:pPr>
        <w:spacing w:before="0" w:after="0"/>
        <w:ind w:left="170"/>
        <w:shd w:val="clear" w:color="auto" w:fill="0E2340"/>
        <w:pBdr>
          <w:left w:val="single" w:sz="18" w:space="4" w:color="1B4F86"/>
        </w:pBdr>
      </w:pPr>
      <w:r>
        <w:rPr>
          <w:rFonts w:ascii="Consolas" w:hAnsi="Consolas"/>
          <w:color w:val="7FA2C8"/>
          <w:sz w:val="16"/>
        </w:rPr>
        <w:t>-- confirm MRP0 is APPLYING_LOG and no gap remains</w:t>
      </w:r>
    </w:p>
    <w:p>
      <w:pPr>
        <w:spacing w:before="0" w:after="0"/>
        <w:ind w:left="170"/>
        <w:shd w:val="clear" w:color="auto" w:fill="0E2340"/>
        <w:pBdr>
          <w:left w:val="single" w:sz="18" w:space="4" w:color="1B4F86"/>
        </w:pBdr>
      </w:pPr>
      <w:r>
        <w:rPr>
          <w:rFonts w:ascii="Consolas" w:hAnsi="Consolas"/>
          <w:color w:val="7FA2C8"/>
          <w:sz w:val="16"/>
        </w:rPr>
        <w:t>-- On the target after switchover: block integrity and backup</w:t>
      </w:r>
    </w:p>
    <w:p>
      <w:pPr>
        <w:spacing w:before="0" w:after="0"/>
        <w:ind w:left="170"/>
        <w:shd w:val="clear" w:color="auto" w:fill="0E2340"/>
        <w:pBdr>
          <w:left w:val="single" w:sz="18" w:space="4" w:color="1B4F86"/>
        </w:pBdr>
      </w:pPr>
      <w:r>
        <w:rPr>
          <w:rFonts w:ascii="Consolas" w:hAnsi="Consolas"/>
          <w:color w:val="D6E4F5"/>
          <w:sz w:val="16"/>
        </w:rPr>
        <w:t>dbv file=&lt;datafile&gt; blocksize=&lt;size&gt;      # expect: no corrupt blocks listed</w:t>
      </w:r>
    </w:p>
    <w:p>
      <w:pPr>
        <w:spacing w:before="0" w:after="0"/>
        <w:ind w:left="170"/>
        <w:shd w:val="clear" w:color="auto" w:fill="0E2340"/>
        <w:pBdr>
          <w:left w:val="single" w:sz="18" w:space="4" w:color="1B4F86"/>
        </w:pBdr>
      </w:pPr>
      <w:r>
        <w:rPr>
          <w:rFonts w:ascii="Consolas" w:hAnsi="Consolas"/>
          <w:color w:val="D6E4F5"/>
          <w:sz w:val="16"/>
        </w:rPr>
        <w:t>rman target /  → BACKUP DATABASE PLUS ARCHIVELOG;</w:t>
      </w:r>
    </w:p>
    <w:p>
      <w:pPr>
        <w:spacing w:before="0" w:after="0"/>
        <w:ind w:left="170"/>
        <w:shd w:val="clear" w:color="auto" w:fill="0E2340"/>
        <w:pBdr>
          <w:left w:val="single" w:sz="18" w:space="4" w:color="1B4F86"/>
        </w:pBdr>
      </w:pPr>
      <w:r>
        <w:rPr>
          <w:rFonts w:ascii="Consolas" w:hAnsi="Consolas"/>
          <w:color w:val="7FA2C8"/>
          <w:sz w:val="16"/>
        </w:rPr>
        <w:t>-- Exact syntax (DGMGRL SWITCHOVER, ALTER DATABASE commands, Broker config)</w:t>
      </w:r>
    </w:p>
    <w:p>
      <w:pPr>
        <w:spacing w:before="0" w:after="120"/>
        <w:ind w:left="170"/>
        <w:shd w:val="clear" w:color="auto" w:fill="0E2340"/>
        <w:pBdr>
          <w:left w:val="single" w:sz="18" w:space="4" w:color="1B4F86"/>
        </w:pBdr>
      </w:pPr>
      <w:r>
        <w:rPr>
          <w:rFonts w:ascii="Consolas" w:hAnsi="Consolas"/>
          <w:color w:val="7FA2C8"/>
          <w:sz w:val="16"/>
        </w:rPr>
        <w:t>-- comes from the project runbook and the Oracle version in use.</w:t>
      </w: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SNAPSHOT TIMING</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 xml:space="preserve">The snapshot must be taken </w:t>
      </w:r>
      <w:r>
        <w:rPr>
          <w:rFonts w:ascii="Calibri" w:hAnsi="Calibri"/>
          <w:b/>
          <w:i w:val="0"/>
          <w:color w:val="334E68"/>
          <w:sz w:val="18"/>
        </w:rPr>
        <w:t>after</w:t>
      </w:r>
      <w:r>
        <w:rPr>
          <w:rFonts w:ascii="Calibri" w:hAnsi="Calibri"/>
          <w:b w:val="0"/>
          <w:i w:val="0"/>
          <w:color w:val="334E68"/>
          <w:sz w:val="18"/>
        </w:rPr>
        <w:t xml:space="preserve"> the standby is fully synchronised and </w:t>
      </w:r>
      <w:r>
        <w:rPr>
          <w:rFonts w:ascii="Calibri" w:hAnsi="Calibri"/>
          <w:b/>
          <w:i w:val="0"/>
          <w:color w:val="334E68"/>
          <w:sz w:val="18"/>
        </w:rPr>
        <w:t>before</w:t>
      </w:r>
      <w:r>
        <w:rPr>
          <w:rFonts w:ascii="Calibri" w:hAnsi="Calibri"/>
          <w:b w:val="0"/>
          <w:i w:val="0"/>
          <w:color w:val="334E68"/>
          <w:sz w:val="18"/>
        </w:rPr>
        <w:t xml:space="preserve"> the role change. Taken too early it is not a consistent recovery point; taken after the switchover it protects nothing. Also confirm whether the project requires an application-consistent snapshot (quiesced database) or accepts a crash-consistent one for this purpose — that decision belongs to the DBA lead and must be recorded. </w:t>
      </w:r>
      <w:r>
        <w:rPr>
          <w:rFonts w:ascii="Calibri" w:hAnsi="Calibri"/>
          <w:b w:val="0"/>
          <w:i w:val="0"/>
          <w:color w:val="334E68"/>
          <w:sz w:val="18"/>
        </w:rPr>
        <w:t>Validate</w:t>
      </w:r>
    </w:p>
    <w:p>
      <w:pPr>
        <w:pStyle w:val="Heading2"/>
        <w:pBdr>
          <w:bottom w:val="single" w:sz="6" w:space="3" w:color="E8EDF3"/>
        </w:pBdr>
      </w:pPr>
      <w:r>
        <w:rPr>
          <w:rFonts w:ascii="Calibri" w:hAnsi="Calibri"/>
          <w:b/>
          <w:color w:val="0F2B4C"/>
          <w:sz w:val="26"/>
        </w:rPr>
        <w:t>9.4  Backup and rollback protection</w:t>
      </w:r>
    </w:p>
    <w:p>
      <w:pPr>
        <w:spacing w:after="60" w:before="160"/>
        <w:keepNext/>
      </w:pPr>
      <w:r>
        <w:rPr>
          <w:rFonts w:ascii="Calibri" w:hAnsi="Calibri"/>
          <w:b/>
          <w:color w:val="5B7288"/>
          <w:sz w:val="15"/>
        </w:rPr>
        <w:t>POST-SWITCHOVER PROTECTION SEQUENCE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891"/>
        <w:gridCol w:w="3662"/>
        <w:gridCol w:w="3084"/>
      </w:tblGrid>
      <w:tr>
        <w:trPr>
          <w:tblHeader/>
          <w:cantSplit/>
        </w:trPr>
        <w:tc>
          <w:tcPr>
            <w:tcW w:type="dxa" w:w="2891"/>
            <w:shd w:val="clear" w:color="auto" w:fill="0F2B4C"/>
          </w:tcPr>
          <w:p>
            <w:pPr>
              <w:spacing w:after="20" w:before="20"/>
            </w:pPr>
            <w:r/>
            <w:r>
              <w:rPr>
                <w:rFonts w:ascii="Calibri" w:hAnsi="Calibri"/>
                <w:b/>
                <w:color w:val="FFFFFF"/>
                <w:sz w:val="17"/>
              </w:rPr>
              <w:t>Step</w:t>
            </w:r>
          </w:p>
        </w:tc>
        <w:tc>
          <w:tcPr>
            <w:tcW w:type="dxa" w:w="3662"/>
            <w:shd w:val="clear" w:color="auto" w:fill="0F2B4C"/>
          </w:tcPr>
          <w:p>
            <w:pPr>
              <w:spacing w:after="20" w:before="20"/>
            </w:pPr>
            <w:r/>
            <w:r>
              <w:rPr>
                <w:rFonts w:ascii="Calibri" w:hAnsi="Calibri"/>
                <w:b/>
                <w:color w:val="FFFFFF"/>
                <w:sz w:val="17"/>
              </w:rPr>
              <w:t>Purpose</w:t>
            </w:r>
          </w:p>
        </w:tc>
        <w:tc>
          <w:tcPr>
            <w:tcW w:type="dxa" w:w="3084"/>
            <w:shd w:val="clear" w:color="auto" w:fill="0F2B4C"/>
          </w:tcPr>
          <w:p>
            <w:pPr>
              <w:spacing w:after="20" w:before="20"/>
            </w:pPr>
            <w:r/>
            <w:r>
              <w:rPr>
                <w:rFonts w:ascii="Calibri" w:hAnsi="Calibri"/>
                <w:b/>
                <w:color w:val="FFFFFF"/>
                <w:sz w:val="17"/>
              </w:rPr>
              <w:t>Evidence</w:t>
            </w:r>
          </w:p>
        </w:tc>
      </w:tr>
      <w:tr>
        <w:trPr>
          <w:cantSplit/>
        </w:trPr>
        <w:tc>
          <w:tcPr>
            <w:tcW w:type="dxa" w:w="2891"/>
          </w:tcPr>
          <w:p>
            <w:pPr>
              <w:spacing w:after="20" w:before="20"/>
            </w:pPr>
            <w:r/>
            <w:r>
              <w:rPr>
                <w:rFonts w:ascii="Calibri" w:hAnsi="Calibri"/>
                <w:b/>
                <w:i w:val="0"/>
                <w:color w:val="334E68"/>
                <w:sz w:val="17"/>
              </w:rPr>
              <w:t>AWS disk-level snapshot before subsequent activities</w:t>
            </w:r>
          </w:p>
        </w:tc>
        <w:tc>
          <w:tcPr>
            <w:tcW w:type="dxa" w:w="3662"/>
          </w:tcPr>
          <w:p>
            <w:pPr>
              <w:spacing w:after="20" w:before="20"/>
            </w:pPr>
            <w:r/>
            <w:r>
              <w:rPr>
                <w:rFonts w:ascii="Calibri" w:hAnsi="Calibri"/>
                <w:b w:val="0"/>
                <w:i w:val="0"/>
                <w:color w:val="334E68"/>
                <w:sz w:val="17"/>
              </w:rPr>
              <w:t>Establishes the rollback recovery point</w:t>
            </w:r>
          </w:p>
        </w:tc>
        <w:tc>
          <w:tcPr>
            <w:tcW w:type="dxa" w:w="3084"/>
          </w:tcPr>
          <w:p>
            <w:pPr>
              <w:spacing w:after="20" w:before="20"/>
            </w:pPr>
            <w:r/>
            <w:r>
              <w:rPr>
                <w:rFonts w:ascii="Calibri" w:hAnsi="Calibri"/>
                <w:b w:val="0"/>
                <w:i w:val="0"/>
                <w:color w:val="334E68"/>
                <w:sz w:val="17"/>
              </w:rPr>
              <w:t>Snapshot ID, timestamp, volume list</w:t>
            </w:r>
          </w:p>
        </w:tc>
      </w:tr>
      <w:tr>
        <w:trPr>
          <w:cantSplit/>
        </w:trPr>
        <w:tc>
          <w:tcPr>
            <w:tcW w:type="dxa" w:w="2891"/>
            <w:shd w:val="clear" w:color="auto" w:fill="FAFBFD"/>
          </w:tcPr>
          <w:p>
            <w:pPr>
              <w:spacing w:after="20" w:before="20"/>
            </w:pPr>
            <w:r/>
            <w:r>
              <w:rPr>
                <w:rFonts w:ascii="Calibri" w:hAnsi="Calibri"/>
                <w:b/>
                <w:i w:val="0"/>
                <w:color w:val="334E68"/>
                <w:sz w:val="17"/>
              </w:rPr>
              <w:t>Validate the new primary after switchover</w:t>
            </w:r>
          </w:p>
        </w:tc>
        <w:tc>
          <w:tcPr>
            <w:tcW w:type="dxa" w:w="3662"/>
            <w:shd w:val="clear" w:color="auto" w:fill="FAFBFD"/>
          </w:tcPr>
          <w:p>
            <w:pPr>
              <w:spacing w:after="20" w:before="20"/>
            </w:pPr>
            <w:r/>
            <w:r>
              <w:rPr>
                <w:rFonts w:ascii="Calibri" w:hAnsi="Calibri"/>
                <w:b w:val="0"/>
                <w:i w:val="0"/>
                <w:color w:val="334E68"/>
                <w:sz w:val="17"/>
              </w:rPr>
              <w:t>Confirms the database is open, services are registered and SAP can connect</w:t>
            </w:r>
          </w:p>
        </w:tc>
        <w:tc>
          <w:tcPr>
            <w:tcW w:type="dxa" w:w="3084"/>
            <w:shd w:val="clear" w:color="auto" w:fill="FAFBFD"/>
          </w:tcPr>
          <w:p>
            <w:pPr>
              <w:spacing w:after="20" w:before="20"/>
            </w:pPr>
            <w:r/>
            <w:r>
              <w:rPr>
                <w:rFonts w:ascii="Calibri" w:hAnsi="Calibri"/>
                <w:b w:val="0"/>
                <w:i w:val="0"/>
                <w:color w:val="334E68"/>
                <w:sz w:val="17"/>
              </w:rPr>
              <w:t>Listener/services output, connection test</w:t>
            </w:r>
          </w:p>
        </w:tc>
      </w:tr>
      <w:tr>
        <w:trPr>
          <w:cantSplit/>
        </w:trPr>
        <w:tc>
          <w:tcPr>
            <w:tcW w:type="dxa" w:w="2891"/>
          </w:tcPr>
          <w:p>
            <w:pPr>
              <w:spacing w:after="20" w:before="20"/>
            </w:pPr>
            <w:r/>
            <w:r>
              <w:rPr>
                <w:rFonts w:ascii="Calibri" w:hAnsi="Calibri"/>
                <w:b/>
                <w:i w:val="0"/>
                <w:color w:val="334E68"/>
                <w:sz w:val="17"/>
              </w:rPr>
              <w:t xml:space="preserve">Run Oracle </w:t>
            </w:r>
            <w:r>
              <w:rPr>
                <w:rFonts w:ascii="Consolas" w:hAnsi="Consolas"/>
                <w:b/>
                <w:i w:val="0"/>
                <w:color w:val="123A63"/>
                <w:sz w:val="17"/>
                <w:shd w:val="clear" w:color="auto" w:fill="EEF2F7"/>
              </w:rPr>
              <w:t>DBVERIFY</w:t>
            </w:r>
          </w:p>
        </w:tc>
        <w:tc>
          <w:tcPr>
            <w:tcW w:type="dxa" w:w="3662"/>
          </w:tcPr>
          <w:p>
            <w:pPr>
              <w:spacing w:after="20" w:before="20"/>
            </w:pPr>
            <w:r/>
            <w:r>
              <w:rPr>
                <w:rFonts w:ascii="Calibri" w:hAnsi="Calibri"/>
                <w:b w:val="0"/>
                <w:i w:val="0"/>
                <w:color w:val="334E68"/>
                <w:sz w:val="17"/>
              </w:rPr>
              <w:t>Checks for database block corruption in datafiles</w:t>
            </w:r>
          </w:p>
        </w:tc>
        <w:tc>
          <w:tcPr>
            <w:tcW w:type="dxa" w:w="3084"/>
          </w:tcPr>
          <w:p>
            <w:pPr>
              <w:spacing w:after="20" w:before="20"/>
            </w:pPr>
            <w:r/>
            <w:r>
              <w:rPr>
                <w:rFonts w:ascii="Calibri" w:hAnsi="Calibri"/>
                <w:b w:val="0"/>
                <w:i w:val="0"/>
                <w:color w:val="334E68"/>
                <w:sz w:val="17"/>
              </w:rPr>
              <w:t>DBVERIFY output with no corrupted blocks</w:t>
            </w:r>
          </w:p>
        </w:tc>
      </w:tr>
      <w:tr>
        <w:trPr>
          <w:cantSplit/>
        </w:trPr>
        <w:tc>
          <w:tcPr>
            <w:tcW w:type="dxa" w:w="2891"/>
            <w:shd w:val="clear" w:color="auto" w:fill="FAFBFD"/>
          </w:tcPr>
          <w:p>
            <w:pPr>
              <w:spacing w:after="20" w:before="20"/>
            </w:pPr>
            <w:r/>
            <w:r>
              <w:rPr>
                <w:rFonts w:ascii="Calibri" w:hAnsi="Calibri"/>
                <w:b/>
                <w:i w:val="0"/>
                <w:color w:val="334E68"/>
                <w:sz w:val="17"/>
              </w:rPr>
              <w:t xml:space="preserve">Take an Oracle </w:t>
            </w:r>
            <w:r>
              <w:rPr>
                <w:rFonts w:ascii="Consolas" w:hAnsi="Consolas"/>
                <w:b/>
                <w:i w:val="0"/>
                <w:color w:val="123A63"/>
                <w:sz w:val="17"/>
                <w:shd w:val="clear" w:color="auto" w:fill="EEF2F7"/>
              </w:rPr>
              <w:t>RMAN</w:t>
            </w:r>
            <w:r>
              <w:rPr>
                <w:rFonts w:ascii="Calibri" w:hAnsi="Calibri"/>
                <w:b/>
                <w:i w:val="0"/>
                <w:color w:val="334E68"/>
                <w:sz w:val="17"/>
              </w:rPr>
              <w:t xml:space="preserve"> backup</w:t>
            </w:r>
          </w:p>
        </w:tc>
        <w:tc>
          <w:tcPr>
            <w:tcW w:type="dxa" w:w="3662"/>
            <w:shd w:val="clear" w:color="auto" w:fill="FAFBFD"/>
          </w:tcPr>
          <w:p>
            <w:pPr>
              <w:spacing w:after="20" w:before="20"/>
            </w:pPr>
            <w:r/>
            <w:r>
              <w:rPr>
                <w:rFonts w:ascii="Calibri" w:hAnsi="Calibri"/>
                <w:b w:val="0"/>
                <w:i w:val="0"/>
                <w:color w:val="334E68"/>
                <w:sz w:val="17"/>
              </w:rPr>
              <w:t>Creates the first backup of the new primary and a fresh recovery baseline</w:t>
            </w:r>
          </w:p>
        </w:tc>
        <w:tc>
          <w:tcPr>
            <w:tcW w:type="dxa" w:w="3084"/>
            <w:shd w:val="clear" w:color="auto" w:fill="FAFBFD"/>
          </w:tcPr>
          <w:p>
            <w:pPr>
              <w:spacing w:after="20" w:before="20"/>
            </w:pPr>
            <w:r/>
            <w:r>
              <w:rPr>
                <w:rFonts w:ascii="Calibri" w:hAnsi="Calibri"/>
                <w:b w:val="0"/>
                <w:i w:val="0"/>
                <w:color w:val="334E68"/>
                <w:sz w:val="17"/>
              </w:rPr>
              <w:t>RMAN log, backup piece list, completion status</w:t>
            </w:r>
          </w:p>
        </w:tc>
      </w:tr>
      <w:tr>
        <w:trPr>
          <w:cantSplit/>
        </w:trPr>
        <w:tc>
          <w:tcPr>
            <w:tcW w:type="dxa" w:w="2891"/>
          </w:tcPr>
          <w:p>
            <w:pPr>
              <w:spacing w:after="20" w:before="20"/>
            </w:pPr>
            <w:r/>
            <w:r>
              <w:rPr>
                <w:rFonts w:ascii="Calibri" w:hAnsi="Calibri"/>
                <w:b/>
                <w:i w:val="0"/>
                <w:color w:val="334E68"/>
                <w:sz w:val="17"/>
              </w:rPr>
              <w:t>Install / verify the OEM agent in production</w:t>
            </w:r>
          </w:p>
        </w:tc>
        <w:tc>
          <w:tcPr>
            <w:tcW w:type="dxa" w:w="3662"/>
          </w:tcPr>
          <w:p>
            <w:pPr>
              <w:spacing w:after="20" w:before="20"/>
            </w:pPr>
            <w:r/>
            <w:r>
              <w:rPr>
                <w:rFonts w:ascii="Calibri" w:hAnsi="Calibri"/>
                <w:b w:val="0"/>
                <w:i w:val="0"/>
                <w:color w:val="334E68"/>
                <w:sz w:val="17"/>
              </w:rPr>
              <w:t>Restores monitoring and alerting coverage on the new primary</w:t>
            </w:r>
          </w:p>
        </w:tc>
        <w:tc>
          <w:tcPr>
            <w:tcW w:type="dxa" w:w="3084"/>
          </w:tcPr>
          <w:p>
            <w:pPr>
              <w:spacing w:after="20" w:before="20"/>
            </w:pPr>
            <w:r/>
            <w:r>
              <w:rPr>
                <w:rFonts w:ascii="Calibri" w:hAnsi="Calibri"/>
                <w:b w:val="0"/>
                <w:i w:val="0"/>
                <w:color w:val="334E68"/>
                <w:sz w:val="17"/>
              </w:rPr>
              <w:t>Agent status, target visible in the monitoring console</w:t>
            </w:r>
          </w:p>
        </w:tc>
      </w:tr>
    </w:tbl>
    <w:p>
      <w:pPr>
        <w:spacing w:after="40"/>
      </w:pPr>
    </w:p>
    <w:p>
      <w:pPr>
        <w:pStyle w:val="Heading2"/>
        <w:pBdr>
          <w:bottom w:val="single" w:sz="6" w:space="3" w:color="E8EDF3"/>
        </w:pBdr>
      </w:pPr>
      <w:r>
        <w:rPr>
          <w:rFonts w:ascii="Calibri" w:hAnsi="Calibri"/>
          <w:b/>
          <w:color w:val="0F2B4C"/>
          <w:sz w:val="26"/>
        </w:rPr>
        <w:t>9.5  DNS and IPAM after database switchover</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The </w:t>
      </w:r>
      <w:r>
        <w:rPr>
          <w:rFonts w:ascii="Calibri" w:hAnsi="Calibri"/>
          <w:b/>
          <w:i w:val="0"/>
          <w:color w:val="334E68"/>
          <w:sz w:val="19"/>
        </w:rPr>
        <w:t>virtual hostname remains unchanged</w:t>
      </w:r>
      <w:r>
        <w:rPr>
          <w:rFonts w:ascii="Calibri" w:hAnsi="Calibri"/>
          <w:b w:val="0"/>
          <w:i w:val="0"/>
          <w:color w:val="334E68"/>
          <w:sz w:val="19"/>
        </w:rPr>
        <w:t xml:space="preserve"> according to the migration design — SAP continues to address the database by the same name.</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The </w:t>
      </w:r>
      <w:r>
        <w:rPr>
          <w:rFonts w:ascii="Calibri" w:hAnsi="Calibri"/>
          <w:b/>
          <w:i w:val="0"/>
          <w:color w:val="334E68"/>
          <w:sz w:val="19"/>
        </w:rPr>
        <w:t>target IP is updated</w:t>
      </w:r>
      <w:r>
        <w:rPr>
          <w:rFonts w:ascii="Calibri" w:hAnsi="Calibri"/>
          <w:b w:val="0"/>
          <w:i w:val="0"/>
          <w:color w:val="334E68"/>
          <w:sz w:val="19"/>
        </w:rPr>
        <w:t xml:space="preserve"> in DNS/IPAM.</w:t>
      </w:r>
    </w:p>
    <w:p>
      <w:pPr>
        <w:spacing w:after="40"/>
        <w:ind w:left="351" w:hanging="227"/>
      </w:pPr>
      <w:r>
        <w:rPr>
          <w:rFonts w:ascii="Calibri" w:hAnsi="Calibri"/>
          <w:b/>
          <w:color w:val="1B4F86"/>
          <w:sz w:val="19"/>
        </w:rPr>
        <w:t xml:space="preserve">▪  </w:t>
      </w:r>
      <w:r>
        <w:rPr>
          <w:rFonts w:ascii="Calibri" w:hAnsi="Calibri"/>
          <w:b/>
          <w:i w:val="0"/>
          <w:color w:val="334E68"/>
          <w:sz w:val="19"/>
        </w:rPr>
        <w:t>CNAME entries are updated</w:t>
      </w:r>
      <w:r>
        <w:rPr>
          <w:rFonts w:ascii="Calibri" w:hAnsi="Calibri"/>
          <w:b w:val="0"/>
          <w:i w:val="0"/>
          <w:color w:val="334E68"/>
          <w:sz w:val="19"/>
        </w:rPr>
        <w:t xml:space="preserve"> to point to the correct target environment.</w:t>
      </w:r>
    </w:p>
    <w:p>
      <w:pPr>
        <w:spacing w:after="40"/>
        <w:ind w:left="351" w:hanging="227"/>
      </w:pPr>
      <w:r>
        <w:rPr>
          <w:rFonts w:ascii="Calibri" w:hAnsi="Calibri"/>
          <w:b/>
          <w:color w:val="1B4F86"/>
          <w:sz w:val="19"/>
        </w:rPr>
        <w:t xml:space="preserve">▪  </w:t>
      </w:r>
      <w:r>
        <w:rPr>
          <w:rFonts w:ascii="Calibri" w:hAnsi="Calibri"/>
          <w:b w:val="0"/>
          <w:i w:val="0"/>
          <w:color w:val="334E68"/>
          <w:sz w:val="19"/>
        </w:rPr>
        <w:t>Verify hostname and IP resolution from every consumer: SAP application hosts, interfaces, backup and monitoring systems.</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Clean obsolete host-file entries — a stale </w:t>
      </w:r>
      <w:r>
        <w:rPr>
          <w:rFonts w:ascii="Consolas" w:hAnsi="Consolas"/>
          <w:b w:val="0"/>
          <w:i w:val="0"/>
          <w:color w:val="123A63"/>
          <w:sz w:val="19"/>
          <w:shd w:val="clear" w:color="auto" w:fill="EEF2F7"/>
        </w:rPr>
        <w:t>/etc/hosts</w:t>
      </w:r>
      <w:r>
        <w:rPr>
          <w:rFonts w:ascii="Calibri" w:hAnsi="Calibri"/>
          <w:b w:val="0"/>
          <w:i w:val="0"/>
          <w:color w:val="334E68"/>
          <w:sz w:val="19"/>
        </w:rPr>
        <w:t xml:space="preserve"> line overrides DNS and silently reconnects you to the source.</w:t>
      </w:r>
    </w:p>
    <w:p>
      <w:pPr>
        <w:spacing w:before="120" w:after="0"/>
        <w:ind w:left="170"/>
        <w:shd w:val="clear" w:color="auto" w:fill="0E2340"/>
        <w:pBdr>
          <w:left w:val="single" w:sz="18" w:space="4" w:color="1B4F86"/>
        </w:pBdr>
      </w:pPr>
      <w:r>
        <w:rPr>
          <w:rFonts w:ascii="Consolas" w:hAnsi="Consolas"/>
          <w:color w:val="7FA2C8"/>
          <w:sz w:val="16"/>
        </w:rPr>
        <w:t># Resolution checks from an SAP application host</w:t>
      </w:r>
    </w:p>
    <w:p>
      <w:pPr>
        <w:spacing w:before="0" w:after="0"/>
        <w:ind w:left="170"/>
        <w:shd w:val="clear" w:color="auto" w:fill="0E2340"/>
        <w:pBdr>
          <w:left w:val="single" w:sz="18" w:space="4" w:color="1B4F86"/>
        </w:pBdr>
      </w:pPr>
      <w:r>
        <w:rPr>
          <w:rFonts w:ascii="Consolas" w:hAnsi="Consolas"/>
          <w:color w:val="D6E4F5"/>
          <w:sz w:val="16"/>
        </w:rPr>
        <w:t>getent hosts &lt;virtual-db-hostname&gt;      # must return the NEW target IP</w:t>
      </w:r>
    </w:p>
    <w:p>
      <w:pPr>
        <w:spacing w:before="0" w:after="0"/>
        <w:ind w:left="170"/>
        <w:shd w:val="clear" w:color="auto" w:fill="0E2340"/>
        <w:pBdr>
          <w:left w:val="single" w:sz="18" w:space="4" w:color="1B4F86"/>
        </w:pBdr>
      </w:pPr>
      <w:r>
        <w:rPr>
          <w:rFonts w:ascii="Consolas" w:hAnsi="Consolas"/>
          <w:color w:val="D6E4F5"/>
          <w:sz w:val="16"/>
        </w:rPr>
        <w:t>nslookup &lt;virtual-db-hostname&gt;         # confirm the CNAME chain</w:t>
      </w:r>
    </w:p>
    <w:p>
      <w:pPr>
        <w:spacing w:before="0" w:after="0"/>
        <w:ind w:left="170"/>
        <w:shd w:val="clear" w:color="auto" w:fill="0E2340"/>
        <w:pBdr>
          <w:left w:val="single" w:sz="18" w:space="4" w:color="1B4F86"/>
        </w:pBdr>
      </w:pPr>
      <w:r>
        <w:rPr>
          <w:rFonts w:ascii="Consolas" w:hAnsi="Consolas"/>
          <w:color w:val="D6E4F5"/>
          <w:sz w:val="16"/>
        </w:rPr>
        <w:t>grep -n &lt;virtual-db-hostname&gt; /etc/hosts  # must be empty or correct</w:t>
      </w:r>
    </w:p>
    <w:p>
      <w:pPr>
        <w:spacing w:before="0" w:after="0"/>
        <w:ind w:left="170"/>
        <w:shd w:val="clear" w:color="auto" w:fill="0E2340"/>
        <w:pBdr>
          <w:left w:val="single" w:sz="18" w:space="4" w:color="1B4F86"/>
        </w:pBdr>
      </w:pPr>
      <w:r>
        <w:rPr>
          <w:rFonts w:ascii="Consolas" w:hAnsi="Consolas"/>
          <w:color w:val="7FA2C8"/>
          <w:sz w:val="16"/>
        </w:rPr>
        <w:t># then prove the SAP side sees the same database</w:t>
      </w:r>
    </w:p>
    <w:p>
      <w:pPr>
        <w:spacing w:before="0" w:after="120"/>
        <w:ind w:left="170"/>
        <w:shd w:val="clear" w:color="auto" w:fill="0E2340"/>
        <w:pBdr>
          <w:left w:val="single" w:sz="18" w:space="4" w:color="1B4F86"/>
        </w:pBdr>
      </w:pPr>
      <w:r>
        <w:rPr>
          <w:rFonts w:ascii="Consolas" w:hAnsi="Consolas"/>
          <w:color w:val="D6E4F5"/>
          <w:sz w:val="16"/>
        </w:rPr>
        <w:t>R3trans -d                             # expect return code 0000</w:t>
      </w: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CACHE AND CONNECTION POOLING</w:t>
      </w:r>
    </w:p>
    <w:p>
      <w:pPr>
        <w:spacing w:after="40"/>
        <w:ind w:left="170"/>
        <w:shd w:val="clear" w:color="auto" w:fill="FFFBFB"/>
        <w:pBdr>
          <w:left w:val="single" w:sz="6" w:space="6" w:color="C8434B"/>
          <w:bottom w:val="single" w:sz="6" w:space="6" w:color="C8434B"/>
          <w:right w:val="single" w:sz="6" w:space="6" w:color="C8434B"/>
        </w:pBdr>
      </w:pPr>
      <w:r>
        <w:rPr>
          <w:rFonts w:ascii="Calibri" w:hAnsi="Calibri"/>
          <w:b w:val="0"/>
          <w:i w:val="0"/>
          <w:color w:val="334E68"/>
          <w:sz w:val="18"/>
        </w:rPr>
        <w:t>DNS TTL, name-service caching and pooled database connections can keep a system talking to the old IP after the record changes. Reduce TTL ahead of cutover as designed, restart the affected services, and verify with an actual connection test (</w:t>
      </w:r>
      <w:r>
        <w:rPr>
          <w:rFonts w:ascii="Consolas" w:hAnsi="Consolas"/>
          <w:b w:val="0"/>
          <w:i w:val="0"/>
          <w:color w:val="123A63"/>
          <w:sz w:val="18"/>
          <w:shd w:val="clear" w:color="auto" w:fill="EEF2F7"/>
        </w:rPr>
        <w:t>R3trans -d</w:t>
      </w:r>
      <w:r>
        <w:rPr>
          <w:rFonts w:ascii="Calibri" w:hAnsi="Calibri"/>
          <w:b w:val="0"/>
          <w:i w:val="0"/>
          <w:color w:val="334E68"/>
          <w:sz w:val="18"/>
        </w:rPr>
        <w:t>) rather than by reading the DNS record.</w:t>
      </w:r>
    </w:p>
    <w:p>
      <w:pPr>
        <w:pStyle w:val="Heading2"/>
        <w:pBdr>
          <w:bottom w:val="single" w:sz="6" w:space="3" w:color="E8EDF3"/>
        </w:pBdr>
      </w:pPr>
      <w:r>
        <w:rPr>
          <w:rFonts w:ascii="Calibri" w:hAnsi="Calibri"/>
          <w:b/>
          <w:color w:val="0F2B4C"/>
          <w:sz w:val="26"/>
        </w:rPr>
        <w:t>9.6  Module 6 readiness checklist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Data Guard configured and applying with zero gap</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Listener, SQL*Net and service names validated on both sides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Data Guard parameters and Broker configuration reviewed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Observer node configured for HA environments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Source and target patch levels aligned as required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Log switching tested and reviewed before switchover</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Source and target SCN compared and recorded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Evidence attached to the Jira/change ticket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Approval obtained before production changes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AWS disk-level snapshot taken at the correct point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Application shutdown and DBA handover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Switchover executed and new primary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DBVERIFY completed with no corruption found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RMAN backup of the new primary completed successfully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OEM agent installed/verified in production where applicable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Virtual hostname unchanged; target IP and CNAME updated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Resolution verified from every consumer host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Obsolete host-file entries cleaned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R3trans -d returns 0000 from the application host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Rollback path tested or rehearsed and still available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br w:type="page"/>
      </w:r>
    </w:p>
    <w:p>
      <w:pPr>
        <w:spacing w:after="20"/>
      </w:pPr>
      <w:r>
        <w:rPr>
          <w:rFonts w:ascii="Calibri" w:hAnsi="Calibri"/>
          <w:b/>
          <w:color w:val="1B4F86"/>
          <w:sz w:val="16"/>
        </w:rPr>
        <w:t>MODULE 7 · SECTION 10</w:t>
      </w:r>
    </w:p>
    <w:p>
      <w:pPr>
        <w:pStyle w:val="Heading1"/>
        <w:pBdr>
          <w:bottom w:val="single" w:sz="12" w:space="5" w:color="1B4F86"/>
        </w:pBdr>
        <w:spacing w:after="160"/>
      </w:pPr>
      <w:r>
        <w:rPr>
          <w:rFonts w:ascii="Calibri Light" w:hAnsi="Calibri Light"/>
          <w:b/>
          <w:color w:val="0F2B4C"/>
          <w:sz w:val="38"/>
        </w:rPr>
        <w:t>10  Module 7 — Cutover, Go/No-Go, rollback and hypercare</w:t>
      </w:r>
    </w:p>
    <w:p>
      <w:pPr>
        <w:spacing w:after="200"/>
      </w:pPr>
      <w:r>
        <w:rPr>
          <w:rFonts w:ascii="Calibri" w:hAnsi="Calibri"/>
          <w:i/>
          <w:color w:val="5B7288"/>
          <w:sz w:val="21"/>
        </w:rPr>
        <w:t>Cutover is the execution of everything the previous modules prepared. It succeeds when the sequence is boring: no surprises, no improvisation, evidence at each handover, and a decision gate that is allowed to say no.</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6175000"/>
            <wp:docPr id="7" name="Picture 7"/>
            <wp:cNvGraphicFramePr>
              <a:graphicFrameLocks noChangeAspect="1"/>
            </wp:cNvGraphicFramePr>
            <a:graphic>
              <a:graphicData uri="http://schemas.openxmlformats.org/drawingml/2006/picture">
                <pic:pic>
                  <pic:nvPicPr>
                    <pic:cNvPr id="0" name="d6-cutover.png"/>
                    <pic:cNvPicPr/>
                  </pic:nvPicPr>
                  <pic:blipFill>
                    <a:blip r:embed="rId17"/>
                    <a:stretch>
                      <a:fillRect/>
                    </a:stretch>
                  </pic:blipFill>
                  <pic:spPr>
                    <a:xfrm>
                      <a:off x="0" y="0"/>
                      <a:ext cx="8892000" cy="6175000"/>
                    </a:xfrm>
                    <a:prstGeom prst="rect"/>
                  </pic:spPr>
                </pic:pic>
              </a:graphicData>
            </a:graphic>
          </wp:inline>
        </w:drawing>
      </w:r>
    </w:p>
    <w:p>
      <w:pPr>
        <w:spacing w:after="240"/>
      </w:pPr>
      <w:r>
        <w:rPr>
          <w:rFonts w:ascii="Calibri" w:hAnsi="Calibri"/>
          <w:i/>
          <w:color w:val="5B7288"/>
          <w:sz w:val="17"/>
        </w:rPr>
        <w:t>Figure 6. Cutover lane sequence. Application stops and hands over to the DBA; the DBA completes backup, snapshot, switchover or recovery and validation; Basis performs post-processing and starts SAP only after R3trans -d returns 0000; the functional team tests; and the Go/No-Go gate decides release or rollback.</w:t>
      </w: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10.1  Cooldown and cutover preparation</w:t>
      </w:r>
    </w:p>
    <w:p>
      <w:pPr>
        <w:spacing w:after="40"/>
        <w:ind w:left="351" w:hanging="227"/>
      </w:pPr>
      <w:r>
        <w:rPr>
          <w:rFonts w:ascii="Calibri" w:hAnsi="Calibri"/>
          <w:b/>
          <w:color w:val="1B4F86"/>
          <w:sz w:val="19"/>
        </w:rPr>
        <w:t xml:space="preserve">▪  </w:t>
      </w:r>
      <w:r>
        <w:rPr>
          <w:rFonts w:ascii="Calibri" w:hAnsi="Calibri"/>
          <w:b w:val="0"/>
          <w:i w:val="0"/>
          <w:color w:val="334E68"/>
          <w:sz w:val="19"/>
        </w:rPr>
        <w:t>Complete cooldown/ramp-up activities as defined by the project (for example reduced load, frozen changes, batch blackout).</w:t>
      </w:r>
    </w:p>
    <w:p>
      <w:pPr>
        <w:spacing w:after="40"/>
        <w:ind w:left="351" w:hanging="227"/>
      </w:pPr>
      <w:r>
        <w:rPr>
          <w:rFonts w:ascii="Calibri" w:hAnsi="Calibri"/>
          <w:b/>
          <w:color w:val="1B4F86"/>
          <w:sz w:val="19"/>
        </w:rPr>
        <w:t xml:space="preserve">▪  </w:t>
      </w:r>
      <w:r>
        <w:rPr>
          <w:rFonts w:ascii="Calibri" w:hAnsi="Calibri"/>
          <w:b w:val="0"/>
          <w:i w:val="0"/>
          <w:color w:val="334E68"/>
          <w:sz w:val="19"/>
        </w:rPr>
        <w:t>Shut down the application and associated web services as required.</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Hand over database-related activities to the DBA team </w:t>
      </w:r>
      <w:r>
        <w:rPr>
          <w:rFonts w:ascii="Calibri" w:hAnsi="Calibri"/>
          <w:b/>
          <w:i w:val="0"/>
          <w:color w:val="334E68"/>
          <w:sz w:val="19"/>
        </w:rPr>
        <w:t>after</w:t>
      </w:r>
      <w:r>
        <w:rPr>
          <w:rFonts w:ascii="Calibri" w:hAnsi="Calibri"/>
          <w:b w:val="0"/>
          <w:i w:val="0"/>
          <w:color w:val="334E68"/>
          <w:sz w:val="19"/>
        </w:rPr>
        <w:t xml:space="preserve"> application shutdown, and get that handover acknowledged.</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Confirm all required evidence and approvals are ready </w:t>
      </w:r>
      <w:r>
        <w:rPr>
          <w:rFonts w:ascii="Calibri" w:hAnsi="Calibri"/>
          <w:b/>
          <w:i w:val="0"/>
          <w:color w:val="334E68"/>
          <w:sz w:val="19"/>
        </w:rPr>
        <w:t>before</w:t>
      </w:r>
      <w:r>
        <w:rPr>
          <w:rFonts w:ascii="Calibri" w:hAnsi="Calibri"/>
          <w:b w:val="0"/>
          <w:i w:val="0"/>
          <w:color w:val="334E68"/>
          <w:sz w:val="19"/>
        </w:rPr>
        <w:t xml:space="preserve"> the window opens, not during it.</w:t>
      </w:r>
    </w:p>
    <w:p>
      <w:pPr>
        <w:spacing w:after="40"/>
        <w:ind w:left="351" w:hanging="227"/>
      </w:pPr>
      <w:r>
        <w:rPr>
          <w:rFonts w:ascii="Calibri" w:hAnsi="Calibri"/>
          <w:b/>
          <w:color w:val="1B4F86"/>
          <w:sz w:val="19"/>
        </w:rPr>
        <w:t xml:space="preserve">▪  </w:t>
      </w:r>
      <w:r>
        <w:rPr>
          <w:rFonts w:ascii="Calibri" w:hAnsi="Calibri"/>
          <w:b w:val="0"/>
          <w:i w:val="0"/>
          <w:color w:val="334E68"/>
          <w:sz w:val="19"/>
        </w:rPr>
        <w:t>Confirm the rollback point exists and the rollback owner is on the bridge.</w:t>
      </w:r>
    </w:p>
    <w:p>
      <w:pPr>
        <w:spacing w:after="40"/>
        <w:ind w:left="351" w:hanging="227"/>
      </w:pPr>
      <w:r>
        <w:rPr>
          <w:rFonts w:ascii="Calibri" w:hAnsi="Calibri"/>
          <w:b/>
          <w:color w:val="1B4F86"/>
          <w:sz w:val="19"/>
        </w:rPr>
        <w:t xml:space="preserve">▪  </w:t>
      </w:r>
      <w:r>
        <w:rPr>
          <w:rFonts w:ascii="Calibri" w:hAnsi="Calibri"/>
          <w:b w:val="0"/>
          <w:i w:val="0"/>
          <w:color w:val="334E68"/>
          <w:sz w:val="19"/>
        </w:rPr>
        <w:t>Confirm the window, the checkpoint times and the latest safe point-of-no-return.</w:t>
      </w: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DEFINE THE POINT OF NO RETURN</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Every cutover has a moment after which rollback becomes expensive or impossible — typically after the source has been changed, decommissioned, or after new business data has been created on the target. Agree that point in advance, announce it on the bridge when you pass it, and make sure the Go/No-Go decision happens before it.</w:t>
      </w:r>
    </w:p>
    <w:p>
      <w:pPr>
        <w:pStyle w:val="Heading2"/>
        <w:pBdr>
          <w:bottom w:val="single" w:sz="6" w:space="3" w:color="E8EDF3"/>
        </w:pBdr>
      </w:pPr>
      <w:r>
        <w:rPr>
          <w:rFonts w:ascii="Calibri" w:hAnsi="Calibri"/>
          <w:b/>
          <w:color w:val="0F2B4C"/>
          <w:sz w:val="26"/>
        </w:rPr>
        <w:t>10.2  SAP Basis post-processing</w:t>
      </w:r>
    </w:p>
    <w:p>
      <w:pPr>
        <w:spacing w:after="60" w:before="160"/>
        <w:keepNext/>
      </w:pPr>
      <w:r>
        <w:rPr>
          <w:rFonts w:ascii="Calibri" w:hAnsi="Calibri"/>
          <w:b/>
          <w:color w:val="5B7288"/>
          <w:sz w:val="15"/>
        </w:rPr>
        <w:t>BASIS POST-PROCESSING SEQUENCE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3662"/>
        <w:gridCol w:w="549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3662"/>
            <w:shd w:val="clear" w:color="auto" w:fill="0F2B4C"/>
          </w:tcPr>
          <w:p>
            <w:pPr>
              <w:spacing w:after="20" w:before="20"/>
            </w:pPr>
            <w:r/>
            <w:r>
              <w:rPr>
                <w:rFonts w:ascii="Calibri" w:hAnsi="Calibri"/>
                <w:b/>
                <w:color w:val="FFFFFF"/>
                <w:sz w:val="17"/>
              </w:rPr>
              <w:t>Activity</w:t>
            </w:r>
          </w:p>
        </w:tc>
        <w:tc>
          <w:tcPr>
            <w:tcW w:type="dxa" w:w="5494"/>
            <w:shd w:val="clear" w:color="auto" w:fill="0F2B4C"/>
          </w:tcPr>
          <w:p>
            <w:pPr>
              <w:spacing w:after="20" w:before="20"/>
            </w:pPr>
            <w:r/>
            <w:r>
              <w:rPr>
                <w:rFonts w:ascii="Calibri" w:hAnsi="Calibri"/>
                <w:b/>
                <w:color w:val="FFFFFF"/>
                <w:sz w:val="17"/>
              </w:rPr>
              <w:t>Detail and acceptance</w:t>
            </w:r>
          </w:p>
        </w:tc>
      </w:tr>
      <w:tr>
        <w:trPr>
          <w:cantSplit/>
        </w:trPr>
        <w:tc>
          <w:tcPr>
            <w:tcW w:type="dxa" w:w="482"/>
          </w:tcPr>
          <w:p>
            <w:pPr>
              <w:spacing w:after="20" w:before="20"/>
            </w:pPr>
            <w:r/>
            <w:r>
              <w:rPr>
                <w:rFonts w:ascii="Calibri" w:hAnsi="Calibri"/>
                <w:b/>
                <w:i w:val="0"/>
                <w:color w:val="334E68"/>
                <w:sz w:val="17"/>
              </w:rPr>
              <w:t>1</w:t>
            </w:r>
          </w:p>
        </w:tc>
        <w:tc>
          <w:tcPr>
            <w:tcW w:type="dxa" w:w="3662"/>
          </w:tcPr>
          <w:p>
            <w:pPr>
              <w:spacing w:after="20" w:before="20"/>
            </w:pPr>
            <w:r/>
            <w:r>
              <w:rPr>
                <w:rFonts w:ascii="Calibri" w:hAnsi="Calibri"/>
                <w:b w:val="0"/>
                <w:i w:val="0"/>
                <w:color w:val="334E68"/>
                <w:sz w:val="17"/>
              </w:rPr>
              <w:t xml:space="preserve">Synchronize the SAP global directory using </w:t>
            </w:r>
            <w:r>
              <w:rPr>
                <w:rFonts w:ascii="Consolas" w:hAnsi="Consolas"/>
                <w:b w:val="0"/>
                <w:i w:val="0"/>
                <w:color w:val="123A63"/>
                <w:sz w:val="17"/>
                <w:shd w:val="clear" w:color="auto" w:fill="EEF2F7"/>
              </w:rPr>
              <w:t>rsync</w:t>
            </w:r>
          </w:p>
        </w:tc>
        <w:tc>
          <w:tcPr>
            <w:tcW w:type="dxa" w:w="5494"/>
          </w:tcPr>
          <w:p>
            <w:pPr>
              <w:spacing w:after="20" w:before="20"/>
            </w:pPr>
            <w:r/>
            <w:r>
              <w:rPr>
                <w:rFonts w:ascii="Calibri" w:hAnsi="Calibri"/>
                <w:b w:val="0"/>
                <w:i w:val="0"/>
                <w:color w:val="334E68"/>
                <w:sz w:val="17"/>
              </w:rPr>
              <w:t>Global directories (for example transport, interface and shared directories) copied and compared; permissions and ownership preserved</w:t>
            </w:r>
          </w:p>
        </w:tc>
      </w:tr>
      <w:tr>
        <w:trPr>
          <w:cantSplit/>
        </w:trPr>
        <w:tc>
          <w:tcPr>
            <w:tcW w:type="dxa" w:w="482"/>
            <w:shd w:val="clear" w:color="auto" w:fill="FAFBFD"/>
          </w:tcPr>
          <w:p>
            <w:pPr>
              <w:spacing w:after="20" w:before="20"/>
            </w:pPr>
            <w:r/>
            <w:r>
              <w:rPr>
                <w:rFonts w:ascii="Calibri" w:hAnsi="Calibri"/>
                <w:b/>
                <w:i w:val="0"/>
                <w:color w:val="334E68"/>
                <w:sz w:val="17"/>
              </w:rPr>
              <w:t>2</w:t>
            </w:r>
          </w:p>
        </w:tc>
        <w:tc>
          <w:tcPr>
            <w:tcW w:type="dxa" w:w="3662"/>
            <w:shd w:val="clear" w:color="auto" w:fill="FAFBFD"/>
          </w:tcPr>
          <w:p>
            <w:pPr>
              <w:spacing w:after="20" w:before="20"/>
            </w:pPr>
            <w:r/>
            <w:r>
              <w:rPr>
                <w:rFonts w:ascii="Calibri" w:hAnsi="Calibri"/>
                <w:b w:val="0"/>
                <w:i w:val="0"/>
                <w:color w:val="334E68"/>
                <w:sz w:val="17"/>
              </w:rPr>
              <w:t>Clean and validate host-file / IPAM entries</w:t>
            </w:r>
          </w:p>
        </w:tc>
        <w:tc>
          <w:tcPr>
            <w:tcW w:type="dxa" w:w="5494"/>
            <w:shd w:val="clear" w:color="auto" w:fill="FAFBFD"/>
          </w:tcPr>
          <w:p>
            <w:pPr>
              <w:spacing w:after="20" w:before="20"/>
            </w:pPr>
            <w:r/>
            <w:r>
              <w:rPr>
                <w:rFonts w:ascii="Calibri" w:hAnsi="Calibri"/>
                <w:b w:val="0"/>
                <w:i w:val="0"/>
                <w:color w:val="334E68"/>
                <w:sz w:val="17"/>
              </w:rPr>
              <w:t xml:space="preserve">No stale source IPs; virtual hostname resolves to the new target; </w:t>
            </w:r>
            <w:r>
              <w:rPr>
                <w:rFonts w:ascii="Consolas" w:hAnsi="Consolas"/>
                <w:b w:val="0"/>
                <w:i w:val="0"/>
                <w:color w:val="123A63"/>
                <w:sz w:val="17"/>
                <w:shd w:val="clear" w:color="auto" w:fill="EEF2F7"/>
              </w:rPr>
              <w:t>/etc/hosts</w:t>
            </w:r>
            <w:r>
              <w:rPr>
                <w:rFonts w:ascii="Calibri" w:hAnsi="Calibri"/>
                <w:b w:val="0"/>
                <w:i w:val="0"/>
                <w:color w:val="334E68"/>
                <w:sz w:val="17"/>
              </w:rPr>
              <w:t xml:space="preserve"> and </w:t>
            </w:r>
            <w:r>
              <w:rPr>
                <w:rFonts w:ascii="Consolas" w:hAnsi="Consolas"/>
                <w:b w:val="0"/>
                <w:i w:val="0"/>
                <w:color w:val="123A63"/>
                <w:sz w:val="17"/>
                <w:shd w:val="clear" w:color="auto" w:fill="EEF2F7"/>
              </w:rPr>
              <w:t>/etc/services</w:t>
            </w:r>
            <w:r>
              <w:rPr>
                <w:rFonts w:ascii="Calibri" w:hAnsi="Calibri"/>
                <w:b w:val="0"/>
                <w:i w:val="0"/>
                <w:color w:val="334E68"/>
                <w:sz w:val="17"/>
              </w:rPr>
              <w:t xml:space="preserve"> correct</w:t>
            </w:r>
          </w:p>
        </w:tc>
      </w:tr>
      <w:tr>
        <w:trPr>
          <w:cantSplit/>
        </w:trPr>
        <w:tc>
          <w:tcPr>
            <w:tcW w:type="dxa" w:w="482"/>
          </w:tcPr>
          <w:p>
            <w:pPr>
              <w:spacing w:after="20" w:before="20"/>
            </w:pPr>
            <w:r/>
            <w:r>
              <w:rPr>
                <w:rFonts w:ascii="Calibri" w:hAnsi="Calibri"/>
                <w:b/>
                <w:i w:val="0"/>
                <w:color w:val="334E68"/>
                <w:sz w:val="17"/>
              </w:rPr>
              <w:t>3</w:t>
            </w:r>
          </w:p>
        </w:tc>
        <w:tc>
          <w:tcPr>
            <w:tcW w:type="dxa" w:w="3662"/>
          </w:tcPr>
          <w:p>
            <w:pPr>
              <w:spacing w:after="20" w:before="20"/>
            </w:pPr>
            <w:r/>
            <w:r>
              <w:rPr>
                <w:rFonts w:ascii="Calibri" w:hAnsi="Calibri"/>
                <w:b w:val="0"/>
                <w:i w:val="0"/>
                <w:color w:val="334E68"/>
                <w:sz w:val="17"/>
              </w:rPr>
              <w:t>Validate SAP profile parameters</w:t>
            </w:r>
          </w:p>
        </w:tc>
        <w:tc>
          <w:tcPr>
            <w:tcW w:type="dxa" w:w="5494"/>
          </w:tcPr>
          <w:p>
            <w:pPr>
              <w:spacing w:after="20" w:before="20"/>
            </w:pPr>
            <w:r/>
            <w:r>
              <w:rPr>
                <w:rFonts w:ascii="Calibri" w:hAnsi="Calibri"/>
                <w:b w:val="0"/>
                <w:i w:val="0"/>
                <w:color w:val="334E68"/>
                <w:sz w:val="17"/>
              </w:rPr>
              <w:t>Instance and default profiles match the target design; hostname, DB host, instance numbers and migration-specific parameters correct</w:t>
            </w:r>
          </w:p>
        </w:tc>
      </w:tr>
      <w:tr>
        <w:trPr>
          <w:cantSplit/>
        </w:trPr>
        <w:tc>
          <w:tcPr>
            <w:tcW w:type="dxa" w:w="482"/>
            <w:shd w:val="clear" w:color="auto" w:fill="FAFBFD"/>
          </w:tcPr>
          <w:p>
            <w:pPr>
              <w:spacing w:after="20" w:before="20"/>
            </w:pPr>
            <w:r/>
            <w:r>
              <w:rPr>
                <w:rFonts w:ascii="Calibri" w:hAnsi="Calibri"/>
                <w:b/>
                <w:i w:val="0"/>
                <w:color w:val="334E68"/>
                <w:sz w:val="17"/>
              </w:rPr>
              <w:t>4</w:t>
            </w:r>
          </w:p>
        </w:tc>
        <w:tc>
          <w:tcPr>
            <w:tcW w:type="dxa" w:w="3662"/>
            <w:shd w:val="clear" w:color="auto" w:fill="FAFBFD"/>
          </w:tcPr>
          <w:p>
            <w:pPr>
              <w:spacing w:after="20" w:before="20"/>
            </w:pPr>
            <w:r/>
            <w:r>
              <w:rPr>
                <w:rFonts w:ascii="Calibri" w:hAnsi="Calibri"/>
                <w:b w:val="0"/>
                <w:i w:val="0"/>
                <w:color w:val="334E68"/>
                <w:sz w:val="17"/>
              </w:rPr>
              <w:t>Validate webMethods / RFC connections</w:t>
            </w:r>
          </w:p>
        </w:tc>
        <w:tc>
          <w:tcPr>
            <w:tcW w:type="dxa" w:w="5494"/>
            <w:shd w:val="clear" w:color="auto" w:fill="FAFBFD"/>
          </w:tcPr>
          <w:p>
            <w:pPr>
              <w:spacing w:after="20" w:before="20"/>
            </w:pPr>
            <w:r/>
            <w:r>
              <w:rPr>
                <w:rFonts w:ascii="Calibri" w:hAnsi="Calibri"/>
                <w:b w:val="0"/>
                <w:i w:val="0"/>
                <w:color w:val="334E68"/>
                <w:sz w:val="17"/>
              </w:rPr>
              <w:t>Each documented integration reachable and authenticated; middleware endpoints repointed where required</w:t>
            </w:r>
          </w:p>
        </w:tc>
      </w:tr>
      <w:tr>
        <w:trPr>
          <w:cantSplit/>
        </w:trPr>
        <w:tc>
          <w:tcPr>
            <w:tcW w:type="dxa" w:w="482"/>
          </w:tcPr>
          <w:p>
            <w:pPr>
              <w:spacing w:after="20" w:before="20"/>
            </w:pPr>
            <w:r/>
            <w:r>
              <w:rPr>
                <w:rFonts w:ascii="Calibri" w:hAnsi="Calibri"/>
                <w:b/>
                <w:i w:val="0"/>
                <w:color w:val="334E68"/>
                <w:sz w:val="17"/>
              </w:rPr>
              <w:t>5</w:t>
            </w:r>
          </w:p>
        </w:tc>
        <w:tc>
          <w:tcPr>
            <w:tcW w:type="dxa" w:w="3662"/>
          </w:tcPr>
          <w:p>
            <w:pPr>
              <w:spacing w:after="20" w:before="20"/>
            </w:pPr>
            <w:r/>
            <w:r>
              <w:rPr>
                <w:rFonts w:ascii="Calibri" w:hAnsi="Calibri"/>
                <w:b w:val="0"/>
                <w:i w:val="0"/>
                <w:color w:val="334E68"/>
                <w:sz w:val="17"/>
              </w:rPr>
              <w:t>Verify SAP kernel permissions and required SAP/Oracle root scripts</w:t>
            </w:r>
          </w:p>
        </w:tc>
        <w:tc>
          <w:tcPr>
            <w:tcW w:type="dxa" w:w="5494"/>
          </w:tcPr>
          <w:p>
            <w:pPr>
              <w:spacing w:after="20" w:before="20"/>
            </w:pPr>
            <w:r/>
            <w:r>
              <w:rPr>
                <w:rFonts w:ascii="Calibri" w:hAnsi="Calibri"/>
                <w:b w:val="0"/>
                <w:i w:val="0"/>
                <w:color w:val="334E68"/>
                <w:sz w:val="17"/>
              </w:rPr>
              <w:t xml:space="preserve">Kernel executable permissions correct; </w:t>
            </w:r>
            <w:r>
              <w:rPr>
                <w:rFonts w:ascii="Consolas" w:hAnsi="Consolas"/>
                <w:b w:val="0"/>
                <w:i w:val="0"/>
                <w:color w:val="123A63"/>
                <w:sz w:val="17"/>
                <w:shd w:val="clear" w:color="auto" w:fill="EEF2F7"/>
              </w:rPr>
              <w:t>saproot.sh</w:t>
            </w:r>
            <w:r>
              <w:rPr>
                <w:rFonts w:ascii="Calibri" w:hAnsi="Calibri"/>
                <w:b w:val="0"/>
                <w:i w:val="0"/>
                <w:color w:val="334E68"/>
                <w:sz w:val="17"/>
              </w:rPr>
              <w:t xml:space="preserve"> / Oracle root scripts executed as designed </w:t>
            </w:r>
            <w:r>
              <w:rPr>
                <w:rFonts w:ascii="Calibri" w:hAnsi="Calibri"/>
                <w:b w:val="0"/>
                <w:i w:val="0"/>
                <w:color w:val="334E68"/>
                <w:sz w:val="17"/>
              </w:rPr>
              <w:t>source term</w:t>
            </w:r>
          </w:p>
        </w:tc>
      </w:tr>
      <w:tr>
        <w:trPr>
          <w:cantSplit/>
        </w:trPr>
        <w:tc>
          <w:tcPr>
            <w:tcW w:type="dxa" w:w="482"/>
            <w:shd w:val="clear" w:color="auto" w:fill="FAFBFD"/>
          </w:tcPr>
          <w:p>
            <w:pPr>
              <w:spacing w:after="20" w:before="20"/>
            </w:pPr>
            <w:r/>
            <w:r>
              <w:rPr>
                <w:rFonts w:ascii="Calibri" w:hAnsi="Calibri"/>
                <w:b/>
                <w:i w:val="0"/>
                <w:color w:val="334E68"/>
                <w:sz w:val="17"/>
              </w:rPr>
              <w:t>6</w:t>
            </w:r>
          </w:p>
        </w:tc>
        <w:tc>
          <w:tcPr>
            <w:tcW w:type="dxa" w:w="3662"/>
            <w:shd w:val="clear" w:color="auto" w:fill="FAFBFD"/>
          </w:tcPr>
          <w:p>
            <w:pPr>
              <w:spacing w:after="20" w:before="20"/>
            </w:pPr>
            <w:r/>
            <w:r>
              <w:rPr>
                <w:rFonts w:ascii="Calibri" w:hAnsi="Calibri"/>
                <w:b w:val="0"/>
                <w:i w:val="0"/>
                <w:color w:val="334E68"/>
                <w:sz w:val="17"/>
              </w:rPr>
              <w:t xml:space="preserve">Run </w:t>
            </w:r>
            <w:r>
              <w:rPr>
                <w:rFonts w:ascii="Consolas" w:hAnsi="Consolas"/>
                <w:b w:val="0"/>
                <w:i w:val="0"/>
                <w:color w:val="123A63"/>
                <w:sz w:val="17"/>
                <w:shd w:val="clear" w:color="auto" w:fill="EEF2F7"/>
              </w:rPr>
              <w:t>R3trans -d</w:t>
            </w:r>
            <w:r>
              <w:rPr>
                <w:rFonts w:ascii="Calibri" w:hAnsi="Calibri"/>
                <w:b w:val="0"/>
                <w:i w:val="0"/>
                <w:color w:val="334E68"/>
                <w:sz w:val="17"/>
              </w:rPr>
              <w:t xml:space="preserve"> and confirm return code </w:t>
            </w:r>
            <w:r>
              <w:rPr>
                <w:rFonts w:ascii="Consolas" w:hAnsi="Consolas"/>
                <w:b w:val="0"/>
                <w:i w:val="0"/>
                <w:color w:val="123A63"/>
                <w:sz w:val="17"/>
                <w:shd w:val="clear" w:color="auto" w:fill="EEF2F7"/>
              </w:rPr>
              <w:t>0000</w:t>
            </w:r>
            <w:r>
              <w:rPr>
                <w:rFonts w:ascii="Calibri" w:hAnsi="Calibri"/>
                <w:b w:val="0"/>
                <w:i w:val="0"/>
                <w:color w:val="334E68"/>
                <w:sz w:val="17"/>
              </w:rPr>
              <w:t xml:space="preserve"> before starting SAP</w:t>
            </w:r>
          </w:p>
        </w:tc>
        <w:tc>
          <w:tcPr>
            <w:tcW w:type="dxa" w:w="5494"/>
            <w:shd w:val="clear" w:color="auto" w:fill="FAFBFD"/>
          </w:tcPr>
          <w:p>
            <w:pPr>
              <w:spacing w:after="20" w:before="20"/>
            </w:pPr>
            <w:r/>
            <w:r>
              <w:rPr>
                <w:rFonts w:ascii="Calibri" w:hAnsi="Calibri"/>
                <w:b w:val="0"/>
                <w:i w:val="0"/>
                <w:color w:val="334E68"/>
                <w:sz w:val="17"/>
              </w:rPr>
              <w:t>The definitive SAP-to-database connectivity check. Any other code must be diagnosed before SAP is started</w:t>
            </w:r>
          </w:p>
        </w:tc>
      </w:tr>
      <w:tr>
        <w:trPr>
          <w:cantSplit/>
        </w:trPr>
        <w:tc>
          <w:tcPr>
            <w:tcW w:type="dxa" w:w="482"/>
          </w:tcPr>
          <w:p>
            <w:pPr>
              <w:spacing w:after="20" w:before="20"/>
            </w:pPr>
            <w:r/>
            <w:r>
              <w:rPr>
                <w:rFonts w:ascii="Calibri" w:hAnsi="Calibri"/>
                <w:b/>
                <w:i w:val="0"/>
                <w:color w:val="334E68"/>
                <w:sz w:val="17"/>
              </w:rPr>
              <w:t>7</w:t>
            </w:r>
          </w:p>
        </w:tc>
        <w:tc>
          <w:tcPr>
            <w:tcW w:type="dxa" w:w="3662"/>
          </w:tcPr>
          <w:p>
            <w:pPr>
              <w:spacing w:after="20" w:before="20"/>
            </w:pPr>
            <w:r/>
            <w:r>
              <w:rPr>
                <w:rFonts w:ascii="Calibri" w:hAnsi="Calibri"/>
                <w:b w:val="0"/>
                <w:i w:val="0"/>
                <w:color w:val="334E68"/>
                <w:sz w:val="17"/>
              </w:rPr>
              <w:t>Start SAP using the appropriate SAP utilities</w:t>
            </w:r>
          </w:p>
        </w:tc>
        <w:tc>
          <w:tcPr>
            <w:tcW w:type="dxa" w:w="5494"/>
          </w:tcPr>
          <w:p>
            <w:pPr>
              <w:spacing w:after="20" w:before="20"/>
            </w:pPr>
            <w:r/>
            <w:r>
              <w:rPr>
                <w:rFonts w:ascii="Consolas" w:hAnsi="Consolas"/>
                <w:b w:val="0"/>
                <w:i w:val="0"/>
                <w:color w:val="123A63"/>
                <w:sz w:val="17"/>
                <w:shd w:val="clear" w:color="auto" w:fill="EEF2F7"/>
              </w:rPr>
              <w:t>sapstart</w:t>
            </w:r>
            <w:r>
              <w:rPr>
                <w:rFonts w:ascii="Calibri" w:hAnsi="Calibri"/>
                <w:b w:val="0"/>
                <w:i w:val="0"/>
                <w:color w:val="334E68"/>
                <w:sz w:val="17"/>
              </w:rPr>
              <w:t>/</w:t>
            </w:r>
            <w:r>
              <w:rPr>
                <w:rFonts w:ascii="Consolas" w:hAnsi="Consolas"/>
                <w:b w:val="0"/>
                <w:i w:val="0"/>
                <w:color w:val="123A63"/>
                <w:sz w:val="17"/>
                <w:shd w:val="clear" w:color="auto" w:fill="EEF2F7"/>
              </w:rPr>
              <w:t>sapcontrol</w:t>
            </w:r>
            <w:r>
              <w:rPr>
                <w:rFonts w:ascii="Calibri" w:hAnsi="Calibri"/>
                <w:b w:val="0"/>
                <w:i w:val="0"/>
                <w:color w:val="334E68"/>
                <w:sz w:val="17"/>
              </w:rPr>
              <w:t xml:space="preserve"> or the project's start mechanism; instances registered and work processes green</w:t>
            </w:r>
          </w:p>
        </w:tc>
      </w:tr>
      <w:tr>
        <w:trPr>
          <w:cantSplit/>
        </w:trPr>
        <w:tc>
          <w:tcPr>
            <w:tcW w:type="dxa" w:w="482"/>
            <w:shd w:val="clear" w:color="auto" w:fill="FAFBFD"/>
          </w:tcPr>
          <w:p>
            <w:pPr>
              <w:spacing w:after="20" w:before="20"/>
            </w:pPr>
            <w:r/>
            <w:r>
              <w:rPr>
                <w:rFonts w:ascii="Calibri" w:hAnsi="Calibri"/>
                <w:b/>
                <w:i w:val="0"/>
                <w:color w:val="334E68"/>
                <w:sz w:val="17"/>
              </w:rPr>
              <w:t>8</w:t>
            </w:r>
          </w:p>
        </w:tc>
        <w:tc>
          <w:tcPr>
            <w:tcW w:type="dxa" w:w="3662"/>
            <w:shd w:val="clear" w:color="auto" w:fill="FAFBFD"/>
          </w:tcPr>
          <w:p>
            <w:pPr>
              <w:spacing w:after="20" w:before="20"/>
            </w:pPr>
            <w:r/>
            <w:r>
              <w:rPr>
                <w:rFonts w:ascii="Calibri" w:hAnsi="Calibri"/>
                <w:b w:val="0"/>
                <w:i w:val="0"/>
                <w:color w:val="334E68"/>
                <w:sz w:val="17"/>
              </w:rPr>
              <w:t>Validate SNC / SSO and certificates</w:t>
            </w:r>
          </w:p>
        </w:tc>
        <w:tc>
          <w:tcPr>
            <w:tcW w:type="dxa" w:w="5494"/>
            <w:shd w:val="clear" w:color="auto" w:fill="FAFBFD"/>
          </w:tcPr>
          <w:p>
            <w:pPr>
              <w:spacing w:after="20" w:before="20"/>
            </w:pPr>
            <w:r/>
            <w:r>
              <w:rPr>
                <w:rFonts w:ascii="Calibri" w:hAnsi="Calibri"/>
                <w:b w:val="0"/>
                <w:i w:val="0"/>
                <w:color w:val="334E68"/>
                <w:sz w:val="17"/>
              </w:rPr>
              <w:t>SNC handshake succeeds, SSO logon works, certificates valid for the new hostnames and domains</w:t>
            </w:r>
          </w:p>
        </w:tc>
      </w:tr>
      <w:tr>
        <w:trPr>
          <w:cantSplit/>
        </w:trPr>
        <w:tc>
          <w:tcPr>
            <w:tcW w:type="dxa" w:w="482"/>
          </w:tcPr>
          <w:p>
            <w:pPr>
              <w:spacing w:after="20" w:before="20"/>
            </w:pPr>
            <w:r/>
            <w:r>
              <w:rPr>
                <w:rFonts w:ascii="Calibri" w:hAnsi="Calibri"/>
                <w:b/>
                <w:i w:val="0"/>
                <w:color w:val="334E68"/>
                <w:sz w:val="17"/>
              </w:rPr>
              <w:t>9</w:t>
            </w:r>
          </w:p>
        </w:tc>
        <w:tc>
          <w:tcPr>
            <w:tcW w:type="dxa" w:w="3662"/>
          </w:tcPr>
          <w:p>
            <w:pPr>
              <w:spacing w:after="20" w:before="20"/>
            </w:pPr>
            <w:r/>
            <w:r>
              <w:rPr>
                <w:rFonts w:ascii="Calibri" w:hAnsi="Calibri"/>
                <w:b w:val="0"/>
                <w:i w:val="0"/>
                <w:color w:val="334E68"/>
                <w:sz w:val="17"/>
              </w:rPr>
              <w:t>Validate Gateway and external connectivity</w:t>
            </w:r>
          </w:p>
        </w:tc>
        <w:tc>
          <w:tcPr>
            <w:tcW w:type="dxa" w:w="5494"/>
          </w:tcPr>
          <w:p>
            <w:pPr>
              <w:spacing w:after="20" w:before="20"/>
            </w:pPr>
            <w:r/>
            <w:r>
              <w:rPr>
                <w:rFonts w:ascii="Consolas" w:hAnsi="Consolas"/>
                <w:b w:val="0"/>
                <w:i w:val="0"/>
                <w:color w:val="123A63"/>
                <w:sz w:val="17"/>
                <w:shd w:val="clear" w:color="auto" w:fill="EEF2F7"/>
              </w:rPr>
              <w:t>SMGW</w:t>
            </w:r>
            <w:r>
              <w:rPr>
                <w:rFonts w:ascii="Calibri" w:hAnsi="Calibri"/>
                <w:b w:val="0"/>
                <w:i w:val="0"/>
                <w:color w:val="334E68"/>
                <w:sz w:val="17"/>
              </w:rPr>
              <w:t xml:space="preserve"> connections as expected; external partners can reach the gateway as designed</w:t>
            </w:r>
          </w:p>
        </w:tc>
      </w:tr>
      <w:tr>
        <w:trPr>
          <w:cantSplit/>
        </w:trPr>
        <w:tc>
          <w:tcPr>
            <w:tcW w:type="dxa" w:w="482"/>
            <w:shd w:val="clear" w:color="auto" w:fill="FAFBFD"/>
          </w:tcPr>
          <w:p>
            <w:pPr>
              <w:spacing w:after="20" w:before="20"/>
            </w:pPr>
            <w:r/>
            <w:r>
              <w:rPr>
                <w:rFonts w:ascii="Calibri" w:hAnsi="Calibri"/>
                <w:b/>
                <w:i w:val="0"/>
                <w:color w:val="334E68"/>
                <w:sz w:val="17"/>
              </w:rPr>
              <w:t>10</w:t>
            </w:r>
          </w:p>
        </w:tc>
        <w:tc>
          <w:tcPr>
            <w:tcW w:type="dxa" w:w="3662"/>
            <w:shd w:val="clear" w:color="auto" w:fill="FAFBFD"/>
          </w:tcPr>
          <w:p>
            <w:pPr>
              <w:spacing w:after="20" w:before="20"/>
            </w:pPr>
            <w:r/>
            <w:r>
              <w:rPr>
                <w:rFonts w:ascii="Calibri" w:hAnsi="Calibri"/>
                <w:b w:val="0"/>
                <w:i w:val="0"/>
                <w:color w:val="334E68"/>
                <w:sz w:val="17"/>
              </w:rPr>
              <w:t xml:space="preserve">Import OS profiles through </w:t>
            </w:r>
            <w:r>
              <w:rPr>
                <w:rFonts w:ascii="Consolas" w:hAnsi="Consolas"/>
                <w:b w:val="0"/>
                <w:i w:val="0"/>
                <w:color w:val="123A63"/>
                <w:sz w:val="17"/>
                <w:shd w:val="clear" w:color="auto" w:fill="EEF2F7"/>
              </w:rPr>
              <w:t>RZ10</w:t>
            </w:r>
            <w:r>
              <w:rPr>
                <w:rFonts w:ascii="Calibri" w:hAnsi="Calibri"/>
                <w:b w:val="0"/>
                <w:i w:val="0"/>
                <w:color w:val="334E68"/>
                <w:sz w:val="17"/>
              </w:rPr>
              <w:t xml:space="preserve"> where applicable</w:t>
            </w:r>
          </w:p>
        </w:tc>
        <w:tc>
          <w:tcPr>
            <w:tcW w:type="dxa" w:w="5494"/>
            <w:shd w:val="clear" w:color="auto" w:fill="FAFBFD"/>
          </w:tcPr>
          <w:p>
            <w:pPr>
              <w:spacing w:after="20" w:before="20"/>
            </w:pPr>
            <w:r/>
            <w:r>
              <w:rPr>
                <w:rFonts w:ascii="Calibri" w:hAnsi="Calibri"/>
                <w:b w:val="0"/>
                <w:i w:val="0"/>
                <w:color w:val="334E68"/>
                <w:sz w:val="17"/>
              </w:rPr>
              <w:t>Profiles imported and activated; activation and restart behaviour understood</w:t>
            </w:r>
          </w:p>
        </w:tc>
      </w:tr>
    </w:tbl>
    <w:p>
      <w:pPr>
        <w:spacing w:after="40"/>
      </w:pPr>
    </w:p>
    <w:p>
      <w:pPr>
        <w:spacing w:before="120" w:after="0"/>
        <w:ind w:left="170"/>
        <w:shd w:val="clear" w:color="auto" w:fill="0E2340"/>
        <w:pBdr>
          <w:left w:val="single" w:sz="18" w:space="4" w:color="1B4F86"/>
        </w:pBdr>
      </w:pPr>
      <w:r>
        <w:rPr>
          <w:rFonts w:ascii="Consolas" w:hAnsi="Consolas"/>
          <w:color w:val="7FA2C8"/>
          <w:sz w:val="16"/>
        </w:rPr>
        <w:t># The check that gates SAP start</w:t>
      </w:r>
    </w:p>
    <w:p>
      <w:pPr>
        <w:spacing w:before="0" w:after="0"/>
        <w:ind w:left="170"/>
        <w:shd w:val="clear" w:color="auto" w:fill="0E2340"/>
        <w:pBdr>
          <w:left w:val="single" w:sz="18" w:space="4" w:color="1B4F86"/>
        </w:pBdr>
      </w:pPr>
      <w:r>
        <w:rPr>
          <w:rFonts w:ascii="Consolas" w:hAnsi="Consolas"/>
          <w:color w:val="D6E4F5"/>
          <w:sz w:val="16"/>
        </w:rPr>
        <w:t>su - &amp;lt;sid&amp;gt;adm</w:t>
      </w:r>
    </w:p>
    <w:p>
      <w:pPr>
        <w:spacing w:before="0" w:after="0"/>
        <w:ind w:left="170"/>
        <w:shd w:val="clear" w:color="auto" w:fill="0E2340"/>
        <w:pBdr>
          <w:left w:val="single" w:sz="18" w:space="4" w:color="1B4F86"/>
        </w:pBdr>
      </w:pPr>
      <w:r>
        <w:rPr>
          <w:rFonts w:ascii="Consolas" w:hAnsi="Consolas"/>
          <w:color w:val="D6E4F5"/>
          <w:sz w:val="16"/>
        </w:rPr>
        <w:t>R3trans -d          # expect: "R3trans finished (0000)"</w:t>
      </w:r>
    </w:p>
    <w:p>
      <w:pPr>
        <w:spacing w:before="0" w:after="0"/>
        <w:ind w:left="170"/>
        <w:shd w:val="clear" w:color="auto" w:fill="0E2340"/>
        <w:pBdr>
          <w:left w:val="single" w:sz="18" w:space="4" w:color="1B4F86"/>
        </w:pBdr>
      </w:pPr>
      <w:r>
        <w:rPr>
          <w:rFonts w:ascii="Consolas" w:hAnsi="Consolas"/>
          <w:color w:val="7FA2C8"/>
          <w:sz w:val="16"/>
        </w:rPr>
        <w:t># If it does not return 0000, read the trace before retrying:</w:t>
      </w:r>
    </w:p>
    <w:p>
      <w:pPr>
        <w:spacing w:before="0" w:after="0"/>
        <w:ind w:left="170"/>
        <w:shd w:val="clear" w:color="auto" w:fill="0E2340"/>
        <w:pBdr>
          <w:left w:val="single" w:sz="18" w:space="4" w:color="1B4F86"/>
        </w:pBdr>
      </w:pPr>
      <w:r>
        <w:rPr>
          <w:rFonts w:ascii="Consolas" w:hAnsi="Consolas"/>
          <w:color w:val="D6E4F5"/>
          <w:sz w:val="16"/>
        </w:rPr>
        <w:t>cat trans.log        # look for DB connect, auth or library errors</w:t>
      </w:r>
    </w:p>
    <w:p>
      <w:pPr>
        <w:spacing w:before="0" w:after="0"/>
        <w:ind w:left="170"/>
        <w:shd w:val="clear" w:color="auto" w:fill="0E2340"/>
        <w:pBdr>
          <w:left w:val="single" w:sz="18" w:space="4" w:color="1B4F86"/>
        </w:pBdr>
      </w:pPr>
      <w:r>
        <w:rPr>
          <w:rFonts w:ascii="Consolas" w:hAnsi="Consolas"/>
          <w:color w:val="7FA2C8"/>
          <w:sz w:val="16"/>
        </w:rPr>
        <w:t># Common non-zero codes to recognise (confirm against your release):</w:t>
      </w:r>
    </w:p>
    <w:p>
      <w:pPr>
        <w:spacing w:before="0" w:after="0"/>
        <w:ind w:left="170"/>
        <w:shd w:val="clear" w:color="auto" w:fill="0E2340"/>
        <w:pBdr>
          <w:left w:val="single" w:sz="18" w:space="4" w:color="1B4F86"/>
        </w:pBdr>
      </w:pPr>
      <w:r>
        <w:rPr>
          <w:rFonts w:ascii="Consolas" w:hAnsi="Consolas"/>
          <w:color w:val="7FA2C8"/>
          <w:sz w:val="16"/>
        </w:rPr>
        <w:t>#   0000 success · 0004 general error · 0012 database connect failed</w:t>
      </w:r>
    </w:p>
    <w:p>
      <w:pPr>
        <w:spacing w:before="0" w:after="120"/>
        <w:ind w:left="170"/>
        <w:shd w:val="clear" w:color="auto" w:fill="0E2340"/>
        <w:pBdr>
          <w:left w:val="single" w:sz="18" w:space="4" w:color="1B4F86"/>
        </w:pBdr>
      </w:pPr>
      <w:r>
        <w:rPr>
          <w:rFonts w:ascii="Consolas" w:hAnsi="Consolas"/>
          <w:color w:val="7FA2C8"/>
          <w:sz w:val="16"/>
        </w:rPr>
        <w:t>#   0018 no database authorization / wrong credentials</w:t>
      </w: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ORDER MATTERS</w:t>
      </w:r>
    </w:p>
    <w:p>
      <w:pPr>
        <w:spacing w:after="40"/>
        <w:ind w:left="170"/>
        <w:shd w:val="clear" w:color="auto" w:fill="FFFBFB"/>
        <w:pBdr>
          <w:left w:val="single" w:sz="6" w:space="6" w:color="C8434B"/>
          <w:bottom w:val="single" w:sz="6" w:space="6" w:color="C8434B"/>
          <w:right w:val="single" w:sz="6" w:space="6" w:color="C8434B"/>
        </w:pBdr>
      </w:pPr>
      <w:r>
        <w:rPr>
          <w:rFonts w:ascii="Calibri" w:hAnsi="Calibri"/>
          <w:b w:val="0"/>
          <w:i w:val="0"/>
          <w:color w:val="334E68"/>
          <w:sz w:val="18"/>
        </w:rPr>
        <w:t xml:space="preserve">Starting SAP before </w:t>
      </w:r>
      <w:r>
        <w:rPr>
          <w:rFonts w:ascii="Consolas" w:hAnsi="Consolas"/>
          <w:b w:val="0"/>
          <w:i w:val="0"/>
          <w:color w:val="123A63"/>
          <w:sz w:val="18"/>
          <w:shd w:val="clear" w:color="auto" w:fill="EEF2F7"/>
        </w:rPr>
        <w:t>R3trans -d</w:t>
      </w:r>
      <w:r>
        <w:rPr>
          <w:rFonts w:ascii="Calibri" w:hAnsi="Calibri"/>
          <w:b w:val="0"/>
          <w:i w:val="0"/>
          <w:color w:val="334E68"/>
          <w:sz w:val="18"/>
        </w:rPr>
        <w:t xml:space="preserve"> returns </w:t>
      </w:r>
      <w:r>
        <w:rPr>
          <w:rFonts w:ascii="Consolas" w:hAnsi="Consolas"/>
          <w:b w:val="0"/>
          <w:i w:val="0"/>
          <w:color w:val="123A63"/>
          <w:sz w:val="18"/>
          <w:shd w:val="clear" w:color="auto" w:fill="EEF2F7"/>
        </w:rPr>
        <w:t>0000</w:t>
      </w:r>
      <w:r>
        <w:rPr>
          <w:rFonts w:ascii="Calibri" w:hAnsi="Calibri"/>
          <w:b w:val="0"/>
          <w:i w:val="0"/>
          <w:color w:val="334E68"/>
          <w:sz w:val="18"/>
        </w:rPr>
        <w:t xml:space="preserve"> produces a wall of secondary errors in the work process traces that hides the real cause, wastes window time, and can leave the system in a state that needs a clean restart. Diagnose the database connection first, every time.</w:t>
      </w:r>
    </w:p>
    <w:p>
      <w:pPr>
        <w:pStyle w:val="Heading2"/>
        <w:pBdr>
          <w:bottom w:val="single" w:sz="6" w:space="3" w:color="E8EDF3"/>
        </w:pBdr>
      </w:pPr>
      <w:r>
        <w:rPr>
          <w:rFonts w:ascii="Calibri" w:hAnsi="Calibri"/>
          <w:b/>
          <w:color w:val="0F2B4C"/>
          <w:sz w:val="26"/>
        </w:rPr>
        <w:t>10.3  Application and functional validation</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Validate RFC, webMethods, MuleSoft, MBox and other documented integrations </w:t>
      </w:r>
      <w:r>
        <w:rPr>
          <w:rFonts w:ascii="Calibri" w:hAnsi="Calibri"/>
          <w:b w:val="0"/>
          <w:i w:val="0"/>
          <w:color w:val="334E68"/>
          <w:sz w:val="19"/>
        </w:rPr>
        <w:t>source term</w:t>
      </w:r>
      <w:r>
        <w:rPr>
          <w:rFonts w:ascii="Calibri" w:hAnsi="Calibri"/>
          <w:b w:val="0"/>
          <w:i w:val="0"/>
          <w:color w:val="334E68"/>
          <w:sz w:val="19"/>
        </w:rPr>
        <w:t>.</w:t>
      </w:r>
    </w:p>
    <w:p>
      <w:pPr>
        <w:spacing w:after="40"/>
        <w:ind w:left="351" w:hanging="227"/>
      </w:pPr>
      <w:r>
        <w:rPr>
          <w:rFonts w:ascii="Calibri" w:hAnsi="Calibri"/>
          <w:b/>
          <w:color w:val="1B4F86"/>
          <w:sz w:val="19"/>
        </w:rPr>
        <w:t xml:space="preserve">▪  </w:t>
      </w:r>
      <w:r>
        <w:rPr>
          <w:rFonts w:ascii="Calibri" w:hAnsi="Calibri"/>
          <w:b w:val="0"/>
          <w:i w:val="0"/>
          <w:color w:val="334E68"/>
          <w:sz w:val="19"/>
        </w:rPr>
        <w:t>Verify inbound and outbound interfaces and application directories.</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Validate printers through </w:t>
      </w:r>
      <w:r>
        <w:rPr>
          <w:rFonts w:ascii="Consolas" w:hAnsi="Consolas"/>
          <w:b w:val="0"/>
          <w:i w:val="0"/>
          <w:color w:val="123A63"/>
          <w:sz w:val="19"/>
          <w:shd w:val="clear" w:color="auto" w:fill="EEF2F7"/>
        </w:rPr>
        <w:t>SPAD</w:t>
      </w:r>
      <w:r>
        <w:rPr>
          <w:rFonts w:ascii="Calibri" w:hAnsi="Calibri"/>
          <w:b w:val="0"/>
          <w:i w:val="0"/>
          <w:color w:val="334E68"/>
          <w:sz w:val="19"/>
        </w:rPr>
        <w:t xml:space="preserve"> (device type, output device, host printer, test page).</w:t>
      </w:r>
    </w:p>
    <w:p>
      <w:pPr>
        <w:spacing w:after="40"/>
        <w:ind w:left="351" w:hanging="227"/>
      </w:pPr>
      <w:r>
        <w:rPr>
          <w:rFonts w:ascii="Calibri" w:hAnsi="Calibri"/>
          <w:b/>
          <w:color w:val="1B4F86"/>
          <w:sz w:val="19"/>
        </w:rPr>
        <w:t xml:space="preserve">▪  </w:t>
      </w:r>
      <w:r>
        <w:rPr>
          <w:rFonts w:ascii="Calibri" w:hAnsi="Calibri"/>
          <w:b w:val="0"/>
          <w:i w:val="0"/>
          <w:color w:val="334E68"/>
          <w:sz w:val="19"/>
        </w:rPr>
        <w:t>The functional team executes business transaction tests and captures evidence — this is their call, not Basis's.</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Update Type 3 RFC passwords where required </w:t>
      </w:r>
      <w:r>
        <w:rPr>
          <w:rFonts w:ascii="Calibri" w:hAnsi="Calibri"/>
          <w:b w:val="0"/>
          <w:i w:val="0"/>
          <w:color w:val="334E68"/>
          <w:sz w:val="19"/>
        </w:rPr>
        <w:t>source term</w:t>
      </w:r>
      <w:r>
        <w:rPr>
          <w:rFonts w:ascii="Calibri" w:hAnsi="Calibri"/>
          <w:b w:val="0"/>
          <w:i w:val="0"/>
          <w:color w:val="334E68"/>
          <w:sz w:val="19"/>
        </w:rPr>
        <w:t>.</w:t>
      </w:r>
    </w:p>
    <w:p>
      <w:pPr>
        <w:spacing w:after="40"/>
        <w:ind w:left="351" w:hanging="227"/>
      </w:pPr>
      <w:r>
        <w:rPr>
          <w:rFonts w:ascii="Calibri" w:hAnsi="Calibri"/>
          <w:b/>
          <w:color w:val="1B4F86"/>
          <w:sz w:val="19"/>
        </w:rPr>
        <w:t xml:space="preserve">▪  </w:t>
      </w:r>
      <w:r>
        <w:rPr>
          <w:rFonts w:ascii="Calibri" w:hAnsi="Calibri"/>
          <w:b w:val="0"/>
          <w:i w:val="0"/>
          <w:color w:val="334E68"/>
          <w:sz w:val="19"/>
        </w:rPr>
        <w:t>Validate the ChaRM test cycle and transport-management functionality as applicable.</w:t>
      </w:r>
    </w:p>
    <w:p>
      <w:pPr>
        <w:spacing w:after="60" w:before="160"/>
        <w:keepNext/>
      </w:pPr>
      <w:r>
        <w:rPr>
          <w:rFonts w:ascii="Calibri" w:hAnsi="Calibri"/>
          <w:b/>
          <w:color w:val="5B7288"/>
          <w:sz w:val="15"/>
        </w:rPr>
        <w:t>FUNCTIONAL VALIDATION OWNERSHIP</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506"/>
        <w:gridCol w:w="2120"/>
        <w:gridCol w:w="5012"/>
      </w:tblGrid>
      <w:tr>
        <w:trPr>
          <w:tblHeader/>
          <w:cantSplit/>
        </w:trPr>
        <w:tc>
          <w:tcPr>
            <w:tcW w:type="dxa" w:w="2506"/>
            <w:shd w:val="clear" w:color="auto" w:fill="0F2B4C"/>
          </w:tcPr>
          <w:p>
            <w:pPr>
              <w:spacing w:after="20" w:before="20"/>
            </w:pPr>
            <w:r/>
            <w:r>
              <w:rPr>
                <w:rFonts w:ascii="Calibri" w:hAnsi="Calibri"/>
                <w:b/>
                <w:color w:val="FFFFFF"/>
                <w:sz w:val="17"/>
              </w:rPr>
              <w:t>Validation area</w:t>
            </w:r>
          </w:p>
        </w:tc>
        <w:tc>
          <w:tcPr>
            <w:tcW w:type="dxa" w:w="2120"/>
            <w:shd w:val="clear" w:color="auto" w:fill="0F2B4C"/>
          </w:tcPr>
          <w:p>
            <w:pPr>
              <w:spacing w:after="20" w:before="20"/>
            </w:pPr>
            <w:r/>
            <w:r>
              <w:rPr>
                <w:rFonts w:ascii="Calibri" w:hAnsi="Calibri"/>
                <w:b/>
                <w:color w:val="FFFFFF"/>
                <w:sz w:val="17"/>
              </w:rPr>
              <w:t>Owner</w:t>
            </w:r>
          </w:p>
        </w:tc>
        <w:tc>
          <w:tcPr>
            <w:tcW w:type="dxa" w:w="5012"/>
            <w:shd w:val="clear" w:color="auto" w:fill="0F2B4C"/>
          </w:tcPr>
          <w:p>
            <w:pPr>
              <w:spacing w:after="20" w:before="20"/>
            </w:pPr>
            <w:r/>
            <w:r>
              <w:rPr>
                <w:rFonts w:ascii="Calibri" w:hAnsi="Calibri"/>
                <w:b/>
                <w:color w:val="FFFFFF"/>
                <w:sz w:val="17"/>
              </w:rPr>
              <w:t>Typical evidence</w:t>
            </w:r>
          </w:p>
        </w:tc>
      </w:tr>
      <w:tr>
        <w:trPr>
          <w:cantSplit/>
        </w:trPr>
        <w:tc>
          <w:tcPr>
            <w:tcW w:type="dxa" w:w="2506"/>
          </w:tcPr>
          <w:p>
            <w:pPr>
              <w:spacing w:after="20" w:before="20"/>
            </w:pPr>
            <w:r/>
            <w:r>
              <w:rPr>
                <w:rFonts w:ascii="Calibri" w:hAnsi="Calibri"/>
                <w:b/>
                <w:i w:val="0"/>
                <w:color w:val="334E68"/>
                <w:sz w:val="17"/>
              </w:rPr>
              <w:t>RFC and middleware interfaces</w:t>
            </w:r>
          </w:p>
        </w:tc>
        <w:tc>
          <w:tcPr>
            <w:tcW w:type="dxa" w:w="2120"/>
          </w:tcPr>
          <w:p>
            <w:pPr>
              <w:spacing w:after="20" w:before="20"/>
            </w:pPr>
            <w:r/>
            <w:r>
              <w:rPr>
                <w:rFonts w:ascii="Calibri" w:hAnsi="Calibri"/>
                <w:b w:val="0"/>
                <w:i w:val="0"/>
                <w:color w:val="334E68"/>
                <w:sz w:val="17"/>
              </w:rPr>
              <w:t>Basis + interface owner</w:t>
            </w:r>
          </w:p>
        </w:tc>
        <w:tc>
          <w:tcPr>
            <w:tcW w:type="dxa" w:w="5012"/>
          </w:tcPr>
          <w:p>
            <w:pPr>
              <w:spacing w:after="20" w:before="20"/>
            </w:pPr>
            <w:r/>
            <w:r>
              <w:rPr>
                <w:rFonts w:ascii="Consolas" w:hAnsi="Consolas"/>
                <w:b w:val="0"/>
                <w:i w:val="0"/>
                <w:color w:val="123A63"/>
                <w:sz w:val="17"/>
                <w:shd w:val="clear" w:color="auto" w:fill="EEF2F7"/>
              </w:rPr>
              <w:t>SM59</w:t>
            </w:r>
            <w:r>
              <w:rPr>
                <w:rFonts w:ascii="Calibri" w:hAnsi="Calibri"/>
                <w:b w:val="0"/>
                <w:i w:val="0"/>
                <w:color w:val="334E68"/>
                <w:sz w:val="17"/>
              </w:rPr>
              <w:t xml:space="preserve"> test results, middleware logs, message flow screenshots</w:t>
            </w:r>
          </w:p>
        </w:tc>
      </w:tr>
      <w:tr>
        <w:trPr>
          <w:cantSplit/>
        </w:trPr>
        <w:tc>
          <w:tcPr>
            <w:tcW w:type="dxa" w:w="2506"/>
            <w:shd w:val="clear" w:color="auto" w:fill="FAFBFD"/>
          </w:tcPr>
          <w:p>
            <w:pPr>
              <w:spacing w:after="20" w:before="20"/>
            </w:pPr>
            <w:r/>
            <w:r>
              <w:rPr>
                <w:rFonts w:ascii="Calibri" w:hAnsi="Calibri"/>
                <w:b/>
                <w:i w:val="0"/>
                <w:color w:val="334E68"/>
                <w:sz w:val="17"/>
              </w:rPr>
              <w:t>Inbound / outbound file interfaces</w:t>
            </w:r>
          </w:p>
        </w:tc>
        <w:tc>
          <w:tcPr>
            <w:tcW w:type="dxa" w:w="2120"/>
            <w:shd w:val="clear" w:color="auto" w:fill="FAFBFD"/>
          </w:tcPr>
          <w:p>
            <w:pPr>
              <w:spacing w:after="20" w:before="20"/>
            </w:pPr>
            <w:r/>
            <w:r>
              <w:rPr>
                <w:rFonts w:ascii="Calibri" w:hAnsi="Calibri"/>
                <w:b w:val="0"/>
                <w:i w:val="0"/>
                <w:color w:val="334E68"/>
                <w:sz w:val="17"/>
              </w:rPr>
              <w:t>Application + Basis</w:t>
            </w:r>
          </w:p>
        </w:tc>
        <w:tc>
          <w:tcPr>
            <w:tcW w:type="dxa" w:w="5012"/>
            <w:shd w:val="clear" w:color="auto" w:fill="FAFBFD"/>
          </w:tcPr>
          <w:p>
            <w:pPr>
              <w:spacing w:after="20" w:before="20"/>
            </w:pPr>
            <w:r/>
            <w:r>
              <w:rPr>
                <w:rFonts w:ascii="Consolas" w:hAnsi="Consolas"/>
                <w:b w:val="0"/>
                <w:i w:val="0"/>
                <w:color w:val="123A63"/>
                <w:sz w:val="17"/>
                <w:shd w:val="clear" w:color="auto" w:fill="EEF2F7"/>
              </w:rPr>
              <w:t>AL11</w:t>
            </w:r>
            <w:r>
              <w:rPr>
                <w:rFonts w:ascii="Calibri" w:hAnsi="Calibri"/>
                <w:b w:val="0"/>
                <w:i w:val="0"/>
                <w:color w:val="334E68"/>
                <w:sz w:val="17"/>
              </w:rPr>
              <w:t xml:space="preserve"> listings, transferred file counts, timestamps</w:t>
            </w:r>
          </w:p>
        </w:tc>
      </w:tr>
      <w:tr>
        <w:trPr>
          <w:cantSplit/>
        </w:trPr>
        <w:tc>
          <w:tcPr>
            <w:tcW w:type="dxa" w:w="2506"/>
          </w:tcPr>
          <w:p>
            <w:pPr>
              <w:spacing w:after="20" w:before="20"/>
            </w:pPr>
            <w:r/>
            <w:r>
              <w:rPr>
                <w:rFonts w:ascii="Calibri" w:hAnsi="Calibri"/>
                <w:b/>
                <w:i w:val="0"/>
                <w:color w:val="334E68"/>
                <w:sz w:val="17"/>
              </w:rPr>
              <w:t>Printers and spool</w:t>
            </w:r>
          </w:p>
        </w:tc>
        <w:tc>
          <w:tcPr>
            <w:tcW w:type="dxa" w:w="2120"/>
          </w:tcPr>
          <w:p>
            <w:pPr>
              <w:spacing w:after="20" w:before="20"/>
            </w:pPr>
            <w:r/>
            <w:r>
              <w:rPr>
                <w:rFonts w:ascii="Calibri" w:hAnsi="Calibri"/>
                <w:b w:val="0"/>
                <w:i w:val="0"/>
                <w:color w:val="334E68"/>
                <w:sz w:val="17"/>
              </w:rPr>
              <w:t>Basis</w:t>
            </w:r>
          </w:p>
        </w:tc>
        <w:tc>
          <w:tcPr>
            <w:tcW w:type="dxa" w:w="5012"/>
          </w:tcPr>
          <w:p>
            <w:pPr>
              <w:spacing w:after="20" w:before="20"/>
            </w:pPr>
            <w:r/>
            <w:r>
              <w:rPr>
                <w:rFonts w:ascii="Consolas" w:hAnsi="Consolas"/>
                <w:b w:val="0"/>
                <w:i w:val="0"/>
                <w:color w:val="123A63"/>
                <w:sz w:val="17"/>
                <w:shd w:val="clear" w:color="auto" w:fill="EEF2F7"/>
              </w:rPr>
              <w:t>SPAD</w:t>
            </w:r>
            <w:r>
              <w:rPr>
                <w:rFonts w:ascii="Calibri" w:hAnsi="Calibri"/>
                <w:b w:val="0"/>
                <w:i w:val="0"/>
                <w:color w:val="334E68"/>
                <w:sz w:val="17"/>
              </w:rPr>
              <w:t xml:space="preserve"> configuration, test page output, </w:t>
            </w:r>
            <w:r>
              <w:rPr>
                <w:rFonts w:ascii="Consolas" w:hAnsi="Consolas"/>
                <w:b w:val="0"/>
                <w:i w:val="0"/>
                <w:color w:val="123A63"/>
                <w:sz w:val="17"/>
                <w:shd w:val="clear" w:color="auto" w:fill="EEF2F7"/>
              </w:rPr>
              <w:t>SP01</w:t>
            </w:r>
            <w:r>
              <w:rPr>
                <w:rFonts w:ascii="Calibri" w:hAnsi="Calibri"/>
                <w:b w:val="0"/>
                <w:i w:val="0"/>
                <w:color w:val="334E68"/>
                <w:sz w:val="17"/>
              </w:rPr>
              <w:t xml:space="preserve"> spool requests</w:t>
            </w:r>
          </w:p>
        </w:tc>
      </w:tr>
      <w:tr>
        <w:trPr>
          <w:cantSplit/>
        </w:trPr>
        <w:tc>
          <w:tcPr>
            <w:tcW w:type="dxa" w:w="2506"/>
            <w:shd w:val="clear" w:color="auto" w:fill="FAFBFD"/>
          </w:tcPr>
          <w:p>
            <w:pPr>
              <w:spacing w:after="20" w:before="20"/>
            </w:pPr>
            <w:r/>
            <w:r>
              <w:rPr>
                <w:rFonts w:ascii="Calibri" w:hAnsi="Calibri"/>
                <w:b/>
                <w:i w:val="0"/>
                <w:color w:val="334E68"/>
                <w:sz w:val="17"/>
              </w:rPr>
              <w:t>Business transactions</w:t>
            </w:r>
          </w:p>
        </w:tc>
        <w:tc>
          <w:tcPr>
            <w:tcW w:type="dxa" w:w="2120"/>
            <w:shd w:val="clear" w:color="auto" w:fill="FAFBFD"/>
          </w:tcPr>
          <w:p>
            <w:pPr>
              <w:spacing w:after="20" w:before="20"/>
            </w:pPr>
            <w:r/>
            <w:r>
              <w:rPr>
                <w:rFonts w:ascii="Calibri" w:hAnsi="Calibri"/>
                <w:b w:val="0"/>
                <w:i w:val="0"/>
                <w:color w:val="334E68"/>
                <w:sz w:val="17"/>
              </w:rPr>
              <w:t>Functional team</w:t>
            </w:r>
          </w:p>
        </w:tc>
        <w:tc>
          <w:tcPr>
            <w:tcW w:type="dxa" w:w="5012"/>
            <w:shd w:val="clear" w:color="auto" w:fill="FAFBFD"/>
          </w:tcPr>
          <w:p>
            <w:pPr>
              <w:spacing w:after="20" w:before="20"/>
            </w:pPr>
            <w:r/>
            <w:r>
              <w:rPr>
                <w:rFonts w:ascii="Calibri" w:hAnsi="Calibri"/>
                <w:b w:val="0"/>
                <w:i w:val="0"/>
                <w:color w:val="334E68"/>
                <w:sz w:val="17"/>
              </w:rPr>
              <w:t>Named test scripts with pass/fail per transaction and screenshot evidence</w:t>
            </w:r>
          </w:p>
        </w:tc>
      </w:tr>
      <w:tr>
        <w:trPr>
          <w:cantSplit/>
        </w:trPr>
        <w:tc>
          <w:tcPr>
            <w:tcW w:type="dxa" w:w="2506"/>
          </w:tcPr>
          <w:p>
            <w:pPr>
              <w:spacing w:after="20" w:before="20"/>
            </w:pPr>
            <w:r/>
            <w:r>
              <w:rPr>
                <w:rFonts w:ascii="Calibri" w:hAnsi="Calibri"/>
                <w:b/>
                <w:i w:val="0"/>
                <w:color w:val="334E68"/>
                <w:sz w:val="17"/>
              </w:rPr>
              <w:t>Transports / ChaRM</w:t>
            </w:r>
          </w:p>
        </w:tc>
        <w:tc>
          <w:tcPr>
            <w:tcW w:type="dxa" w:w="2120"/>
          </w:tcPr>
          <w:p>
            <w:pPr>
              <w:spacing w:after="20" w:before="20"/>
            </w:pPr>
            <w:r/>
            <w:r>
              <w:rPr>
                <w:rFonts w:ascii="Calibri" w:hAnsi="Calibri"/>
                <w:b w:val="0"/>
                <w:i w:val="0"/>
                <w:color w:val="334E68"/>
                <w:sz w:val="17"/>
              </w:rPr>
              <w:t>Basis + release manager</w:t>
            </w:r>
          </w:p>
        </w:tc>
        <w:tc>
          <w:tcPr>
            <w:tcW w:type="dxa" w:w="5012"/>
          </w:tcPr>
          <w:p>
            <w:pPr>
              <w:spacing w:after="20" w:before="20"/>
            </w:pPr>
            <w:r/>
            <w:r>
              <w:rPr>
                <w:rFonts w:ascii="Calibri" w:hAnsi="Calibri"/>
                <w:b w:val="0"/>
                <w:i w:val="0"/>
                <w:color w:val="334E68"/>
                <w:sz w:val="17"/>
              </w:rPr>
              <w:t>Successful test import, ChaRM cycle status, route validation</w:t>
            </w:r>
          </w:p>
        </w:tc>
      </w:tr>
      <w:tr>
        <w:trPr>
          <w:cantSplit/>
        </w:trPr>
        <w:tc>
          <w:tcPr>
            <w:tcW w:type="dxa" w:w="2506"/>
            <w:shd w:val="clear" w:color="auto" w:fill="FAFBFD"/>
          </w:tcPr>
          <w:p>
            <w:pPr>
              <w:spacing w:after="20" w:before="20"/>
            </w:pPr>
            <w:r/>
            <w:r>
              <w:rPr>
                <w:rFonts w:ascii="Calibri" w:hAnsi="Calibri"/>
                <w:b/>
                <w:i w:val="0"/>
                <w:color w:val="334E68"/>
                <w:sz w:val="17"/>
              </w:rPr>
              <w:t>Authorisations and SSO</w:t>
            </w:r>
          </w:p>
        </w:tc>
        <w:tc>
          <w:tcPr>
            <w:tcW w:type="dxa" w:w="2120"/>
            <w:shd w:val="clear" w:color="auto" w:fill="FAFBFD"/>
          </w:tcPr>
          <w:p>
            <w:pPr>
              <w:spacing w:after="20" w:before="20"/>
            </w:pPr>
            <w:r/>
            <w:r>
              <w:rPr>
                <w:rFonts w:ascii="Calibri" w:hAnsi="Calibri"/>
                <w:b w:val="0"/>
                <w:i w:val="0"/>
                <w:color w:val="334E68"/>
                <w:sz w:val="17"/>
              </w:rPr>
              <w:t>Security + Basis</w:t>
            </w:r>
          </w:p>
        </w:tc>
        <w:tc>
          <w:tcPr>
            <w:tcW w:type="dxa" w:w="5012"/>
            <w:shd w:val="clear" w:color="auto" w:fill="FAFBFD"/>
          </w:tcPr>
          <w:p>
            <w:pPr>
              <w:spacing w:after="20" w:before="20"/>
            </w:pPr>
            <w:r/>
            <w:r>
              <w:rPr>
                <w:rFonts w:ascii="Calibri" w:hAnsi="Calibri"/>
                <w:b w:val="0"/>
                <w:i w:val="0"/>
                <w:color w:val="334E68"/>
                <w:sz w:val="17"/>
              </w:rPr>
              <w:t>Representative user logons per role, SSO success, SNC status</w:t>
            </w:r>
          </w:p>
        </w:tc>
      </w:tr>
      <w:tr>
        <w:trPr>
          <w:cantSplit/>
        </w:trPr>
        <w:tc>
          <w:tcPr>
            <w:tcW w:type="dxa" w:w="2506"/>
          </w:tcPr>
          <w:p>
            <w:pPr>
              <w:spacing w:after="20" w:before="20"/>
            </w:pPr>
            <w:r/>
            <w:r>
              <w:rPr>
                <w:rFonts w:ascii="Calibri" w:hAnsi="Calibri"/>
                <w:b/>
                <w:i w:val="0"/>
                <w:color w:val="334E68"/>
                <w:sz w:val="17"/>
              </w:rPr>
              <w:t>Background jobs</w:t>
            </w:r>
          </w:p>
        </w:tc>
        <w:tc>
          <w:tcPr>
            <w:tcW w:type="dxa" w:w="2120"/>
          </w:tcPr>
          <w:p>
            <w:pPr>
              <w:spacing w:after="20" w:before="20"/>
            </w:pPr>
            <w:r/>
            <w:r>
              <w:rPr>
                <w:rFonts w:ascii="Calibri" w:hAnsi="Calibri"/>
                <w:b w:val="0"/>
                <w:i w:val="0"/>
                <w:color w:val="334E68"/>
                <w:sz w:val="17"/>
              </w:rPr>
              <w:t>Basis + job owner</w:t>
            </w:r>
          </w:p>
        </w:tc>
        <w:tc>
          <w:tcPr>
            <w:tcW w:type="dxa" w:w="5012"/>
          </w:tcPr>
          <w:p>
            <w:pPr>
              <w:spacing w:after="20" w:before="20"/>
            </w:pPr>
            <w:r/>
            <w:r>
              <w:rPr>
                <w:rFonts w:ascii="Calibri" w:hAnsi="Calibri"/>
                <w:b w:val="0"/>
                <w:i w:val="0"/>
                <w:color w:val="334E68"/>
                <w:sz w:val="17"/>
              </w:rPr>
              <w:t>Job list with release status; a sample job run successfully</w:t>
            </w:r>
          </w:p>
        </w:tc>
      </w:tr>
      <w:tr>
        <w:trPr>
          <w:cantSplit/>
        </w:trPr>
        <w:tc>
          <w:tcPr>
            <w:tcW w:type="dxa" w:w="2506"/>
            <w:shd w:val="clear" w:color="auto" w:fill="FAFBFD"/>
          </w:tcPr>
          <w:p>
            <w:pPr>
              <w:spacing w:after="20" w:before="20"/>
            </w:pPr>
            <w:r/>
            <w:r>
              <w:rPr>
                <w:rFonts w:ascii="Calibri" w:hAnsi="Calibri"/>
                <w:b/>
                <w:i w:val="0"/>
                <w:color w:val="334E68"/>
                <w:sz w:val="17"/>
              </w:rPr>
              <w:t>Interfaces to external partners</w:t>
            </w:r>
          </w:p>
        </w:tc>
        <w:tc>
          <w:tcPr>
            <w:tcW w:type="dxa" w:w="2120"/>
            <w:shd w:val="clear" w:color="auto" w:fill="FAFBFD"/>
          </w:tcPr>
          <w:p>
            <w:pPr>
              <w:spacing w:after="20" w:before="20"/>
            </w:pPr>
            <w:r/>
            <w:r>
              <w:rPr>
                <w:rFonts w:ascii="Calibri" w:hAnsi="Calibri"/>
                <w:b w:val="0"/>
                <w:i w:val="0"/>
                <w:color w:val="334E68"/>
                <w:sz w:val="17"/>
              </w:rPr>
              <w:t>Interface owner</w:t>
            </w:r>
          </w:p>
        </w:tc>
        <w:tc>
          <w:tcPr>
            <w:tcW w:type="dxa" w:w="5012"/>
            <w:shd w:val="clear" w:color="auto" w:fill="FAFBFD"/>
          </w:tcPr>
          <w:p>
            <w:pPr>
              <w:spacing w:after="20" w:before="20"/>
            </w:pPr>
            <w:r/>
            <w:r>
              <w:rPr>
                <w:rFonts w:ascii="Calibri" w:hAnsi="Calibri"/>
                <w:b w:val="0"/>
                <w:i w:val="0"/>
                <w:color w:val="334E68"/>
                <w:sz w:val="17"/>
              </w:rPr>
              <w:t>Partner confirmation or successful test exchange</w:t>
            </w:r>
          </w:p>
        </w:tc>
      </w:tr>
    </w:tbl>
    <w:p>
      <w:pPr>
        <w:spacing w:after="40"/>
      </w:pPr>
    </w:p>
    <w:p>
      <w:pPr>
        <w:pStyle w:val="Heading2"/>
        <w:pBdr>
          <w:bottom w:val="single" w:sz="6" w:space="3" w:color="E8EDF3"/>
        </w:pBdr>
      </w:pPr>
      <w:r>
        <w:rPr>
          <w:rFonts w:ascii="Calibri" w:hAnsi="Calibri"/>
          <w:b/>
          <w:color w:val="0F2B4C"/>
          <w:sz w:val="26"/>
        </w:rPr>
        <w:t>10.4  Go/No-Go gate</w:t>
      </w:r>
    </w:p>
    <w:p>
      <w:pPr>
        <w:spacing w:after="40"/>
        <w:ind w:left="578" w:hanging="227"/>
      </w:pPr>
      <w:r>
        <w:rPr>
          <w:rFonts w:ascii="Calibri" w:hAnsi="Calibri"/>
          <w:b/>
          <w:color w:val="0F2B4C"/>
          <w:sz w:val="19"/>
        </w:rPr>
        <w:t xml:space="preserve">1.  </w:t>
      </w:r>
      <w:r>
        <w:rPr>
          <w:rFonts w:ascii="Calibri" w:hAnsi="Calibri"/>
          <w:b w:val="0"/>
          <w:i w:val="0"/>
          <w:color w:val="334E68"/>
          <w:sz w:val="19"/>
        </w:rPr>
        <w:t>Collect technical and functional evidence into one pack, indexed by checklist item.</w:t>
      </w:r>
    </w:p>
    <w:p>
      <w:pPr>
        <w:spacing w:after="40"/>
        <w:ind w:left="578" w:hanging="227"/>
      </w:pPr>
      <w:r>
        <w:rPr>
          <w:rFonts w:ascii="Calibri" w:hAnsi="Calibri"/>
          <w:b/>
          <w:color w:val="0F2B4C"/>
          <w:sz w:val="19"/>
        </w:rPr>
        <w:t xml:space="preserve">2.  </w:t>
      </w:r>
      <w:r>
        <w:rPr>
          <w:rFonts w:ascii="Calibri" w:hAnsi="Calibri"/>
          <w:b w:val="0"/>
          <w:i w:val="0"/>
          <w:color w:val="334E68"/>
          <w:sz w:val="19"/>
        </w:rPr>
        <w:t xml:space="preserve">Complete ADPU and relevant quality-assurance sign-offs </w:t>
      </w:r>
      <w:r>
        <w:rPr>
          <w:rFonts w:ascii="Calibri" w:hAnsi="Calibri"/>
          <w:b w:val="0"/>
          <w:i w:val="0"/>
          <w:color w:val="334E68"/>
          <w:sz w:val="19"/>
        </w:rPr>
        <w:t>source term</w:t>
      </w:r>
      <w:r>
        <w:rPr>
          <w:rFonts w:ascii="Calibri" w:hAnsi="Calibri"/>
          <w:b w:val="0"/>
          <w:i w:val="0"/>
          <w:color w:val="334E68"/>
          <w:sz w:val="19"/>
        </w:rPr>
        <w:t>.</w:t>
      </w:r>
    </w:p>
    <w:p>
      <w:pPr>
        <w:spacing w:after="40"/>
        <w:ind w:left="578" w:hanging="227"/>
      </w:pPr>
      <w:r>
        <w:rPr>
          <w:rFonts w:ascii="Calibri" w:hAnsi="Calibri"/>
          <w:b/>
          <w:color w:val="0F2B4C"/>
          <w:sz w:val="19"/>
        </w:rPr>
        <w:t xml:space="preserve">3.  </w:t>
      </w:r>
      <w:r>
        <w:rPr>
          <w:rFonts w:ascii="Calibri" w:hAnsi="Calibri"/>
          <w:b w:val="0"/>
          <w:i w:val="0"/>
          <w:color w:val="334E68"/>
          <w:sz w:val="19"/>
        </w:rPr>
        <w:t>Obtain confirmation from Basis, application, functional and system-owner teams — by name, not by silence.</w:t>
      </w:r>
    </w:p>
    <w:p>
      <w:pPr>
        <w:spacing w:after="40"/>
        <w:ind w:left="578" w:hanging="227"/>
      </w:pPr>
      <w:r>
        <w:rPr>
          <w:rFonts w:ascii="Calibri" w:hAnsi="Calibri"/>
          <w:b/>
          <w:color w:val="0F2B4C"/>
          <w:sz w:val="19"/>
        </w:rPr>
        <w:t xml:space="preserve">4.  </w:t>
      </w:r>
      <w:r>
        <w:rPr>
          <w:rFonts w:ascii="Calibri" w:hAnsi="Calibri"/>
          <w:b w:val="0"/>
          <w:i w:val="0"/>
          <w:color w:val="334E68"/>
          <w:sz w:val="19"/>
        </w:rPr>
        <w:t>Project management and stakeholders review the checklist, the open items and the rollback readiness.</w:t>
      </w:r>
    </w:p>
    <w:p>
      <w:pPr>
        <w:spacing w:after="40"/>
        <w:ind w:left="578" w:hanging="227"/>
      </w:pPr>
      <w:r>
        <w:rPr>
          <w:rFonts w:ascii="Calibri" w:hAnsi="Calibri"/>
          <w:b/>
          <w:color w:val="0F2B4C"/>
          <w:sz w:val="19"/>
        </w:rPr>
        <w:t xml:space="preserve">5.  </w:t>
      </w:r>
      <w:r>
        <w:rPr>
          <w:rFonts w:ascii="Calibri" w:hAnsi="Calibri"/>
          <w:b w:val="0"/>
          <w:i w:val="0"/>
          <w:color w:val="334E68"/>
          <w:sz w:val="19"/>
        </w:rPr>
        <w:t>Release the system only after the required approvals and an explicit Go decision.</w:t>
      </w:r>
    </w:p>
    <w:p>
      <w:pPr>
        <w:spacing w:after="60" w:before="160"/>
        <w:keepNext/>
      </w:pPr>
      <w:r>
        <w:rPr>
          <w:rFonts w:ascii="Calibri" w:hAnsi="Calibri"/>
          <w:b/>
          <w:color w:val="5B7288"/>
          <w:sz w:val="15"/>
        </w:rPr>
        <w:t>GO/NO-GO INPUTS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7325"/>
      </w:tblGrid>
      <w:tr>
        <w:trPr>
          <w:tblHeader/>
          <w:cantSplit/>
        </w:trPr>
        <w:tc>
          <w:tcPr>
            <w:tcW w:type="dxa" w:w="2313"/>
            <w:shd w:val="clear" w:color="auto" w:fill="0F2B4C"/>
          </w:tcPr>
          <w:p>
            <w:pPr>
              <w:spacing w:after="20" w:before="20"/>
            </w:pPr>
            <w:r/>
            <w:r>
              <w:rPr>
                <w:rFonts w:ascii="Calibri" w:hAnsi="Calibri"/>
                <w:b/>
                <w:color w:val="FFFFFF"/>
                <w:sz w:val="17"/>
              </w:rPr>
              <w:t>Gate input</w:t>
            </w:r>
          </w:p>
        </w:tc>
        <w:tc>
          <w:tcPr>
            <w:tcW w:type="dxa" w:w="7325"/>
            <w:shd w:val="clear" w:color="auto" w:fill="0F2B4C"/>
          </w:tcPr>
          <w:p>
            <w:pPr>
              <w:spacing w:after="20" w:before="20"/>
            </w:pPr>
            <w:r/>
            <w:r>
              <w:rPr>
                <w:rFonts w:ascii="Calibri" w:hAnsi="Calibri"/>
                <w:b/>
                <w:color w:val="FFFFFF"/>
                <w:sz w:val="17"/>
              </w:rPr>
              <w:t>What must be true to vote Go</w:t>
            </w:r>
          </w:p>
        </w:tc>
      </w:tr>
      <w:tr>
        <w:trPr>
          <w:cantSplit/>
        </w:trPr>
        <w:tc>
          <w:tcPr>
            <w:tcW w:type="dxa" w:w="2313"/>
          </w:tcPr>
          <w:p>
            <w:pPr>
              <w:spacing w:after="20" w:before="20"/>
            </w:pPr>
            <w:r/>
            <w:r>
              <w:rPr>
                <w:rFonts w:ascii="Calibri" w:hAnsi="Calibri"/>
                <w:b/>
                <w:i w:val="0"/>
                <w:color w:val="334E68"/>
                <w:sz w:val="17"/>
              </w:rPr>
              <w:t>Technical validation</w:t>
            </w:r>
          </w:p>
        </w:tc>
        <w:tc>
          <w:tcPr>
            <w:tcW w:type="dxa" w:w="7325"/>
          </w:tcPr>
          <w:p>
            <w:pPr>
              <w:spacing w:after="20" w:before="20"/>
            </w:pPr>
            <w:r/>
            <w:r>
              <w:rPr>
                <w:rFonts w:ascii="Calibri" w:hAnsi="Calibri"/>
                <w:b w:val="0"/>
                <w:i w:val="0"/>
                <w:color w:val="334E68"/>
                <w:sz w:val="17"/>
              </w:rPr>
              <w:t>All Module 4 and Module 6 checks complete or formally deferred with an owner, impact and date</w:t>
            </w:r>
          </w:p>
        </w:tc>
      </w:tr>
      <w:tr>
        <w:trPr>
          <w:cantSplit/>
        </w:trPr>
        <w:tc>
          <w:tcPr>
            <w:tcW w:type="dxa" w:w="2313"/>
            <w:shd w:val="clear" w:color="auto" w:fill="FAFBFD"/>
          </w:tcPr>
          <w:p>
            <w:pPr>
              <w:spacing w:after="20" w:before="20"/>
            </w:pPr>
            <w:r/>
            <w:r>
              <w:rPr>
                <w:rFonts w:ascii="Calibri" w:hAnsi="Calibri"/>
                <w:b/>
                <w:i w:val="0"/>
                <w:color w:val="334E68"/>
                <w:sz w:val="17"/>
              </w:rPr>
              <w:t>Functional validation</w:t>
            </w:r>
          </w:p>
        </w:tc>
        <w:tc>
          <w:tcPr>
            <w:tcW w:type="dxa" w:w="7325"/>
            <w:shd w:val="clear" w:color="auto" w:fill="FAFBFD"/>
          </w:tcPr>
          <w:p>
            <w:pPr>
              <w:spacing w:after="20" w:before="20"/>
            </w:pPr>
            <w:r/>
            <w:r>
              <w:rPr>
                <w:rFonts w:ascii="Calibri" w:hAnsi="Calibri"/>
                <w:b w:val="0"/>
                <w:i w:val="0"/>
                <w:color w:val="334E68"/>
                <w:sz w:val="17"/>
              </w:rPr>
              <w:t>Named business transactions tested and passed by the functional team</w:t>
            </w:r>
          </w:p>
        </w:tc>
      </w:tr>
      <w:tr>
        <w:trPr>
          <w:cantSplit/>
        </w:trPr>
        <w:tc>
          <w:tcPr>
            <w:tcW w:type="dxa" w:w="2313"/>
          </w:tcPr>
          <w:p>
            <w:pPr>
              <w:spacing w:after="20" w:before="20"/>
            </w:pPr>
            <w:r/>
            <w:r>
              <w:rPr>
                <w:rFonts w:ascii="Calibri" w:hAnsi="Calibri"/>
                <w:b/>
                <w:i w:val="0"/>
                <w:color w:val="334E68"/>
                <w:sz w:val="17"/>
              </w:rPr>
              <w:t>Evidence</w:t>
            </w:r>
          </w:p>
        </w:tc>
        <w:tc>
          <w:tcPr>
            <w:tcW w:type="dxa" w:w="7325"/>
          </w:tcPr>
          <w:p>
            <w:pPr>
              <w:spacing w:after="20" w:before="20"/>
            </w:pPr>
            <w:r/>
            <w:r>
              <w:rPr>
                <w:rFonts w:ascii="Calibri" w:hAnsi="Calibri"/>
                <w:b w:val="0"/>
                <w:i w:val="0"/>
                <w:color w:val="334E68"/>
                <w:sz w:val="17"/>
              </w:rPr>
              <w:t>Source and target evidence captured, compared, and attached to the change record</w:t>
            </w:r>
          </w:p>
        </w:tc>
      </w:tr>
      <w:tr>
        <w:trPr>
          <w:cantSplit/>
        </w:trPr>
        <w:tc>
          <w:tcPr>
            <w:tcW w:type="dxa" w:w="2313"/>
            <w:shd w:val="clear" w:color="auto" w:fill="FAFBFD"/>
          </w:tcPr>
          <w:p>
            <w:pPr>
              <w:spacing w:after="20" w:before="20"/>
            </w:pPr>
            <w:r/>
            <w:r>
              <w:rPr>
                <w:rFonts w:ascii="Calibri" w:hAnsi="Calibri"/>
                <w:b/>
                <w:i w:val="0"/>
                <w:color w:val="334E68"/>
                <w:sz w:val="17"/>
              </w:rPr>
              <w:t>Rollback readiness</w:t>
            </w:r>
          </w:p>
        </w:tc>
        <w:tc>
          <w:tcPr>
            <w:tcW w:type="dxa" w:w="7325"/>
            <w:shd w:val="clear" w:color="auto" w:fill="FAFBFD"/>
          </w:tcPr>
          <w:p>
            <w:pPr>
              <w:spacing w:after="20" w:before="20"/>
            </w:pPr>
            <w:r/>
            <w:r>
              <w:rPr>
                <w:rFonts w:ascii="Calibri" w:hAnsi="Calibri"/>
                <w:b w:val="0"/>
                <w:i w:val="0"/>
                <w:color w:val="334E68"/>
                <w:sz w:val="17"/>
              </w:rPr>
              <w:t>Snapshot and/or final backup verified, DNS rollback path defined, rollback owner present</w:t>
            </w:r>
          </w:p>
        </w:tc>
      </w:tr>
      <w:tr>
        <w:trPr>
          <w:cantSplit/>
        </w:trPr>
        <w:tc>
          <w:tcPr>
            <w:tcW w:type="dxa" w:w="2313"/>
          </w:tcPr>
          <w:p>
            <w:pPr>
              <w:spacing w:after="20" w:before="20"/>
            </w:pPr>
            <w:r/>
            <w:r>
              <w:rPr>
                <w:rFonts w:ascii="Calibri" w:hAnsi="Calibri"/>
                <w:b/>
                <w:i w:val="0"/>
                <w:color w:val="334E68"/>
                <w:sz w:val="17"/>
              </w:rPr>
              <w:t>Approvals</w:t>
            </w:r>
          </w:p>
        </w:tc>
        <w:tc>
          <w:tcPr>
            <w:tcW w:type="dxa" w:w="7325"/>
          </w:tcPr>
          <w:p>
            <w:pPr>
              <w:spacing w:after="20" w:before="20"/>
            </w:pPr>
            <w:r/>
            <w:r>
              <w:rPr>
                <w:rFonts w:ascii="Calibri" w:hAnsi="Calibri"/>
                <w:b w:val="0"/>
                <w:i w:val="0"/>
                <w:color w:val="334E68"/>
                <w:sz w:val="17"/>
              </w:rPr>
              <w:t>Basis, application, functional, system owner, PMO — all recorded</w:t>
            </w:r>
          </w:p>
        </w:tc>
      </w:tr>
      <w:tr>
        <w:trPr>
          <w:cantSplit/>
        </w:trPr>
        <w:tc>
          <w:tcPr>
            <w:tcW w:type="dxa" w:w="2313"/>
            <w:shd w:val="clear" w:color="auto" w:fill="FAFBFD"/>
          </w:tcPr>
          <w:p>
            <w:pPr>
              <w:spacing w:after="20" w:before="20"/>
            </w:pPr>
            <w:r/>
            <w:r>
              <w:rPr>
                <w:rFonts w:ascii="Calibri" w:hAnsi="Calibri"/>
                <w:b/>
                <w:i w:val="0"/>
                <w:color w:val="334E68"/>
                <w:sz w:val="17"/>
              </w:rPr>
              <w:t>Open risks</w:t>
            </w:r>
          </w:p>
        </w:tc>
        <w:tc>
          <w:tcPr>
            <w:tcW w:type="dxa" w:w="7325"/>
            <w:shd w:val="clear" w:color="auto" w:fill="FAFBFD"/>
          </w:tcPr>
          <w:p>
            <w:pPr>
              <w:spacing w:after="20" w:before="20"/>
            </w:pPr>
            <w:r/>
            <w:r>
              <w:rPr>
                <w:rFonts w:ascii="Calibri" w:hAnsi="Calibri"/>
                <w:b w:val="0"/>
                <w:i w:val="0"/>
                <w:color w:val="334E68"/>
                <w:sz w:val="17"/>
              </w:rPr>
              <w:t>Every open item classified by severity with an agreed mitigation; no unexplained critical item</w:t>
            </w:r>
          </w:p>
        </w:tc>
      </w:tr>
      <w:tr>
        <w:trPr>
          <w:cantSplit/>
        </w:trPr>
        <w:tc>
          <w:tcPr>
            <w:tcW w:type="dxa" w:w="2313"/>
          </w:tcPr>
          <w:p>
            <w:pPr>
              <w:spacing w:after="20" w:before="20"/>
            </w:pPr>
            <w:r/>
            <w:r>
              <w:rPr>
                <w:rFonts w:ascii="Calibri" w:hAnsi="Calibri"/>
                <w:b/>
                <w:i w:val="0"/>
                <w:color w:val="334E68"/>
                <w:sz w:val="17"/>
              </w:rPr>
              <w:t>Support readiness</w:t>
            </w:r>
          </w:p>
        </w:tc>
        <w:tc>
          <w:tcPr>
            <w:tcW w:type="dxa" w:w="7325"/>
          </w:tcPr>
          <w:p>
            <w:pPr>
              <w:spacing w:after="20" w:before="20"/>
            </w:pPr>
            <w:r/>
            <w:r>
              <w:rPr>
                <w:rFonts w:ascii="Calibri" w:hAnsi="Calibri"/>
                <w:b w:val="0"/>
                <w:i w:val="0"/>
                <w:color w:val="334E68"/>
                <w:sz w:val="17"/>
              </w:rPr>
              <w:t>Hypercare roster, escalation path and ticket routing configured</w:t>
            </w:r>
          </w:p>
        </w:tc>
      </w:tr>
    </w:tbl>
    <w:p>
      <w:pPr>
        <w:spacing w:after="40"/>
      </w:pPr>
    </w:p>
    <w:p>
      <w:pPr>
        <w:spacing w:before="180" w:after="40"/>
        <w:shd w:val="clear" w:color="auto" w:fill="F8FCF9"/>
        <w:pBdr>
          <w:left w:val="single" w:sz="6" w:space="6" w:color="3D9A5F"/>
          <w:top w:val="single" w:sz="6" w:space="6" w:color="3D9A5F"/>
          <w:right w:val="single" w:sz="6" w:space="6" w:color="3D9A5F"/>
        </w:pBdr>
        <w:keepNext/>
      </w:pPr>
      <w:r>
        <w:rPr>
          <w:rFonts w:ascii="Calibri" w:hAnsi="Calibri"/>
          <w:b/>
          <w:color w:val="3D9A5F"/>
          <w:sz w:val="16"/>
        </w:rPr>
        <w:t>A NO-GO IS A SUCCESS WHEN THE EVIDENCE SUPPORTS IT</w:t>
      </w:r>
    </w:p>
    <w:p>
      <w:pPr>
        <w:spacing w:after="40"/>
        <w:ind w:left="170"/>
        <w:shd w:val="clear" w:color="auto" w:fill="F8FCF9"/>
        <w:pBdr>
          <w:left w:val="single" w:sz="6" w:space="6" w:color="3D9A5F"/>
          <w:bottom w:val="single" w:sz="6" w:space="6" w:color="3D9A5F"/>
          <w:right w:val="single" w:sz="6" w:space="6" w:color="3D9A5F"/>
        </w:pBdr>
      </w:pPr>
      <w:r>
        <w:rPr>
          <w:rFonts w:ascii="Calibri" w:hAnsi="Calibri"/>
          <w:b w:val="0"/>
          <w:i w:val="0"/>
          <w:color w:val="334E68"/>
          <w:sz w:val="18"/>
        </w:rPr>
        <w:t>The gate exists to protect the business, not to approve the project's schedule. Presenting a clean No-Go with documented reasons is professional execution. Presenting a Go with open critical items is how migrations become incidents.</w:t>
      </w:r>
    </w:p>
    <w:p>
      <w:pPr>
        <w:pStyle w:val="Heading2"/>
        <w:pBdr>
          <w:bottom w:val="single" w:sz="6" w:space="3" w:color="E8EDF3"/>
        </w:pBdr>
      </w:pPr>
      <w:r>
        <w:rPr>
          <w:rFonts w:ascii="Calibri" w:hAnsi="Calibri"/>
          <w:b/>
          <w:color w:val="0F2B4C"/>
          <w:sz w:val="26"/>
        </w:rPr>
        <w:t>10.5  Rollback</w:t>
      </w:r>
    </w:p>
    <w:p>
      <w:pPr>
        <w:spacing w:after="40"/>
        <w:ind w:left="351" w:hanging="227"/>
      </w:pPr>
      <w:r>
        <w:rPr>
          <w:rFonts w:ascii="Calibri" w:hAnsi="Calibri"/>
          <w:b/>
          <w:color w:val="1B4F86"/>
          <w:sz w:val="19"/>
        </w:rPr>
        <w:t xml:space="preserve">▪  </w:t>
      </w:r>
      <w:r>
        <w:rPr>
          <w:rFonts w:ascii="Calibri" w:hAnsi="Calibri"/>
          <w:b w:val="0"/>
          <w:i w:val="0"/>
          <w:color w:val="334E68"/>
          <w:sz w:val="19"/>
        </w:rPr>
        <w:t xml:space="preserve">If a No-Go decision is made, or a critical issue prevents safe cutover, execute the </w:t>
      </w:r>
      <w:r>
        <w:rPr>
          <w:rFonts w:ascii="Calibri" w:hAnsi="Calibri"/>
          <w:b/>
          <w:i w:val="0"/>
          <w:color w:val="334E68"/>
          <w:sz w:val="19"/>
        </w:rPr>
        <w:t>agreed</w:t>
      </w:r>
      <w:r>
        <w:rPr>
          <w:rFonts w:ascii="Calibri" w:hAnsi="Calibri"/>
          <w:b w:val="0"/>
          <w:i w:val="0"/>
          <w:color w:val="334E68"/>
          <w:sz w:val="19"/>
        </w:rPr>
        <w:t xml:space="preserve"> rollback procedure — the one rehearsed before the window.</w:t>
      </w:r>
    </w:p>
    <w:p>
      <w:pPr>
        <w:spacing w:after="40"/>
        <w:ind w:left="351" w:hanging="227"/>
      </w:pPr>
      <w:r>
        <w:rPr>
          <w:rFonts w:ascii="Calibri" w:hAnsi="Calibri"/>
          <w:b/>
          <w:color w:val="1B4F86"/>
          <w:sz w:val="19"/>
        </w:rPr>
        <w:t xml:space="preserve">▪  </w:t>
      </w:r>
      <w:r>
        <w:rPr>
          <w:rFonts w:ascii="Calibri" w:hAnsi="Calibri"/>
          <w:b w:val="0"/>
          <w:i w:val="0"/>
          <w:color w:val="334E68"/>
          <w:sz w:val="19"/>
        </w:rPr>
        <w:t>Typical technical path: restore the snapshot or recover the source, revert DNS/CNAME to the source, restart the source database and SAP, re-validate connectivity, then re-open the incident path.</w:t>
      </w:r>
    </w:p>
    <w:p>
      <w:pPr>
        <w:spacing w:after="40"/>
        <w:ind w:left="351" w:hanging="227"/>
      </w:pPr>
      <w:r>
        <w:rPr>
          <w:rFonts w:ascii="Calibri" w:hAnsi="Calibri"/>
          <w:b/>
          <w:color w:val="1B4F86"/>
          <w:sz w:val="19"/>
        </w:rPr>
        <w:t xml:space="preserve">▪  </w:t>
      </w:r>
      <w:r>
        <w:rPr>
          <w:rFonts w:ascii="Calibri" w:hAnsi="Calibri"/>
          <w:b w:val="0"/>
          <w:i w:val="0"/>
          <w:color w:val="334E68"/>
          <w:sz w:val="19"/>
        </w:rPr>
        <w:t>Announce the decision, the time and the reason on the bridge and in the change record.</w:t>
      </w:r>
    </w:p>
    <w:p>
      <w:pPr>
        <w:spacing w:after="40"/>
        <w:ind w:left="351" w:hanging="227"/>
      </w:pPr>
      <w:r>
        <w:rPr>
          <w:rFonts w:ascii="Calibri" w:hAnsi="Calibri"/>
          <w:b/>
          <w:color w:val="1B4F86"/>
          <w:sz w:val="19"/>
        </w:rPr>
        <w:t xml:space="preserve">▪  </w:t>
      </w:r>
      <w:r>
        <w:rPr>
          <w:rFonts w:ascii="Calibri" w:hAnsi="Calibri"/>
          <w:b w:val="0"/>
          <w:i w:val="0"/>
          <w:color w:val="334E68"/>
          <w:sz w:val="19"/>
        </w:rPr>
        <w:t>Preserve all evidence from the failed attempt — it is the input to the next attempt.</w:t>
      </w:r>
    </w:p>
    <w:p>
      <w:pPr>
        <w:spacing w:after="40"/>
        <w:ind w:left="351" w:hanging="227"/>
      </w:pPr>
      <w:r>
        <w:rPr>
          <w:rFonts w:ascii="Calibri" w:hAnsi="Calibri"/>
          <w:b/>
          <w:color w:val="1B4F86"/>
          <w:sz w:val="19"/>
        </w:rPr>
        <w:t xml:space="preserve">▪  </w:t>
      </w:r>
      <w:r>
        <w:rPr>
          <w:rFonts w:ascii="Calibri" w:hAnsi="Calibri"/>
          <w:b w:val="0"/>
          <w:i w:val="0"/>
          <w:color w:val="334E68"/>
          <w:sz w:val="19"/>
        </w:rPr>
        <w:t>Confirm with the business which data (if any) was created on the target and how it will be handled.</w:t>
      </w:r>
    </w:p>
    <w:p>
      <w:pPr>
        <w:pStyle w:val="Heading2"/>
        <w:pBdr>
          <w:bottom w:val="single" w:sz="6" w:space="3" w:color="E8EDF3"/>
        </w:pBdr>
      </w:pPr>
      <w:r>
        <w:rPr>
          <w:rFonts w:ascii="Calibri" w:hAnsi="Calibri"/>
          <w:b/>
          <w:color w:val="0F2B4C"/>
          <w:sz w:val="26"/>
        </w:rPr>
        <w:t>10.6  Go-live and hypercare</w:t>
      </w:r>
    </w:p>
    <w:p>
      <w:pPr>
        <w:spacing w:after="40"/>
        <w:ind w:left="578" w:hanging="227"/>
      </w:pPr>
      <w:r>
        <w:rPr>
          <w:rFonts w:ascii="Calibri" w:hAnsi="Calibri"/>
          <w:b/>
          <w:color w:val="0F2B4C"/>
          <w:sz w:val="19"/>
        </w:rPr>
        <w:t xml:space="preserve">1.  </w:t>
      </w:r>
      <w:r>
        <w:rPr>
          <w:rFonts w:ascii="Calibri" w:hAnsi="Calibri"/>
          <w:b w:val="0"/>
          <w:i w:val="0"/>
          <w:color w:val="334E68"/>
          <w:sz w:val="19"/>
        </w:rPr>
        <w:t>Following Go, unlock users as required (and only the intended user population).</w:t>
      </w:r>
    </w:p>
    <w:p>
      <w:pPr>
        <w:spacing w:after="40"/>
        <w:ind w:left="578" w:hanging="227"/>
      </w:pPr>
      <w:r>
        <w:rPr>
          <w:rFonts w:ascii="Calibri" w:hAnsi="Calibri"/>
          <w:b/>
          <w:color w:val="0F2B4C"/>
          <w:sz w:val="19"/>
        </w:rPr>
        <w:t xml:space="preserve">2.  </w:t>
      </w:r>
      <w:r>
        <w:rPr>
          <w:rFonts w:ascii="Calibri" w:hAnsi="Calibri"/>
          <w:b w:val="0"/>
          <w:i w:val="0"/>
          <w:color w:val="334E68"/>
          <w:sz w:val="19"/>
        </w:rPr>
        <w:t>Resume background jobs and Control-M activities with the relevant teams — in the agreed order, not all at once.</w:t>
      </w:r>
    </w:p>
    <w:p>
      <w:pPr>
        <w:spacing w:after="40"/>
        <w:ind w:left="578" w:hanging="227"/>
      </w:pPr>
      <w:r>
        <w:rPr>
          <w:rFonts w:ascii="Calibri" w:hAnsi="Calibri"/>
          <w:b/>
          <w:color w:val="0F2B4C"/>
          <w:sz w:val="19"/>
        </w:rPr>
        <w:t xml:space="preserve">3.  </w:t>
      </w:r>
      <w:r>
        <w:rPr>
          <w:rFonts w:ascii="Calibri" w:hAnsi="Calibri"/>
          <w:b w:val="0"/>
          <w:i w:val="0"/>
          <w:color w:val="334E68"/>
          <w:sz w:val="19"/>
        </w:rPr>
        <w:t xml:space="preserve">Complete remaining EDG / SAProuter configuration as applicable </w:t>
      </w:r>
      <w:r>
        <w:rPr>
          <w:rFonts w:ascii="Calibri" w:hAnsi="Calibri"/>
          <w:b w:val="0"/>
          <w:i w:val="0"/>
          <w:color w:val="334E68"/>
          <w:sz w:val="19"/>
        </w:rPr>
        <w:t>source term</w:t>
      </w:r>
      <w:r>
        <w:rPr>
          <w:rFonts w:ascii="Calibri" w:hAnsi="Calibri"/>
          <w:b w:val="0"/>
          <w:i w:val="0"/>
          <w:color w:val="334E68"/>
          <w:sz w:val="19"/>
        </w:rPr>
        <w:t>.</w:t>
      </w:r>
    </w:p>
    <w:p>
      <w:pPr>
        <w:spacing w:after="40"/>
        <w:ind w:left="578" w:hanging="227"/>
      </w:pPr>
      <w:r>
        <w:rPr>
          <w:rFonts w:ascii="Calibri" w:hAnsi="Calibri"/>
          <w:b/>
          <w:color w:val="0F2B4C"/>
          <w:sz w:val="19"/>
        </w:rPr>
        <w:t xml:space="preserve">4.  </w:t>
      </w:r>
      <w:r>
        <w:rPr>
          <w:rFonts w:ascii="Calibri" w:hAnsi="Calibri"/>
          <w:b w:val="0"/>
          <w:i w:val="0"/>
          <w:color w:val="334E68"/>
          <w:sz w:val="19"/>
        </w:rPr>
        <w:t xml:space="preserve">Provide </w:t>
      </w:r>
      <w:r>
        <w:rPr>
          <w:rFonts w:ascii="Calibri" w:hAnsi="Calibri"/>
          <w:b/>
          <w:i w:val="0"/>
          <w:color w:val="334E68"/>
          <w:sz w:val="19"/>
        </w:rPr>
        <w:t>15 days</w:t>
      </w:r>
      <w:r>
        <w:rPr>
          <w:rFonts w:ascii="Calibri" w:hAnsi="Calibri"/>
          <w:b w:val="0"/>
          <w:i w:val="0"/>
          <w:color w:val="334E68"/>
          <w:sz w:val="19"/>
        </w:rPr>
        <w:t xml:space="preserve"> of hypercare, with a named roster and an escalation path.</w:t>
      </w:r>
    </w:p>
    <w:p>
      <w:pPr>
        <w:spacing w:after="40"/>
        <w:ind w:left="578" w:hanging="227"/>
      </w:pPr>
      <w:r>
        <w:rPr>
          <w:rFonts w:ascii="Calibri" w:hAnsi="Calibri"/>
          <w:b/>
          <w:color w:val="0F2B4C"/>
          <w:sz w:val="19"/>
        </w:rPr>
        <w:t xml:space="preserve">5.  </w:t>
      </w:r>
      <w:r>
        <w:rPr>
          <w:rFonts w:ascii="Calibri" w:hAnsi="Calibri"/>
          <w:b w:val="0"/>
          <w:i w:val="0"/>
          <w:color w:val="334E68"/>
          <w:sz w:val="19"/>
        </w:rPr>
        <w:t>Classify each issue as migration-related or pre-existing and route it to the responsible support team.</w:t>
      </w:r>
    </w:p>
    <w:p>
      <w:pPr>
        <w:spacing w:after="40"/>
        <w:ind w:left="578" w:hanging="227"/>
      </w:pPr>
      <w:r>
        <w:rPr>
          <w:rFonts w:ascii="Calibri" w:hAnsi="Calibri"/>
          <w:b/>
          <w:color w:val="0F2B4C"/>
          <w:sz w:val="19"/>
        </w:rPr>
        <w:t xml:space="preserve">6.  </w:t>
      </w:r>
      <w:r>
        <w:rPr>
          <w:rFonts w:ascii="Calibri" w:hAnsi="Calibri"/>
          <w:b w:val="0"/>
          <w:i w:val="0"/>
          <w:color w:val="334E68"/>
          <w:sz w:val="19"/>
        </w:rPr>
        <w:t>Monitor the leading indicators daily: short dumps, failed jobs, failed interfaces, response time versus baseline, memory, database growth, backup success.</w:t>
      </w:r>
    </w:p>
    <w:p>
      <w:pPr>
        <w:spacing w:after="40"/>
        <w:ind w:left="578" w:hanging="227"/>
      </w:pPr>
      <w:r>
        <w:rPr>
          <w:rFonts w:ascii="Calibri" w:hAnsi="Calibri"/>
          <w:b/>
          <w:color w:val="0F2B4C"/>
          <w:sz w:val="19"/>
        </w:rPr>
        <w:t xml:space="preserve">7.  </w:t>
      </w:r>
      <w:r>
        <w:rPr>
          <w:rFonts w:ascii="Calibri" w:hAnsi="Calibri"/>
          <w:b w:val="0"/>
          <w:i w:val="0"/>
          <w:color w:val="334E68"/>
          <w:sz w:val="19"/>
        </w:rPr>
        <w:t>Hold a daily hypercare call, track issues to closure, and report trend rather than incident count alone.</w:t>
      </w:r>
    </w:p>
    <w:p>
      <w:pPr>
        <w:spacing w:after="40"/>
        <w:ind w:left="578" w:hanging="227"/>
      </w:pPr>
      <w:r>
        <w:rPr>
          <w:rFonts w:ascii="Calibri" w:hAnsi="Calibri"/>
          <w:b/>
          <w:color w:val="0F2B4C"/>
          <w:sz w:val="19"/>
        </w:rPr>
        <w:t xml:space="preserve">8.  </w:t>
      </w:r>
      <w:r>
        <w:rPr>
          <w:rFonts w:ascii="Calibri" w:hAnsi="Calibri"/>
          <w:b w:val="0"/>
          <w:i w:val="0"/>
          <w:color w:val="334E68"/>
          <w:sz w:val="19"/>
        </w:rPr>
        <w:t>Close hypercare formally: exit criteria met, open items transferred to BAU support with owners, evidence archived.</w:t>
      </w:r>
    </w:p>
    <w:p>
      <w:pPr>
        <w:spacing w:after="60" w:before="160"/>
        <w:keepNext/>
      </w:pPr>
      <w:r>
        <w:rPr>
          <w:rFonts w:ascii="Calibri" w:hAnsi="Calibri"/>
          <w:b/>
          <w:color w:val="5B7288"/>
          <w:sz w:val="15"/>
        </w:rPr>
        <w:t>DAILY HYPERCARE MONITORING SET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2506"/>
        <w:gridCol w:w="4819"/>
      </w:tblGrid>
      <w:tr>
        <w:trPr>
          <w:tblHeader/>
          <w:cantSplit/>
        </w:trPr>
        <w:tc>
          <w:tcPr>
            <w:tcW w:type="dxa" w:w="2313"/>
            <w:shd w:val="clear" w:color="auto" w:fill="0F2B4C"/>
          </w:tcPr>
          <w:p>
            <w:pPr>
              <w:spacing w:after="20" w:before="20"/>
            </w:pPr>
            <w:r/>
            <w:r>
              <w:rPr>
                <w:rFonts w:ascii="Calibri" w:hAnsi="Calibri"/>
                <w:b/>
                <w:color w:val="FFFFFF"/>
                <w:sz w:val="17"/>
              </w:rPr>
              <w:t>Hypercare indicator</w:t>
            </w:r>
          </w:p>
        </w:tc>
        <w:tc>
          <w:tcPr>
            <w:tcW w:type="dxa" w:w="2506"/>
            <w:shd w:val="clear" w:color="auto" w:fill="0F2B4C"/>
          </w:tcPr>
          <w:p>
            <w:pPr>
              <w:spacing w:after="20" w:before="20"/>
            </w:pPr>
            <w:r/>
            <w:r>
              <w:rPr>
                <w:rFonts w:ascii="Calibri" w:hAnsi="Calibri"/>
                <w:b/>
                <w:color w:val="FFFFFF"/>
                <w:sz w:val="17"/>
              </w:rPr>
              <w:t>Source</w:t>
            </w:r>
          </w:p>
        </w:tc>
        <w:tc>
          <w:tcPr>
            <w:tcW w:type="dxa" w:w="4819"/>
            <w:shd w:val="clear" w:color="auto" w:fill="0F2B4C"/>
          </w:tcPr>
          <w:p>
            <w:pPr>
              <w:spacing w:after="20" w:before="20"/>
            </w:pPr>
            <w:r/>
            <w:r>
              <w:rPr>
                <w:rFonts w:ascii="Calibri" w:hAnsi="Calibri"/>
                <w:b/>
                <w:color w:val="FFFFFF"/>
                <w:sz w:val="17"/>
              </w:rPr>
              <w:t>What a bad trend looks like</w:t>
            </w:r>
          </w:p>
        </w:tc>
      </w:tr>
      <w:tr>
        <w:trPr>
          <w:cantSplit/>
        </w:trPr>
        <w:tc>
          <w:tcPr>
            <w:tcW w:type="dxa" w:w="2313"/>
          </w:tcPr>
          <w:p>
            <w:pPr>
              <w:spacing w:after="20" w:before="20"/>
            </w:pPr>
            <w:r/>
            <w:r>
              <w:rPr>
                <w:rFonts w:ascii="Calibri" w:hAnsi="Calibri"/>
                <w:b/>
                <w:i w:val="0"/>
                <w:color w:val="334E68"/>
                <w:sz w:val="17"/>
              </w:rPr>
              <w:t>Short dumps and runtime errors</w:t>
            </w:r>
          </w:p>
        </w:tc>
        <w:tc>
          <w:tcPr>
            <w:tcW w:type="dxa" w:w="2506"/>
          </w:tcPr>
          <w:p>
            <w:pPr>
              <w:spacing w:after="20" w:before="20"/>
            </w:pPr>
            <w:r/>
            <w:r>
              <w:rPr>
                <w:rFonts w:ascii="Consolas" w:hAnsi="Consolas"/>
                <w:b w:val="0"/>
                <w:i w:val="0"/>
                <w:color w:val="123A63"/>
                <w:sz w:val="17"/>
                <w:shd w:val="clear" w:color="auto" w:fill="EEF2F7"/>
              </w:rPr>
              <w:t>ST22</w:t>
            </w:r>
          </w:p>
        </w:tc>
        <w:tc>
          <w:tcPr>
            <w:tcW w:type="dxa" w:w="4819"/>
          </w:tcPr>
          <w:p>
            <w:pPr>
              <w:spacing w:after="20" w:before="20"/>
            </w:pPr>
            <w:r/>
            <w:r>
              <w:rPr>
                <w:rFonts w:ascii="Calibri" w:hAnsi="Calibri"/>
                <w:b w:val="0"/>
                <w:i w:val="0"/>
                <w:color w:val="334E68"/>
                <w:sz w:val="17"/>
              </w:rPr>
              <w:t>New dump types appearing after go-live, or a rising count for a known dump</w:t>
            </w:r>
          </w:p>
        </w:tc>
      </w:tr>
      <w:tr>
        <w:trPr>
          <w:cantSplit/>
        </w:trPr>
        <w:tc>
          <w:tcPr>
            <w:tcW w:type="dxa" w:w="2313"/>
            <w:shd w:val="clear" w:color="auto" w:fill="FAFBFD"/>
          </w:tcPr>
          <w:p>
            <w:pPr>
              <w:spacing w:after="20" w:before="20"/>
            </w:pPr>
            <w:r/>
            <w:r>
              <w:rPr>
                <w:rFonts w:ascii="Calibri" w:hAnsi="Calibri"/>
                <w:b/>
                <w:i w:val="0"/>
                <w:color w:val="334E68"/>
                <w:sz w:val="17"/>
              </w:rPr>
              <w:t>Failed background jobs</w:t>
            </w:r>
          </w:p>
        </w:tc>
        <w:tc>
          <w:tcPr>
            <w:tcW w:type="dxa" w:w="2506"/>
            <w:shd w:val="clear" w:color="auto" w:fill="FAFBFD"/>
          </w:tcPr>
          <w:p>
            <w:pPr>
              <w:spacing w:after="20" w:before="20"/>
            </w:pPr>
            <w:r/>
            <w:r>
              <w:rPr>
                <w:rFonts w:ascii="Consolas" w:hAnsi="Consolas"/>
                <w:b w:val="0"/>
                <w:i w:val="0"/>
                <w:color w:val="123A63"/>
                <w:sz w:val="17"/>
                <w:shd w:val="clear" w:color="auto" w:fill="EEF2F7"/>
              </w:rPr>
              <w:t>SM37</w:t>
            </w:r>
            <w:r>
              <w:rPr>
                <w:rFonts w:ascii="Calibri" w:hAnsi="Calibri"/>
                <w:b w:val="0"/>
                <w:i w:val="0"/>
                <w:color w:val="334E68"/>
                <w:sz w:val="17"/>
              </w:rPr>
              <w:t>, Control-M</w:t>
            </w:r>
          </w:p>
        </w:tc>
        <w:tc>
          <w:tcPr>
            <w:tcW w:type="dxa" w:w="4819"/>
            <w:shd w:val="clear" w:color="auto" w:fill="FAFBFD"/>
          </w:tcPr>
          <w:p>
            <w:pPr>
              <w:spacing w:after="20" w:before="20"/>
            </w:pPr>
            <w:r/>
            <w:r>
              <w:rPr>
                <w:rFonts w:ascii="Calibri" w:hAnsi="Calibri"/>
                <w:b w:val="0"/>
                <w:i w:val="0"/>
                <w:color w:val="334E68"/>
                <w:sz w:val="17"/>
              </w:rPr>
              <w:t>Jobs cancelled that previously succeeded; jobs not scheduled at all</w:t>
            </w:r>
          </w:p>
        </w:tc>
      </w:tr>
      <w:tr>
        <w:trPr>
          <w:cantSplit/>
        </w:trPr>
        <w:tc>
          <w:tcPr>
            <w:tcW w:type="dxa" w:w="2313"/>
          </w:tcPr>
          <w:p>
            <w:pPr>
              <w:spacing w:after="20" w:before="20"/>
            </w:pPr>
            <w:r/>
            <w:r>
              <w:rPr>
                <w:rFonts w:ascii="Calibri" w:hAnsi="Calibri"/>
                <w:b/>
                <w:i w:val="0"/>
                <w:color w:val="334E68"/>
                <w:sz w:val="17"/>
              </w:rPr>
              <w:t>Failed interfaces / IDocs</w:t>
            </w:r>
          </w:p>
        </w:tc>
        <w:tc>
          <w:tcPr>
            <w:tcW w:type="dxa" w:w="2506"/>
          </w:tcPr>
          <w:p>
            <w:pPr>
              <w:spacing w:after="20" w:before="20"/>
            </w:pPr>
            <w:r/>
            <w:r>
              <w:rPr>
                <w:rFonts w:ascii="Consolas" w:hAnsi="Consolas"/>
                <w:b w:val="0"/>
                <w:i w:val="0"/>
                <w:color w:val="123A63"/>
                <w:sz w:val="17"/>
                <w:shd w:val="clear" w:color="auto" w:fill="EEF2F7"/>
              </w:rPr>
              <w:t>SM59</w:t>
            </w:r>
            <w:r>
              <w:rPr>
                <w:rFonts w:ascii="Calibri" w:hAnsi="Calibri"/>
                <w:b w:val="0"/>
                <w:i w:val="0"/>
                <w:color w:val="334E68"/>
                <w:sz w:val="17"/>
              </w:rPr>
              <w:t xml:space="preserve">, </w:t>
            </w:r>
            <w:r>
              <w:rPr>
                <w:rFonts w:ascii="Consolas" w:hAnsi="Consolas"/>
                <w:b w:val="0"/>
                <w:i w:val="0"/>
                <w:color w:val="123A63"/>
                <w:sz w:val="17"/>
                <w:shd w:val="clear" w:color="auto" w:fill="EEF2F7"/>
              </w:rPr>
              <w:t>WE02</w:t>
            </w:r>
            <w:r>
              <w:rPr>
                <w:rFonts w:ascii="Calibri" w:hAnsi="Calibri"/>
                <w:b w:val="0"/>
                <w:i w:val="0"/>
                <w:color w:val="334E68"/>
                <w:sz w:val="17"/>
              </w:rPr>
              <w:t>/</w:t>
            </w:r>
            <w:r>
              <w:rPr>
                <w:rFonts w:ascii="Consolas" w:hAnsi="Consolas"/>
                <w:b w:val="0"/>
                <w:i w:val="0"/>
                <w:color w:val="123A63"/>
                <w:sz w:val="17"/>
                <w:shd w:val="clear" w:color="auto" w:fill="EEF2F7"/>
              </w:rPr>
              <w:t>BD87</w:t>
            </w:r>
            <w:r>
              <w:rPr>
                <w:rFonts w:ascii="Calibri" w:hAnsi="Calibri"/>
                <w:b w:val="0"/>
                <w:i w:val="0"/>
                <w:color w:val="334E68"/>
                <w:sz w:val="17"/>
              </w:rPr>
              <w:t>, middleware</w:t>
            </w:r>
          </w:p>
        </w:tc>
        <w:tc>
          <w:tcPr>
            <w:tcW w:type="dxa" w:w="4819"/>
          </w:tcPr>
          <w:p>
            <w:pPr>
              <w:spacing w:after="20" w:before="20"/>
            </w:pPr>
            <w:r/>
            <w:r>
              <w:rPr>
                <w:rFonts w:ascii="Calibri" w:hAnsi="Calibri"/>
                <w:b w:val="0"/>
                <w:i w:val="0"/>
                <w:color w:val="334E68"/>
                <w:sz w:val="17"/>
              </w:rPr>
              <w:t>Rising error status, retries not clearing, partner timeouts</w:t>
            </w:r>
          </w:p>
        </w:tc>
      </w:tr>
      <w:tr>
        <w:trPr>
          <w:cantSplit/>
        </w:trPr>
        <w:tc>
          <w:tcPr>
            <w:tcW w:type="dxa" w:w="2313"/>
            <w:shd w:val="clear" w:color="auto" w:fill="FAFBFD"/>
          </w:tcPr>
          <w:p>
            <w:pPr>
              <w:spacing w:after="20" w:before="20"/>
            </w:pPr>
            <w:r/>
            <w:r>
              <w:rPr>
                <w:rFonts w:ascii="Calibri" w:hAnsi="Calibri"/>
                <w:b/>
                <w:i w:val="0"/>
                <w:color w:val="334E68"/>
                <w:sz w:val="17"/>
              </w:rPr>
              <w:t>Response time</w:t>
            </w:r>
          </w:p>
        </w:tc>
        <w:tc>
          <w:tcPr>
            <w:tcW w:type="dxa" w:w="2506"/>
            <w:shd w:val="clear" w:color="auto" w:fill="FAFBFD"/>
          </w:tcPr>
          <w:p>
            <w:pPr>
              <w:spacing w:after="20" w:before="20"/>
            </w:pPr>
            <w:r/>
            <w:r>
              <w:rPr>
                <w:rFonts w:ascii="Consolas" w:hAnsi="Consolas"/>
                <w:b w:val="0"/>
                <w:i w:val="0"/>
                <w:color w:val="123A63"/>
                <w:sz w:val="17"/>
                <w:shd w:val="clear" w:color="auto" w:fill="EEF2F7"/>
              </w:rPr>
              <w:t>ST03</w:t>
            </w:r>
            <w:r>
              <w:rPr>
                <w:rFonts w:ascii="Calibri" w:hAnsi="Calibri"/>
                <w:b w:val="0"/>
                <w:i w:val="0"/>
                <w:color w:val="334E68"/>
                <w:sz w:val="17"/>
              </w:rPr>
              <w:t>/</w:t>
            </w:r>
            <w:r>
              <w:rPr>
                <w:rFonts w:ascii="Consolas" w:hAnsi="Consolas"/>
                <w:b w:val="0"/>
                <w:i w:val="0"/>
                <w:color w:val="123A63"/>
                <w:sz w:val="17"/>
                <w:shd w:val="clear" w:color="auto" w:fill="EEF2F7"/>
              </w:rPr>
              <w:t>ST03N</w:t>
            </w:r>
          </w:p>
        </w:tc>
        <w:tc>
          <w:tcPr>
            <w:tcW w:type="dxa" w:w="4819"/>
            <w:shd w:val="clear" w:color="auto" w:fill="FAFBFD"/>
          </w:tcPr>
          <w:p>
            <w:pPr>
              <w:spacing w:after="20" w:before="20"/>
            </w:pPr>
            <w:r/>
            <w:r>
              <w:rPr>
                <w:rFonts w:ascii="Calibri" w:hAnsi="Calibri"/>
                <w:b w:val="0"/>
                <w:i w:val="0"/>
                <w:color w:val="334E68"/>
                <w:sz w:val="17"/>
              </w:rPr>
              <w:t>Sustained increase over the pre-migration baseline for the same period type</w:t>
            </w:r>
          </w:p>
        </w:tc>
      </w:tr>
      <w:tr>
        <w:trPr>
          <w:cantSplit/>
        </w:trPr>
        <w:tc>
          <w:tcPr>
            <w:tcW w:type="dxa" w:w="2313"/>
          </w:tcPr>
          <w:p>
            <w:pPr>
              <w:spacing w:after="20" w:before="20"/>
            </w:pPr>
            <w:r/>
            <w:r>
              <w:rPr>
                <w:rFonts w:ascii="Calibri" w:hAnsi="Calibri"/>
                <w:b/>
                <w:i w:val="0"/>
                <w:color w:val="334E68"/>
                <w:sz w:val="17"/>
              </w:rPr>
              <w:t>Memory behaviour</w:t>
            </w:r>
          </w:p>
        </w:tc>
        <w:tc>
          <w:tcPr>
            <w:tcW w:type="dxa" w:w="2506"/>
          </w:tcPr>
          <w:p>
            <w:pPr>
              <w:spacing w:after="20" w:before="20"/>
            </w:pPr>
            <w:r/>
            <w:r>
              <w:rPr>
                <w:rFonts w:ascii="Consolas" w:hAnsi="Consolas"/>
                <w:b w:val="0"/>
                <w:i w:val="0"/>
                <w:color w:val="123A63"/>
                <w:sz w:val="17"/>
                <w:shd w:val="clear" w:color="auto" w:fill="EEF2F7"/>
              </w:rPr>
              <w:t>ST02</w:t>
            </w:r>
          </w:p>
        </w:tc>
        <w:tc>
          <w:tcPr>
            <w:tcW w:type="dxa" w:w="4819"/>
          </w:tcPr>
          <w:p>
            <w:pPr>
              <w:spacing w:after="20" w:before="20"/>
            </w:pPr>
            <w:r/>
            <w:r>
              <w:rPr>
                <w:rFonts w:ascii="Calibri" w:hAnsi="Calibri"/>
                <w:b w:val="0"/>
                <w:i w:val="0"/>
                <w:color w:val="334E68"/>
                <w:sz w:val="17"/>
              </w:rPr>
              <w:t>Processes moving to PRIVATE mode, rising paging or swap counts</w:t>
            </w:r>
          </w:p>
        </w:tc>
      </w:tr>
      <w:tr>
        <w:trPr>
          <w:cantSplit/>
        </w:trPr>
        <w:tc>
          <w:tcPr>
            <w:tcW w:type="dxa" w:w="2313"/>
            <w:shd w:val="clear" w:color="auto" w:fill="FAFBFD"/>
          </w:tcPr>
          <w:p>
            <w:pPr>
              <w:spacing w:after="20" w:before="20"/>
            </w:pPr>
            <w:r/>
            <w:r>
              <w:rPr>
                <w:rFonts w:ascii="Calibri" w:hAnsi="Calibri"/>
                <w:b/>
                <w:i w:val="0"/>
                <w:color w:val="334E68"/>
                <w:sz w:val="17"/>
              </w:rPr>
              <w:t>Database health</w:t>
            </w:r>
          </w:p>
        </w:tc>
        <w:tc>
          <w:tcPr>
            <w:tcW w:type="dxa" w:w="2506"/>
            <w:shd w:val="clear" w:color="auto" w:fill="FAFBFD"/>
          </w:tcPr>
          <w:p>
            <w:pPr>
              <w:spacing w:after="20" w:before="20"/>
            </w:pPr>
            <w:r/>
            <w:r>
              <w:rPr>
                <w:rFonts w:ascii="Consolas" w:hAnsi="Consolas"/>
                <w:b w:val="0"/>
                <w:i w:val="0"/>
                <w:color w:val="123A63"/>
                <w:sz w:val="17"/>
                <w:shd w:val="clear" w:color="auto" w:fill="EEF2F7"/>
              </w:rPr>
              <w:t>DB02</w:t>
            </w:r>
            <w:r>
              <w:rPr>
                <w:rFonts w:ascii="Calibri" w:hAnsi="Calibri"/>
                <w:b w:val="0"/>
                <w:i w:val="0"/>
                <w:color w:val="334E68"/>
                <w:sz w:val="17"/>
              </w:rPr>
              <w:t>, DB alert log</w:t>
            </w:r>
          </w:p>
        </w:tc>
        <w:tc>
          <w:tcPr>
            <w:tcW w:type="dxa" w:w="4819"/>
            <w:shd w:val="clear" w:color="auto" w:fill="FAFBFD"/>
          </w:tcPr>
          <w:p>
            <w:pPr>
              <w:spacing w:after="20" w:before="20"/>
            </w:pPr>
            <w:r/>
            <w:r>
              <w:rPr>
                <w:rFonts w:ascii="Calibri" w:hAnsi="Calibri"/>
                <w:b w:val="0"/>
                <w:i w:val="0"/>
                <w:color w:val="334E68"/>
                <w:sz w:val="17"/>
              </w:rPr>
              <w:t>Tablespace growth beyond forecast, archive destination filling, backup failures</w:t>
            </w:r>
          </w:p>
        </w:tc>
      </w:tr>
      <w:tr>
        <w:trPr>
          <w:cantSplit/>
        </w:trPr>
        <w:tc>
          <w:tcPr>
            <w:tcW w:type="dxa" w:w="2313"/>
          </w:tcPr>
          <w:p>
            <w:pPr>
              <w:spacing w:after="20" w:before="20"/>
            </w:pPr>
            <w:r/>
            <w:r>
              <w:rPr>
                <w:rFonts w:ascii="Calibri" w:hAnsi="Calibri"/>
                <w:b/>
                <w:i w:val="0"/>
                <w:color w:val="334E68"/>
                <w:sz w:val="17"/>
              </w:rPr>
              <w:t>Update errors</w:t>
            </w:r>
          </w:p>
        </w:tc>
        <w:tc>
          <w:tcPr>
            <w:tcW w:type="dxa" w:w="2506"/>
          </w:tcPr>
          <w:p>
            <w:pPr>
              <w:spacing w:after="20" w:before="20"/>
            </w:pPr>
            <w:r/>
            <w:r>
              <w:rPr>
                <w:rFonts w:ascii="Consolas" w:hAnsi="Consolas"/>
                <w:b w:val="0"/>
                <w:i w:val="0"/>
                <w:color w:val="123A63"/>
                <w:sz w:val="17"/>
                <w:shd w:val="clear" w:color="auto" w:fill="EEF2F7"/>
              </w:rPr>
              <w:t>SM13</w:t>
            </w:r>
          </w:p>
        </w:tc>
        <w:tc>
          <w:tcPr>
            <w:tcW w:type="dxa" w:w="4819"/>
          </w:tcPr>
          <w:p>
            <w:pPr>
              <w:spacing w:after="20" w:before="20"/>
            </w:pPr>
            <w:r/>
            <w:r>
              <w:rPr>
                <w:rFonts w:ascii="Calibri" w:hAnsi="Calibri"/>
                <w:b w:val="0"/>
                <w:i w:val="0"/>
                <w:color w:val="334E68"/>
                <w:sz w:val="17"/>
              </w:rPr>
              <w:t>Update records stuck or failed — a business-visible data problem</w:t>
            </w:r>
          </w:p>
        </w:tc>
      </w:tr>
      <w:tr>
        <w:trPr>
          <w:cantSplit/>
        </w:trPr>
        <w:tc>
          <w:tcPr>
            <w:tcW w:type="dxa" w:w="2313"/>
            <w:shd w:val="clear" w:color="auto" w:fill="FAFBFD"/>
          </w:tcPr>
          <w:p>
            <w:pPr>
              <w:spacing w:after="20" w:before="20"/>
            </w:pPr>
            <w:r/>
            <w:r>
              <w:rPr>
                <w:rFonts w:ascii="Calibri" w:hAnsi="Calibri"/>
                <w:b/>
                <w:i w:val="0"/>
                <w:color w:val="334E68"/>
                <w:sz w:val="17"/>
              </w:rPr>
              <w:t>Locks and enqueue</w:t>
            </w:r>
          </w:p>
        </w:tc>
        <w:tc>
          <w:tcPr>
            <w:tcW w:type="dxa" w:w="2506"/>
            <w:shd w:val="clear" w:color="auto" w:fill="FAFBFD"/>
          </w:tcPr>
          <w:p>
            <w:pPr>
              <w:spacing w:after="20" w:before="20"/>
            </w:pPr>
            <w:r/>
            <w:r>
              <w:rPr>
                <w:rFonts w:ascii="Consolas" w:hAnsi="Consolas"/>
                <w:b w:val="0"/>
                <w:i w:val="0"/>
                <w:color w:val="123A63"/>
                <w:sz w:val="17"/>
                <w:shd w:val="clear" w:color="auto" w:fill="EEF2F7"/>
              </w:rPr>
              <w:t>SM12</w:t>
            </w:r>
          </w:p>
        </w:tc>
        <w:tc>
          <w:tcPr>
            <w:tcW w:type="dxa" w:w="4819"/>
            <w:shd w:val="clear" w:color="auto" w:fill="FAFBFD"/>
          </w:tcPr>
          <w:p>
            <w:pPr>
              <w:spacing w:after="20" w:before="20"/>
            </w:pPr>
            <w:r/>
            <w:r>
              <w:rPr>
                <w:rFonts w:ascii="Calibri" w:hAnsi="Calibri"/>
                <w:b w:val="0"/>
                <w:i w:val="0"/>
                <w:color w:val="334E68"/>
                <w:sz w:val="17"/>
              </w:rPr>
              <w:t>Stale or growing lock entries after go-live</w:t>
            </w:r>
          </w:p>
        </w:tc>
      </w:tr>
      <w:tr>
        <w:trPr>
          <w:cantSplit/>
        </w:trPr>
        <w:tc>
          <w:tcPr>
            <w:tcW w:type="dxa" w:w="2313"/>
          </w:tcPr>
          <w:p>
            <w:pPr>
              <w:spacing w:after="20" w:before="20"/>
            </w:pPr>
            <w:r/>
            <w:r>
              <w:rPr>
                <w:rFonts w:ascii="Calibri" w:hAnsi="Calibri"/>
                <w:b/>
                <w:i w:val="0"/>
                <w:color w:val="334E68"/>
                <w:sz w:val="17"/>
              </w:rPr>
              <w:t>Security and certificates</w:t>
            </w:r>
          </w:p>
        </w:tc>
        <w:tc>
          <w:tcPr>
            <w:tcW w:type="dxa" w:w="2506"/>
          </w:tcPr>
          <w:p>
            <w:pPr>
              <w:spacing w:after="20" w:before="20"/>
            </w:pPr>
            <w:r/>
            <w:r>
              <w:rPr>
                <w:rFonts w:ascii="Consolas" w:hAnsi="Consolas"/>
                <w:b w:val="0"/>
                <w:i w:val="0"/>
                <w:color w:val="123A63"/>
                <w:sz w:val="17"/>
                <w:shd w:val="clear" w:color="auto" w:fill="EEF2F7"/>
              </w:rPr>
              <w:t>STRUST</w:t>
            </w:r>
            <w:r>
              <w:rPr>
                <w:rFonts w:ascii="Calibri" w:hAnsi="Calibri"/>
                <w:b w:val="0"/>
                <w:i w:val="0"/>
                <w:color w:val="334E68"/>
                <w:sz w:val="17"/>
              </w:rPr>
              <w:t>, SNC</w:t>
            </w:r>
          </w:p>
        </w:tc>
        <w:tc>
          <w:tcPr>
            <w:tcW w:type="dxa" w:w="4819"/>
          </w:tcPr>
          <w:p>
            <w:pPr>
              <w:spacing w:after="20" w:before="20"/>
            </w:pPr>
            <w:r/>
            <w:r>
              <w:rPr>
                <w:rFonts w:ascii="Calibri" w:hAnsi="Calibri"/>
                <w:b w:val="0"/>
                <w:i w:val="0"/>
                <w:color w:val="334E68"/>
                <w:sz w:val="17"/>
              </w:rPr>
              <w:t>Certificate expiring soon, SNC handshake failures, SSO fallbacks</w:t>
            </w:r>
          </w:p>
        </w:tc>
      </w:tr>
      <w:tr>
        <w:trPr>
          <w:cantSplit/>
        </w:trPr>
        <w:tc>
          <w:tcPr>
            <w:tcW w:type="dxa" w:w="2313"/>
            <w:shd w:val="clear" w:color="auto" w:fill="FAFBFD"/>
          </w:tcPr>
          <w:p>
            <w:pPr>
              <w:spacing w:after="20" w:before="20"/>
            </w:pPr>
            <w:r/>
            <w:r>
              <w:rPr>
                <w:rFonts w:ascii="Calibri" w:hAnsi="Calibri"/>
                <w:b/>
                <w:i w:val="0"/>
                <w:color w:val="334E68"/>
                <w:sz w:val="17"/>
              </w:rPr>
              <w:t>Backup success</w:t>
            </w:r>
          </w:p>
        </w:tc>
        <w:tc>
          <w:tcPr>
            <w:tcW w:type="dxa" w:w="2506"/>
            <w:shd w:val="clear" w:color="auto" w:fill="FAFBFD"/>
          </w:tcPr>
          <w:p>
            <w:pPr>
              <w:spacing w:after="20" w:before="20"/>
            </w:pPr>
            <w:r/>
            <w:r>
              <w:rPr>
                <w:rFonts w:ascii="Calibri" w:hAnsi="Calibri"/>
                <w:b w:val="0"/>
                <w:i w:val="0"/>
                <w:color w:val="334E68"/>
                <w:sz w:val="17"/>
              </w:rPr>
              <w:t xml:space="preserve">Backup tool, </w:t>
            </w:r>
            <w:r>
              <w:rPr>
                <w:rFonts w:ascii="Consolas" w:hAnsi="Consolas"/>
                <w:b w:val="0"/>
                <w:i w:val="0"/>
                <w:color w:val="123A63"/>
                <w:sz w:val="17"/>
                <w:shd w:val="clear" w:color="auto" w:fill="EEF2F7"/>
              </w:rPr>
              <w:t>DB02</w:t>
            </w:r>
          </w:p>
        </w:tc>
        <w:tc>
          <w:tcPr>
            <w:tcW w:type="dxa" w:w="4819"/>
            <w:shd w:val="clear" w:color="auto" w:fill="FAFBFD"/>
          </w:tcPr>
          <w:p>
            <w:pPr>
              <w:spacing w:after="20" w:before="20"/>
            </w:pPr>
            <w:r/>
            <w:r>
              <w:rPr>
                <w:rFonts w:ascii="Calibri" w:hAnsi="Calibri"/>
                <w:b w:val="0"/>
                <w:i w:val="0"/>
                <w:color w:val="334E68"/>
                <w:sz w:val="17"/>
              </w:rPr>
              <w:t>First backup on the target failing or running far longer than the test</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ISSUE CLASSIFICATION DURING HYPERCARE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Compare each issue against the pre-migration baseline before assigning it. “Was this working before?” is answerable only if Module 1 recorded the answer. Migration-related issues go to the migration/owning team under the project process; pre-existing issues go to BAU support with the baseline evidence attached.</w:t>
      </w:r>
    </w:p>
    <w:p>
      <w:pPr>
        <w:pStyle w:val="Heading2"/>
        <w:pBdr>
          <w:bottom w:val="single" w:sz="6" w:space="3" w:color="E8EDF3"/>
        </w:pBdr>
      </w:pPr>
      <w:r>
        <w:rPr>
          <w:rFonts w:ascii="Calibri" w:hAnsi="Calibri"/>
          <w:b/>
          <w:color w:val="0F2B4C"/>
          <w:sz w:val="26"/>
        </w:rPr>
        <w:t>10.7  Cutover readiness checklist</w:t>
      </w:r>
    </w:p>
    <w:p>
      <w:r>
        <w:rPr>
          <w:rFonts w:ascii="Calibri" w:hAnsi="Calibri"/>
          <w:b w:val="0"/>
          <w:i w:val="0"/>
          <w:color w:val="334E68"/>
          <w:sz w:val="20"/>
        </w:rPr>
        <w:t xml:space="preserve">This is the short list used on the bridge. The full consolidated version is in </w:t>
      </w:r>
      <w:r>
        <w:rPr>
          <w:rFonts w:ascii="Calibri" w:hAnsi="Calibri"/>
          <w:b w:val="0"/>
          <w:i w:val="0"/>
          <w:color w:val="1B4F86"/>
          <w:sz w:val="20"/>
        </w:rPr>
        <w:t>Section 12.5</w:t>
      </w:r>
      <w:r>
        <w:rPr>
          <w:rFonts w:ascii="Calibri" w:hAnsi="Calibri"/>
          <w:b w:val="0"/>
          <w:i w:val="0"/>
          <w:color w:val="334E68"/>
          <w:sz w:val="20"/>
        </w:rPr>
        <w: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Cooldown / ramp-up activities complete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Application and web services shut down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DBA handover acknowledged after application shutdown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Final backup and snapshot completed and verified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Source/target synchronization confirmed (SCN or equivalent)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Switchover or recovery executed successfully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DBVERIFY and RMAN completed (Oracle scenario)</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global directory synchronized with rsync</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Host-file and IPAM entries cleaned and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Profile parameters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Kernel permissions and root scripts verified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R3trans -d returns 0000</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started; instances registered and processes green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SNC / SSO and certificates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Gateway and external connectivity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RFC, webMethods, MuleSoft, MBox interfaces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Printers validated through SPAD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Functional business transaction tests passed with evidence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Type 3 RFC passwords updated where required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ChaRM / transport management validated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Go/No-Go inputs complete; decision recorded with named approvers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Users unlocked after Go</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Background jobs and Control-M resumed with the owning teams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EDG / SAProuter configuration completed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Hypercare roster, escalation path and daily monitoring live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Rollback path available until the migration is declared safe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r>
        <w:br w:type="page"/>
      </w:r>
    </w:p>
    <w:p>
      <w:pPr>
        <w:spacing w:after="20"/>
      </w:pPr>
      <w:r>
        <w:rPr>
          <w:rFonts w:ascii="Calibri" w:hAnsi="Calibri"/>
          <w:b/>
          <w:color w:val="1B4F86"/>
          <w:sz w:val="16"/>
        </w:rPr>
        <w:t>SECTION 11 · REFERENCE</w:t>
      </w:r>
    </w:p>
    <w:p>
      <w:pPr>
        <w:pStyle w:val="Heading1"/>
        <w:pBdr>
          <w:bottom w:val="single" w:sz="12" w:space="5" w:color="1B4F86"/>
        </w:pBdr>
        <w:spacing w:after="160"/>
      </w:pPr>
      <w:r>
        <w:rPr>
          <w:rFonts w:ascii="Calibri Light" w:hAnsi="Calibri Light"/>
          <w:b/>
          <w:color w:val="0F2B4C"/>
          <w:sz w:val="38"/>
        </w:rPr>
        <w:t>11  SAP transaction and technology quick reference</w:t>
      </w:r>
    </w:p>
    <w:p>
      <w:pPr>
        <w:spacing w:after="200"/>
      </w:pPr>
      <w:r>
        <w:rPr>
          <w:rFonts w:ascii="Calibri" w:hAnsi="Calibri"/>
          <w:i/>
          <w:color w:val="5B7288"/>
          <w:sz w:val="21"/>
        </w:rPr>
        <w:t>The working vocabulary of a migration. Learn what each item proves — a transaction you cannot interpret produces a screenshot, not evidence.</w:t>
      </w:r>
    </w:p>
    <w:p>
      <w:pPr>
        <w:pStyle w:val="Heading2"/>
        <w:pBdr>
          <w:bottom w:val="single" w:sz="6" w:space="3" w:color="E8EDF3"/>
        </w:pBdr>
      </w:pPr>
      <w:r>
        <w:rPr>
          <w:rFonts w:ascii="Calibri" w:hAnsi="Calibri"/>
          <w:b/>
          <w:color w:val="0F2B4C"/>
          <w:sz w:val="26"/>
        </w:rPr>
        <w:t>11.1  SAP transactions</w:t>
      </w:r>
    </w:p>
    <w:p>
      <w:pPr>
        <w:spacing w:after="60" w:before="160"/>
        <w:keepNext/>
      </w:pPr>
      <w:r>
        <w:rPr>
          <w:rFonts w:ascii="Calibri" w:hAnsi="Calibri"/>
          <w:b/>
          <w:color w:val="5B7288"/>
          <w:sz w:val="15"/>
        </w:rPr>
        <w:t>SAP TRANSACTION REFERENCE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446"/>
        <w:gridCol w:w="2602"/>
        <w:gridCol w:w="4433"/>
        <w:gridCol w:w="1157"/>
      </w:tblGrid>
      <w:tr>
        <w:trPr>
          <w:tblHeader/>
          <w:cantSplit/>
        </w:trPr>
        <w:tc>
          <w:tcPr>
            <w:tcW w:type="dxa" w:w="1446"/>
            <w:shd w:val="clear" w:color="auto" w:fill="0F2B4C"/>
          </w:tcPr>
          <w:p>
            <w:pPr>
              <w:spacing w:after="20" w:before="20"/>
            </w:pPr>
            <w:r/>
            <w:r>
              <w:rPr>
                <w:rFonts w:ascii="Calibri" w:hAnsi="Calibri"/>
                <w:b/>
                <w:color w:val="FFFFFF"/>
                <w:sz w:val="17"/>
              </w:rPr>
              <w:t>Transaction</w:t>
            </w:r>
          </w:p>
        </w:tc>
        <w:tc>
          <w:tcPr>
            <w:tcW w:type="dxa" w:w="2602"/>
            <w:shd w:val="clear" w:color="auto" w:fill="0F2B4C"/>
          </w:tcPr>
          <w:p>
            <w:pPr>
              <w:spacing w:after="20" w:before="20"/>
            </w:pPr>
            <w:r/>
            <w:r>
              <w:rPr>
                <w:rFonts w:ascii="Calibri" w:hAnsi="Calibri"/>
                <w:b/>
                <w:color w:val="FFFFFF"/>
                <w:sz w:val="17"/>
              </w:rPr>
              <w:t>Purpose in this training</w:t>
            </w:r>
          </w:p>
        </w:tc>
        <w:tc>
          <w:tcPr>
            <w:tcW w:type="dxa" w:w="4433"/>
            <w:shd w:val="clear" w:color="auto" w:fill="0F2B4C"/>
          </w:tcPr>
          <w:p>
            <w:pPr>
              <w:spacing w:after="20" w:before="20"/>
            </w:pPr>
            <w:r/>
            <w:r>
              <w:rPr>
                <w:rFonts w:ascii="Calibri" w:hAnsi="Calibri"/>
                <w:b/>
                <w:color w:val="FFFFFF"/>
                <w:sz w:val="17"/>
              </w:rPr>
              <w:t>What you check</w:t>
            </w:r>
          </w:p>
        </w:tc>
        <w:tc>
          <w:tcPr>
            <w:tcW w:type="dxa" w:w="1157"/>
            <w:shd w:val="clear" w:color="auto" w:fill="0F2B4C"/>
          </w:tcPr>
          <w:p>
            <w:pPr>
              <w:spacing w:after="20" w:before="20"/>
            </w:pPr>
            <w:r/>
            <w:r>
              <w:rPr>
                <w:rFonts w:ascii="Calibri" w:hAnsi="Calibri"/>
                <w:b/>
                <w:color w:val="FFFFFF"/>
                <w:sz w:val="17"/>
              </w:rPr>
              <w:t>Module</w:t>
            </w:r>
          </w:p>
        </w:tc>
      </w:tr>
      <w:tr>
        <w:trPr>
          <w:cantSplit/>
        </w:trPr>
        <w:tc>
          <w:tcPr>
            <w:tcW w:type="dxa" w:w="1446"/>
          </w:tcPr>
          <w:p>
            <w:pPr>
              <w:spacing w:after="20" w:before="20"/>
            </w:pPr>
            <w:r/>
            <w:r>
              <w:rPr>
                <w:rFonts w:ascii="Consolas" w:hAnsi="Consolas"/>
                <w:b/>
                <w:i w:val="0"/>
                <w:color w:val="123A63"/>
                <w:sz w:val="17"/>
                <w:shd w:val="clear" w:color="auto" w:fill="EEF2F7"/>
              </w:rPr>
              <w:t>ST03</w:t>
            </w:r>
            <w:r>
              <w:rPr>
                <w:rFonts w:ascii="Calibri" w:hAnsi="Calibri"/>
                <w:b/>
                <w:i w:val="0"/>
                <w:color w:val="334E68"/>
                <w:sz w:val="17"/>
              </w:rPr>
              <w:t xml:space="preserve"> / </w:t>
            </w:r>
            <w:r>
              <w:rPr>
                <w:rFonts w:ascii="Consolas" w:hAnsi="Consolas"/>
                <w:b/>
                <w:i w:val="0"/>
                <w:color w:val="123A63"/>
                <w:sz w:val="17"/>
                <w:shd w:val="clear" w:color="auto" w:fill="EEF2F7"/>
              </w:rPr>
              <w:t>ST03N</w:t>
            </w:r>
          </w:p>
        </w:tc>
        <w:tc>
          <w:tcPr>
            <w:tcW w:type="dxa" w:w="2602"/>
          </w:tcPr>
          <w:p>
            <w:pPr>
              <w:spacing w:after="20" w:before="20"/>
            </w:pPr>
            <w:r/>
            <w:r>
              <w:rPr>
                <w:rFonts w:ascii="Calibri" w:hAnsi="Calibri"/>
                <w:b w:val="0"/>
                <w:i w:val="0"/>
                <w:color w:val="334E68"/>
                <w:sz w:val="17"/>
              </w:rPr>
              <w:t>Workload and performance analysis</w:t>
            </w:r>
          </w:p>
        </w:tc>
        <w:tc>
          <w:tcPr>
            <w:tcW w:type="dxa" w:w="4433"/>
          </w:tcPr>
          <w:p>
            <w:pPr>
              <w:spacing w:after="20" w:before="20"/>
            </w:pPr>
            <w:r/>
            <w:r>
              <w:rPr>
                <w:rFonts w:ascii="Calibri" w:hAnsi="Calibri"/>
                <w:b w:val="0"/>
                <w:i w:val="0"/>
                <w:color w:val="334E68"/>
                <w:sz w:val="17"/>
              </w:rPr>
              <w:t>Response, DB, CPU and wait time; steps and users; daily/weekly/monthly trend</w:t>
            </w:r>
          </w:p>
        </w:tc>
        <w:tc>
          <w:tcPr>
            <w:tcW w:type="dxa" w:w="1157"/>
          </w:tcPr>
          <w:p>
            <w:pPr>
              <w:spacing w:after="20" w:before="20"/>
            </w:pPr>
            <w:r/>
            <w:r>
              <w:rPr>
                <w:rFonts w:ascii="Calibri" w:hAnsi="Calibri"/>
                <w:b w:val="0"/>
                <w:i w:val="0"/>
                <w:color w:val="334E68"/>
                <w:sz w:val="17"/>
              </w:rPr>
              <w:t>5</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STAD</w:t>
            </w:r>
          </w:p>
        </w:tc>
        <w:tc>
          <w:tcPr>
            <w:tcW w:type="dxa" w:w="2602"/>
            <w:shd w:val="clear" w:color="auto" w:fill="FAFBFD"/>
          </w:tcPr>
          <w:p>
            <w:pPr>
              <w:spacing w:after="20" w:before="20"/>
            </w:pPr>
            <w:r/>
            <w:r>
              <w:rPr>
                <w:rFonts w:ascii="Calibri" w:hAnsi="Calibri"/>
                <w:b w:val="0"/>
                <w:i w:val="0"/>
                <w:color w:val="334E68"/>
                <w:sz w:val="17"/>
              </w:rPr>
              <w:t>Detailed transaction and user-level performance analysis</w:t>
            </w:r>
          </w:p>
        </w:tc>
        <w:tc>
          <w:tcPr>
            <w:tcW w:type="dxa" w:w="4433"/>
            <w:shd w:val="clear" w:color="auto" w:fill="FAFBFD"/>
          </w:tcPr>
          <w:p>
            <w:pPr>
              <w:spacing w:after="20" w:before="20"/>
            </w:pPr>
            <w:r/>
            <w:r>
              <w:rPr>
                <w:rFonts w:ascii="Calibri" w:hAnsi="Calibri"/>
                <w:b w:val="0"/>
                <w:i w:val="0"/>
                <w:color w:val="334E68"/>
                <w:sz w:val="17"/>
              </w:rPr>
              <w:t>Individual statistical records behind the aggregates: the slow steps and where the time went</w:t>
            </w:r>
          </w:p>
        </w:tc>
        <w:tc>
          <w:tcPr>
            <w:tcW w:type="dxa" w:w="1157"/>
            <w:shd w:val="clear" w:color="auto" w:fill="FAFBFD"/>
          </w:tcPr>
          <w:p>
            <w:pPr>
              <w:spacing w:after="20" w:before="20"/>
            </w:pPr>
            <w:r/>
            <w:r>
              <w:rPr>
                <w:rFonts w:ascii="Calibri" w:hAnsi="Calibri"/>
                <w:b w:val="0"/>
                <w:i w:val="0"/>
                <w:color w:val="334E68"/>
                <w:sz w:val="17"/>
              </w:rPr>
              <w:t>5</w:t>
            </w:r>
          </w:p>
        </w:tc>
      </w:tr>
      <w:tr>
        <w:trPr>
          <w:cantSplit/>
        </w:trPr>
        <w:tc>
          <w:tcPr>
            <w:tcW w:type="dxa" w:w="1446"/>
          </w:tcPr>
          <w:p>
            <w:pPr>
              <w:spacing w:after="20" w:before="20"/>
            </w:pPr>
            <w:r/>
            <w:r>
              <w:rPr>
                <w:rFonts w:ascii="Consolas" w:hAnsi="Consolas"/>
                <w:b/>
                <w:i w:val="0"/>
                <w:color w:val="123A63"/>
                <w:sz w:val="17"/>
                <w:shd w:val="clear" w:color="auto" w:fill="EEF2F7"/>
              </w:rPr>
              <w:t>ST02</w:t>
            </w:r>
          </w:p>
        </w:tc>
        <w:tc>
          <w:tcPr>
            <w:tcW w:type="dxa" w:w="2602"/>
          </w:tcPr>
          <w:p>
            <w:pPr>
              <w:spacing w:after="20" w:before="20"/>
            </w:pPr>
            <w:r/>
            <w:r>
              <w:rPr>
                <w:rFonts w:ascii="Calibri" w:hAnsi="Calibri"/>
                <w:b w:val="0"/>
                <w:i w:val="0"/>
                <w:color w:val="334E68"/>
                <w:sz w:val="17"/>
              </w:rPr>
              <w:t>SAP memory and buffer monitoring</w:t>
            </w:r>
          </w:p>
        </w:tc>
        <w:tc>
          <w:tcPr>
            <w:tcW w:type="dxa" w:w="4433"/>
          </w:tcPr>
          <w:p>
            <w:pPr>
              <w:spacing w:after="20" w:before="20"/>
            </w:pPr>
            <w:r/>
            <w:r>
              <w:rPr>
                <w:rFonts w:ascii="Calibri" w:hAnsi="Calibri"/>
                <w:b w:val="0"/>
                <w:i w:val="0"/>
                <w:color w:val="334E68"/>
                <w:sz w:val="17"/>
              </w:rPr>
              <w:t>Extended, heap/private, roll, paging; buffer utilisation and hit ratio</w:t>
            </w:r>
          </w:p>
        </w:tc>
        <w:tc>
          <w:tcPr>
            <w:tcW w:type="dxa" w:w="1157"/>
          </w:tcPr>
          <w:p>
            <w:pPr>
              <w:spacing w:after="20" w:before="20"/>
            </w:pPr>
            <w:r/>
            <w:r>
              <w:rPr>
                <w:rFonts w:ascii="Calibri" w:hAnsi="Calibri"/>
                <w:b w:val="0"/>
                <w:i w:val="0"/>
                <w:color w:val="334E68"/>
                <w:sz w:val="17"/>
              </w:rPr>
              <w:t>5</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AL11</w:t>
            </w:r>
          </w:p>
        </w:tc>
        <w:tc>
          <w:tcPr>
            <w:tcW w:type="dxa" w:w="2602"/>
            <w:shd w:val="clear" w:color="auto" w:fill="FAFBFD"/>
          </w:tcPr>
          <w:p>
            <w:pPr>
              <w:spacing w:after="20" w:before="20"/>
            </w:pPr>
            <w:r/>
            <w:r>
              <w:rPr>
                <w:rFonts w:ascii="Calibri" w:hAnsi="Calibri"/>
                <w:b w:val="0"/>
                <w:i w:val="0"/>
                <w:color w:val="334E68"/>
                <w:sz w:val="17"/>
              </w:rPr>
              <w:t>SAP directory analysis and interface/custom directory validation</w:t>
            </w:r>
          </w:p>
        </w:tc>
        <w:tc>
          <w:tcPr>
            <w:tcW w:type="dxa" w:w="4433"/>
            <w:shd w:val="clear" w:color="auto" w:fill="FAFBFD"/>
          </w:tcPr>
          <w:p>
            <w:pPr>
              <w:spacing w:after="20" w:before="20"/>
            </w:pPr>
            <w:r/>
            <w:r>
              <w:rPr>
                <w:rFonts w:ascii="Calibri" w:hAnsi="Calibri"/>
                <w:b w:val="0"/>
                <w:i w:val="0"/>
                <w:color w:val="334E68"/>
                <w:sz w:val="17"/>
              </w:rPr>
              <w:t>Directory presence, content, permissions and changes versus the baseline</w:t>
            </w:r>
          </w:p>
        </w:tc>
        <w:tc>
          <w:tcPr>
            <w:tcW w:type="dxa" w:w="1157"/>
            <w:shd w:val="clear" w:color="auto" w:fill="FAFBFD"/>
          </w:tcPr>
          <w:p>
            <w:pPr>
              <w:spacing w:after="20" w:before="20"/>
            </w:pPr>
            <w:r/>
            <w:r>
              <w:rPr>
                <w:rFonts w:ascii="Calibri" w:hAnsi="Calibri"/>
                <w:b w:val="0"/>
                <w:i w:val="0"/>
                <w:color w:val="334E68"/>
                <w:sz w:val="17"/>
              </w:rPr>
              <w:t>1, 4</w:t>
            </w:r>
          </w:p>
        </w:tc>
      </w:tr>
      <w:tr>
        <w:trPr>
          <w:cantSplit/>
        </w:trPr>
        <w:tc>
          <w:tcPr>
            <w:tcW w:type="dxa" w:w="1446"/>
          </w:tcPr>
          <w:p>
            <w:pPr>
              <w:spacing w:after="20" w:before="20"/>
            </w:pPr>
            <w:r/>
            <w:r>
              <w:rPr>
                <w:rFonts w:ascii="Consolas" w:hAnsi="Consolas"/>
                <w:b/>
                <w:i w:val="0"/>
                <w:color w:val="123A63"/>
                <w:sz w:val="17"/>
                <w:shd w:val="clear" w:color="auto" w:fill="EEF2F7"/>
              </w:rPr>
              <w:t>SM59</w:t>
            </w:r>
          </w:p>
        </w:tc>
        <w:tc>
          <w:tcPr>
            <w:tcW w:type="dxa" w:w="2602"/>
          </w:tcPr>
          <w:p>
            <w:pPr>
              <w:spacing w:after="20" w:before="20"/>
            </w:pPr>
            <w:r/>
            <w:r>
              <w:rPr>
                <w:rFonts w:ascii="Calibri" w:hAnsi="Calibri"/>
                <w:b w:val="0"/>
                <w:i w:val="0"/>
                <w:color w:val="334E68"/>
                <w:sz w:val="17"/>
              </w:rPr>
              <w:t>RFC destination and connectivity validation</w:t>
            </w:r>
          </w:p>
        </w:tc>
        <w:tc>
          <w:tcPr>
            <w:tcW w:type="dxa" w:w="4433"/>
          </w:tcPr>
          <w:p>
            <w:pPr>
              <w:spacing w:after="20" w:before="20"/>
            </w:pPr>
            <w:r/>
            <w:r>
              <w:rPr>
                <w:rFonts w:ascii="Calibri" w:hAnsi="Calibri"/>
                <w:b w:val="0"/>
                <w:i w:val="0"/>
                <w:color w:val="334E68"/>
                <w:sz w:val="17"/>
              </w:rPr>
              <w:t>Destinations by type, connection test result, logon and authentication</w:t>
            </w:r>
          </w:p>
        </w:tc>
        <w:tc>
          <w:tcPr>
            <w:tcW w:type="dxa" w:w="1157"/>
          </w:tcPr>
          <w:p>
            <w:pPr>
              <w:spacing w:after="20" w:before="20"/>
            </w:pPr>
            <w:r/>
            <w:r>
              <w:rPr>
                <w:rFonts w:ascii="Calibri" w:hAnsi="Calibri"/>
                <w:b w:val="0"/>
                <w:i w:val="0"/>
                <w:color w:val="334E68"/>
                <w:sz w:val="17"/>
              </w:rPr>
              <w:t>1, 4, 7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SMGW</w:t>
            </w:r>
          </w:p>
        </w:tc>
        <w:tc>
          <w:tcPr>
            <w:tcW w:type="dxa" w:w="2602"/>
            <w:shd w:val="clear" w:color="auto" w:fill="FAFBFD"/>
          </w:tcPr>
          <w:p>
            <w:pPr>
              <w:spacing w:after="20" w:before="20"/>
            </w:pPr>
            <w:r/>
            <w:r>
              <w:rPr>
                <w:rFonts w:ascii="Calibri" w:hAnsi="Calibri"/>
                <w:b w:val="0"/>
                <w:i w:val="0"/>
                <w:color w:val="334E68"/>
                <w:sz w:val="17"/>
              </w:rPr>
              <w:t>SAP Gateway monitoring and troubleshooting</w:t>
            </w:r>
          </w:p>
        </w:tc>
        <w:tc>
          <w:tcPr>
            <w:tcW w:type="dxa" w:w="4433"/>
            <w:shd w:val="clear" w:color="auto" w:fill="FAFBFD"/>
          </w:tcPr>
          <w:p>
            <w:pPr>
              <w:spacing w:after="20" w:before="20"/>
            </w:pPr>
            <w:r/>
            <w:r>
              <w:rPr>
                <w:rFonts w:ascii="Calibri" w:hAnsi="Calibri"/>
                <w:b w:val="0"/>
                <w:i w:val="0"/>
                <w:color w:val="334E68"/>
                <w:sz w:val="17"/>
              </w:rPr>
              <w:t>Gateway status, active connections, unexpected or missing registrations</w:t>
            </w:r>
          </w:p>
        </w:tc>
        <w:tc>
          <w:tcPr>
            <w:tcW w:type="dxa" w:w="1157"/>
            <w:shd w:val="clear" w:color="auto" w:fill="FAFBFD"/>
          </w:tcPr>
          <w:p>
            <w:pPr>
              <w:spacing w:after="20" w:before="20"/>
            </w:pPr>
            <w:r/>
            <w:r>
              <w:rPr>
                <w:rFonts w:ascii="Calibri" w:hAnsi="Calibri"/>
                <w:b w:val="0"/>
                <w:i w:val="0"/>
                <w:color w:val="334E68"/>
                <w:sz w:val="17"/>
              </w:rPr>
              <w:t>4, 7</w:t>
            </w:r>
          </w:p>
        </w:tc>
      </w:tr>
      <w:tr>
        <w:trPr>
          <w:cantSplit/>
        </w:trPr>
        <w:tc>
          <w:tcPr>
            <w:tcW w:type="dxa" w:w="1446"/>
          </w:tcPr>
          <w:p>
            <w:pPr>
              <w:spacing w:after="20" w:before="20"/>
            </w:pPr>
            <w:r/>
            <w:r>
              <w:rPr>
                <w:rFonts w:ascii="Consolas" w:hAnsi="Consolas"/>
                <w:b/>
                <w:i w:val="0"/>
                <w:color w:val="123A63"/>
                <w:sz w:val="17"/>
                <w:shd w:val="clear" w:color="auto" w:fill="EEF2F7"/>
              </w:rPr>
              <w:t>SMICM</w:t>
            </w:r>
          </w:p>
        </w:tc>
        <w:tc>
          <w:tcPr>
            <w:tcW w:type="dxa" w:w="2602"/>
          </w:tcPr>
          <w:p>
            <w:pPr>
              <w:spacing w:after="20" w:before="20"/>
            </w:pPr>
            <w:r/>
            <w:r>
              <w:rPr>
                <w:rFonts w:ascii="Calibri" w:hAnsi="Calibri"/>
                <w:b w:val="0"/>
                <w:i w:val="0"/>
                <w:color w:val="334E68"/>
                <w:sz w:val="17"/>
              </w:rPr>
              <w:t>HTTP/HTTPS and ICM communication monitoring</w:t>
            </w:r>
          </w:p>
        </w:tc>
        <w:tc>
          <w:tcPr>
            <w:tcW w:type="dxa" w:w="4433"/>
          </w:tcPr>
          <w:p>
            <w:pPr>
              <w:spacing w:after="20" w:before="20"/>
            </w:pPr>
            <w:r/>
            <w:r>
              <w:rPr>
                <w:rFonts w:ascii="Calibri" w:hAnsi="Calibri"/>
                <w:b w:val="0"/>
                <w:i w:val="0"/>
                <w:color w:val="334E68"/>
                <w:sz w:val="17"/>
              </w:rPr>
              <w:t>ICM services and ports, URL handling, certificate binding, errors</w:t>
            </w:r>
          </w:p>
        </w:tc>
        <w:tc>
          <w:tcPr>
            <w:tcW w:type="dxa" w:w="1157"/>
          </w:tcPr>
          <w:p>
            <w:pPr>
              <w:spacing w:after="20" w:before="20"/>
            </w:pPr>
            <w:r/>
            <w:r>
              <w:rPr>
                <w:rFonts w:ascii="Calibri" w:hAnsi="Calibri"/>
                <w:b w:val="0"/>
                <w:i w:val="0"/>
                <w:color w:val="334E68"/>
                <w:sz w:val="17"/>
              </w:rPr>
              <w:t>4, 7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SM51</w:t>
            </w:r>
          </w:p>
        </w:tc>
        <w:tc>
          <w:tcPr>
            <w:tcW w:type="dxa" w:w="2602"/>
            <w:shd w:val="clear" w:color="auto" w:fill="FAFBFD"/>
          </w:tcPr>
          <w:p>
            <w:pPr>
              <w:spacing w:after="20" w:before="20"/>
            </w:pPr>
            <w:r/>
            <w:r>
              <w:rPr>
                <w:rFonts w:ascii="Calibri" w:hAnsi="Calibri"/>
                <w:b w:val="0"/>
                <w:i w:val="0"/>
                <w:color w:val="334E68"/>
                <w:sz w:val="17"/>
              </w:rPr>
              <w:t>Application server status and availability</w:t>
            </w:r>
          </w:p>
        </w:tc>
        <w:tc>
          <w:tcPr>
            <w:tcW w:type="dxa" w:w="4433"/>
            <w:shd w:val="clear" w:color="auto" w:fill="FAFBFD"/>
          </w:tcPr>
          <w:p>
            <w:pPr>
              <w:spacing w:after="20" w:before="20"/>
            </w:pPr>
            <w:r/>
            <w:r>
              <w:rPr>
                <w:rFonts w:ascii="Calibri" w:hAnsi="Calibri"/>
                <w:b w:val="0"/>
                <w:i w:val="0"/>
                <w:color w:val="334E68"/>
                <w:sz w:val="17"/>
              </w:rPr>
              <w:t>All planned instances active and registered; work process configuration</w:t>
            </w:r>
          </w:p>
        </w:tc>
        <w:tc>
          <w:tcPr>
            <w:tcW w:type="dxa" w:w="1157"/>
            <w:shd w:val="clear" w:color="auto" w:fill="FAFBFD"/>
          </w:tcPr>
          <w:p>
            <w:pPr>
              <w:spacing w:after="20" w:before="20"/>
            </w:pPr>
            <w:r/>
            <w:r>
              <w:rPr>
                <w:rFonts w:ascii="Calibri" w:hAnsi="Calibri"/>
                <w:b w:val="0"/>
                <w:i w:val="0"/>
                <w:color w:val="334E68"/>
                <w:sz w:val="17"/>
              </w:rPr>
              <w:t>4, 7</w:t>
            </w:r>
          </w:p>
        </w:tc>
      </w:tr>
      <w:tr>
        <w:trPr>
          <w:cantSplit/>
        </w:trPr>
        <w:tc>
          <w:tcPr>
            <w:tcW w:type="dxa" w:w="1446"/>
          </w:tcPr>
          <w:p>
            <w:pPr>
              <w:spacing w:after="20" w:before="20"/>
            </w:pPr>
            <w:r/>
            <w:r>
              <w:rPr>
                <w:rFonts w:ascii="Consolas" w:hAnsi="Consolas"/>
                <w:b/>
                <w:i w:val="0"/>
                <w:color w:val="123A63"/>
                <w:sz w:val="17"/>
                <w:shd w:val="clear" w:color="auto" w:fill="EEF2F7"/>
              </w:rPr>
              <w:t>STMS</w:t>
            </w:r>
            <w:r>
              <w:rPr>
                <w:rFonts w:ascii="Calibri" w:hAnsi="Calibri"/>
                <w:b/>
                <w:i w:val="0"/>
                <w:color w:val="334E68"/>
                <w:sz w:val="17"/>
              </w:rPr>
              <w:t xml:space="preserve"> / TMS</w:t>
            </w:r>
          </w:p>
        </w:tc>
        <w:tc>
          <w:tcPr>
            <w:tcW w:type="dxa" w:w="2602"/>
          </w:tcPr>
          <w:p>
            <w:pPr>
              <w:spacing w:after="20" w:before="20"/>
            </w:pPr>
            <w:r/>
            <w:r>
              <w:rPr>
                <w:rFonts w:ascii="Calibri" w:hAnsi="Calibri"/>
                <w:b w:val="0"/>
                <w:i w:val="0"/>
                <w:color w:val="334E68"/>
                <w:sz w:val="17"/>
              </w:rPr>
              <w:t>Transport landscape, domain, routes and transport directory</w:t>
            </w:r>
          </w:p>
        </w:tc>
        <w:tc>
          <w:tcPr>
            <w:tcW w:type="dxa" w:w="4433"/>
          </w:tcPr>
          <w:p>
            <w:pPr>
              <w:spacing w:after="20" w:before="20"/>
            </w:pPr>
            <w:r/>
            <w:r>
              <w:rPr>
                <w:rFonts w:ascii="Calibri" w:hAnsi="Calibri"/>
                <w:b w:val="0"/>
                <w:i w:val="0"/>
                <w:color w:val="334E68"/>
                <w:sz w:val="17"/>
              </w:rPr>
              <w:t>Domain controller, systems, routes, transport directory path, import test</w:t>
            </w:r>
          </w:p>
        </w:tc>
        <w:tc>
          <w:tcPr>
            <w:tcW w:type="dxa" w:w="1157"/>
          </w:tcPr>
          <w:p>
            <w:pPr>
              <w:spacing w:after="20" w:before="20"/>
            </w:pPr>
            <w:r/>
            <w:r>
              <w:rPr>
                <w:rFonts w:ascii="Calibri" w:hAnsi="Calibri"/>
                <w:b w:val="0"/>
                <w:i w:val="0"/>
                <w:color w:val="334E68"/>
                <w:sz w:val="17"/>
              </w:rPr>
              <w:t>4, 7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RZ10</w:t>
            </w:r>
          </w:p>
        </w:tc>
        <w:tc>
          <w:tcPr>
            <w:tcW w:type="dxa" w:w="2602"/>
            <w:shd w:val="clear" w:color="auto" w:fill="FAFBFD"/>
          </w:tcPr>
          <w:p>
            <w:pPr>
              <w:spacing w:after="20" w:before="20"/>
            </w:pPr>
            <w:r/>
            <w:r>
              <w:rPr>
                <w:rFonts w:ascii="Calibri" w:hAnsi="Calibri"/>
                <w:b w:val="0"/>
                <w:i w:val="0"/>
                <w:color w:val="334E68"/>
                <w:sz w:val="17"/>
              </w:rPr>
              <w:t>Persistent profile parameter maintenance</w:t>
            </w:r>
          </w:p>
        </w:tc>
        <w:tc>
          <w:tcPr>
            <w:tcW w:type="dxa" w:w="4433"/>
            <w:shd w:val="clear" w:color="auto" w:fill="FAFBFD"/>
          </w:tcPr>
          <w:p>
            <w:pPr>
              <w:spacing w:after="20" w:before="20"/>
            </w:pPr>
            <w:r/>
            <w:r>
              <w:rPr>
                <w:rFonts w:ascii="Calibri" w:hAnsi="Calibri"/>
                <w:b w:val="0"/>
                <w:i w:val="0"/>
                <w:color w:val="334E68"/>
                <w:sz w:val="17"/>
              </w:rPr>
              <w:t>Profile versions, imports, activation and the restart requirement per parameter</w:t>
            </w:r>
          </w:p>
        </w:tc>
        <w:tc>
          <w:tcPr>
            <w:tcW w:type="dxa" w:w="1157"/>
            <w:shd w:val="clear" w:color="auto" w:fill="FAFBFD"/>
          </w:tcPr>
          <w:p>
            <w:pPr>
              <w:spacing w:after="20" w:before="20"/>
            </w:pPr>
            <w:r/>
            <w:r>
              <w:rPr>
                <w:rFonts w:ascii="Calibri" w:hAnsi="Calibri"/>
                <w:b w:val="0"/>
                <w:i w:val="0"/>
                <w:color w:val="334E68"/>
                <w:sz w:val="17"/>
              </w:rPr>
              <w:t>5, 7</w:t>
            </w:r>
          </w:p>
        </w:tc>
      </w:tr>
      <w:tr>
        <w:trPr>
          <w:cantSplit/>
        </w:trPr>
        <w:tc>
          <w:tcPr>
            <w:tcW w:type="dxa" w:w="1446"/>
          </w:tcPr>
          <w:p>
            <w:pPr>
              <w:spacing w:after="20" w:before="20"/>
            </w:pPr>
            <w:r/>
            <w:r>
              <w:rPr>
                <w:rFonts w:ascii="Consolas" w:hAnsi="Consolas"/>
                <w:b/>
                <w:i w:val="0"/>
                <w:color w:val="123A63"/>
                <w:sz w:val="17"/>
                <w:shd w:val="clear" w:color="auto" w:fill="EEF2F7"/>
              </w:rPr>
              <w:t>RZ11</w:t>
            </w:r>
          </w:p>
        </w:tc>
        <w:tc>
          <w:tcPr>
            <w:tcW w:type="dxa" w:w="2602"/>
          </w:tcPr>
          <w:p>
            <w:pPr>
              <w:spacing w:after="20" w:before="20"/>
            </w:pPr>
            <w:r/>
            <w:r>
              <w:rPr>
                <w:rFonts w:ascii="Calibri" w:hAnsi="Calibri"/>
                <w:b w:val="0"/>
                <w:i w:val="0"/>
                <w:color w:val="334E68"/>
                <w:sz w:val="17"/>
              </w:rPr>
              <w:t>Dynamic/temporary parameter changes where supported</w:t>
            </w:r>
          </w:p>
        </w:tc>
        <w:tc>
          <w:tcPr>
            <w:tcW w:type="dxa" w:w="4433"/>
          </w:tcPr>
          <w:p>
            <w:pPr>
              <w:spacing w:after="20" w:before="20"/>
            </w:pPr>
            <w:r/>
            <w:r>
              <w:rPr>
                <w:rFonts w:ascii="Calibri" w:hAnsi="Calibri"/>
                <w:b w:val="0"/>
                <w:i w:val="0"/>
                <w:color w:val="334E68"/>
                <w:sz w:val="17"/>
              </w:rPr>
              <w:t>Current runtime value versus the profile value</w:t>
            </w:r>
          </w:p>
        </w:tc>
        <w:tc>
          <w:tcPr>
            <w:tcW w:type="dxa" w:w="1157"/>
          </w:tcPr>
          <w:p>
            <w:pPr>
              <w:spacing w:after="20" w:before="20"/>
            </w:pPr>
            <w:r/>
            <w:r>
              <w:rPr>
                <w:rFonts w:ascii="Calibri" w:hAnsi="Calibri"/>
                <w:b w:val="0"/>
                <w:i w:val="0"/>
                <w:color w:val="334E68"/>
                <w:sz w:val="17"/>
              </w:rPr>
              <w:t>5</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DB02</w:t>
            </w:r>
          </w:p>
        </w:tc>
        <w:tc>
          <w:tcPr>
            <w:tcW w:type="dxa" w:w="2602"/>
            <w:shd w:val="clear" w:color="auto" w:fill="FAFBFD"/>
          </w:tcPr>
          <w:p>
            <w:pPr>
              <w:spacing w:after="20" w:before="20"/>
            </w:pPr>
            <w:r/>
            <w:r>
              <w:rPr>
                <w:rFonts w:ascii="Calibri" w:hAnsi="Calibri"/>
                <w:b w:val="0"/>
                <w:i w:val="0"/>
                <w:color w:val="334E68"/>
                <w:sz w:val="17"/>
              </w:rPr>
              <w:t>Database status, storage and tablespace information</w:t>
            </w:r>
          </w:p>
        </w:tc>
        <w:tc>
          <w:tcPr>
            <w:tcW w:type="dxa" w:w="4433"/>
            <w:shd w:val="clear" w:color="auto" w:fill="FAFBFD"/>
          </w:tcPr>
          <w:p>
            <w:pPr>
              <w:spacing w:after="20" w:before="20"/>
            </w:pPr>
            <w:r/>
            <w:r>
              <w:rPr>
                <w:rFonts w:ascii="Calibri" w:hAnsi="Calibri"/>
                <w:b w:val="0"/>
                <w:i w:val="0"/>
                <w:color w:val="334E68"/>
                <w:sz w:val="17"/>
              </w:rPr>
              <w:t>Space, tablespaces, growth, backup status (database-dependent views)</w:t>
            </w:r>
          </w:p>
        </w:tc>
        <w:tc>
          <w:tcPr>
            <w:tcW w:type="dxa" w:w="1157"/>
            <w:shd w:val="clear" w:color="auto" w:fill="FAFBFD"/>
          </w:tcPr>
          <w:p>
            <w:pPr>
              <w:spacing w:after="20" w:before="20"/>
            </w:pPr>
            <w:r/>
            <w:r>
              <w:rPr>
                <w:rFonts w:ascii="Calibri" w:hAnsi="Calibri"/>
                <w:b w:val="0"/>
                <w:i w:val="0"/>
                <w:color w:val="334E68"/>
                <w:sz w:val="17"/>
              </w:rPr>
              <w:t>4</w:t>
            </w:r>
          </w:p>
        </w:tc>
      </w:tr>
      <w:tr>
        <w:trPr>
          <w:cantSplit/>
        </w:trPr>
        <w:tc>
          <w:tcPr>
            <w:tcW w:type="dxa" w:w="1446"/>
          </w:tcPr>
          <w:p>
            <w:pPr>
              <w:spacing w:after="20" w:before="20"/>
            </w:pPr>
            <w:r/>
            <w:r>
              <w:rPr>
                <w:rFonts w:ascii="Consolas" w:hAnsi="Consolas"/>
                <w:b/>
                <w:i w:val="0"/>
                <w:color w:val="123A63"/>
                <w:sz w:val="17"/>
                <w:shd w:val="clear" w:color="auto" w:fill="EEF2F7"/>
              </w:rPr>
              <w:t>SPAD</w:t>
            </w:r>
          </w:p>
        </w:tc>
        <w:tc>
          <w:tcPr>
            <w:tcW w:type="dxa" w:w="2602"/>
          </w:tcPr>
          <w:p>
            <w:pPr>
              <w:spacing w:after="20" w:before="20"/>
            </w:pPr>
            <w:r/>
            <w:r>
              <w:rPr>
                <w:rFonts w:ascii="Calibri" w:hAnsi="Calibri"/>
                <w:b w:val="0"/>
                <w:i w:val="0"/>
                <w:color w:val="334E68"/>
                <w:sz w:val="17"/>
              </w:rPr>
              <w:t>Printer configuration and spool validation</w:t>
            </w:r>
          </w:p>
        </w:tc>
        <w:tc>
          <w:tcPr>
            <w:tcW w:type="dxa" w:w="4433"/>
          </w:tcPr>
          <w:p>
            <w:pPr>
              <w:spacing w:after="20" w:before="20"/>
            </w:pPr>
            <w:r/>
            <w:r>
              <w:rPr>
                <w:rFonts w:ascii="Calibri" w:hAnsi="Calibri"/>
                <w:b w:val="0"/>
                <w:i w:val="0"/>
                <w:color w:val="334E68"/>
                <w:sz w:val="17"/>
              </w:rPr>
              <w:t>Output devices, device types, host printers, test page</w:t>
            </w:r>
          </w:p>
        </w:tc>
        <w:tc>
          <w:tcPr>
            <w:tcW w:type="dxa" w:w="1157"/>
          </w:tcPr>
          <w:p>
            <w:pPr>
              <w:spacing w:after="20" w:before="20"/>
            </w:pPr>
            <w:r/>
            <w:r>
              <w:rPr>
                <w:rFonts w:ascii="Calibri" w:hAnsi="Calibri"/>
                <w:b w:val="0"/>
                <w:i w:val="0"/>
                <w:color w:val="334E68"/>
                <w:sz w:val="17"/>
              </w:rPr>
              <w:t>4, 7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SP01</w:t>
            </w:r>
          </w:p>
        </w:tc>
        <w:tc>
          <w:tcPr>
            <w:tcW w:type="dxa" w:w="2602"/>
            <w:shd w:val="clear" w:color="auto" w:fill="FAFBFD"/>
          </w:tcPr>
          <w:p>
            <w:pPr>
              <w:spacing w:after="20" w:before="20"/>
            </w:pPr>
            <w:r/>
            <w:r>
              <w:rPr>
                <w:rFonts w:ascii="Calibri" w:hAnsi="Calibri"/>
                <w:b w:val="0"/>
                <w:i w:val="0"/>
                <w:color w:val="334E68"/>
                <w:sz w:val="17"/>
              </w:rPr>
              <w:t>Spool requests</w:t>
            </w:r>
          </w:p>
        </w:tc>
        <w:tc>
          <w:tcPr>
            <w:tcW w:type="dxa" w:w="4433"/>
            <w:shd w:val="clear" w:color="auto" w:fill="FAFBFD"/>
          </w:tcPr>
          <w:p>
            <w:pPr>
              <w:spacing w:after="20" w:before="20"/>
            </w:pPr>
            <w:r/>
            <w:r>
              <w:rPr>
                <w:rFonts w:ascii="Calibri" w:hAnsi="Calibri"/>
                <w:b w:val="0"/>
                <w:i w:val="0"/>
                <w:color w:val="334E68"/>
                <w:sz w:val="17"/>
              </w:rPr>
              <w:t>Spool output present, no stuck or failed requests</w:t>
            </w:r>
          </w:p>
        </w:tc>
        <w:tc>
          <w:tcPr>
            <w:tcW w:type="dxa" w:w="1157"/>
            <w:shd w:val="clear" w:color="auto" w:fill="FAFBFD"/>
          </w:tcPr>
          <w:p>
            <w:pPr>
              <w:spacing w:after="20" w:before="20"/>
            </w:pPr>
            <w:r/>
            <w:r>
              <w:rPr>
                <w:rFonts w:ascii="Calibri" w:hAnsi="Calibri"/>
                <w:b w:val="0"/>
                <w:i w:val="0"/>
                <w:color w:val="334E68"/>
                <w:sz w:val="17"/>
              </w:rPr>
              <w:t>4, 7</w:t>
            </w:r>
          </w:p>
        </w:tc>
      </w:tr>
      <w:tr>
        <w:trPr>
          <w:cantSplit/>
        </w:trPr>
        <w:tc>
          <w:tcPr>
            <w:tcW w:type="dxa" w:w="1446"/>
          </w:tcPr>
          <w:p>
            <w:pPr>
              <w:spacing w:after="20" w:before="20"/>
            </w:pPr>
            <w:r/>
            <w:r>
              <w:rPr>
                <w:rFonts w:ascii="Consolas" w:hAnsi="Consolas"/>
                <w:b/>
                <w:i w:val="0"/>
                <w:color w:val="123A63"/>
                <w:sz w:val="17"/>
                <w:shd w:val="clear" w:color="auto" w:fill="EEF2F7"/>
              </w:rPr>
              <w:t>STRUST</w:t>
            </w:r>
          </w:p>
        </w:tc>
        <w:tc>
          <w:tcPr>
            <w:tcW w:type="dxa" w:w="2602"/>
          </w:tcPr>
          <w:p>
            <w:pPr>
              <w:spacing w:after="20" w:before="20"/>
            </w:pPr>
            <w:r/>
            <w:r>
              <w:rPr>
                <w:rFonts w:ascii="Calibri" w:hAnsi="Calibri"/>
                <w:b w:val="0"/>
                <w:i w:val="0"/>
                <w:color w:val="334E68"/>
                <w:sz w:val="17"/>
              </w:rPr>
              <w:t>Certificate and PSE management</w:t>
            </w:r>
          </w:p>
        </w:tc>
        <w:tc>
          <w:tcPr>
            <w:tcW w:type="dxa" w:w="4433"/>
          </w:tcPr>
          <w:p>
            <w:pPr>
              <w:spacing w:after="20" w:before="20"/>
            </w:pPr>
            <w:r/>
            <w:r>
              <w:rPr>
                <w:rFonts w:ascii="Calibri" w:hAnsi="Calibri"/>
                <w:b w:val="0"/>
                <w:i w:val="0"/>
                <w:color w:val="334E68"/>
                <w:sz w:val="17"/>
              </w:rPr>
              <w:t>Certificate validity, chain, hostname/domain match, expiry</w:t>
            </w:r>
          </w:p>
        </w:tc>
        <w:tc>
          <w:tcPr>
            <w:tcW w:type="dxa" w:w="1157"/>
          </w:tcPr>
          <w:p>
            <w:pPr>
              <w:spacing w:after="20" w:before="20"/>
            </w:pPr>
            <w:r/>
            <w:r>
              <w:rPr>
                <w:rFonts w:ascii="Calibri" w:hAnsi="Calibri"/>
                <w:b w:val="0"/>
                <w:i w:val="0"/>
                <w:color w:val="334E68"/>
                <w:sz w:val="17"/>
              </w:rPr>
              <w:t>4, 7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SLICENSE</w:t>
            </w:r>
          </w:p>
        </w:tc>
        <w:tc>
          <w:tcPr>
            <w:tcW w:type="dxa" w:w="2602"/>
            <w:shd w:val="clear" w:color="auto" w:fill="FAFBFD"/>
          </w:tcPr>
          <w:p>
            <w:pPr>
              <w:spacing w:after="20" w:before="20"/>
            </w:pPr>
            <w:r/>
            <w:r>
              <w:rPr>
                <w:rFonts w:ascii="Calibri" w:hAnsi="Calibri"/>
                <w:b w:val="0"/>
                <w:i w:val="0"/>
                <w:color w:val="334E68"/>
                <w:sz w:val="17"/>
              </w:rPr>
              <w:t>SAP license administration</w:t>
            </w:r>
          </w:p>
        </w:tc>
        <w:tc>
          <w:tcPr>
            <w:tcW w:type="dxa" w:w="4433"/>
            <w:shd w:val="clear" w:color="auto" w:fill="FAFBFD"/>
          </w:tcPr>
          <w:p>
            <w:pPr>
              <w:spacing w:after="20" w:before="20"/>
            </w:pPr>
            <w:r/>
            <w:r>
              <w:rPr>
                <w:rFonts w:ascii="Calibri" w:hAnsi="Calibri"/>
                <w:b w:val="0"/>
                <w:i w:val="0"/>
                <w:color w:val="334E68"/>
                <w:sz w:val="17"/>
              </w:rPr>
              <w:t>Hardware key after migration, installed license, temporary-license expiry</w:t>
            </w:r>
          </w:p>
        </w:tc>
        <w:tc>
          <w:tcPr>
            <w:tcW w:type="dxa" w:w="1157"/>
            <w:shd w:val="clear" w:color="auto" w:fill="FAFBFD"/>
          </w:tcPr>
          <w:p>
            <w:pPr>
              <w:spacing w:after="20" w:before="20"/>
            </w:pPr>
            <w:r/>
            <w:r>
              <w:rPr>
                <w:rFonts w:ascii="Calibri" w:hAnsi="Calibri"/>
                <w:b w:val="0"/>
                <w:i w:val="0"/>
                <w:color w:val="334E68"/>
                <w:sz w:val="17"/>
              </w:rPr>
              <w:t>4</w:t>
            </w:r>
          </w:p>
        </w:tc>
      </w:tr>
      <w:tr>
        <w:trPr>
          <w:cantSplit/>
        </w:trPr>
        <w:tc>
          <w:tcPr>
            <w:tcW w:type="dxa" w:w="1446"/>
          </w:tcPr>
          <w:p>
            <w:pPr>
              <w:spacing w:after="20" w:before="20"/>
            </w:pPr>
            <w:r/>
            <w:r>
              <w:rPr>
                <w:rFonts w:ascii="Consolas" w:hAnsi="Consolas"/>
                <w:b/>
                <w:i w:val="0"/>
                <w:color w:val="123A63"/>
                <w:sz w:val="17"/>
                <w:shd w:val="clear" w:color="auto" w:fill="EEF2F7"/>
              </w:rPr>
              <w:t>SA38</w:t>
            </w:r>
          </w:p>
        </w:tc>
        <w:tc>
          <w:tcPr>
            <w:tcW w:type="dxa" w:w="2602"/>
          </w:tcPr>
          <w:p>
            <w:pPr>
              <w:spacing w:after="20" w:before="20"/>
            </w:pPr>
            <w:r/>
            <w:r>
              <w:rPr>
                <w:rFonts w:ascii="Calibri" w:hAnsi="Calibri"/>
                <w:b w:val="0"/>
                <w:i w:val="0"/>
                <w:color w:val="334E68"/>
                <w:sz w:val="17"/>
              </w:rPr>
              <w:t>ABAP report execution (used for RFC connectivity reports)</w:t>
            </w:r>
          </w:p>
        </w:tc>
        <w:tc>
          <w:tcPr>
            <w:tcW w:type="dxa" w:w="4433"/>
          </w:tcPr>
          <w:p>
            <w:pPr>
              <w:spacing w:after="20" w:before="20"/>
            </w:pPr>
            <w:r/>
            <w:r>
              <w:rPr>
                <w:rFonts w:ascii="Calibri" w:hAnsi="Calibri"/>
                <w:b w:val="0"/>
                <w:i w:val="0"/>
                <w:color w:val="334E68"/>
                <w:sz w:val="17"/>
              </w:rPr>
              <w:t>Running the project's RFC/interface test report</w:t>
            </w:r>
          </w:p>
        </w:tc>
        <w:tc>
          <w:tcPr>
            <w:tcW w:type="dxa" w:w="1157"/>
          </w:tcPr>
          <w:p>
            <w:pPr>
              <w:spacing w:after="20" w:before="20"/>
            </w:pPr>
            <w:r/>
            <w:r>
              <w:rPr>
                <w:rFonts w:ascii="Calibri" w:hAnsi="Calibri"/>
                <w:b w:val="0"/>
                <w:i w:val="0"/>
                <w:color w:val="334E68"/>
                <w:sz w:val="17"/>
              </w:rPr>
              <w:t>1, 4</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ST22</w:t>
            </w:r>
          </w:p>
        </w:tc>
        <w:tc>
          <w:tcPr>
            <w:tcW w:type="dxa" w:w="2602"/>
            <w:shd w:val="clear" w:color="auto" w:fill="FAFBFD"/>
          </w:tcPr>
          <w:p>
            <w:pPr>
              <w:spacing w:after="20" w:before="20"/>
            </w:pPr>
            <w:r/>
            <w:r>
              <w:rPr>
                <w:rFonts w:ascii="Calibri" w:hAnsi="Calibri"/>
                <w:b w:val="0"/>
                <w:i w:val="0"/>
                <w:color w:val="334E68"/>
                <w:sz w:val="17"/>
              </w:rPr>
              <w:t>ABAP runtime error analysis</w:t>
            </w:r>
          </w:p>
        </w:tc>
        <w:tc>
          <w:tcPr>
            <w:tcW w:type="dxa" w:w="4433"/>
            <w:shd w:val="clear" w:color="auto" w:fill="FAFBFD"/>
          </w:tcPr>
          <w:p>
            <w:pPr>
              <w:spacing w:after="20" w:before="20"/>
            </w:pPr>
            <w:r/>
            <w:r>
              <w:rPr>
                <w:rFonts w:ascii="Calibri" w:hAnsi="Calibri"/>
                <w:b w:val="0"/>
                <w:i w:val="0"/>
                <w:color w:val="334E68"/>
                <w:sz w:val="17"/>
              </w:rPr>
              <w:t>New or rising dumps after go-live</w:t>
            </w:r>
          </w:p>
        </w:tc>
        <w:tc>
          <w:tcPr>
            <w:tcW w:type="dxa" w:w="1157"/>
            <w:shd w:val="clear" w:color="auto" w:fill="FAFBFD"/>
          </w:tcPr>
          <w:p>
            <w:pPr>
              <w:spacing w:after="20" w:before="20"/>
            </w:pPr>
            <w:r/>
            <w:r>
              <w:rPr>
                <w:rFonts w:ascii="Calibri" w:hAnsi="Calibri"/>
                <w:b w:val="0"/>
                <w:i w:val="0"/>
                <w:color w:val="334E68"/>
                <w:sz w:val="17"/>
              </w:rPr>
              <w:t>7</w:t>
            </w:r>
          </w:p>
        </w:tc>
      </w:tr>
      <w:tr>
        <w:trPr>
          <w:cantSplit/>
        </w:trPr>
        <w:tc>
          <w:tcPr>
            <w:tcW w:type="dxa" w:w="1446"/>
          </w:tcPr>
          <w:p>
            <w:pPr>
              <w:spacing w:after="20" w:before="20"/>
            </w:pPr>
            <w:r/>
            <w:r>
              <w:rPr>
                <w:rFonts w:ascii="Consolas" w:hAnsi="Consolas"/>
                <w:b/>
                <w:i w:val="0"/>
                <w:color w:val="123A63"/>
                <w:sz w:val="17"/>
                <w:shd w:val="clear" w:color="auto" w:fill="EEF2F7"/>
              </w:rPr>
              <w:t>SM37</w:t>
            </w:r>
          </w:p>
        </w:tc>
        <w:tc>
          <w:tcPr>
            <w:tcW w:type="dxa" w:w="2602"/>
          </w:tcPr>
          <w:p>
            <w:pPr>
              <w:spacing w:after="20" w:before="20"/>
            </w:pPr>
            <w:r/>
            <w:r>
              <w:rPr>
                <w:rFonts w:ascii="Calibri" w:hAnsi="Calibri"/>
                <w:b w:val="0"/>
                <w:i w:val="0"/>
                <w:color w:val="334E68"/>
                <w:sz w:val="17"/>
              </w:rPr>
              <w:t>Background job overview</w:t>
            </w:r>
          </w:p>
        </w:tc>
        <w:tc>
          <w:tcPr>
            <w:tcW w:type="dxa" w:w="4433"/>
          </w:tcPr>
          <w:p>
            <w:pPr>
              <w:spacing w:after="20" w:before="20"/>
            </w:pPr>
            <w:r/>
            <w:r>
              <w:rPr>
                <w:rFonts w:ascii="Calibri" w:hAnsi="Calibri"/>
                <w:b w:val="0"/>
                <w:i w:val="0"/>
                <w:color w:val="334E68"/>
                <w:sz w:val="17"/>
              </w:rPr>
              <w:t>Job status after cutover: released, running, cancelled</w:t>
            </w:r>
          </w:p>
        </w:tc>
        <w:tc>
          <w:tcPr>
            <w:tcW w:type="dxa" w:w="1157"/>
          </w:tcPr>
          <w:p>
            <w:pPr>
              <w:spacing w:after="20" w:before="20"/>
            </w:pPr>
            <w:r/>
            <w:r>
              <w:rPr>
                <w:rFonts w:ascii="Calibri" w:hAnsi="Calibri"/>
                <w:b w:val="0"/>
                <w:i w:val="0"/>
                <w:color w:val="334E68"/>
                <w:sz w:val="17"/>
              </w:rPr>
              <w:t>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SM13</w:t>
            </w:r>
          </w:p>
        </w:tc>
        <w:tc>
          <w:tcPr>
            <w:tcW w:type="dxa" w:w="2602"/>
            <w:shd w:val="clear" w:color="auto" w:fill="FAFBFD"/>
          </w:tcPr>
          <w:p>
            <w:pPr>
              <w:spacing w:after="20" w:before="20"/>
            </w:pPr>
            <w:r/>
            <w:r>
              <w:rPr>
                <w:rFonts w:ascii="Calibri" w:hAnsi="Calibri"/>
                <w:b w:val="0"/>
                <w:i w:val="0"/>
                <w:color w:val="334E68"/>
                <w:sz w:val="17"/>
              </w:rPr>
              <w:t>Update errors</w:t>
            </w:r>
          </w:p>
        </w:tc>
        <w:tc>
          <w:tcPr>
            <w:tcW w:type="dxa" w:w="4433"/>
            <w:shd w:val="clear" w:color="auto" w:fill="FAFBFD"/>
          </w:tcPr>
          <w:p>
            <w:pPr>
              <w:spacing w:after="20" w:before="20"/>
            </w:pPr>
            <w:r/>
            <w:r>
              <w:rPr>
                <w:rFonts w:ascii="Calibri" w:hAnsi="Calibri"/>
                <w:b w:val="0"/>
                <w:i w:val="0"/>
                <w:color w:val="334E68"/>
                <w:sz w:val="17"/>
              </w:rPr>
              <w:t>Stuck or failed update records — business-visible data issues</w:t>
            </w:r>
          </w:p>
        </w:tc>
        <w:tc>
          <w:tcPr>
            <w:tcW w:type="dxa" w:w="1157"/>
            <w:shd w:val="clear" w:color="auto" w:fill="FAFBFD"/>
          </w:tcPr>
          <w:p>
            <w:pPr>
              <w:spacing w:after="20" w:before="20"/>
            </w:pPr>
            <w:r/>
            <w:r>
              <w:rPr>
                <w:rFonts w:ascii="Calibri" w:hAnsi="Calibri"/>
                <w:b w:val="0"/>
                <w:i w:val="0"/>
                <w:color w:val="334E68"/>
                <w:sz w:val="17"/>
              </w:rPr>
              <w:t>7</w:t>
            </w:r>
          </w:p>
        </w:tc>
      </w:tr>
      <w:tr>
        <w:trPr>
          <w:cantSplit/>
        </w:trPr>
        <w:tc>
          <w:tcPr>
            <w:tcW w:type="dxa" w:w="1446"/>
          </w:tcPr>
          <w:p>
            <w:pPr>
              <w:spacing w:after="20" w:before="20"/>
            </w:pPr>
            <w:r/>
            <w:r>
              <w:rPr>
                <w:rFonts w:ascii="Consolas" w:hAnsi="Consolas"/>
                <w:b/>
                <w:i w:val="0"/>
                <w:color w:val="123A63"/>
                <w:sz w:val="17"/>
                <w:shd w:val="clear" w:color="auto" w:fill="EEF2F7"/>
              </w:rPr>
              <w:t>SM12</w:t>
            </w:r>
          </w:p>
        </w:tc>
        <w:tc>
          <w:tcPr>
            <w:tcW w:type="dxa" w:w="2602"/>
          </w:tcPr>
          <w:p>
            <w:pPr>
              <w:spacing w:after="20" w:before="20"/>
            </w:pPr>
            <w:r/>
            <w:r>
              <w:rPr>
                <w:rFonts w:ascii="Calibri" w:hAnsi="Calibri"/>
                <w:b w:val="0"/>
                <w:i w:val="0"/>
                <w:color w:val="334E68"/>
                <w:sz w:val="17"/>
              </w:rPr>
              <w:t>Lock entries</w:t>
            </w:r>
          </w:p>
        </w:tc>
        <w:tc>
          <w:tcPr>
            <w:tcW w:type="dxa" w:w="4433"/>
          </w:tcPr>
          <w:p>
            <w:pPr>
              <w:spacing w:after="20" w:before="20"/>
            </w:pPr>
            <w:r/>
            <w:r>
              <w:rPr>
                <w:rFonts w:ascii="Calibri" w:hAnsi="Calibri"/>
                <w:b w:val="0"/>
                <w:i w:val="0"/>
                <w:color w:val="334E68"/>
                <w:sz w:val="17"/>
              </w:rPr>
              <w:t>Stale or growing locks after go-live</w:t>
            </w:r>
          </w:p>
        </w:tc>
        <w:tc>
          <w:tcPr>
            <w:tcW w:type="dxa" w:w="1157"/>
          </w:tcPr>
          <w:p>
            <w:pPr>
              <w:spacing w:after="20" w:before="20"/>
            </w:pPr>
            <w:r/>
            <w:r>
              <w:rPr>
                <w:rFonts w:ascii="Calibri" w:hAnsi="Calibri"/>
                <w:b w:val="0"/>
                <w:i w:val="0"/>
                <w:color w:val="334E68"/>
                <w:sz w:val="17"/>
              </w:rPr>
              <w:t>7</w:t>
            </w:r>
          </w:p>
        </w:tc>
      </w:tr>
      <w:tr>
        <w:trPr>
          <w:cantSplit/>
        </w:trPr>
        <w:tc>
          <w:tcPr>
            <w:tcW w:type="dxa" w:w="1446"/>
            <w:shd w:val="clear" w:color="auto" w:fill="FAFBFD"/>
          </w:tcPr>
          <w:p>
            <w:pPr>
              <w:spacing w:after="20" w:before="20"/>
            </w:pPr>
            <w:r/>
            <w:r>
              <w:rPr>
                <w:rFonts w:ascii="Consolas" w:hAnsi="Consolas"/>
                <w:b/>
                <w:i w:val="0"/>
                <w:color w:val="123A63"/>
                <w:sz w:val="17"/>
                <w:shd w:val="clear" w:color="auto" w:fill="EEF2F7"/>
              </w:rPr>
              <w:t>WE02</w:t>
            </w:r>
            <w:r>
              <w:rPr>
                <w:rFonts w:ascii="Calibri" w:hAnsi="Calibri"/>
                <w:b/>
                <w:i w:val="0"/>
                <w:color w:val="334E68"/>
                <w:sz w:val="17"/>
              </w:rPr>
              <w:t xml:space="preserve"> / </w:t>
            </w:r>
            <w:r>
              <w:rPr>
                <w:rFonts w:ascii="Consolas" w:hAnsi="Consolas"/>
                <w:b/>
                <w:i w:val="0"/>
                <w:color w:val="123A63"/>
                <w:sz w:val="17"/>
                <w:shd w:val="clear" w:color="auto" w:fill="EEF2F7"/>
              </w:rPr>
              <w:t>BD87</w:t>
            </w:r>
          </w:p>
        </w:tc>
        <w:tc>
          <w:tcPr>
            <w:tcW w:type="dxa" w:w="2602"/>
            <w:shd w:val="clear" w:color="auto" w:fill="FAFBFD"/>
          </w:tcPr>
          <w:p>
            <w:pPr>
              <w:spacing w:after="20" w:before="20"/>
            </w:pPr>
            <w:r/>
            <w:r>
              <w:rPr>
                <w:rFonts w:ascii="Calibri" w:hAnsi="Calibri"/>
                <w:b w:val="0"/>
                <w:i w:val="0"/>
                <w:color w:val="334E68"/>
                <w:sz w:val="17"/>
              </w:rPr>
              <w:t>IDoc monitoring and processing</w:t>
            </w:r>
          </w:p>
        </w:tc>
        <w:tc>
          <w:tcPr>
            <w:tcW w:type="dxa" w:w="4433"/>
            <w:shd w:val="clear" w:color="auto" w:fill="FAFBFD"/>
          </w:tcPr>
          <w:p>
            <w:pPr>
              <w:spacing w:after="20" w:before="20"/>
            </w:pPr>
            <w:r/>
            <w:r>
              <w:rPr>
                <w:rFonts w:ascii="Calibri" w:hAnsi="Calibri"/>
                <w:b w:val="0"/>
                <w:i w:val="0"/>
                <w:color w:val="334E68"/>
                <w:sz w:val="17"/>
              </w:rPr>
              <w:t>Failed or stuck IDocs on interfaces</w:t>
            </w:r>
          </w:p>
        </w:tc>
        <w:tc>
          <w:tcPr>
            <w:tcW w:type="dxa" w:w="1157"/>
            <w:shd w:val="clear" w:color="auto" w:fill="FAFBFD"/>
          </w:tcPr>
          <w:p>
            <w:pPr>
              <w:spacing w:after="20" w:before="20"/>
            </w:pPr>
            <w:r/>
            <w:r>
              <w:rPr>
                <w:rFonts w:ascii="Calibri" w:hAnsi="Calibri"/>
                <w:b w:val="0"/>
                <w:i w:val="0"/>
                <w:color w:val="334E68"/>
                <w:sz w:val="17"/>
              </w:rPr>
              <w:t>7</w:t>
            </w:r>
          </w:p>
        </w:tc>
      </w:tr>
      <w:tr>
        <w:trPr>
          <w:cantSplit/>
        </w:trPr>
        <w:tc>
          <w:tcPr>
            <w:tcW w:type="dxa" w:w="1446"/>
          </w:tcPr>
          <w:p>
            <w:pPr>
              <w:spacing w:after="20" w:before="20"/>
            </w:pPr>
            <w:r/>
            <w:r>
              <w:rPr>
                <w:rFonts w:ascii="Calibri" w:hAnsi="Calibri"/>
                <w:b/>
                <w:i w:val="0"/>
                <w:color w:val="334E68"/>
                <w:sz w:val="17"/>
              </w:rPr>
              <w:t>Solution Manager / EarlyWatch</w:t>
            </w:r>
          </w:p>
        </w:tc>
        <w:tc>
          <w:tcPr>
            <w:tcW w:type="dxa" w:w="2602"/>
          </w:tcPr>
          <w:p>
            <w:pPr>
              <w:spacing w:after="20" w:before="20"/>
            </w:pPr>
            <w:r/>
            <w:r>
              <w:rPr>
                <w:rFonts w:ascii="Calibri" w:hAnsi="Calibri"/>
                <w:b w:val="0"/>
                <w:i w:val="0"/>
                <w:color w:val="334E68"/>
                <w:sz w:val="17"/>
              </w:rPr>
              <w:t>Central monitoring and SAP health information</w:t>
            </w:r>
          </w:p>
        </w:tc>
        <w:tc>
          <w:tcPr>
            <w:tcW w:type="dxa" w:w="4433"/>
          </w:tcPr>
          <w:p>
            <w:pPr>
              <w:spacing w:after="20" w:before="20"/>
            </w:pPr>
            <w:r/>
            <w:r>
              <w:rPr>
                <w:rFonts w:ascii="Calibri" w:hAnsi="Calibri"/>
                <w:b w:val="0"/>
                <w:i w:val="0"/>
                <w:color w:val="334E68"/>
                <w:sz w:val="17"/>
              </w:rPr>
              <w:t>Landscape health, configuration and performance reporting where available</w:t>
            </w:r>
          </w:p>
        </w:tc>
        <w:tc>
          <w:tcPr>
            <w:tcW w:type="dxa" w:w="1157"/>
          </w:tcPr>
          <w:p>
            <w:pPr>
              <w:spacing w:after="20" w:before="20"/>
            </w:pPr>
            <w:r/>
            <w:r>
              <w:rPr>
                <w:rFonts w:ascii="Calibri" w:hAnsi="Calibri"/>
                <w:b w:val="0"/>
                <w:i w:val="0"/>
                <w:color w:val="334E68"/>
                <w:sz w:val="17"/>
              </w:rPr>
              <w:t>5</w:t>
            </w:r>
          </w:p>
        </w:tc>
      </w:tr>
    </w:tbl>
    <w:p>
      <w:pPr>
        <w:spacing w:after="40"/>
      </w:pPr>
    </w:p>
    <w:p>
      <w:pPr>
        <w:pStyle w:val="Heading2"/>
        <w:pBdr>
          <w:bottom w:val="single" w:sz="6" w:space="3" w:color="E8EDF3"/>
        </w:pBdr>
      </w:pPr>
      <w:r>
        <w:rPr>
          <w:rFonts w:ascii="Calibri" w:hAnsi="Calibri"/>
          <w:b/>
          <w:color w:val="0F2B4C"/>
          <w:sz w:val="26"/>
        </w:rPr>
        <w:t>11.2  Database, platform and tooling reference</w:t>
      </w:r>
    </w:p>
    <w:p>
      <w:pPr>
        <w:spacing w:after="60" w:before="160"/>
        <w:keepNext/>
      </w:pPr>
      <w:r>
        <w:rPr>
          <w:rFonts w:ascii="Calibri" w:hAnsi="Calibri"/>
          <w:b/>
          <w:color w:val="5B7288"/>
          <w:sz w:val="15"/>
        </w:rPr>
        <w:t>TECHNOLOGY REFERENCE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5975"/>
        <w:gridCol w:w="1542"/>
      </w:tblGrid>
      <w:tr>
        <w:trPr>
          <w:tblHeader/>
          <w:cantSplit/>
        </w:trPr>
        <w:tc>
          <w:tcPr>
            <w:tcW w:type="dxa" w:w="2120"/>
            <w:shd w:val="clear" w:color="auto" w:fill="0F2B4C"/>
          </w:tcPr>
          <w:p>
            <w:pPr>
              <w:spacing w:after="20" w:before="20"/>
            </w:pPr>
            <w:r/>
            <w:r>
              <w:rPr>
                <w:rFonts w:ascii="Calibri" w:hAnsi="Calibri"/>
                <w:b/>
                <w:color w:val="FFFFFF"/>
                <w:sz w:val="17"/>
              </w:rPr>
              <w:t>Technology</w:t>
            </w:r>
          </w:p>
        </w:tc>
        <w:tc>
          <w:tcPr>
            <w:tcW w:type="dxa" w:w="5975"/>
            <w:shd w:val="clear" w:color="auto" w:fill="0F2B4C"/>
          </w:tcPr>
          <w:p>
            <w:pPr>
              <w:spacing w:after="20" w:before="20"/>
            </w:pPr>
            <w:r/>
            <w:r>
              <w:rPr>
                <w:rFonts w:ascii="Calibri" w:hAnsi="Calibri"/>
                <w:b/>
                <w:color w:val="FFFFFF"/>
                <w:sz w:val="17"/>
              </w:rPr>
              <w:t>Purpose in this training</w:t>
            </w:r>
          </w:p>
        </w:tc>
        <w:tc>
          <w:tcPr>
            <w:tcW w:type="dxa" w:w="1542"/>
            <w:shd w:val="clear" w:color="auto" w:fill="0F2B4C"/>
          </w:tcPr>
          <w:p>
            <w:pPr>
              <w:spacing w:after="20" w:before="20"/>
            </w:pPr>
            <w:r/>
            <w:r>
              <w:rPr>
                <w:rFonts w:ascii="Calibri" w:hAnsi="Calibri"/>
                <w:b/>
                <w:color w:val="FFFFFF"/>
                <w:sz w:val="17"/>
              </w:rPr>
              <w:t>Module</w:t>
            </w:r>
          </w:p>
        </w:tc>
      </w:tr>
      <w:tr>
        <w:trPr>
          <w:cantSplit/>
        </w:trPr>
        <w:tc>
          <w:tcPr>
            <w:tcW w:type="dxa" w:w="2120"/>
          </w:tcPr>
          <w:p>
            <w:pPr>
              <w:spacing w:after="20" w:before="20"/>
            </w:pPr>
            <w:r/>
            <w:r>
              <w:rPr>
                <w:rFonts w:ascii="Calibri" w:hAnsi="Calibri"/>
                <w:b/>
                <w:i w:val="0"/>
                <w:color w:val="334E68"/>
                <w:sz w:val="17"/>
              </w:rPr>
              <w:t>Oracle Data Guard</w:t>
            </w:r>
          </w:p>
        </w:tc>
        <w:tc>
          <w:tcPr>
            <w:tcW w:type="dxa" w:w="5975"/>
          </w:tcPr>
          <w:p>
            <w:pPr>
              <w:spacing w:after="20" w:before="20"/>
            </w:pPr>
            <w:r/>
            <w:r>
              <w:rPr>
                <w:rFonts w:ascii="Calibri" w:hAnsi="Calibri"/>
                <w:b w:val="0"/>
                <w:i w:val="0"/>
                <w:color w:val="334E68"/>
                <w:sz w:val="17"/>
              </w:rPr>
              <w:t>Database replication and planned switchover mechanism in the discussed Oracle scenario</w:t>
            </w:r>
          </w:p>
        </w:tc>
        <w:tc>
          <w:tcPr>
            <w:tcW w:type="dxa" w:w="1542"/>
          </w:tcPr>
          <w:p>
            <w:pPr>
              <w:spacing w:after="20" w:before="20"/>
            </w:pPr>
            <w:r/>
            <w:r>
              <w:rPr>
                <w:rFonts w:ascii="Calibri" w:hAnsi="Calibri"/>
                <w:b w:val="0"/>
                <w:i w:val="0"/>
                <w:color w:val="334E68"/>
                <w:sz w:val="17"/>
              </w:rPr>
              <w:t>6</w:t>
            </w:r>
          </w:p>
        </w:tc>
      </w:tr>
      <w:tr>
        <w:trPr>
          <w:cantSplit/>
        </w:trPr>
        <w:tc>
          <w:tcPr>
            <w:tcW w:type="dxa" w:w="2120"/>
            <w:shd w:val="clear" w:color="auto" w:fill="FAFBFD"/>
          </w:tcPr>
          <w:p>
            <w:pPr>
              <w:spacing w:after="20" w:before="20"/>
            </w:pPr>
            <w:r/>
            <w:r>
              <w:rPr>
                <w:rFonts w:ascii="Calibri" w:hAnsi="Calibri"/>
                <w:b/>
                <w:i w:val="0"/>
                <w:color w:val="334E68"/>
                <w:sz w:val="17"/>
              </w:rPr>
              <w:t xml:space="preserve">Oracle </w:t>
            </w:r>
            <w:r>
              <w:rPr>
                <w:rFonts w:ascii="Consolas" w:hAnsi="Consolas"/>
                <w:b/>
                <w:i w:val="0"/>
                <w:color w:val="123A63"/>
                <w:sz w:val="17"/>
                <w:shd w:val="clear" w:color="auto" w:fill="EEF2F7"/>
              </w:rPr>
              <w:t>DBVERIFY</w:t>
            </w:r>
            <w:r>
              <w:rPr>
                <w:rFonts w:ascii="Calibri" w:hAnsi="Calibri"/>
                <w:b/>
                <w:i w:val="0"/>
                <w:color w:val="334E68"/>
                <w:sz w:val="17"/>
              </w:rPr>
              <w:t xml:space="preserve"> (</w:t>
            </w:r>
            <w:r>
              <w:rPr>
                <w:rFonts w:ascii="Consolas" w:hAnsi="Consolas"/>
                <w:b/>
                <w:i w:val="0"/>
                <w:color w:val="123A63"/>
                <w:sz w:val="17"/>
                <w:shd w:val="clear" w:color="auto" w:fill="EEF2F7"/>
              </w:rPr>
              <w:t>dbv</w:t>
            </w:r>
            <w:r>
              <w:rPr>
                <w:rFonts w:ascii="Calibri" w:hAnsi="Calibri"/>
                <w:b/>
                <w:i w:val="0"/>
                <w:color w:val="334E68"/>
                <w:sz w:val="17"/>
              </w:rPr>
              <w:t>)</w:t>
            </w:r>
          </w:p>
        </w:tc>
        <w:tc>
          <w:tcPr>
            <w:tcW w:type="dxa" w:w="5975"/>
            <w:shd w:val="clear" w:color="auto" w:fill="FAFBFD"/>
          </w:tcPr>
          <w:p>
            <w:pPr>
              <w:spacing w:after="20" w:before="20"/>
            </w:pPr>
            <w:r/>
            <w:r>
              <w:rPr>
                <w:rFonts w:ascii="Calibri" w:hAnsi="Calibri"/>
                <w:b w:val="0"/>
                <w:i w:val="0"/>
                <w:color w:val="334E68"/>
                <w:sz w:val="17"/>
              </w:rPr>
              <w:t>Block-level integrity check for database corruption after switchover</w:t>
            </w:r>
          </w:p>
        </w:tc>
        <w:tc>
          <w:tcPr>
            <w:tcW w:type="dxa" w:w="1542"/>
            <w:shd w:val="clear" w:color="auto" w:fill="FAFBFD"/>
          </w:tcPr>
          <w:p>
            <w:pPr>
              <w:spacing w:after="20" w:before="20"/>
            </w:pPr>
            <w:r/>
            <w:r>
              <w:rPr>
                <w:rFonts w:ascii="Calibri" w:hAnsi="Calibri"/>
                <w:b w:val="0"/>
                <w:i w:val="0"/>
                <w:color w:val="334E68"/>
                <w:sz w:val="17"/>
              </w:rPr>
              <w:t>6</w:t>
            </w:r>
          </w:p>
        </w:tc>
      </w:tr>
      <w:tr>
        <w:trPr>
          <w:cantSplit/>
        </w:trPr>
        <w:tc>
          <w:tcPr>
            <w:tcW w:type="dxa" w:w="2120"/>
          </w:tcPr>
          <w:p>
            <w:pPr>
              <w:spacing w:after="20" w:before="20"/>
            </w:pPr>
            <w:r/>
            <w:r>
              <w:rPr>
                <w:rFonts w:ascii="Calibri" w:hAnsi="Calibri"/>
                <w:b/>
                <w:i w:val="0"/>
                <w:color w:val="334E68"/>
                <w:sz w:val="17"/>
              </w:rPr>
              <w:t xml:space="preserve">Oracle </w:t>
            </w:r>
            <w:r>
              <w:rPr>
                <w:rFonts w:ascii="Consolas" w:hAnsi="Consolas"/>
                <w:b/>
                <w:i w:val="0"/>
                <w:color w:val="123A63"/>
                <w:sz w:val="17"/>
                <w:shd w:val="clear" w:color="auto" w:fill="EEF2F7"/>
              </w:rPr>
              <w:t>RMAN</w:t>
            </w:r>
          </w:p>
        </w:tc>
        <w:tc>
          <w:tcPr>
            <w:tcW w:type="dxa" w:w="5975"/>
          </w:tcPr>
          <w:p>
            <w:pPr>
              <w:spacing w:after="20" w:before="20"/>
            </w:pPr>
            <w:r/>
            <w:r>
              <w:rPr>
                <w:rFonts w:ascii="Calibri" w:hAnsi="Calibri"/>
                <w:b w:val="0"/>
                <w:i w:val="0"/>
                <w:color w:val="334E68"/>
                <w:sz w:val="17"/>
              </w:rPr>
              <w:t>Backup and recovery of the new primary after successful validation</w:t>
            </w:r>
          </w:p>
        </w:tc>
        <w:tc>
          <w:tcPr>
            <w:tcW w:type="dxa" w:w="1542"/>
          </w:tcPr>
          <w:p>
            <w:pPr>
              <w:spacing w:after="20" w:before="20"/>
            </w:pPr>
            <w:r/>
            <w:r>
              <w:rPr>
                <w:rFonts w:ascii="Calibri" w:hAnsi="Calibri"/>
                <w:b w:val="0"/>
                <w:i w:val="0"/>
                <w:color w:val="334E68"/>
                <w:sz w:val="17"/>
              </w:rPr>
              <w:t>6</w:t>
            </w:r>
          </w:p>
        </w:tc>
      </w:tr>
      <w:tr>
        <w:trPr>
          <w:cantSplit/>
        </w:trPr>
        <w:tc>
          <w:tcPr>
            <w:tcW w:type="dxa" w:w="2120"/>
            <w:shd w:val="clear" w:color="auto" w:fill="FAFBFD"/>
          </w:tcPr>
          <w:p>
            <w:pPr>
              <w:spacing w:after="20" w:before="20"/>
            </w:pPr>
            <w:r/>
            <w:r>
              <w:rPr>
                <w:rFonts w:ascii="Calibri" w:hAnsi="Calibri"/>
                <w:b/>
                <w:i w:val="0"/>
                <w:color w:val="334E68"/>
                <w:sz w:val="17"/>
              </w:rPr>
              <w:t>Oracle OEM agent</w:t>
            </w:r>
          </w:p>
        </w:tc>
        <w:tc>
          <w:tcPr>
            <w:tcW w:type="dxa" w:w="5975"/>
            <w:shd w:val="clear" w:color="auto" w:fill="FAFBFD"/>
          </w:tcPr>
          <w:p>
            <w:pPr>
              <w:spacing w:after="20" w:before="20"/>
            </w:pPr>
            <w:r/>
            <w:r>
              <w:rPr>
                <w:rFonts w:ascii="Calibri" w:hAnsi="Calibri"/>
                <w:b w:val="0"/>
                <w:i w:val="0"/>
                <w:color w:val="334E68"/>
                <w:sz w:val="17"/>
              </w:rPr>
              <w:t>Monitoring coverage restored on the new primary in production</w:t>
            </w:r>
          </w:p>
        </w:tc>
        <w:tc>
          <w:tcPr>
            <w:tcW w:type="dxa" w:w="1542"/>
            <w:shd w:val="clear" w:color="auto" w:fill="FAFBFD"/>
          </w:tcPr>
          <w:p>
            <w:pPr>
              <w:spacing w:after="20" w:before="20"/>
            </w:pPr>
            <w:r/>
            <w:r>
              <w:rPr>
                <w:rFonts w:ascii="Calibri" w:hAnsi="Calibri"/>
                <w:b w:val="0"/>
                <w:i w:val="0"/>
                <w:color w:val="334E68"/>
                <w:sz w:val="17"/>
              </w:rPr>
              <w:t>6</w:t>
            </w:r>
          </w:p>
        </w:tc>
      </w:tr>
      <w:tr>
        <w:trPr>
          <w:cantSplit/>
        </w:trPr>
        <w:tc>
          <w:tcPr>
            <w:tcW w:type="dxa" w:w="2120"/>
          </w:tcPr>
          <w:p>
            <w:pPr>
              <w:spacing w:after="20" w:before="20"/>
            </w:pPr>
            <w:r/>
            <w:r>
              <w:rPr>
                <w:rFonts w:ascii="Calibri" w:hAnsi="Calibri"/>
                <w:b/>
                <w:i w:val="0"/>
                <w:color w:val="334E68"/>
                <w:sz w:val="17"/>
              </w:rPr>
              <w:t>Oracle listener / SQL*Net</w:t>
            </w:r>
          </w:p>
        </w:tc>
        <w:tc>
          <w:tcPr>
            <w:tcW w:type="dxa" w:w="5975"/>
          </w:tcPr>
          <w:p>
            <w:pPr>
              <w:spacing w:after="20" w:before="20"/>
            </w:pPr>
            <w:r/>
            <w:r>
              <w:rPr>
                <w:rFonts w:ascii="Calibri" w:hAnsi="Calibri"/>
                <w:b w:val="0"/>
                <w:i w:val="0"/>
                <w:color w:val="334E68"/>
                <w:sz w:val="17"/>
              </w:rPr>
              <w:t>Database connectivity path validated from the SAP application hosts</w:t>
            </w:r>
          </w:p>
        </w:tc>
        <w:tc>
          <w:tcPr>
            <w:tcW w:type="dxa" w:w="1542"/>
          </w:tcPr>
          <w:p>
            <w:pPr>
              <w:spacing w:after="20" w:before="20"/>
            </w:pPr>
            <w:r/>
            <w:r>
              <w:rPr>
                <w:rFonts w:ascii="Calibri" w:hAnsi="Calibri"/>
                <w:b w:val="0"/>
                <w:i w:val="0"/>
                <w:color w:val="334E68"/>
                <w:sz w:val="17"/>
              </w:rPr>
              <w:t>6</w:t>
            </w:r>
          </w:p>
        </w:tc>
      </w:tr>
      <w:tr>
        <w:trPr>
          <w:cantSplit/>
        </w:trPr>
        <w:tc>
          <w:tcPr>
            <w:tcW w:type="dxa" w:w="2120"/>
            <w:shd w:val="clear" w:color="auto" w:fill="FAFBFD"/>
          </w:tcPr>
          <w:p>
            <w:pPr>
              <w:spacing w:after="20" w:before="20"/>
            </w:pPr>
            <w:r/>
            <w:r>
              <w:rPr>
                <w:rFonts w:ascii="Calibri" w:hAnsi="Calibri"/>
                <w:b/>
                <w:i w:val="0"/>
                <w:color w:val="334E68"/>
                <w:sz w:val="17"/>
              </w:rPr>
              <w:t>Data Guard Broker + observer node</w:t>
            </w:r>
          </w:p>
        </w:tc>
        <w:tc>
          <w:tcPr>
            <w:tcW w:type="dxa" w:w="5975"/>
            <w:shd w:val="clear" w:color="auto" w:fill="FAFBFD"/>
          </w:tcPr>
          <w:p>
            <w:pPr>
              <w:spacing w:after="20" w:before="20"/>
            </w:pPr>
            <w:r/>
            <w:r>
              <w:rPr>
                <w:rFonts w:ascii="Calibri" w:hAnsi="Calibri"/>
                <w:b w:val="0"/>
                <w:i w:val="0"/>
                <w:color w:val="334E68"/>
                <w:sz w:val="17"/>
              </w:rPr>
              <w:t>Configuration management and independent monitoring for HA designs</w:t>
            </w:r>
          </w:p>
        </w:tc>
        <w:tc>
          <w:tcPr>
            <w:tcW w:type="dxa" w:w="1542"/>
            <w:shd w:val="clear" w:color="auto" w:fill="FAFBFD"/>
          </w:tcPr>
          <w:p>
            <w:pPr>
              <w:spacing w:after="20" w:before="20"/>
            </w:pPr>
            <w:r/>
            <w:r>
              <w:rPr>
                <w:rFonts w:ascii="Calibri" w:hAnsi="Calibri"/>
                <w:b w:val="0"/>
                <w:i w:val="0"/>
                <w:color w:val="334E68"/>
                <w:sz w:val="17"/>
              </w:rPr>
              <w:t>6</w:t>
            </w:r>
          </w:p>
        </w:tc>
      </w:tr>
      <w:tr>
        <w:trPr>
          <w:cantSplit/>
        </w:trPr>
        <w:tc>
          <w:tcPr>
            <w:tcW w:type="dxa" w:w="2120"/>
          </w:tcPr>
          <w:p>
            <w:pPr>
              <w:spacing w:after="20" w:before="20"/>
            </w:pPr>
            <w:r/>
            <w:r>
              <w:rPr>
                <w:rFonts w:ascii="Consolas" w:hAnsi="Consolas"/>
                <w:b/>
                <w:i w:val="0"/>
                <w:color w:val="123A63"/>
                <w:sz w:val="17"/>
                <w:shd w:val="clear" w:color="auto" w:fill="EEF2F7"/>
              </w:rPr>
              <w:t>R3trans -d</w:t>
            </w:r>
          </w:p>
        </w:tc>
        <w:tc>
          <w:tcPr>
            <w:tcW w:type="dxa" w:w="5975"/>
          </w:tcPr>
          <w:p>
            <w:pPr>
              <w:spacing w:after="20" w:before="20"/>
            </w:pPr>
            <w:r/>
            <w:r>
              <w:rPr>
                <w:rFonts w:ascii="Calibri" w:hAnsi="Calibri"/>
                <w:b w:val="0"/>
                <w:i w:val="0"/>
                <w:color w:val="334E68"/>
                <w:sz w:val="17"/>
              </w:rPr>
              <w:t xml:space="preserve">SAP-to-database connectivity check; training expects return code </w:t>
            </w:r>
            <w:r>
              <w:rPr>
                <w:rFonts w:ascii="Consolas" w:hAnsi="Consolas"/>
                <w:b w:val="0"/>
                <w:i w:val="0"/>
                <w:color w:val="123A63"/>
                <w:sz w:val="17"/>
                <w:shd w:val="clear" w:color="auto" w:fill="EEF2F7"/>
              </w:rPr>
              <w:t>0000</w:t>
            </w:r>
          </w:p>
        </w:tc>
        <w:tc>
          <w:tcPr>
            <w:tcW w:type="dxa" w:w="1542"/>
          </w:tcPr>
          <w:p>
            <w:pPr>
              <w:spacing w:after="20" w:before="20"/>
            </w:pPr>
            <w:r/>
            <w:r>
              <w:rPr>
                <w:rFonts w:ascii="Calibri" w:hAnsi="Calibri"/>
                <w:b w:val="0"/>
                <w:i w:val="0"/>
                <w:color w:val="334E68"/>
                <w:sz w:val="17"/>
              </w:rPr>
              <w:t>7</w:t>
            </w:r>
          </w:p>
        </w:tc>
      </w:tr>
      <w:tr>
        <w:trPr>
          <w:cantSplit/>
        </w:trPr>
        <w:tc>
          <w:tcPr>
            <w:tcW w:type="dxa" w:w="2120"/>
            <w:shd w:val="clear" w:color="auto" w:fill="FAFBFD"/>
          </w:tcPr>
          <w:p>
            <w:pPr>
              <w:spacing w:after="20" w:before="20"/>
            </w:pPr>
            <w:r/>
            <w:r>
              <w:rPr>
                <w:rFonts w:ascii="Consolas" w:hAnsi="Consolas"/>
                <w:b/>
                <w:i w:val="0"/>
                <w:color w:val="123A63"/>
                <w:sz w:val="17"/>
                <w:shd w:val="clear" w:color="auto" w:fill="EEF2F7"/>
              </w:rPr>
              <w:t>sapcontrol</w:t>
            </w:r>
            <w:r>
              <w:rPr>
                <w:rFonts w:ascii="Calibri" w:hAnsi="Calibri"/>
                <w:b/>
                <w:i w:val="0"/>
                <w:color w:val="334E68"/>
                <w:sz w:val="17"/>
              </w:rPr>
              <w:t xml:space="preserve"> / </w:t>
            </w:r>
            <w:r>
              <w:rPr>
                <w:rFonts w:ascii="Consolas" w:hAnsi="Consolas"/>
                <w:b/>
                <w:i w:val="0"/>
                <w:color w:val="123A63"/>
                <w:sz w:val="17"/>
                <w:shd w:val="clear" w:color="auto" w:fill="EEF2F7"/>
              </w:rPr>
              <w:t>sapstart</w:t>
            </w:r>
          </w:p>
        </w:tc>
        <w:tc>
          <w:tcPr>
            <w:tcW w:type="dxa" w:w="5975"/>
            <w:shd w:val="clear" w:color="auto" w:fill="FAFBFD"/>
          </w:tcPr>
          <w:p>
            <w:pPr>
              <w:spacing w:after="20" w:before="20"/>
            </w:pPr>
            <w:r/>
            <w:r>
              <w:rPr>
                <w:rFonts w:ascii="Calibri" w:hAnsi="Calibri"/>
                <w:b w:val="0"/>
                <w:i w:val="0"/>
                <w:color w:val="334E68"/>
                <w:sz w:val="17"/>
              </w:rPr>
              <w:t>Instance control and status from the OS, without the GUI</w:t>
            </w:r>
          </w:p>
        </w:tc>
        <w:tc>
          <w:tcPr>
            <w:tcW w:type="dxa" w:w="1542"/>
            <w:shd w:val="clear" w:color="auto" w:fill="FAFBFD"/>
          </w:tcPr>
          <w:p>
            <w:pPr>
              <w:spacing w:after="20" w:before="20"/>
            </w:pPr>
            <w:r/>
            <w:r>
              <w:rPr>
                <w:rFonts w:ascii="Calibri" w:hAnsi="Calibri"/>
                <w:b w:val="0"/>
                <w:i w:val="0"/>
                <w:color w:val="334E68"/>
                <w:sz w:val="17"/>
              </w:rPr>
              <w:t>4, 7</w:t>
            </w:r>
          </w:p>
        </w:tc>
      </w:tr>
      <w:tr>
        <w:trPr>
          <w:cantSplit/>
        </w:trPr>
        <w:tc>
          <w:tcPr>
            <w:tcW w:type="dxa" w:w="2120"/>
          </w:tcPr>
          <w:p>
            <w:pPr>
              <w:spacing w:after="20" w:before="20"/>
            </w:pPr>
            <w:r/>
            <w:r>
              <w:rPr>
                <w:rFonts w:ascii="Calibri" w:hAnsi="Calibri"/>
                <w:b/>
                <w:i w:val="0"/>
                <w:color w:val="334E68"/>
                <w:sz w:val="17"/>
              </w:rPr>
              <w:t>AWS Route 53</w:t>
            </w:r>
          </w:p>
        </w:tc>
        <w:tc>
          <w:tcPr>
            <w:tcW w:type="dxa" w:w="5975"/>
          </w:tcPr>
          <w:p>
            <w:pPr>
              <w:spacing w:after="20" w:before="20"/>
            </w:pPr>
            <w:r/>
            <w:r>
              <w:rPr>
                <w:rFonts w:ascii="Calibri" w:hAnsi="Calibri"/>
                <w:b w:val="0"/>
                <w:i w:val="0"/>
                <w:color w:val="334E68"/>
                <w:sz w:val="17"/>
              </w:rPr>
              <w:t>DNS management: hosted zones, records and the cutover CNAME/IP change</w:t>
            </w:r>
          </w:p>
        </w:tc>
        <w:tc>
          <w:tcPr>
            <w:tcW w:type="dxa" w:w="1542"/>
          </w:tcPr>
          <w:p>
            <w:pPr>
              <w:spacing w:after="20" w:before="20"/>
            </w:pPr>
            <w:r/>
            <w:r>
              <w:rPr>
                <w:rFonts w:ascii="Calibri" w:hAnsi="Calibri"/>
                <w:b w:val="0"/>
                <w:i w:val="0"/>
                <w:color w:val="334E68"/>
                <w:sz w:val="17"/>
              </w:rPr>
              <w:t>2, 6</w:t>
            </w:r>
          </w:p>
        </w:tc>
      </w:tr>
      <w:tr>
        <w:trPr>
          <w:cantSplit/>
        </w:trPr>
        <w:tc>
          <w:tcPr>
            <w:tcW w:type="dxa" w:w="2120"/>
            <w:shd w:val="clear" w:color="auto" w:fill="FAFBFD"/>
          </w:tcPr>
          <w:p>
            <w:pPr>
              <w:spacing w:after="20" w:before="20"/>
            </w:pPr>
            <w:r/>
            <w:r>
              <w:rPr>
                <w:rFonts w:ascii="Calibri" w:hAnsi="Calibri"/>
                <w:b/>
                <w:i w:val="0"/>
                <w:color w:val="334E68"/>
                <w:sz w:val="17"/>
              </w:rPr>
              <w:t>AWS S3</w:t>
            </w:r>
          </w:p>
        </w:tc>
        <w:tc>
          <w:tcPr>
            <w:tcW w:type="dxa" w:w="5975"/>
            <w:shd w:val="clear" w:color="auto" w:fill="FAFBFD"/>
          </w:tcPr>
          <w:p>
            <w:pPr>
              <w:spacing w:after="20" w:before="20"/>
            </w:pPr>
            <w:r/>
            <w:r>
              <w:rPr>
                <w:rFonts w:ascii="Calibri" w:hAnsi="Calibri"/>
                <w:b w:val="0"/>
                <w:i w:val="0"/>
                <w:color w:val="334E68"/>
                <w:sz w:val="17"/>
              </w:rPr>
              <w:t>Object storage used as the backup backend (HANA, Oracle) and for packages</w:t>
            </w:r>
          </w:p>
        </w:tc>
        <w:tc>
          <w:tcPr>
            <w:tcW w:type="dxa" w:w="1542"/>
            <w:shd w:val="clear" w:color="auto" w:fill="FAFBFD"/>
          </w:tcPr>
          <w:p>
            <w:pPr>
              <w:spacing w:after="20" w:before="20"/>
            </w:pPr>
            <w:r/>
            <w:r>
              <w:rPr>
                <w:rFonts w:ascii="Calibri" w:hAnsi="Calibri"/>
                <w:b w:val="0"/>
                <w:i w:val="0"/>
                <w:color w:val="334E68"/>
                <w:sz w:val="17"/>
              </w:rPr>
              <w:t>2, 3</w:t>
            </w:r>
          </w:p>
        </w:tc>
      </w:tr>
      <w:tr>
        <w:trPr>
          <w:cantSplit/>
        </w:trPr>
        <w:tc>
          <w:tcPr>
            <w:tcW w:type="dxa" w:w="2120"/>
          </w:tcPr>
          <w:p>
            <w:pPr>
              <w:spacing w:after="20" w:before="20"/>
            </w:pPr>
            <w:r/>
            <w:r>
              <w:rPr>
                <w:rFonts w:ascii="Calibri" w:hAnsi="Calibri"/>
                <w:b/>
                <w:i w:val="0"/>
                <w:color w:val="334E68"/>
                <w:sz w:val="17"/>
              </w:rPr>
              <w:t>AWS EFS</w:t>
            </w:r>
          </w:p>
        </w:tc>
        <w:tc>
          <w:tcPr>
            <w:tcW w:type="dxa" w:w="5975"/>
          </w:tcPr>
          <w:p>
            <w:pPr>
              <w:spacing w:after="20" w:before="20"/>
            </w:pPr>
            <w:r/>
            <w:r>
              <w:rPr>
                <w:rFonts w:ascii="Calibri" w:hAnsi="Calibri"/>
                <w:b w:val="0"/>
                <w:i w:val="0"/>
                <w:color w:val="334E68"/>
                <w:sz w:val="17"/>
              </w:rPr>
              <w:t>Managed file service — an option when migrating NFS shares</w:t>
            </w:r>
          </w:p>
        </w:tc>
        <w:tc>
          <w:tcPr>
            <w:tcW w:type="dxa" w:w="1542"/>
          </w:tcPr>
          <w:p>
            <w:pPr>
              <w:spacing w:after="20" w:before="20"/>
            </w:pPr>
            <w:r/>
            <w:r>
              <w:rPr>
                <w:rFonts w:ascii="Calibri" w:hAnsi="Calibri"/>
                <w:b w:val="0"/>
                <w:i w:val="0"/>
                <w:color w:val="334E68"/>
                <w:sz w:val="17"/>
              </w:rPr>
              <w:t>1, 2</w:t>
            </w:r>
          </w:p>
        </w:tc>
      </w:tr>
      <w:tr>
        <w:trPr>
          <w:cantSplit/>
        </w:trPr>
        <w:tc>
          <w:tcPr>
            <w:tcW w:type="dxa" w:w="2120"/>
            <w:shd w:val="clear" w:color="auto" w:fill="FAFBFD"/>
          </w:tcPr>
          <w:p>
            <w:pPr>
              <w:spacing w:after="20" w:before="20"/>
            </w:pPr>
            <w:r/>
            <w:r>
              <w:rPr>
                <w:rFonts w:ascii="Calibri" w:hAnsi="Calibri"/>
                <w:b/>
                <w:i w:val="0"/>
                <w:color w:val="334E68"/>
                <w:sz w:val="17"/>
              </w:rPr>
              <w:t>EC2 snapshots</w:t>
            </w:r>
          </w:p>
        </w:tc>
        <w:tc>
          <w:tcPr>
            <w:tcW w:type="dxa" w:w="5975"/>
            <w:shd w:val="clear" w:color="auto" w:fill="FAFBFD"/>
          </w:tcPr>
          <w:p>
            <w:pPr>
              <w:spacing w:after="20" w:before="20"/>
            </w:pPr>
            <w:r/>
            <w:r>
              <w:rPr>
                <w:rFonts w:ascii="Calibri" w:hAnsi="Calibri"/>
                <w:b w:val="0"/>
                <w:i w:val="0"/>
                <w:color w:val="334E68"/>
                <w:sz w:val="17"/>
              </w:rPr>
              <w:t>Disk-level rollback recovery point before risky cutover activities</w:t>
            </w:r>
          </w:p>
        </w:tc>
        <w:tc>
          <w:tcPr>
            <w:tcW w:type="dxa" w:w="1542"/>
            <w:shd w:val="clear" w:color="auto" w:fill="FAFBFD"/>
          </w:tcPr>
          <w:p>
            <w:pPr>
              <w:spacing w:after="20" w:before="20"/>
            </w:pPr>
            <w:r/>
            <w:r>
              <w:rPr>
                <w:rFonts w:ascii="Calibri" w:hAnsi="Calibri"/>
                <w:b w:val="0"/>
                <w:i w:val="0"/>
                <w:color w:val="334E68"/>
                <w:sz w:val="17"/>
              </w:rPr>
              <w:t>6, 7</w:t>
            </w:r>
          </w:p>
        </w:tc>
      </w:tr>
      <w:tr>
        <w:trPr>
          <w:cantSplit/>
        </w:trPr>
        <w:tc>
          <w:tcPr>
            <w:tcW w:type="dxa" w:w="2120"/>
          </w:tcPr>
          <w:p>
            <w:pPr>
              <w:spacing w:after="20" w:before="20"/>
            </w:pPr>
            <w:r/>
            <w:r>
              <w:rPr>
                <w:rFonts w:ascii="Calibri" w:hAnsi="Calibri"/>
                <w:b/>
                <w:i w:val="0"/>
                <w:color w:val="334E68"/>
                <w:sz w:val="17"/>
              </w:rPr>
              <w:t>AWS KMS</w:t>
            </w:r>
          </w:p>
        </w:tc>
        <w:tc>
          <w:tcPr>
            <w:tcW w:type="dxa" w:w="5975"/>
          </w:tcPr>
          <w:p>
            <w:pPr>
              <w:spacing w:after="20" w:before="20"/>
            </w:pPr>
            <w:r/>
            <w:r>
              <w:rPr>
                <w:rFonts w:ascii="Calibri" w:hAnsi="Calibri"/>
                <w:b w:val="0"/>
                <w:i w:val="0"/>
                <w:color w:val="334E68"/>
                <w:sz w:val="17"/>
              </w:rPr>
              <w:t>Encryption keys for storage, backups and snapshots</w:t>
            </w:r>
          </w:p>
        </w:tc>
        <w:tc>
          <w:tcPr>
            <w:tcW w:type="dxa" w:w="1542"/>
          </w:tcPr>
          <w:p>
            <w:pPr>
              <w:spacing w:after="20" w:before="20"/>
            </w:pPr>
            <w:r/>
            <w:r>
              <w:rPr>
                <w:rFonts w:ascii="Calibri" w:hAnsi="Calibri"/>
                <w:b w:val="0"/>
                <w:i w:val="0"/>
                <w:color w:val="334E68"/>
                <w:sz w:val="17"/>
              </w:rPr>
              <w:t>2</w:t>
            </w:r>
          </w:p>
        </w:tc>
      </w:tr>
      <w:tr>
        <w:trPr>
          <w:cantSplit/>
        </w:trPr>
        <w:tc>
          <w:tcPr>
            <w:tcW w:type="dxa" w:w="2120"/>
            <w:shd w:val="clear" w:color="auto" w:fill="FAFBFD"/>
          </w:tcPr>
          <w:p>
            <w:pPr>
              <w:spacing w:after="20" w:before="20"/>
            </w:pPr>
            <w:r/>
            <w:r>
              <w:rPr>
                <w:rFonts w:ascii="Calibri" w:hAnsi="Calibri"/>
                <w:b/>
                <w:i w:val="0"/>
                <w:color w:val="334E68"/>
                <w:sz w:val="17"/>
              </w:rPr>
              <w:t>Chef</w:t>
            </w:r>
          </w:p>
        </w:tc>
        <w:tc>
          <w:tcPr>
            <w:tcW w:type="dxa" w:w="5975"/>
            <w:shd w:val="clear" w:color="auto" w:fill="FAFBFD"/>
          </w:tcPr>
          <w:p>
            <w:pPr>
              <w:spacing w:after="20" w:before="20"/>
            </w:pPr>
            <w:r/>
            <w:r>
              <w:rPr>
                <w:rFonts w:ascii="Calibri" w:hAnsi="Calibri"/>
                <w:b w:val="0"/>
                <w:i w:val="0"/>
                <w:color w:val="334E68"/>
                <w:sz w:val="17"/>
              </w:rPr>
              <w:t>OS and configuration management used by the automation team</w:t>
            </w:r>
          </w:p>
        </w:tc>
        <w:tc>
          <w:tcPr>
            <w:tcW w:type="dxa" w:w="1542"/>
            <w:shd w:val="clear" w:color="auto" w:fill="FAFBFD"/>
          </w:tcPr>
          <w:p>
            <w:pPr>
              <w:spacing w:after="20" w:before="20"/>
            </w:pPr>
            <w:r/>
            <w:r>
              <w:rPr>
                <w:rFonts w:ascii="Calibri" w:hAnsi="Calibri"/>
                <w:b w:val="0"/>
                <w:i w:val="0"/>
                <w:color w:val="334E68"/>
                <w:sz w:val="17"/>
              </w:rPr>
              <w:t>2</w:t>
            </w:r>
          </w:p>
        </w:tc>
      </w:tr>
      <w:tr>
        <w:trPr>
          <w:cantSplit/>
        </w:trPr>
        <w:tc>
          <w:tcPr>
            <w:tcW w:type="dxa" w:w="2120"/>
          </w:tcPr>
          <w:p>
            <w:pPr>
              <w:spacing w:after="20" w:before="20"/>
            </w:pPr>
            <w:r/>
            <w:r>
              <w:rPr>
                <w:rFonts w:ascii="Calibri" w:hAnsi="Calibri"/>
                <w:b/>
                <w:i w:val="0"/>
                <w:color w:val="334E68"/>
                <w:sz w:val="17"/>
              </w:rPr>
              <w:t>CMDB / ServiceNow</w:t>
            </w:r>
          </w:p>
        </w:tc>
        <w:tc>
          <w:tcPr>
            <w:tcW w:type="dxa" w:w="5975"/>
          </w:tcPr>
          <w:p>
            <w:pPr>
              <w:spacing w:after="20" w:before="20"/>
            </w:pPr>
            <w:r/>
            <w:r>
              <w:rPr>
                <w:rFonts w:ascii="Calibri" w:hAnsi="Calibri"/>
                <w:b w:val="0"/>
                <w:i w:val="0"/>
                <w:color w:val="334E68"/>
                <w:sz w:val="17"/>
              </w:rPr>
              <w:t>Configuration inventory, CIs, relationships and lifecycle status</w:t>
            </w:r>
          </w:p>
        </w:tc>
        <w:tc>
          <w:tcPr>
            <w:tcW w:type="dxa" w:w="1542"/>
          </w:tcPr>
          <w:p>
            <w:pPr>
              <w:spacing w:after="20" w:before="20"/>
            </w:pPr>
            <w:r/>
            <w:r>
              <w:rPr>
                <w:rFonts w:ascii="Calibri" w:hAnsi="Calibri"/>
                <w:b w:val="0"/>
                <w:i w:val="0"/>
                <w:color w:val="334E68"/>
                <w:sz w:val="17"/>
              </w:rPr>
              <w:t>1, 2</w:t>
            </w:r>
          </w:p>
        </w:tc>
      </w:tr>
      <w:tr>
        <w:trPr>
          <w:cantSplit/>
        </w:trPr>
        <w:tc>
          <w:tcPr>
            <w:tcW w:type="dxa" w:w="2120"/>
            <w:shd w:val="clear" w:color="auto" w:fill="FAFBFD"/>
          </w:tcPr>
          <w:p>
            <w:pPr>
              <w:spacing w:after="20" w:before="20"/>
            </w:pPr>
            <w:r/>
            <w:r>
              <w:rPr>
                <w:rFonts w:ascii="Calibri" w:hAnsi="Calibri"/>
                <w:b/>
                <w:i w:val="0"/>
                <w:color w:val="334E68"/>
                <w:sz w:val="17"/>
              </w:rPr>
              <w:t>Control-M</w:t>
            </w:r>
          </w:p>
        </w:tc>
        <w:tc>
          <w:tcPr>
            <w:tcW w:type="dxa" w:w="5975"/>
            <w:shd w:val="clear" w:color="auto" w:fill="FAFBFD"/>
          </w:tcPr>
          <w:p>
            <w:pPr>
              <w:spacing w:after="20" w:before="20"/>
            </w:pPr>
            <w:r/>
            <w:r>
              <w:rPr>
                <w:rFonts w:ascii="Calibri" w:hAnsi="Calibri"/>
                <w:b w:val="0"/>
                <w:i w:val="0"/>
                <w:color w:val="334E68"/>
                <w:sz w:val="17"/>
              </w:rPr>
              <w:t>External job scheduling — resumed with the owning team after go-live</w:t>
            </w:r>
          </w:p>
        </w:tc>
        <w:tc>
          <w:tcPr>
            <w:tcW w:type="dxa" w:w="1542"/>
            <w:shd w:val="clear" w:color="auto" w:fill="FAFBFD"/>
          </w:tcPr>
          <w:p>
            <w:pPr>
              <w:spacing w:after="20" w:before="20"/>
            </w:pPr>
            <w:r/>
            <w:r>
              <w:rPr>
                <w:rFonts w:ascii="Calibri" w:hAnsi="Calibri"/>
                <w:b w:val="0"/>
                <w:i w:val="0"/>
                <w:color w:val="334E68"/>
                <w:sz w:val="17"/>
              </w:rPr>
              <w:t>1, 7</w:t>
            </w:r>
          </w:p>
        </w:tc>
      </w:tr>
      <w:tr>
        <w:trPr>
          <w:cantSplit/>
        </w:trPr>
        <w:tc>
          <w:tcPr>
            <w:tcW w:type="dxa" w:w="2120"/>
          </w:tcPr>
          <w:p>
            <w:pPr>
              <w:spacing w:after="20" w:before="20"/>
            </w:pPr>
            <w:r/>
            <w:r>
              <w:rPr>
                <w:rFonts w:ascii="Calibri" w:hAnsi="Calibri"/>
                <w:b/>
                <w:i w:val="0"/>
                <w:color w:val="334E68"/>
                <w:sz w:val="17"/>
              </w:rPr>
              <w:t>NetBackup</w:t>
            </w:r>
          </w:p>
        </w:tc>
        <w:tc>
          <w:tcPr>
            <w:tcW w:type="dxa" w:w="5975"/>
          </w:tcPr>
          <w:p>
            <w:pPr>
              <w:spacing w:after="20" w:before="20"/>
            </w:pPr>
            <w:r/>
            <w:r>
              <w:rPr>
                <w:rFonts w:ascii="Calibri" w:hAnsi="Calibri"/>
                <w:b w:val="0"/>
                <w:i w:val="0"/>
                <w:color w:val="334E68"/>
                <w:sz w:val="17"/>
              </w:rPr>
              <w:t>Backup agent that must be inventoried and re-pointed on the target</w:t>
            </w:r>
          </w:p>
        </w:tc>
        <w:tc>
          <w:tcPr>
            <w:tcW w:type="dxa" w:w="1542"/>
          </w:tcPr>
          <w:p>
            <w:pPr>
              <w:spacing w:after="20" w:before="20"/>
            </w:pPr>
            <w:r/>
            <w:r>
              <w:rPr>
                <w:rFonts w:ascii="Calibri" w:hAnsi="Calibri"/>
                <w:b w:val="0"/>
                <w:i w:val="0"/>
                <w:color w:val="334E68"/>
                <w:sz w:val="17"/>
              </w:rPr>
              <w:t>1, 2</w:t>
            </w:r>
          </w:p>
        </w:tc>
      </w:tr>
      <w:tr>
        <w:trPr>
          <w:cantSplit/>
        </w:trPr>
        <w:tc>
          <w:tcPr>
            <w:tcW w:type="dxa" w:w="2120"/>
            <w:shd w:val="clear" w:color="auto" w:fill="FAFBFD"/>
          </w:tcPr>
          <w:p>
            <w:pPr>
              <w:spacing w:after="20" w:before="20"/>
            </w:pPr>
            <w:r/>
            <w:r>
              <w:rPr>
                <w:rFonts w:ascii="Calibri" w:hAnsi="Calibri"/>
                <w:b/>
                <w:i w:val="0"/>
                <w:color w:val="334E68"/>
                <w:sz w:val="17"/>
              </w:rPr>
              <w:t>rsync</w:t>
            </w:r>
          </w:p>
        </w:tc>
        <w:tc>
          <w:tcPr>
            <w:tcW w:type="dxa" w:w="5975"/>
            <w:shd w:val="clear" w:color="auto" w:fill="FAFBFD"/>
          </w:tcPr>
          <w:p>
            <w:pPr>
              <w:spacing w:after="20" w:before="20"/>
            </w:pPr>
            <w:r/>
            <w:r>
              <w:rPr>
                <w:rFonts w:ascii="Calibri" w:hAnsi="Calibri"/>
                <w:b w:val="0"/>
                <w:i w:val="0"/>
                <w:color w:val="334E68"/>
                <w:sz w:val="17"/>
              </w:rPr>
              <w:t>Synchronization of SAP global directories during post-processing</w:t>
            </w:r>
          </w:p>
        </w:tc>
        <w:tc>
          <w:tcPr>
            <w:tcW w:type="dxa" w:w="1542"/>
            <w:shd w:val="clear" w:color="auto" w:fill="FAFBFD"/>
          </w:tcPr>
          <w:p>
            <w:pPr>
              <w:spacing w:after="20" w:before="20"/>
            </w:pPr>
            <w:r/>
            <w:r>
              <w:rPr>
                <w:rFonts w:ascii="Calibri" w:hAnsi="Calibri"/>
                <w:b w:val="0"/>
                <w:i w:val="0"/>
                <w:color w:val="334E68"/>
                <w:sz w:val="17"/>
              </w:rPr>
              <w:t>7</w:t>
            </w:r>
          </w:p>
        </w:tc>
      </w:tr>
      <w:tr>
        <w:trPr>
          <w:cantSplit/>
        </w:trPr>
        <w:tc>
          <w:tcPr>
            <w:tcW w:type="dxa" w:w="2120"/>
          </w:tcPr>
          <w:p>
            <w:pPr>
              <w:spacing w:after="20" w:before="20"/>
            </w:pPr>
            <w:r/>
            <w:r>
              <w:rPr>
                <w:rFonts w:ascii="Consolas" w:hAnsi="Consolas"/>
                <w:b/>
                <w:i w:val="0"/>
                <w:color w:val="123A63"/>
                <w:sz w:val="17"/>
                <w:shd w:val="clear" w:color="auto" w:fill="EEF2F7"/>
              </w:rPr>
              <w:t>systemd</w:t>
            </w:r>
            <w:r>
              <w:rPr>
                <w:rFonts w:ascii="Calibri" w:hAnsi="Calibri"/>
                <w:b/>
                <w:i w:val="0"/>
                <w:color w:val="334E68"/>
                <w:sz w:val="17"/>
              </w:rPr>
              <w:t xml:space="preserve"> / SAP service</w:t>
            </w:r>
          </w:p>
        </w:tc>
        <w:tc>
          <w:tcPr>
            <w:tcW w:type="dxa" w:w="5975"/>
          </w:tcPr>
          <w:p>
            <w:pPr>
              <w:spacing w:after="20" w:before="20"/>
            </w:pPr>
            <w:r/>
            <w:r>
              <w:rPr>
                <w:rFonts w:ascii="Calibri" w:hAnsi="Calibri"/>
                <w:b w:val="0"/>
                <w:i w:val="0"/>
                <w:color w:val="334E68"/>
                <w:sz w:val="17"/>
              </w:rPr>
              <w:t>Service that must start SAP automatically after a reboot</w:t>
            </w:r>
          </w:p>
        </w:tc>
        <w:tc>
          <w:tcPr>
            <w:tcW w:type="dxa" w:w="1542"/>
          </w:tcPr>
          <w:p>
            <w:pPr>
              <w:spacing w:after="20" w:before="20"/>
            </w:pPr>
            <w:r/>
            <w:r>
              <w:rPr>
                <w:rFonts w:ascii="Calibri" w:hAnsi="Calibri"/>
                <w:b w:val="0"/>
                <w:i w:val="0"/>
                <w:color w:val="334E68"/>
                <w:sz w:val="17"/>
              </w:rPr>
              <w:t>4</w:t>
            </w:r>
          </w:p>
        </w:tc>
      </w:tr>
    </w:tbl>
    <w:p>
      <w:pPr>
        <w:spacing w:after="40"/>
      </w:pPr>
    </w:p>
    <w:p>
      <w:pPr>
        <w:pStyle w:val="Heading2"/>
        <w:pBdr>
          <w:bottom w:val="single" w:sz="6" w:space="3" w:color="E8EDF3"/>
        </w:pBdr>
      </w:pPr>
      <w:r>
        <w:rPr>
          <w:rFonts w:ascii="Calibri" w:hAnsi="Calibri"/>
          <w:b/>
          <w:color w:val="0F2B4C"/>
          <w:sz w:val="26"/>
        </w:rPr>
        <w:t>11.3  OS commands used during validation</w:t>
      </w:r>
    </w:p>
    <w:p>
      <w:pPr>
        <w:spacing w:after="60" w:before="160"/>
        <w:keepNext/>
      </w:pPr>
      <w:r>
        <w:rPr>
          <w:rFonts w:ascii="Calibri" w:hAnsi="Calibri"/>
          <w:b/>
          <w:color w:val="5B7288"/>
          <w:sz w:val="15"/>
        </w:rPr>
        <w:t>COMMAND QUICK REFERENCE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3277"/>
        <w:gridCol w:w="4626"/>
        <w:gridCol w:w="1735"/>
      </w:tblGrid>
      <w:tr>
        <w:trPr>
          <w:tblHeader/>
          <w:cantSplit/>
        </w:trPr>
        <w:tc>
          <w:tcPr>
            <w:tcW w:type="dxa" w:w="3277"/>
            <w:shd w:val="clear" w:color="auto" w:fill="0F2B4C"/>
          </w:tcPr>
          <w:p>
            <w:pPr>
              <w:spacing w:after="20" w:before="20"/>
            </w:pPr>
            <w:r/>
            <w:r>
              <w:rPr>
                <w:rFonts w:ascii="Calibri" w:hAnsi="Calibri"/>
                <w:b/>
                <w:color w:val="FFFFFF"/>
                <w:sz w:val="17"/>
              </w:rPr>
              <w:t>Command</w:t>
            </w:r>
          </w:p>
        </w:tc>
        <w:tc>
          <w:tcPr>
            <w:tcW w:type="dxa" w:w="4626"/>
            <w:shd w:val="clear" w:color="auto" w:fill="0F2B4C"/>
          </w:tcPr>
          <w:p>
            <w:pPr>
              <w:spacing w:after="20" w:before="20"/>
            </w:pPr>
            <w:r/>
            <w:r>
              <w:rPr>
                <w:rFonts w:ascii="Calibri" w:hAnsi="Calibri"/>
                <w:b/>
                <w:color w:val="FFFFFF"/>
                <w:sz w:val="17"/>
              </w:rPr>
              <w:t>Validates</w:t>
            </w:r>
          </w:p>
        </w:tc>
        <w:tc>
          <w:tcPr>
            <w:tcW w:type="dxa" w:w="1735"/>
            <w:shd w:val="clear" w:color="auto" w:fill="0F2B4C"/>
          </w:tcPr>
          <w:p>
            <w:pPr>
              <w:spacing w:after="20" w:before="20"/>
            </w:pPr>
            <w:r/>
            <w:r>
              <w:rPr>
                <w:rFonts w:ascii="Calibri" w:hAnsi="Calibri"/>
                <w:b/>
                <w:color w:val="FFFFFF"/>
                <w:sz w:val="17"/>
              </w:rPr>
              <w:t>Section</w:t>
            </w:r>
          </w:p>
        </w:tc>
      </w:tr>
      <w:tr>
        <w:trPr>
          <w:cantSplit/>
        </w:trPr>
        <w:tc>
          <w:tcPr>
            <w:tcW w:type="dxa" w:w="3277"/>
          </w:tcPr>
          <w:p>
            <w:pPr>
              <w:spacing w:after="20" w:before="20"/>
            </w:pPr>
            <w:r/>
            <w:r>
              <w:rPr>
                <w:rFonts w:ascii="Consolas" w:hAnsi="Consolas"/>
                <w:b/>
                <w:i w:val="0"/>
                <w:color w:val="123A63"/>
                <w:sz w:val="17"/>
                <w:shd w:val="clear" w:color="auto" w:fill="EEF2F7"/>
              </w:rPr>
              <w:t>df -h</w:t>
            </w:r>
            <w:r>
              <w:rPr>
                <w:rFonts w:ascii="Calibri" w:hAnsi="Calibri"/>
                <w:b/>
                <w:i w:val="0"/>
                <w:color w:val="334E68"/>
                <w:sz w:val="17"/>
              </w:rPr>
              <w:t xml:space="preserve">, </w:t>
            </w:r>
            <w:r>
              <w:rPr>
                <w:rFonts w:ascii="Consolas" w:hAnsi="Consolas"/>
                <w:b/>
                <w:i w:val="0"/>
                <w:color w:val="123A63"/>
                <w:sz w:val="17"/>
                <w:shd w:val="clear" w:color="auto" w:fill="EEF2F7"/>
              </w:rPr>
              <w:t>mount</w:t>
            </w:r>
            <w:r>
              <w:rPr>
                <w:rFonts w:ascii="Calibri" w:hAnsi="Calibri"/>
                <w:b/>
                <w:i w:val="0"/>
                <w:color w:val="334E68"/>
                <w:sz w:val="17"/>
              </w:rPr>
              <w:t xml:space="preserve">, </w:t>
            </w:r>
            <w:r>
              <w:rPr>
                <w:rFonts w:ascii="Consolas" w:hAnsi="Consolas"/>
                <w:b/>
                <w:i w:val="0"/>
                <w:color w:val="123A63"/>
                <w:sz w:val="17"/>
                <w:shd w:val="clear" w:color="auto" w:fill="EEF2F7"/>
              </w:rPr>
              <w:t>lsblk</w:t>
            </w:r>
          </w:p>
        </w:tc>
        <w:tc>
          <w:tcPr>
            <w:tcW w:type="dxa" w:w="4626"/>
          </w:tcPr>
          <w:p>
            <w:pPr>
              <w:spacing w:after="20" w:before="20"/>
            </w:pPr>
            <w:r/>
            <w:r>
              <w:rPr>
                <w:rFonts w:ascii="Calibri" w:hAnsi="Calibri"/>
                <w:b w:val="0"/>
                <w:i w:val="0"/>
                <w:color w:val="334E68"/>
                <w:sz w:val="17"/>
              </w:rPr>
              <w:t>File systems, mount points, sizes and options</w:t>
            </w:r>
          </w:p>
        </w:tc>
        <w:tc>
          <w:tcPr>
            <w:tcW w:type="dxa" w:w="1735"/>
          </w:tcPr>
          <w:p>
            <w:pPr>
              <w:spacing w:after="20" w:before="20"/>
            </w:pPr>
            <w:r/>
            <w:r>
              <w:rPr>
                <w:rFonts w:ascii="Calibri" w:hAnsi="Calibri"/>
                <w:b w:val="0"/>
                <w:i w:val="0"/>
                <w:color w:val="334E68"/>
                <w:sz w:val="17"/>
              </w:rPr>
              <w:t>7.2</w:t>
            </w:r>
          </w:p>
        </w:tc>
      </w:tr>
      <w:tr>
        <w:trPr>
          <w:cantSplit/>
        </w:trPr>
        <w:tc>
          <w:tcPr>
            <w:tcW w:type="dxa" w:w="3277"/>
            <w:shd w:val="clear" w:color="auto" w:fill="FAFBFD"/>
          </w:tcPr>
          <w:p>
            <w:pPr>
              <w:spacing w:after="20" w:before="20"/>
            </w:pPr>
            <w:r/>
            <w:r>
              <w:rPr>
                <w:rFonts w:ascii="Consolas" w:hAnsi="Consolas"/>
                <w:b/>
                <w:i w:val="0"/>
                <w:color w:val="123A63"/>
                <w:sz w:val="17"/>
                <w:shd w:val="clear" w:color="auto" w:fill="EEF2F7"/>
              </w:rPr>
              <w:t>lscpu</w:t>
            </w:r>
            <w:r>
              <w:rPr>
                <w:rFonts w:ascii="Calibri" w:hAnsi="Calibri"/>
                <w:b/>
                <w:i w:val="0"/>
                <w:color w:val="334E68"/>
                <w:sz w:val="17"/>
              </w:rPr>
              <w:t xml:space="preserve">, </w:t>
            </w:r>
            <w:r>
              <w:rPr>
                <w:rFonts w:ascii="Consolas" w:hAnsi="Consolas"/>
                <w:b/>
                <w:i w:val="0"/>
                <w:color w:val="123A63"/>
                <w:sz w:val="17"/>
                <w:shd w:val="clear" w:color="auto" w:fill="EEF2F7"/>
              </w:rPr>
              <w:t>nproc</w:t>
            </w:r>
            <w:r>
              <w:rPr>
                <w:rFonts w:ascii="Calibri" w:hAnsi="Calibri"/>
                <w:b/>
                <w:i w:val="0"/>
                <w:color w:val="334E68"/>
                <w:sz w:val="17"/>
              </w:rPr>
              <w:t xml:space="preserve">, </w:t>
            </w:r>
            <w:r>
              <w:rPr>
                <w:rFonts w:ascii="Consolas" w:hAnsi="Consolas"/>
                <w:b/>
                <w:i w:val="0"/>
                <w:color w:val="123A63"/>
                <w:sz w:val="17"/>
                <w:shd w:val="clear" w:color="auto" w:fill="EEF2F7"/>
              </w:rPr>
              <w:t>free -g</w:t>
            </w:r>
          </w:p>
        </w:tc>
        <w:tc>
          <w:tcPr>
            <w:tcW w:type="dxa" w:w="4626"/>
            <w:shd w:val="clear" w:color="auto" w:fill="FAFBFD"/>
          </w:tcPr>
          <w:p>
            <w:pPr>
              <w:spacing w:after="20" w:before="20"/>
            </w:pPr>
            <w:r/>
            <w:r>
              <w:rPr>
                <w:rFonts w:ascii="Calibri" w:hAnsi="Calibri"/>
                <w:b w:val="0"/>
                <w:i w:val="0"/>
                <w:color w:val="334E68"/>
                <w:sz w:val="17"/>
              </w:rPr>
              <w:t>CPU and memory versus the build sheet</w:t>
            </w:r>
          </w:p>
        </w:tc>
        <w:tc>
          <w:tcPr>
            <w:tcW w:type="dxa" w:w="1735"/>
            <w:shd w:val="clear" w:color="auto" w:fill="FAFBFD"/>
          </w:tcPr>
          <w:p>
            <w:pPr>
              <w:spacing w:after="20" w:before="20"/>
            </w:pPr>
            <w:r/>
            <w:r>
              <w:rPr>
                <w:rFonts w:ascii="Calibri" w:hAnsi="Calibri"/>
                <w:b w:val="0"/>
                <w:i w:val="0"/>
                <w:color w:val="334E68"/>
                <w:sz w:val="17"/>
              </w:rPr>
              <w:t>7.2</w:t>
            </w:r>
          </w:p>
        </w:tc>
      </w:tr>
      <w:tr>
        <w:trPr>
          <w:cantSplit/>
        </w:trPr>
        <w:tc>
          <w:tcPr>
            <w:tcW w:type="dxa" w:w="3277"/>
          </w:tcPr>
          <w:p>
            <w:pPr>
              <w:spacing w:after="20" w:before="20"/>
            </w:pPr>
            <w:r/>
            <w:r>
              <w:rPr>
                <w:rFonts w:ascii="Consolas" w:hAnsi="Consolas"/>
                <w:b/>
                <w:i w:val="0"/>
                <w:color w:val="123A63"/>
                <w:sz w:val="17"/>
                <w:shd w:val="clear" w:color="auto" w:fill="EEF2F7"/>
              </w:rPr>
              <w:t>uname -r</w:t>
            </w:r>
            <w:r>
              <w:rPr>
                <w:rFonts w:ascii="Calibri" w:hAnsi="Calibri"/>
                <w:b/>
                <w:i w:val="0"/>
                <w:color w:val="334E68"/>
                <w:sz w:val="17"/>
              </w:rPr>
              <w:t xml:space="preserve">, </w:t>
            </w:r>
            <w:r>
              <w:rPr>
                <w:rFonts w:ascii="Consolas" w:hAnsi="Consolas"/>
                <w:b/>
                <w:i w:val="0"/>
                <w:color w:val="123A63"/>
                <w:sz w:val="17"/>
                <w:shd w:val="clear" w:color="auto" w:fill="EEF2F7"/>
              </w:rPr>
              <w:t>/etc/os-release</w:t>
            </w:r>
          </w:p>
        </w:tc>
        <w:tc>
          <w:tcPr>
            <w:tcW w:type="dxa" w:w="4626"/>
          </w:tcPr>
          <w:p>
            <w:pPr>
              <w:spacing w:after="20" w:before="20"/>
            </w:pPr>
            <w:r/>
            <w:r>
              <w:rPr>
                <w:rFonts w:ascii="Calibri" w:hAnsi="Calibri"/>
                <w:b w:val="0"/>
                <w:i w:val="0"/>
                <w:color w:val="334E68"/>
                <w:sz w:val="17"/>
              </w:rPr>
              <w:t>Kernel and OS version</w:t>
            </w:r>
          </w:p>
        </w:tc>
        <w:tc>
          <w:tcPr>
            <w:tcW w:type="dxa" w:w="1735"/>
          </w:tcPr>
          <w:p>
            <w:pPr>
              <w:spacing w:after="20" w:before="20"/>
            </w:pPr>
            <w:r/>
            <w:r>
              <w:rPr>
                <w:rFonts w:ascii="Calibri" w:hAnsi="Calibri"/>
                <w:b w:val="0"/>
                <w:i w:val="0"/>
                <w:color w:val="334E68"/>
                <w:sz w:val="17"/>
              </w:rPr>
              <w:t>7.2</w:t>
            </w:r>
          </w:p>
        </w:tc>
      </w:tr>
      <w:tr>
        <w:trPr>
          <w:cantSplit/>
        </w:trPr>
        <w:tc>
          <w:tcPr>
            <w:tcW w:type="dxa" w:w="3277"/>
            <w:shd w:val="clear" w:color="auto" w:fill="FAFBFD"/>
          </w:tcPr>
          <w:p>
            <w:pPr>
              <w:spacing w:after="20" w:before="20"/>
            </w:pPr>
            <w:r/>
            <w:r>
              <w:rPr>
                <w:rFonts w:ascii="Consolas" w:hAnsi="Consolas"/>
                <w:b/>
                <w:i w:val="0"/>
                <w:color w:val="123A63"/>
                <w:sz w:val="17"/>
                <w:shd w:val="clear" w:color="auto" w:fill="EEF2F7"/>
              </w:rPr>
              <w:t>id</w:t>
            </w:r>
            <w:r>
              <w:rPr>
                <w:rFonts w:ascii="Calibri" w:hAnsi="Calibri"/>
                <w:b/>
                <w:i w:val="0"/>
                <w:color w:val="334E68"/>
                <w:sz w:val="17"/>
              </w:rPr>
              <w:t xml:space="preserve">, </w:t>
            </w:r>
            <w:r>
              <w:rPr>
                <w:rFonts w:ascii="Consolas" w:hAnsi="Consolas"/>
                <w:b/>
                <w:i w:val="0"/>
                <w:color w:val="123A63"/>
                <w:sz w:val="17"/>
                <w:shd w:val="clear" w:color="auto" w:fill="EEF2F7"/>
              </w:rPr>
              <w:t>getent passwd</w:t>
            </w:r>
            <w:r>
              <w:rPr>
                <w:rFonts w:ascii="Calibri" w:hAnsi="Calibri"/>
                <w:b/>
                <w:i w:val="0"/>
                <w:color w:val="334E68"/>
                <w:sz w:val="17"/>
              </w:rPr>
              <w:t xml:space="preserve">, </w:t>
            </w:r>
            <w:r>
              <w:rPr>
                <w:rFonts w:ascii="Consolas" w:hAnsi="Consolas"/>
                <w:b/>
                <w:i w:val="0"/>
                <w:color w:val="123A63"/>
                <w:sz w:val="17"/>
                <w:shd w:val="clear" w:color="auto" w:fill="EEF2F7"/>
              </w:rPr>
              <w:t>getent group</w:t>
            </w:r>
          </w:p>
        </w:tc>
        <w:tc>
          <w:tcPr>
            <w:tcW w:type="dxa" w:w="4626"/>
            <w:shd w:val="clear" w:color="auto" w:fill="FAFBFD"/>
          </w:tcPr>
          <w:p>
            <w:pPr>
              <w:spacing w:after="20" w:before="20"/>
            </w:pPr>
            <w:r/>
            <w:r>
              <w:rPr>
                <w:rFonts w:ascii="Calibri" w:hAnsi="Calibri"/>
                <w:b w:val="0"/>
                <w:i w:val="0"/>
                <w:color w:val="334E68"/>
                <w:sz w:val="17"/>
              </w:rPr>
              <w:t>UID/GID and group membership consistency</w:t>
            </w:r>
          </w:p>
        </w:tc>
        <w:tc>
          <w:tcPr>
            <w:tcW w:type="dxa" w:w="1735"/>
            <w:shd w:val="clear" w:color="auto" w:fill="FAFBFD"/>
          </w:tcPr>
          <w:p>
            <w:pPr>
              <w:spacing w:after="20" w:before="20"/>
            </w:pPr>
            <w:r/>
            <w:r>
              <w:rPr>
                <w:rFonts w:ascii="Calibri" w:hAnsi="Calibri"/>
                <w:b w:val="0"/>
                <w:i w:val="0"/>
                <w:color w:val="334E68"/>
                <w:sz w:val="17"/>
              </w:rPr>
              <w:t>7.2</w:t>
            </w:r>
          </w:p>
        </w:tc>
      </w:tr>
      <w:tr>
        <w:trPr>
          <w:cantSplit/>
        </w:trPr>
        <w:tc>
          <w:tcPr>
            <w:tcW w:type="dxa" w:w="3277"/>
          </w:tcPr>
          <w:p>
            <w:pPr>
              <w:spacing w:after="20" w:before="20"/>
            </w:pPr>
            <w:r/>
            <w:r>
              <w:rPr>
                <w:rFonts w:ascii="Consolas" w:hAnsi="Consolas"/>
                <w:b/>
                <w:i w:val="0"/>
                <w:color w:val="123A63"/>
                <w:sz w:val="17"/>
                <w:shd w:val="clear" w:color="auto" w:fill="EEF2F7"/>
              </w:rPr>
              <w:t>ip a</w:t>
            </w:r>
            <w:r>
              <w:rPr>
                <w:rFonts w:ascii="Calibri" w:hAnsi="Calibri"/>
                <w:b/>
                <w:i w:val="0"/>
                <w:color w:val="334E68"/>
                <w:sz w:val="17"/>
              </w:rPr>
              <w:t xml:space="preserve">, </w:t>
            </w:r>
            <w:r>
              <w:rPr>
                <w:rFonts w:ascii="Consolas" w:hAnsi="Consolas"/>
                <w:b/>
                <w:i w:val="0"/>
                <w:color w:val="123A63"/>
                <w:sz w:val="17"/>
                <w:shd w:val="clear" w:color="auto" w:fill="EEF2F7"/>
              </w:rPr>
              <w:t>ip r</w:t>
            </w:r>
          </w:p>
        </w:tc>
        <w:tc>
          <w:tcPr>
            <w:tcW w:type="dxa" w:w="4626"/>
          </w:tcPr>
          <w:p>
            <w:pPr>
              <w:spacing w:after="20" w:before="20"/>
            </w:pPr>
            <w:r/>
            <w:r>
              <w:rPr>
                <w:rFonts w:ascii="Calibri" w:hAnsi="Calibri"/>
                <w:b w:val="0"/>
                <w:i w:val="0"/>
                <w:color w:val="334E68"/>
                <w:sz w:val="17"/>
              </w:rPr>
              <w:t>Physical and virtual IPs, routes</w:t>
            </w:r>
          </w:p>
        </w:tc>
        <w:tc>
          <w:tcPr>
            <w:tcW w:type="dxa" w:w="1735"/>
          </w:tcPr>
          <w:p>
            <w:pPr>
              <w:spacing w:after="20" w:before="20"/>
            </w:pPr>
            <w:r/>
            <w:r>
              <w:rPr>
                <w:rFonts w:ascii="Calibri" w:hAnsi="Calibri"/>
                <w:b w:val="0"/>
                <w:i w:val="0"/>
                <w:color w:val="334E68"/>
                <w:sz w:val="17"/>
              </w:rPr>
              <w:t>7.2</w:t>
            </w:r>
          </w:p>
        </w:tc>
      </w:tr>
      <w:tr>
        <w:trPr>
          <w:cantSplit/>
        </w:trPr>
        <w:tc>
          <w:tcPr>
            <w:tcW w:type="dxa" w:w="3277"/>
            <w:shd w:val="clear" w:color="auto" w:fill="FAFBFD"/>
          </w:tcPr>
          <w:p>
            <w:pPr>
              <w:spacing w:after="20" w:before="20"/>
            </w:pPr>
            <w:r/>
            <w:r>
              <w:rPr>
                <w:rFonts w:ascii="Consolas" w:hAnsi="Consolas"/>
                <w:b/>
                <w:i w:val="0"/>
                <w:color w:val="123A63"/>
                <w:sz w:val="17"/>
                <w:shd w:val="clear" w:color="auto" w:fill="EEF2F7"/>
              </w:rPr>
              <w:t>hostname -f</w:t>
            </w:r>
            <w:r>
              <w:rPr>
                <w:rFonts w:ascii="Calibri" w:hAnsi="Calibri"/>
                <w:b/>
                <w:i w:val="0"/>
                <w:color w:val="334E68"/>
                <w:sz w:val="17"/>
              </w:rPr>
              <w:t xml:space="preserve">, </w:t>
            </w:r>
            <w:r>
              <w:rPr>
                <w:rFonts w:ascii="Consolas" w:hAnsi="Consolas"/>
                <w:b/>
                <w:i w:val="0"/>
                <w:color w:val="123A63"/>
                <w:sz w:val="17"/>
                <w:shd w:val="clear" w:color="auto" w:fill="EEF2F7"/>
              </w:rPr>
              <w:t>getent hosts</w:t>
            </w:r>
            <w:r>
              <w:rPr>
                <w:rFonts w:ascii="Calibri" w:hAnsi="Calibri"/>
                <w:b/>
                <w:i w:val="0"/>
                <w:color w:val="334E68"/>
                <w:sz w:val="17"/>
              </w:rPr>
              <w:t xml:space="preserve">, </w:t>
            </w:r>
            <w:r>
              <w:rPr>
                <w:rFonts w:ascii="Consolas" w:hAnsi="Consolas"/>
                <w:b/>
                <w:i w:val="0"/>
                <w:color w:val="123A63"/>
                <w:sz w:val="17"/>
                <w:shd w:val="clear" w:color="auto" w:fill="EEF2F7"/>
              </w:rPr>
              <w:t>nslookup</w:t>
            </w:r>
          </w:p>
        </w:tc>
        <w:tc>
          <w:tcPr>
            <w:tcW w:type="dxa" w:w="4626"/>
            <w:shd w:val="clear" w:color="auto" w:fill="FAFBFD"/>
          </w:tcPr>
          <w:p>
            <w:pPr>
              <w:spacing w:after="20" w:before="20"/>
            </w:pPr>
            <w:r/>
            <w:r>
              <w:rPr>
                <w:rFonts w:ascii="Calibri" w:hAnsi="Calibri"/>
                <w:b w:val="0"/>
                <w:i w:val="0"/>
                <w:color w:val="334E68"/>
                <w:sz w:val="17"/>
              </w:rPr>
              <w:t>Hostname and DNS resolution</w:t>
            </w:r>
          </w:p>
        </w:tc>
        <w:tc>
          <w:tcPr>
            <w:tcW w:type="dxa" w:w="1735"/>
            <w:shd w:val="clear" w:color="auto" w:fill="FAFBFD"/>
          </w:tcPr>
          <w:p>
            <w:pPr>
              <w:spacing w:after="20" w:before="20"/>
            </w:pPr>
            <w:r/>
            <w:r>
              <w:rPr>
                <w:rFonts w:ascii="Calibri" w:hAnsi="Calibri"/>
                <w:b w:val="0"/>
                <w:i w:val="0"/>
                <w:color w:val="334E68"/>
                <w:sz w:val="17"/>
              </w:rPr>
              <w:t>7.2, 9.5</w:t>
            </w:r>
          </w:p>
        </w:tc>
      </w:tr>
      <w:tr>
        <w:trPr>
          <w:cantSplit/>
        </w:trPr>
        <w:tc>
          <w:tcPr>
            <w:tcW w:type="dxa" w:w="3277"/>
          </w:tcPr>
          <w:p>
            <w:pPr>
              <w:spacing w:after="20" w:before="20"/>
            </w:pPr>
            <w:r/>
            <w:r>
              <w:rPr>
                <w:rFonts w:ascii="Consolas" w:hAnsi="Consolas"/>
                <w:b/>
                <w:i w:val="0"/>
                <w:color w:val="123A63"/>
                <w:sz w:val="17"/>
                <w:shd w:val="clear" w:color="auto" w:fill="EEF2F7"/>
              </w:rPr>
              <w:t>swapon -s</w:t>
            </w:r>
            <w:r>
              <w:rPr>
                <w:rFonts w:ascii="Calibri" w:hAnsi="Calibri"/>
                <w:b/>
                <w:i w:val="0"/>
                <w:color w:val="334E68"/>
                <w:sz w:val="17"/>
              </w:rPr>
              <w:t xml:space="preserve">, </w:t>
            </w:r>
            <w:r>
              <w:rPr>
                <w:rFonts w:ascii="Consolas" w:hAnsi="Consolas"/>
                <w:b/>
                <w:i w:val="0"/>
                <w:color w:val="123A63"/>
                <w:sz w:val="17"/>
                <w:shd w:val="clear" w:color="auto" w:fill="EEF2F7"/>
              </w:rPr>
              <w:t>sysctl vm.swappiness</w:t>
            </w:r>
          </w:p>
        </w:tc>
        <w:tc>
          <w:tcPr>
            <w:tcW w:type="dxa" w:w="4626"/>
          </w:tcPr>
          <w:p>
            <w:pPr>
              <w:spacing w:after="20" w:before="20"/>
            </w:pPr>
            <w:r/>
            <w:r>
              <w:rPr>
                <w:rFonts w:ascii="Calibri" w:hAnsi="Calibri"/>
                <w:b w:val="0"/>
                <w:i w:val="0"/>
                <w:color w:val="334E68"/>
                <w:sz w:val="17"/>
              </w:rPr>
              <w:t>Swap configuration</w:t>
            </w:r>
          </w:p>
        </w:tc>
        <w:tc>
          <w:tcPr>
            <w:tcW w:type="dxa" w:w="1735"/>
          </w:tcPr>
          <w:p>
            <w:pPr>
              <w:spacing w:after="20" w:before="20"/>
            </w:pPr>
            <w:r/>
            <w:r>
              <w:rPr>
                <w:rFonts w:ascii="Calibri" w:hAnsi="Calibri"/>
                <w:b w:val="0"/>
                <w:i w:val="0"/>
                <w:color w:val="334E68"/>
                <w:sz w:val="17"/>
              </w:rPr>
              <w:t>7.2</w:t>
            </w:r>
          </w:p>
        </w:tc>
      </w:tr>
      <w:tr>
        <w:trPr>
          <w:cantSplit/>
        </w:trPr>
        <w:tc>
          <w:tcPr>
            <w:tcW w:type="dxa" w:w="3277"/>
            <w:shd w:val="clear" w:color="auto" w:fill="FAFBFD"/>
          </w:tcPr>
          <w:p>
            <w:pPr>
              <w:spacing w:after="20" w:before="20"/>
            </w:pPr>
            <w:r/>
            <w:r>
              <w:rPr>
                <w:rFonts w:ascii="Consolas" w:hAnsi="Consolas"/>
                <w:b/>
                <w:i w:val="0"/>
                <w:color w:val="123A63"/>
                <w:sz w:val="17"/>
                <w:shd w:val="clear" w:color="auto" w:fill="EEF2F7"/>
              </w:rPr>
              <w:t>grep -E 'sapdp|sapgw' /etc/services</w:t>
            </w:r>
          </w:p>
        </w:tc>
        <w:tc>
          <w:tcPr>
            <w:tcW w:type="dxa" w:w="4626"/>
            <w:shd w:val="clear" w:color="auto" w:fill="FAFBFD"/>
          </w:tcPr>
          <w:p>
            <w:pPr>
              <w:spacing w:after="20" w:before="20"/>
            </w:pPr>
            <w:r/>
            <w:r>
              <w:rPr>
                <w:rFonts w:ascii="Calibri" w:hAnsi="Calibri"/>
                <w:b w:val="0"/>
                <w:i w:val="0"/>
                <w:color w:val="334E68"/>
                <w:sz w:val="17"/>
              </w:rPr>
              <w:t>SAP service port definitions</w:t>
            </w:r>
          </w:p>
        </w:tc>
        <w:tc>
          <w:tcPr>
            <w:tcW w:type="dxa" w:w="1735"/>
            <w:shd w:val="clear" w:color="auto" w:fill="FAFBFD"/>
          </w:tcPr>
          <w:p>
            <w:pPr>
              <w:spacing w:after="20" w:before="20"/>
            </w:pPr>
            <w:r/>
            <w:r>
              <w:rPr>
                <w:rFonts w:ascii="Calibri" w:hAnsi="Calibri"/>
                <w:b w:val="0"/>
                <w:i w:val="0"/>
                <w:color w:val="334E68"/>
                <w:sz w:val="17"/>
              </w:rPr>
              <w:t>7.2</w:t>
            </w:r>
          </w:p>
        </w:tc>
      </w:tr>
      <w:tr>
        <w:trPr>
          <w:cantSplit/>
        </w:trPr>
        <w:tc>
          <w:tcPr>
            <w:tcW w:type="dxa" w:w="3277"/>
          </w:tcPr>
          <w:p>
            <w:pPr>
              <w:spacing w:after="20" w:before="20"/>
            </w:pPr>
            <w:r/>
            <w:r>
              <w:rPr>
                <w:rFonts w:ascii="Consolas" w:hAnsi="Consolas"/>
                <w:b/>
                <w:i w:val="0"/>
                <w:color w:val="123A63"/>
                <w:sz w:val="17"/>
                <w:shd w:val="clear" w:color="auto" w:fill="EEF2F7"/>
              </w:rPr>
              <w:t>ldd</w:t>
            </w:r>
            <w:r>
              <w:rPr>
                <w:rFonts w:ascii="Calibri" w:hAnsi="Calibri"/>
                <w:b/>
                <w:i w:val="0"/>
                <w:color w:val="334E68"/>
                <w:sz w:val="17"/>
              </w:rPr>
              <w:t xml:space="preserve"> on key binaries</w:t>
            </w:r>
          </w:p>
        </w:tc>
        <w:tc>
          <w:tcPr>
            <w:tcW w:type="dxa" w:w="4626"/>
          </w:tcPr>
          <w:p>
            <w:pPr>
              <w:spacing w:after="20" w:before="20"/>
            </w:pPr>
            <w:r/>
            <w:r>
              <w:rPr>
                <w:rFonts w:ascii="Calibri" w:hAnsi="Calibri"/>
                <w:b w:val="0"/>
                <w:i w:val="0"/>
                <w:color w:val="334E68"/>
                <w:sz w:val="17"/>
              </w:rPr>
              <w:t>Shared library dependencies</w:t>
            </w:r>
          </w:p>
        </w:tc>
        <w:tc>
          <w:tcPr>
            <w:tcW w:type="dxa" w:w="1735"/>
          </w:tcPr>
          <w:p>
            <w:pPr>
              <w:spacing w:after="20" w:before="20"/>
            </w:pPr>
            <w:r/>
            <w:r>
              <w:rPr>
                <w:rFonts w:ascii="Calibri" w:hAnsi="Calibri"/>
                <w:b w:val="0"/>
                <w:i w:val="0"/>
                <w:color w:val="334E68"/>
                <w:sz w:val="17"/>
              </w:rPr>
              <w:t>7.2</w:t>
            </w:r>
          </w:p>
        </w:tc>
      </w:tr>
      <w:tr>
        <w:trPr>
          <w:cantSplit/>
        </w:trPr>
        <w:tc>
          <w:tcPr>
            <w:tcW w:type="dxa" w:w="3277"/>
            <w:shd w:val="clear" w:color="auto" w:fill="FAFBFD"/>
          </w:tcPr>
          <w:p>
            <w:pPr>
              <w:spacing w:after="20" w:before="20"/>
            </w:pPr>
            <w:r/>
            <w:r>
              <w:rPr>
                <w:rFonts w:ascii="Consolas" w:hAnsi="Consolas"/>
                <w:b/>
                <w:i w:val="0"/>
                <w:color w:val="123A63"/>
                <w:sz w:val="17"/>
                <w:shd w:val="clear" w:color="auto" w:fill="EEF2F7"/>
              </w:rPr>
              <w:t>systemctl status / show</w:t>
            </w:r>
          </w:p>
        </w:tc>
        <w:tc>
          <w:tcPr>
            <w:tcW w:type="dxa" w:w="4626"/>
            <w:shd w:val="clear" w:color="auto" w:fill="FAFBFD"/>
          </w:tcPr>
          <w:p>
            <w:pPr>
              <w:spacing w:after="20" w:before="20"/>
            </w:pPr>
            <w:r/>
            <w:r>
              <w:rPr>
                <w:rFonts w:ascii="Calibri" w:hAnsi="Calibri"/>
                <w:b w:val="0"/>
                <w:i w:val="0"/>
                <w:color w:val="334E68"/>
                <w:sz w:val="17"/>
              </w:rPr>
              <w:t>Service state, result and exit code</w:t>
            </w:r>
          </w:p>
        </w:tc>
        <w:tc>
          <w:tcPr>
            <w:tcW w:type="dxa" w:w="1735"/>
            <w:shd w:val="clear" w:color="auto" w:fill="FAFBFD"/>
          </w:tcPr>
          <w:p>
            <w:pPr>
              <w:spacing w:after="20" w:before="20"/>
            </w:pPr>
            <w:r/>
            <w:r>
              <w:rPr>
                <w:rFonts w:ascii="Calibri" w:hAnsi="Calibri"/>
                <w:b w:val="0"/>
                <w:i w:val="0"/>
                <w:color w:val="334E68"/>
                <w:sz w:val="17"/>
              </w:rPr>
              <w:t>7.1</w:t>
            </w:r>
          </w:p>
        </w:tc>
      </w:tr>
      <w:tr>
        <w:trPr>
          <w:cantSplit/>
        </w:trPr>
        <w:tc>
          <w:tcPr>
            <w:tcW w:type="dxa" w:w="3277"/>
          </w:tcPr>
          <w:p>
            <w:pPr>
              <w:spacing w:after="20" w:before="20"/>
            </w:pPr>
            <w:r/>
            <w:r>
              <w:rPr>
                <w:rFonts w:ascii="Consolas" w:hAnsi="Consolas"/>
                <w:b/>
                <w:i w:val="0"/>
                <w:color w:val="123A63"/>
                <w:sz w:val="17"/>
                <w:shd w:val="clear" w:color="auto" w:fill="EEF2F7"/>
              </w:rPr>
              <w:t>sapcontrol -nr &lt;nn&gt; -function GetProcessList</w:t>
            </w:r>
          </w:p>
        </w:tc>
        <w:tc>
          <w:tcPr>
            <w:tcW w:type="dxa" w:w="4626"/>
          </w:tcPr>
          <w:p>
            <w:pPr>
              <w:spacing w:after="20" w:before="20"/>
            </w:pPr>
            <w:r/>
            <w:r>
              <w:rPr>
                <w:rFonts w:ascii="Calibri" w:hAnsi="Calibri"/>
                <w:b w:val="0"/>
                <w:i w:val="0"/>
                <w:color w:val="334E68"/>
                <w:sz w:val="17"/>
              </w:rPr>
              <w:t>Instance process state from the OS</w:t>
            </w:r>
          </w:p>
        </w:tc>
        <w:tc>
          <w:tcPr>
            <w:tcW w:type="dxa" w:w="1735"/>
          </w:tcPr>
          <w:p>
            <w:pPr>
              <w:spacing w:after="20" w:before="20"/>
            </w:pPr>
            <w:r/>
            <w:r>
              <w:rPr>
                <w:rFonts w:ascii="Calibri" w:hAnsi="Calibri"/>
                <w:b w:val="0"/>
                <w:i w:val="0"/>
                <w:color w:val="334E68"/>
                <w:sz w:val="17"/>
              </w:rPr>
              <w:t>7.1</w:t>
            </w:r>
          </w:p>
        </w:tc>
      </w:tr>
      <w:tr>
        <w:trPr>
          <w:cantSplit/>
        </w:trPr>
        <w:tc>
          <w:tcPr>
            <w:tcW w:type="dxa" w:w="3277"/>
            <w:shd w:val="clear" w:color="auto" w:fill="FAFBFD"/>
          </w:tcPr>
          <w:p>
            <w:pPr>
              <w:spacing w:after="20" w:before="20"/>
            </w:pPr>
            <w:r/>
            <w:r>
              <w:rPr>
                <w:rFonts w:ascii="Consolas" w:hAnsi="Consolas"/>
                <w:b/>
                <w:i w:val="0"/>
                <w:color w:val="123A63"/>
                <w:sz w:val="17"/>
                <w:shd w:val="clear" w:color="auto" w:fill="EEF2F7"/>
              </w:rPr>
              <w:t>R3trans -d</w:t>
            </w:r>
          </w:p>
        </w:tc>
        <w:tc>
          <w:tcPr>
            <w:tcW w:type="dxa" w:w="4626"/>
            <w:shd w:val="clear" w:color="auto" w:fill="FAFBFD"/>
          </w:tcPr>
          <w:p>
            <w:pPr>
              <w:spacing w:after="20" w:before="20"/>
            </w:pPr>
            <w:r/>
            <w:r>
              <w:rPr>
                <w:rFonts w:ascii="Calibri" w:hAnsi="Calibri"/>
                <w:b w:val="0"/>
                <w:i w:val="0"/>
                <w:color w:val="334E68"/>
                <w:sz w:val="17"/>
              </w:rPr>
              <w:t xml:space="preserve">SAP-to-database connectivity (expect </w:t>
            </w:r>
            <w:r>
              <w:rPr>
                <w:rFonts w:ascii="Consolas" w:hAnsi="Consolas"/>
                <w:b w:val="0"/>
                <w:i w:val="0"/>
                <w:color w:val="123A63"/>
                <w:sz w:val="17"/>
                <w:shd w:val="clear" w:color="auto" w:fill="EEF2F7"/>
              </w:rPr>
              <w:t>0000</w:t>
            </w:r>
            <w:r>
              <w:rPr>
                <w:rFonts w:ascii="Calibri" w:hAnsi="Calibri"/>
                <w:b w:val="0"/>
                <w:i w:val="0"/>
                <w:color w:val="334E68"/>
                <w:sz w:val="17"/>
              </w:rPr>
              <w:t>)</w:t>
            </w:r>
          </w:p>
        </w:tc>
        <w:tc>
          <w:tcPr>
            <w:tcW w:type="dxa" w:w="1735"/>
            <w:shd w:val="clear" w:color="auto" w:fill="FAFBFD"/>
          </w:tcPr>
          <w:p>
            <w:pPr>
              <w:spacing w:after="20" w:before="20"/>
            </w:pPr>
            <w:r/>
            <w:r>
              <w:rPr>
                <w:rFonts w:ascii="Calibri" w:hAnsi="Calibri"/>
                <w:b w:val="0"/>
                <w:i w:val="0"/>
                <w:color w:val="334E68"/>
                <w:sz w:val="17"/>
              </w:rPr>
              <w:t>10.2</w:t>
            </w:r>
          </w:p>
        </w:tc>
      </w:tr>
      <w:tr>
        <w:trPr>
          <w:cantSplit/>
        </w:trPr>
        <w:tc>
          <w:tcPr>
            <w:tcW w:type="dxa" w:w="3277"/>
          </w:tcPr>
          <w:p>
            <w:pPr>
              <w:spacing w:after="20" w:before="20"/>
            </w:pPr>
            <w:r/>
            <w:r>
              <w:rPr>
                <w:rFonts w:ascii="Consolas" w:hAnsi="Consolas"/>
                <w:b/>
                <w:i w:val="0"/>
                <w:color w:val="123A63"/>
                <w:sz w:val="17"/>
                <w:shd w:val="clear" w:color="auto" w:fill="EEF2F7"/>
              </w:rPr>
              <w:t>rsync -avn</w:t>
            </w:r>
            <w:r>
              <w:rPr>
                <w:rFonts w:ascii="Calibri" w:hAnsi="Calibri"/>
                <w:b/>
                <w:i w:val="0"/>
                <w:color w:val="334E68"/>
                <w:sz w:val="17"/>
              </w:rPr>
              <w:t xml:space="preserve"> (dry run first)</w:t>
            </w:r>
          </w:p>
        </w:tc>
        <w:tc>
          <w:tcPr>
            <w:tcW w:type="dxa" w:w="4626"/>
          </w:tcPr>
          <w:p>
            <w:pPr>
              <w:spacing w:after="20" w:before="20"/>
            </w:pPr>
            <w:r/>
            <w:r>
              <w:rPr>
                <w:rFonts w:ascii="Calibri" w:hAnsi="Calibri"/>
                <w:b w:val="0"/>
                <w:i w:val="0"/>
                <w:color w:val="334E68"/>
                <w:sz w:val="17"/>
              </w:rPr>
              <w:t>Global directory synchronization</w:t>
            </w:r>
          </w:p>
        </w:tc>
        <w:tc>
          <w:tcPr>
            <w:tcW w:type="dxa" w:w="1735"/>
          </w:tcPr>
          <w:p>
            <w:pPr>
              <w:spacing w:after="20" w:before="20"/>
            </w:pPr>
            <w:r/>
            <w:r>
              <w:rPr>
                <w:rFonts w:ascii="Calibri" w:hAnsi="Calibri"/>
                <w:b w:val="0"/>
                <w:i w:val="0"/>
                <w:color w:val="334E68"/>
                <w:sz w:val="17"/>
              </w:rPr>
              <w:t>10.2</w:t>
            </w:r>
          </w:p>
        </w:tc>
      </w:tr>
    </w:tbl>
    <w:p>
      <w:pPr>
        <w:spacing w:after="40"/>
      </w:pPr>
    </w:p>
    <w:p>
      <w:pPr>
        <w:spacing w:after="160"/>
      </w:pPr>
      <w:r>
        <w:rPr>
          <w:rFonts w:ascii="Calibri" w:hAnsi="Calibri"/>
          <w:i/>
          <w:color w:val="5B7288"/>
          <w:sz w:val="16"/>
        </w:rPr>
        <w:t>Command names and syntax differ by distribution, SAP release and project standard. These are the checks to perform, not copy-paste production commands.</w:t>
      </w:r>
    </w:p>
    <w:p>
      <w:pPr>
        <w:pStyle w:val="Heading2"/>
        <w:pBdr>
          <w:bottom w:val="single" w:sz="6" w:space="3" w:color="E8EDF3"/>
        </w:pBdr>
      </w:pPr>
      <w:r>
        <w:rPr>
          <w:rFonts w:ascii="Calibri" w:hAnsi="Calibri"/>
          <w:b/>
          <w:color w:val="0F2B4C"/>
          <w:sz w:val="26"/>
        </w:rPr>
        <w:t>11.4  Key files and locations</w:t>
      </w:r>
    </w:p>
    <w:p>
      <w:pPr>
        <w:spacing w:after="60" w:before="160"/>
        <w:keepNext/>
      </w:pPr>
      <w:r>
        <w:rPr>
          <w:rFonts w:ascii="Calibri" w:hAnsi="Calibri"/>
          <w:b/>
          <w:color w:val="5B7288"/>
          <w:sz w:val="15"/>
        </w:rPr>
        <w:t>FILES THAT DECIDE WHETHER A CUTOVER WORKS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891"/>
        <w:gridCol w:w="6746"/>
      </w:tblGrid>
      <w:tr>
        <w:trPr>
          <w:tblHeader/>
          <w:cantSplit/>
        </w:trPr>
        <w:tc>
          <w:tcPr>
            <w:tcW w:type="dxa" w:w="2891"/>
            <w:shd w:val="clear" w:color="auto" w:fill="0F2B4C"/>
          </w:tcPr>
          <w:p>
            <w:pPr>
              <w:spacing w:after="20" w:before="20"/>
            </w:pPr>
            <w:r/>
            <w:r>
              <w:rPr>
                <w:rFonts w:ascii="Calibri" w:hAnsi="Calibri"/>
                <w:b/>
                <w:color w:val="FFFFFF"/>
                <w:sz w:val="17"/>
              </w:rPr>
              <w:t>File / location</w:t>
            </w:r>
          </w:p>
        </w:tc>
        <w:tc>
          <w:tcPr>
            <w:tcW w:type="dxa" w:w="6746"/>
            <w:shd w:val="clear" w:color="auto" w:fill="0F2B4C"/>
          </w:tcPr>
          <w:p>
            <w:pPr>
              <w:spacing w:after="20" w:before="20"/>
            </w:pPr>
            <w:r/>
            <w:r>
              <w:rPr>
                <w:rFonts w:ascii="Calibri" w:hAnsi="Calibri"/>
                <w:b/>
                <w:color w:val="FFFFFF"/>
                <w:sz w:val="17"/>
              </w:rPr>
              <w:t>Relevance</w:t>
            </w:r>
          </w:p>
        </w:tc>
      </w:tr>
      <w:tr>
        <w:trPr>
          <w:cantSplit/>
        </w:trPr>
        <w:tc>
          <w:tcPr>
            <w:tcW w:type="dxa" w:w="2891"/>
          </w:tcPr>
          <w:p>
            <w:pPr>
              <w:spacing w:after="20" w:before="20"/>
            </w:pPr>
            <w:r/>
            <w:r>
              <w:rPr>
                <w:rFonts w:ascii="Consolas" w:hAnsi="Consolas"/>
                <w:b/>
                <w:i w:val="0"/>
                <w:color w:val="123A63"/>
                <w:sz w:val="17"/>
                <w:shd w:val="clear" w:color="auto" w:fill="EEF2F7"/>
              </w:rPr>
              <w:t>/etc/hosts</w:t>
            </w:r>
          </w:p>
        </w:tc>
        <w:tc>
          <w:tcPr>
            <w:tcW w:type="dxa" w:w="6746"/>
          </w:tcPr>
          <w:p>
            <w:pPr>
              <w:spacing w:after="20" w:before="20"/>
            </w:pPr>
            <w:r/>
            <w:r>
              <w:rPr>
                <w:rFonts w:ascii="Calibri" w:hAnsi="Calibri"/>
                <w:b w:val="0"/>
                <w:i w:val="0"/>
                <w:color w:val="334E68"/>
                <w:sz w:val="17"/>
              </w:rPr>
              <w:t>Hostname and virtual-hostname resolution; stale entries silently override DNS</w:t>
            </w:r>
          </w:p>
        </w:tc>
      </w:tr>
      <w:tr>
        <w:trPr>
          <w:cantSplit/>
        </w:trPr>
        <w:tc>
          <w:tcPr>
            <w:tcW w:type="dxa" w:w="2891"/>
            <w:shd w:val="clear" w:color="auto" w:fill="FAFBFD"/>
          </w:tcPr>
          <w:p>
            <w:pPr>
              <w:spacing w:after="20" w:before="20"/>
            </w:pPr>
            <w:r/>
            <w:r>
              <w:rPr>
                <w:rFonts w:ascii="Consolas" w:hAnsi="Consolas"/>
                <w:b/>
                <w:i w:val="0"/>
                <w:color w:val="123A63"/>
                <w:sz w:val="17"/>
                <w:shd w:val="clear" w:color="auto" w:fill="EEF2F7"/>
              </w:rPr>
              <w:t>/etc/services</w:t>
            </w:r>
          </w:p>
        </w:tc>
        <w:tc>
          <w:tcPr>
            <w:tcW w:type="dxa" w:w="6746"/>
            <w:shd w:val="clear" w:color="auto" w:fill="FAFBFD"/>
          </w:tcPr>
          <w:p>
            <w:pPr>
              <w:spacing w:after="20" w:before="20"/>
            </w:pPr>
            <w:r/>
            <w:r>
              <w:rPr>
                <w:rFonts w:ascii="Consolas" w:hAnsi="Consolas"/>
                <w:b w:val="0"/>
                <w:i w:val="0"/>
                <w:color w:val="123A63"/>
                <w:sz w:val="17"/>
                <w:shd w:val="clear" w:color="auto" w:fill="EEF2F7"/>
              </w:rPr>
              <w:t>sapdp&lt;nn&gt;</w:t>
            </w:r>
            <w:r>
              <w:rPr>
                <w:rFonts w:ascii="Calibri" w:hAnsi="Calibri"/>
                <w:b w:val="0"/>
                <w:i w:val="0"/>
                <w:color w:val="334E68"/>
                <w:sz w:val="17"/>
              </w:rPr>
              <w:t xml:space="preserve"> and </w:t>
            </w:r>
            <w:r>
              <w:rPr>
                <w:rFonts w:ascii="Consolas" w:hAnsi="Consolas"/>
                <w:b w:val="0"/>
                <w:i w:val="0"/>
                <w:color w:val="123A63"/>
                <w:sz w:val="17"/>
                <w:shd w:val="clear" w:color="auto" w:fill="EEF2F7"/>
              </w:rPr>
              <w:t>sapgw&lt;nn&gt;</w:t>
            </w:r>
            <w:r>
              <w:rPr>
                <w:rFonts w:ascii="Calibri" w:hAnsi="Calibri"/>
                <w:b w:val="0"/>
                <w:i w:val="0"/>
                <w:color w:val="334E68"/>
                <w:sz w:val="17"/>
              </w:rPr>
              <w:t xml:space="preserve"> port definitions used by SAP and the gateway</w:t>
            </w:r>
          </w:p>
        </w:tc>
      </w:tr>
      <w:tr>
        <w:trPr>
          <w:cantSplit/>
        </w:trPr>
        <w:tc>
          <w:tcPr>
            <w:tcW w:type="dxa" w:w="2891"/>
          </w:tcPr>
          <w:p>
            <w:pPr>
              <w:spacing w:after="20" w:before="20"/>
            </w:pPr>
            <w:r/>
            <w:r>
              <w:rPr>
                <w:rFonts w:ascii="Consolas" w:hAnsi="Consolas"/>
                <w:b/>
                <w:i w:val="0"/>
                <w:color w:val="123A63"/>
                <w:sz w:val="17"/>
                <w:shd w:val="clear" w:color="auto" w:fill="EEF2F7"/>
              </w:rPr>
              <w:t>/etc/fstab</w:t>
            </w:r>
          </w:p>
        </w:tc>
        <w:tc>
          <w:tcPr>
            <w:tcW w:type="dxa" w:w="6746"/>
          </w:tcPr>
          <w:p>
            <w:pPr>
              <w:spacing w:after="20" w:before="20"/>
            </w:pPr>
            <w:r/>
            <w:r>
              <w:rPr>
                <w:rFonts w:ascii="Calibri" w:hAnsi="Calibri"/>
                <w:b w:val="0"/>
                <w:i w:val="0"/>
                <w:color w:val="334E68"/>
                <w:sz w:val="17"/>
              </w:rPr>
              <w:t>Mount definitions — a missing or misordered entry breaks SAP at boot</w:t>
            </w:r>
          </w:p>
        </w:tc>
      </w:tr>
      <w:tr>
        <w:trPr>
          <w:cantSplit/>
        </w:trPr>
        <w:tc>
          <w:tcPr>
            <w:tcW w:type="dxa" w:w="2891"/>
            <w:shd w:val="clear" w:color="auto" w:fill="FAFBFD"/>
          </w:tcPr>
          <w:p>
            <w:pPr>
              <w:spacing w:after="20" w:before="20"/>
            </w:pPr>
            <w:r/>
            <w:r>
              <w:rPr>
                <w:rFonts w:ascii="Calibri" w:hAnsi="Calibri"/>
                <w:b/>
                <w:i w:val="0"/>
                <w:color w:val="334E68"/>
                <w:sz w:val="17"/>
              </w:rPr>
              <w:t>SAP profile directory</w:t>
            </w:r>
          </w:p>
        </w:tc>
        <w:tc>
          <w:tcPr>
            <w:tcW w:type="dxa" w:w="6746"/>
            <w:shd w:val="clear" w:color="auto" w:fill="FAFBFD"/>
          </w:tcPr>
          <w:p>
            <w:pPr>
              <w:spacing w:after="20" w:before="20"/>
            </w:pPr>
            <w:r/>
            <w:r>
              <w:rPr>
                <w:rFonts w:ascii="Calibri" w:hAnsi="Calibri"/>
                <w:b w:val="0"/>
                <w:i w:val="0"/>
                <w:color w:val="334E68"/>
                <w:sz w:val="17"/>
              </w:rPr>
              <w:t xml:space="preserve">Instance and default profiles maintained via </w:t>
            </w:r>
            <w:r>
              <w:rPr>
                <w:rFonts w:ascii="Consolas" w:hAnsi="Consolas"/>
                <w:b w:val="0"/>
                <w:i w:val="0"/>
                <w:color w:val="123A63"/>
                <w:sz w:val="17"/>
                <w:shd w:val="clear" w:color="auto" w:fill="EEF2F7"/>
              </w:rPr>
              <w:t>RZ10</w:t>
            </w:r>
          </w:p>
        </w:tc>
      </w:tr>
      <w:tr>
        <w:trPr>
          <w:cantSplit/>
        </w:trPr>
        <w:tc>
          <w:tcPr>
            <w:tcW w:type="dxa" w:w="2891"/>
          </w:tcPr>
          <w:p>
            <w:pPr>
              <w:spacing w:after="20" w:before="20"/>
            </w:pPr>
            <w:r/>
            <w:r>
              <w:rPr>
                <w:rFonts w:ascii="Calibri" w:hAnsi="Calibri"/>
                <w:b/>
                <w:i w:val="0"/>
                <w:color w:val="334E68"/>
                <w:sz w:val="17"/>
              </w:rPr>
              <w:t>SAP work / log directories</w:t>
            </w:r>
          </w:p>
        </w:tc>
        <w:tc>
          <w:tcPr>
            <w:tcW w:type="dxa" w:w="6746"/>
          </w:tcPr>
          <w:p>
            <w:pPr>
              <w:spacing w:after="20" w:before="20"/>
            </w:pPr>
            <w:r/>
            <w:r>
              <w:rPr>
                <w:rFonts w:ascii="Consolas" w:hAnsi="Consolas"/>
                <w:b w:val="0"/>
                <w:i w:val="0"/>
                <w:color w:val="123A63"/>
                <w:sz w:val="17"/>
                <w:shd w:val="clear" w:color="auto" w:fill="EEF2F7"/>
              </w:rPr>
              <w:t>dev_w*</w:t>
            </w:r>
            <w:r>
              <w:rPr>
                <w:rFonts w:ascii="Calibri" w:hAnsi="Calibri"/>
                <w:b w:val="0"/>
                <w:i w:val="0"/>
                <w:color w:val="334E68"/>
                <w:sz w:val="17"/>
              </w:rPr>
              <w:t xml:space="preserve">, </w:t>
            </w:r>
            <w:r>
              <w:rPr>
                <w:rFonts w:ascii="Consolas" w:hAnsi="Consolas"/>
                <w:b w:val="0"/>
                <w:i w:val="0"/>
                <w:color w:val="123A63"/>
                <w:sz w:val="17"/>
                <w:shd w:val="clear" w:color="auto" w:fill="EEF2F7"/>
              </w:rPr>
              <w:t>dev_disp</w:t>
            </w:r>
            <w:r>
              <w:rPr>
                <w:rFonts w:ascii="Calibri" w:hAnsi="Calibri"/>
                <w:b w:val="0"/>
                <w:i w:val="0"/>
                <w:color w:val="334E68"/>
                <w:sz w:val="17"/>
              </w:rPr>
              <w:t xml:space="preserve">, </w:t>
            </w:r>
            <w:r>
              <w:rPr>
                <w:rFonts w:ascii="Consolas" w:hAnsi="Consolas"/>
                <w:b w:val="0"/>
                <w:i w:val="0"/>
                <w:color w:val="123A63"/>
                <w:sz w:val="17"/>
                <w:shd w:val="clear" w:color="auto" w:fill="EEF2F7"/>
              </w:rPr>
              <w:t>dev_ms</w:t>
            </w:r>
            <w:r>
              <w:rPr>
                <w:rFonts w:ascii="Calibri" w:hAnsi="Calibri"/>
                <w:b w:val="0"/>
                <w:i w:val="0"/>
                <w:color w:val="334E68"/>
                <w:sz w:val="17"/>
              </w:rPr>
              <w:t xml:space="preserve"> traces used to diagnose start failures</w:t>
            </w:r>
          </w:p>
        </w:tc>
      </w:tr>
      <w:tr>
        <w:trPr>
          <w:cantSplit/>
        </w:trPr>
        <w:tc>
          <w:tcPr>
            <w:tcW w:type="dxa" w:w="2891"/>
            <w:shd w:val="clear" w:color="auto" w:fill="FAFBFD"/>
          </w:tcPr>
          <w:p>
            <w:pPr>
              <w:spacing w:after="20" w:before="20"/>
            </w:pPr>
            <w:r/>
            <w:r>
              <w:rPr>
                <w:rFonts w:ascii="Calibri" w:hAnsi="Calibri"/>
                <w:b/>
                <w:i w:val="0"/>
                <w:color w:val="334E68"/>
                <w:sz w:val="17"/>
              </w:rPr>
              <w:t>SAP global directories</w:t>
            </w:r>
          </w:p>
        </w:tc>
        <w:tc>
          <w:tcPr>
            <w:tcW w:type="dxa" w:w="6746"/>
            <w:shd w:val="clear" w:color="auto" w:fill="FAFBFD"/>
          </w:tcPr>
          <w:p>
            <w:pPr>
              <w:spacing w:after="20" w:before="20"/>
            </w:pPr>
            <w:r/>
            <w:r>
              <w:rPr>
                <w:rFonts w:ascii="Calibri" w:hAnsi="Calibri"/>
                <w:b w:val="0"/>
                <w:i w:val="0"/>
                <w:color w:val="334E68"/>
                <w:sz w:val="17"/>
              </w:rPr>
              <w:t xml:space="preserve">Transport, interface and shared directories synchronized with </w:t>
            </w:r>
            <w:r>
              <w:rPr>
                <w:rFonts w:ascii="Consolas" w:hAnsi="Consolas"/>
                <w:b w:val="0"/>
                <w:i w:val="0"/>
                <w:color w:val="123A63"/>
                <w:sz w:val="17"/>
                <w:shd w:val="clear" w:color="auto" w:fill="EEF2F7"/>
              </w:rPr>
              <w:t>rsync</w:t>
            </w:r>
          </w:p>
        </w:tc>
      </w:tr>
      <w:tr>
        <w:trPr>
          <w:cantSplit/>
        </w:trPr>
        <w:tc>
          <w:tcPr>
            <w:tcW w:type="dxa" w:w="2891"/>
          </w:tcPr>
          <w:p>
            <w:pPr>
              <w:spacing w:after="20" w:before="20"/>
            </w:pPr>
            <w:r/>
            <w:r>
              <w:rPr>
                <w:rFonts w:ascii="Calibri" w:hAnsi="Calibri"/>
                <w:b/>
                <w:i w:val="0"/>
                <w:color w:val="334E68"/>
                <w:sz w:val="17"/>
              </w:rPr>
              <w:t>HANA INI files</w:t>
            </w:r>
          </w:p>
        </w:tc>
        <w:tc>
          <w:tcPr>
            <w:tcW w:type="dxa" w:w="6746"/>
          </w:tcPr>
          <w:p>
            <w:pPr>
              <w:spacing w:after="20" w:before="20"/>
            </w:pPr>
            <w:r/>
            <w:r>
              <w:rPr>
                <w:rFonts w:ascii="Consolas" w:hAnsi="Consolas"/>
                <w:b w:val="0"/>
                <w:i w:val="0"/>
                <w:color w:val="123A63"/>
                <w:sz w:val="17"/>
                <w:shd w:val="clear" w:color="auto" w:fill="EEF2F7"/>
              </w:rPr>
              <w:t>global.ini</w:t>
            </w:r>
            <w:r>
              <w:rPr>
                <w:rFonts w:ascii="Calibri" w:hAnsi="Calibri"/>
                <w:b w:val="0"/>
                <w:i w:val="0"/>
                <w:color w:val="334E68"/>
                <w:sz w:val="17"/>
              </w:rPr>
              <w:t xml:space="preserve">, </w:t>
            </w:r>
            <w:r>
              <w:rPr>
                <w:rFonts w:ascii="Consolas" w:hAnsi="Consolas"/>
                <w:b w:val="0"/>
                <w:i w:val="0"/>
                <w:color w:val="123A63"/>
                <w:sz w:val="17"/>
                <w:shd w:val="clear" w:color="auto" w:fill="EEF2F7"/>
              </w:rPr>
              <w:t>nameserver.ini</w:t>
            </w:r>
            <w:r>
              <w:rPr>
                <w:rFonts w:ascii="Calibri" w:hAnsi="Calibri"/>
                <w:b w:val="0"/>
                <w:i w:val="0"/>
                <w:color w:val="334E68"/>
                <w:sz w:val="17"/>
              </w:rPr>
              <w:t xml:space="preserve"> and service configuration used in recovery</w:t>
            </w:r>
          </w:p>
        </w:tc>
      </w:tr>
      <w:tr>
        <w:trPr>
          <w:cantSplit/>
        </w:trPr>
        <w:tc>
          <w:tcPr>
            <w:tcW w:type="dxa" w:w="2891"/>
            <w:shd w:val="clear" w:color="auto" w:fill="FAFBFD"/>
          </w:tcPr>
          <w:p>
            <w:pPr>
              <w:spacing w:after="20" w:before="20"/>
            </w:pPr>
            <w:r/>
            <w:r>
              <w:rPr>
                <w:rFonts w:ascii="Calibri" w:hAnsi="Calibri"/>
                <w:b/>
                <w:i w:val="0"/>
                <w:color w:val="334E68"/>
                <w:sz w:val="17"/>
              </w:rPr>
              <w:t>Oracle network files</w:t>
            </w:r>
          </w:p>
        </w:tc>
        <w:tc>
          <w:tcPr>
            <w:tcW w:type="dxa" w:w="6746"/>
            <w:shd w:val="clear" w:color="auto" w:fill="FAFBFD"/>
          </w:tcPr>
          <w:p>
            <w:pPr>
              <w:spacing w:after="20" w:before="20"/>
            </w:pPr>
            <w:r/>
            <w:r>
              <w:rPr>
                <w:rFonts w:ascii="Consolas" w:hAnsi="Consolas"/>
                <w:b w:val="0"/>
                <w:i w:val="0"/>
                <w:color w:val="123A63"/>
                <w:sz w:val="17"/>
                <w:shd w:val="clear" w:color="auto" w:fill="EEF2F7"/>
              </w:rPr>
              <w:t>listener.ora</w:t>
            </w:r>
            <w:r>
              <w:rPr>
                <w:rFonts w:ascii="Calibri" w:hAnsi="Calibri"/>
                <w:b w:val="0"/>
                <w:i w:val="0"/>
                <w:color w:val="334E68"/>
                <w:sz w:val="17"/>
              </w:rPr>
              <w:t xml:space="preserve">, </w:t>
            </w:r>
            <w:r>
              <w:rPr>
                <w:rFonts w:ascii="Consolas" w:hAnsi="Consolas"/>
                <w:b w:val="0"/>
                <w:i w:val="0"/>
                <w:color w:val="123A63"/>
                <w:sz w:val="17"/>
                <w:shd w:val="clear" w:color="auto" w:fill="EEF2F7"/>
              </w:rPr>
              <w:t>tnsnames.ora</w:t>
            </w:r>
            <w:r>
              <w:rPr>
                <w:rFonts w:ascii="Calibri" w:hAnsi="Calibri"/>
                <w:b w:val="0"/>
                <w:i w:val="0"/>
                <w:color w:val="334E68"/>
                <w:sz w:val="17"/>
              </w:rPr>
              <w:t xml:space="preserve">, </w:t>
            </w:r>
            <w:r>
              <w:rPr>
                <w:rFonts w:ascii="Consolas" w:hAnsi="Consolas"/>
                <w:b w:val="0"/>
                <w:i w:val="0"/>
                <w:color w:val="123A63"/>
                <w:sz w:val="17"/>
                <w:shd w:val="clear" w:color="auto" w:fill="EEF2F7"/>
              </w:rPr>
              <w:t>sqlnet.ora</w:t>
            </w:r>
          </w:p>
        </w:tc>
      </w:tr>
      <w:tr>
        <w:trPr>
          <w:cantSplit/>
        </w:trPr>
        <w:tc>
          <w:tcPr>
            <w:tcW w:type="dxa" w:w="2891"/>
          </w:tcPr>
          <w:p>
            <w:pPr>
              <w:spacing w:after="20" w:before="20"/>
            </w:pPr>
            <w:r/>
            <w:r>
              <w:rPr>
                <w:rFonts w:ascii="Calibri" w:hAnsi="Calibri"/>
                <w:b/>
                <w:i w:val="0"/>
                <w:color w:val="334E68"/>
                <w:sz w:val="17"/>
              </w:rPr>
              <w:t>Oracle wallet / PSE / keystore locations</w:t>
            </w:r>
          </w:p>
        </w:tc>
        <w:tc>
          <w:tcPr>
            <w:tcW w:type="dxa" w:w="6746"/>
          </w:tcPr>
          <w:p>
            <w:pPr>
              <w:spacing w:after="20" w:before="20"/>
            </w:pPr>
            <w:r/>
            <w:r>
              <w:rPr>
                <w:rFonts w:ascii="Calibri" w:hAnsi="Calibri"/>
                <w:b w:val="0"/>
                <w:i w:val="0"/>
                <w:color w:val="334E68"/>
                <w:sz w:val="17"/>
              </w:rPr>
              <w:t>Credentials and certificates for SNC, SSL and database authentication</w:t>
            </w:r>
          </w:p>
        </w:tc>
      </w:tr>
      <w:tr>
        <w:trPr>
          <w:cantSplit/>
        </w:trPr>
        <w:tc>
          <w:tcPr>
            <w:tcW w:type="dxa" w:w="2891"/>
            <w:shd w:val="clear" w:color="auto" w:fill="FAFBFD"/>
          </w:tcPr>
          <w:p>
            <w:pPr>
              <w:spacing w:after="20" w:before="20"/>
            </w:pPr>
            <w:r/>
            <w:r>
              <w:rPr>
                <w:rFonts w:ascii="Consolas" w:hAnsi="Consolas"/>
                <w:b/>
                <w:i w:val="0"/>
                <w:color w:val="123A63"/>
                <w:sz w:val="17"/>
                <w:shd w:val="clear" w:color="auto" w:fill="EEF2F7"/>
              </w:rPr>
              <w:t>R3trans</w:t>
            </w:r>
            <w:r>
              <w:rPr>
                <w:rFonts w:ascii="Calibri" w:hAnsi="Calibri"/>
                <w:b/>
                <w:i w:val="0"/>
                <w:color w:val="334E68"/>
                <w:sz w:val="17"/>
              </w:rPr>
              <w:t xml:space="preserve"> trace (</w:t>
            </w:r>
            <w:r>
              <w:rPr>
                <w:rFonts w:ascii="Consolas" w:hAnsi="Consolas"/>
                <w:b/>
                <w:i w:val="0"/>
                <w:color w:val="123A63"/>
                <w:sz w:val="17"/>
                <w:shd w:val="clear" w:color="auto" w:fill="EEF2F7"/>
              </w:rPr>
              <w:t>trans.log</w:t>
            </w:r>
            <w:r>
              <w:rPr>
                <w:rFonts w:ascii="Calibri" w:hAnsi="Calibri"/>
                <w:b/>
                <w:i w:val="0"/>
                <w:color w:val="334E68"/>
                <w:sz w:val="17"/>
              </w:rPr>
              <w:t>)</w:t>
            </w:r>
          </w:p>
        </w:tc>
        <w:tc>
          <w:tcPr>
            <w:tcW w:type="dxa" w:w="6746"/>
            <w:shd w:val="clear" w:color="auto" w:fill="FAFBFD"/>
          </w:tcPr>
          <w:p>
            <w:pPr>
              <w:spacing w:after="20" w:before="20"/>
            </w:pPr>
            <w:r/>
            <w:r>
              <w:rPr>
                <w:rFonts w:ascii="Calibri" w:hAnsi="Calibri"/>
                <w:b w:val="0"/>
                <w:i w:val="0"/>
                <w:color w:val="334E68"/>
                <w:sz w:val="17"/>
              </w:rPr>
              <w:t xml:space="preserve">First place to look when </w:t>
            </w:r>
            <w:r>
              <w:rPr>
                <w:rFonts w:ascii="Consolas" w:hAnsi="Consolas"/>
                <w:b w:val="0"/>
                <w:i w:val="0"/>
                <w:color w:val="123A63"/>
                <w:sz w:val="17"/>
                <w:shd w:val="clear" w:color="auto" w:fill="EEF2F7"/>
              </w:rPr>
              <w:t>R3trans -d</w:t>
            </w:r>
            <w:r>
              <w:rPr>
                <w:rFonts w:ascii="Calibri" w:hAnsi="Calibri"/>
                <w:b w:val="0"/>
                <w:i w:val="0"/>
                <w:color w:val="334E68"/>
                <w:sz w:val="17"/>
              </w:rPr>
              <w:t xml:space="preserve"> does not return </w:t>
            </w:r>
            <w:r>
              <w:rPr>
                <w:rFonts w:ascii="Consolas" w:hAnsi="Consolas"/>
                <w:b w:val="0"/>
                <w:i w:val="0"/>
                <w:color w:val="123A63"/>
                <w:sz w:val="17"/>
                <w:shd w:val="clear" w:color="auto" w:fill="EEF2F7"/>
              </w:rPr>
              <w:t>0000</w:t>
            </w:r>
          </w:p>
        </w:tc>
      </w:tr>
    </w:tbl>
    <w:p>
      <w:pPr>
        <w:spacing w:after="40"/>
      </w:pPr>
    </w:p>
    <w:p>
      <w:r>
        <w:br w:type="page"/>
      </w:r>
    </w:p>
    <w:p>
      <w:pPr>
        <w:spacing w:after="20"/>
      </w:pPr>
      <w:r>
        <w:rPr>
          <w:rFonts w:ascii="Calibri" w:hAnsi="Calibri"/>
          <w:b/>
          <w:color w:val="1B4F86"/>
          <w:sz w:val="16"/>
        </w:rPr>
        <w:t>SECTION 12 · REFERENCE</w:t>
      </w:r>
    </w:p>
    <w:p>
      <w:pPr>
        <w:pStyle w:val="Heading1"/>
        <w:pBdr>
          <w:bottom w:val="single" w:sz="12" w:space="5" w:color="1B4F86"/>
        </w:pBdr>
        <w:spacing w:after="160"/>
      </w:pPr>
      <w:r>
        <w:rPr>
          <w:rFonts w:ascii="Calibri Light" w:hAnsi="Calibri Light"/>
          <w:b/>
          <w:color w:val="0F2B4C"/>
          <w:sz w:val="38"/>
        </w:rPr>
        <w:t>12  Consolidated validation checklists</w:t>
      </w:r>
    </w:p>
    <w:p>
      <w:pPr>
        <w:spacing w:after="200"/>
      </w:pPr>
      <w:r>
        <w:rPr>
          <w:rFonts w:ascii="Calibri" w:hAnsi="Calibri"/>
          <w:i/>
          <w:color w:val="5B7288"/>
          <w:sz w:val="21"/>
        </w:rPr>
        <w:t>Five checklists covering the whole validation surface. They are interactive: tick a check, set a status, add the evidence reference. Progress persists in your browser and is printed as a static record.</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HOW TO USE THESE CHECKLISTS IN ANGER</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Run them twice per system: once at pre-cutover validation (Gate 1) and once during the cutover window.</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Every item needs either a tick with evidence, or a recorded deferral with an owner, an impact statement and a date.</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“Not applicable” is a valid status — but write why. An unexplained N/A is an audit finding waiting to happen.</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Transfer the results into the project's validation workbook or change record before sign-off; the browser copy is a working aid, not the system of record.</w:t>
      </w:r>
    </w:p>
    <w:p>
      <w:pPr>
        <w:shd w:val="clear" w:color="auto" w:fill="F4F7FB"/>
        <w:pBdr>
          <w:left w:val="single" w:sz="6" w:space="6" w:color="0F2B4C"/>
          <w:bottom w:val="single" w:sz="6" w:space="6" w:color="0F2B4C"/>
          <w:right w:val="single" w:sz="6" w:space="6" w:color="0F2B4C"/>
        </w:pBdr>
        <w:spacing w:after="40"/>
      </w:pPr>
    </w:p>
    <w:p>
      <w:pPr>
        <w:pStyle w:val="Heading2"/>
        <w:pBdr>
          <w:bottom w:val="single" w:sz="6" w:space="3" w:color="E8EDF3"/>
        </w:pBdr>
      </w:pPr>
      <w:r>
        <w:rPr>
          <w:rFonts w:ascii="Calibri" w:hAnsi="Calibri"/>
          <w:b/>
          <w:color w:val="0F2B4C"/>
          <w:sz w:val="26"/>
        </w:rPr>
        <w:t>12.1  OS validation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File systems / mount points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CPU</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RAM</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Swap</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OS version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Kernel version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UID/GID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Libraries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FTP users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OS groups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IP addresses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Hostnames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/etc/hosts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/etc/services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directories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Permissions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12.2  SAP validation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services active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Auto-start tested (real reboot)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processes green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Application servers available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SM51</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SMGW</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SM59</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RFC report</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SNC</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STMS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Transport directory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AL11</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Printers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Spool</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SMICM</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SSL/TLS certificates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SAP license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12.3  Database validation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 status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DB02</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Storage utilization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Tablespaces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Database growth</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Latest backup</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Backup status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Redo/archive logs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Recovery requirements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12.4  Performance validation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ST02 memory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Extended memory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Heap/private memory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Buffer utilization</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ST03N workload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Response time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Wait time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 request time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CPU time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Performance trends</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12.5  Cutover readiness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4530"/>
        <w:gridCol w:w="1542"/>
        <w:gridCol w:w="3084"/>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4530"/>
            <w:shd w:val="clear" w:color="auto" w:fill="0F2B4C"/>
          </w:tcPr>
          <w:p>
            <w:pPr>
              <w:spacing w:after="20" w:before="20"/>
            </w:pPr>
            <w:r/>
            <w:r>
              <w:rPr>
                <w:rFonts w:ascii="Calibri" w:hAnsi="Calibri"/>
                <w:b/>
                <w:color w:val="FFFFFF"/>
                <w:sz w:val="17"/>
              </w:rPr>
              <w:t>Check</w:t>
            </w:r>
          </w:p>
        </w:tc>
        <w:tc>
          <w:tcPr>
            <w:tcW w:type="dxa" w:w="1542"/>
            <w:shd w:val="clear" w:color="auto" w:fill="0F2B4C"/>
          </w:tcPr>
          <w:p>
            <w:pPr>
              <w:spacing w:after="20" w:before="20"/>
            </w:pPr>
            <w:r/>
            <w:r>
              <w:rPr>
                <w:rFonts w:ascii="Calibri" w:hAnsi="Calibri"/>
                <w:b/>
                <w:color w:val="FFFFFF"/>
                <w:sz w:val="17"/>
              </w:rPr>
              <w:t>Status</w:t>
            </w:r>
          </w:p>
        </w:tc>
        <w:tc>
          <w:tcPr>
            <w:tcW w:type="dxa" w:w="3084"/>
            <w:shd w:val="clear" w:color="auto" w:fill="0F2B4C"/>
          </w:tcPr>
          <w:p>
            <w:pPr>
              <w:spacing w:after="20" w:before="20"/>
            </w:pPr>
            <w:r/>
            <w:r>
              <w:rPr>
                <w:rFonts w:ascii="Calibri" w:hAnsi="Calibri"/>
                <w:b/>
                <w:color w:val="FFFFFF"/>
                <w:sz w:val="17"/>
              </w:rPr>
              <w:t>Evidence / remarks</w:t>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Application shutdown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DBA handover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Source/target synchronization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Snapshot/backup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DNS/IPAM plan confirmed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Evidence captured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Technical validation complete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Functional validation complete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Approvals complete</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Rollback ready</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r>
        <w:trPr>
          <w:cantSplit/>
        </w:trPr>
        <w:tc>
          <w:tcPr>
            <w:tcW w:type="dxa" w:w="482"/>
            <w:shd w:val="clear" w:color="auto" w:fill="FFFFFF"/>
          </w:tcPr>
          <w:p>
            <w:pPr>
              <w:spacing w:after="20" w:before="20"/>
            </w:pPr>
            <w:r/>
            <w:r>
              <w:rPr>
                <w:rFonts w:ascii="Calibri" w:hAnsi="Calibri"/>
                <w:b w:val="0"/>
                <w:color w:val="334E68"/>
                <w:sz w:val="17"/>
              </w:rPr>
              <w:t>☐</w:t>
            </w:r>
          </w:p>
        </w:tc>
        <w:tc>
          <w:tcPr>
            <w:tcW w:type="dxa" w:w="4530"/>
            <w:shd w:val="clear" w:color="auto" w:fill="FFFFFF"/>
          </w:tcPr>
          <w:p>
            <w:pPr>
              <w:spacing w:after="20" w:before="20"/>
            </w:pPr>
            <w:r/>
            <w:r>
              <w:rPr>
                <w:rFonts w:ascii="Calibri" w:hAnsi="Calibri"/>
                <w:b w:val="0"/>
                <w:color w:val="334E68"/>
                <w:sz w:val="17"/>
              </w:rPr>
              <w:t>Go/No-Go decision recorded</w:t>
            </w:r>
          </w:p>
        </w:tc>
        <w:tc>
          <w:tcPr>
            <w:tcW w:type="dxa" w:w="1542"/>
            <w:shd w:val="clear" w:color="auto" w:fill="FFFFFF"/>
          </w:tcPr>
          <w:p>
            <w:pPr>
              <w:spacing w:after="20" w:before="20"/>
            </w:pPr>
            <w:r/>
            <w:r>
              <w:rPr>
                <w:rFonts w:ascii="Calibri" w:hAnsi="Calibri"/>
                <w:b w:val="0"/>
                <w:color w:val="334E68"/>
                <w:sz w:val="17"/>
              </w:rPr>
              <w:t>Not Started</w:t>
            </w:r>
          </w:p>
        </w:tc>
        <w:tc>
          <w:tcPr>
            <w:tcW w:type="dxa" w:w="3084"/>
            <w:shd w:val="clear" w:color="auto" w:fill="FFFFFF"/>
          </w:tcPr>
          <w:p>
            <w:pPr>
              <w:spacing w:after="20" w:before="20"/>
            </w:pPr>
            <w:r/>
            <w:r>
              <w:rPr>
                <w:rFonts w:ascii="Calibri" w:hAnsi="Calibri"/>
                <w:b w:val="0"/>
                <w:color w:val="334E68"/>
                <w:sz w:val="17"/>
              </w:rPr>
            </w:r>
          </w:p>
        </w:tc>
      </w:tr>
    </w:tbl>
    <w:p>
      <w:pPr>
        <w:spacing w:after="40"/>
      </w:pPr>
    </w:p>
    <w:p>
      <w:pPr>
        <w:pStyle w:val="Heading2"/>
        <w:pBdr>
          <w:bottom w:val="single" w:sz="6" w:space="3" w:color="E8EDF3"/>
        </w:pBdr>
      </w:pPr>
      <w:r>
        <w:rPr>
          <w:rFonts w:ascii="Calibri" w:hAnsi="Calibri"/>
          <w:b/>
          <w:color w:val="0F2B4C"/>
          <w:sz w:val="26"/>
        </w:rPr>
        <w:t>12.6  Sign-off</w:t>
      </w:r>
    </w:p>
    <w:p>
      <w:pPr>
        <w:spacing w:after="60" w:before="160"/>
        <w:keepNext/>
      </w:pPr>
      <w:r>
        <w:rPr>
          <w:rFonts w:ascii="Calibri" w:hAnsi="Calibri"/>
          <w:b/>
          <w:color w:val="5B7288"/>
          <w:sz w:val="15"/>
        </w:rPr>
        <w:t>VALIDATION SIGN-OFF RECORD</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120"/>
        <w:gridCol w:w="1735"/>
        <w:gridCol w:w="1157"/>
        <w:gridCol w:w="3084"/>
        <w:gridCol w:w="1542"/>
      </w:tblGrid>
      <w:tr>
        <w:trPr>
          <w:tblHeader/>
          <w:cantSplit/>
        </w:trPr>
        <w:tc>
          <w:tcPr>
            <w:tcW w:type="dxa" w:w="2120"/>
            <w:shd w:val="clear" w:color="auto" w:fill="0F2B4C"/>
          </w:tcPr>
          <w:p>
            <w:pPr>
              <w:spacing w:after="20" w:before="20"/>
            </w:pPr>
            <w:r/>
            <w:r>
              <w:rPr>
                <w:rFonts w:ascii="Calibri" w:hAnsi="Calibri"/>
                <w:b/>
                <w:color w:val="FFFFFF"/>
                <w:sz w:val="17"/>
              </w:rPr>
              <w:t>Validation domain</w:t>
            </w:r>
          </w:p>
        </w:tc>
        <w:tc>
          <w:tcPr>
            <w:tcW w:type="dxa" w:w="1735"/>
            <w:shd w:val="clear" w:color="auto" w:fill="0F2B4C"/>
          </w:tcPr>
          <w:p>
            <w:pPr>
              <w:spacing w:after="20" w:before="20"/>
            </w:pPr>
            <w:r/>
            <w:r>
              <w:rPr>
                <w:rFonts w:ascii="Calibri" w:hAnsi="Calibri"/>
                <w:b/>
                <w:color w:val="FFFFFF"/>
                <w:sz w:val="17"/>
              </w:rPr>
              <w:t>Validated by</w:t>
            </w:r>
          </w:p>
        </w:tc>
        <w:tc>
          <w:tcPr>
            <w:tcW w:type="dxa" w:w="1157"/>
            <w:shd w:val="clear" w:color="auto" w:fill="0F2B4C"/>
          </w:tcPr>
          <w:p>
            <w:pPr>
              <w:spacing w:after="20" w:before="20"/>
            </w:pPr>
            <w:r/>
            <w:r>
              <w:rPr>
                <w:rFonts w:ascii="Calibri" w:hAnsi="Calibri"/>
                <w:b/>
                <w:color w:val="FFFFFF"/>
                <w:sz w:val="17"/>
              </w:rPr>
              <w:t>Date</w:t>
            </w:r>
          </w:p>
        </w:tc>
        <w:tc>
          <w:tcPr>
            <w:tcW w:type="dxa" w:w="3084"/>
            <w:shd w:val="clear" w:color="auto" w:fill="0F2B4C"/>
          </w:tcPr>
          <w:p>
            <w:pPr>
              <w:spacing w:after="20" w:before="20"/>
            </w:pPr>
            <w:r/>
            <w:r>
              <w:rPr>
                <w:rFonts w:ascii="Calibri" w:hAnsi="Calibri"/>
                <w:b/>
                <w:color w:val="FFFFFF"/>
                <w:sz w:val="17"/>
              </w:rPr>
              <w:t>Deviations / deferrals</w:t>
            </w:r>
          </w:p>
        </w:tc>
        <w:tc>
          <w:tcPr>
            <w:tcW w:type="dxa" w:w="1542"/>
            <w:shd w:val="clear" w:color="auto" w:fill="0F2B4C"/>
          </w:tcPr>
          <w:p>
            <w:pPr>
              <w:spacing w:after="20" w:before="20"/>
            </w:pPr>
            <w:r/>
            <w:r>
              <w:rPr>
                <w:rFonts w:ascii="Calibri" w:hAnsi="Calibri"/>
                <w:b/>
                <w:color w:val="FFFFFF"/>
                <w:sz w:val="17"/>
              </w:rPr>
              <w:t>Reviewed by</w:t>
            </w:r>
          </w:p>
        </w:tc>
      </w:tr>
      <w:tr>
        <w:trPr>
          <w:cantSplit/>
        </w:trPr>
        <w:tc>
          <w:tcPr>
            <w:tcW w:type="dxa" w:w="2120"/>
          </w:tcPr>
          <w:p>
            <w:pPr>
              <w:spacing w:after="20" w:before="20"/>
            </w:pPr>
            <w:r/>
            <w:r>
              <w:rPr>
                <w:rFonts w:ascii="Calibri" w:hAnsi="Calibri"/>
                <w:b/>
                <w:i w:val="0"/>
                <w:color w:val="334E68"/>
                <w:sz w:val="17"/>
              </w:rPr>
              <w:t>OS validation</w:t>
            </w:r>
          </w:p>
        </w:tc>
        <w:tc>
          <w:tcPr>
            <w:tcW w:type="dxa" w:w="1735"/>
          </w:tcPr>
          <w:p>
            <w:pPr>
              <w:spacing w:after="20" w:before="20"/>
            </w:pPr>
            <w:r/>
          </w:p>
        </w:tc>
        <w:tc>
          <w:tcPr>
            <w:tcW w:type="dxa" w:w="1157"/>
          </w:tcPr>
          <w:p>
            <w:pPr>
              <w:spacing w:after="20" w:before="20"/>
            </w:pPr>
            <w:r/>
          </w:p>
        </w:tc>
        <w:tc>
          <w:tcPr>
            <w:tcW w:type="dxa" w:w="3084"/>
          </w:tcPr>
          <w:p>
            <w:pPr>
              <w:spacing w:after="20" w:before="20"/>
            </w:pPr>
            <w:r/>
          </w:p>
        </w:tc>
        <w:tc>
          <w:tcPr>
            <w:tcW w:type="dxa" w:w="1542"/>
          </w:tcPr>
          <w:p>
            <w:pPr>
              <w:spacing w:after="20" w:before="20"/>
            </w:pPr>
            <w:r/>
          </w:p>
        </w:tc>
      </w:tr>
      <w:tr>
        <w:trPr>
          <w:cantSplit/>
        </w:trPr>
        <w:tc>
          <w:tcPr>
            <w:tcW w:type="dxa" w:w="2120"/>
            <w:shd w:val="clear" w:color="auto" w:fill="FAFBFD"/>
          </w:tcPr>
          <w:p>
            <w:pPr>
              <w:spacing w:after="20" w:before="20"/>
            </w:pPr>
            <w:r/>
            <w:r>
              <w:rPr>
                <w:rFonts w:ascii="Calibri" w:hAnsi="Calibri"/>
                <w:b/>
                <w:i w:val="0"/>
                <w:color w:val="334E68"/>
                <w:sz w:val="17"/>
              </w:rPr>
              <w:t>SAP validation</w:t>
            </w:r>
          </w:p>
        </w:tc>
        <w:tc>
          <w:tcPr>
            <w:tcW w:type="dxa" w:w="1735"/>
            <w:shd w:val="clear" w:color="auto" w:fill="FAFBFD"/>
          </w:tcPr>
          <w:p>
            <w:pPr>
              <w:spacing w:after="20" w:before="20"/>
            </w:pPr>
            <w:r/>
          </w:p>
        </w:tc>
        <w:tc>
          <w:tcPr>
            <w:tcW w:type="dxa" w:w="1157"/>
            <w:shd w:val="clear" w:color="auto" w:fill="FAFBFD"/>
          </w:tcPr>
          <w:p>
            <w:pPr>
              <w:spacing w:after="20" w:before="20"/>
            </w:pPr>
            <w:r/>
          </w:p>
        </w:tc>
        <w:tc>
          <w:tcPr>
            <w:tcW w:type="dxa" w:w="3084"/>
            <w:shd w:val="clear" w:color="auto" w:fill="FAFBFD"/>
          </w:tcPr>
          <w:p>
            <w:pPr>
              <w:spacing w:after="20" w:before="20"/>
            </w:pPr>
            <w:r/>
          </w:p>
        </w:tc>
        <w:tc>
          <w:tcPr>
            <w:tcW w:type="dxa" w:w="1542"/>
            <w:shd w:val="clear" w:color="auto" w:fill="FAFBFD"/>
          </w:tcPr>
          <w:p>
            <w:pPr>
              <w:spacing w:after="20" w:before="20"/>
            </w:pPr>
            <w:r/>
          </w:p>
        </w:tc>
      </w:tr>
      <w:tr>
        <w:trPr>
          <w:cantSplit/>
        </w:trPr>
        <w:tc>
          <w:tcPr>
            <w:tcW w:type="dxa" w:w="2120"/>
          </w:tcPr>
          <w:p>
            <w:pPr>
              <w:spacing w:after="20" w:before="20"/>
            </w:pPr>
            <w:r/>
            <w:r>
              <w:rPr>
                <w:rFonts w:ascii="Calibri" w:hAnsi="Calibri"/>
                <w:b/>
                <w:i w:val="0"/>
                <w:color w:val="334E68"/>
                <w:sz w:val="17"/>
              </w:rPr>
              <w:t>Database validation</w:t>
            </w:r>
          </w:p>
        </w:tc>
        <w:tc>
          <w:tcPr>
            <w:tcW w:type="dxa" w:w="1735"/>
          </w:tcPr>
          <w:p>
            <w:pPr>
              <w:spacing w:after="20" w:before="20"/>
            </w:pPr>
            <w:r/>
          </w:p>
        </w:tc>
        <w:tc>
          <w:tcPr>
            <w:tcW w:type="dxa" w:w="1157"/>
          </w:tcPr>
          <w:p>
            <w:pPr>
              <w:spacing w:after="20" w:before="20"/>
            </w:pPr>
            <w:r/>
          </w:p>
        </w:tc>
        <w:tc>
          <w:tcPr>
            <w:tcW w:type="dxa" w:w="3084"/>
          </w:tcPr>
          <w:p>
            <w:pPr>
              <w:spacing w:after="20" w:before="20"/>
            </w:pPr>
            <w:r/>
          </w:p>
        </w:tc>
        <w:tc>
          <w:tcPr>
            <w:tcW w:type="dxa" w:w="1542"/>
          </w:tcPr>
          <w:p>
            <w:pPr>
              <w:spacing w:after="20" w:before="20"/>
            </w:pPr>
            <w:r/>
          </w:p>
        </w:tc>
      </w:tr>
      <w:tr>
        <w:trPr>
          <w:cantSplit/>
        </w:trPr>
        <w:tc>
          <w:tcPr>
            <w:tcW w:type="dxa" w:w="2120"/>
            <w:shd w:val="clear" w:color="auto" w:fill="FAFBFD"/>
          </w:tcPr>
          <w:p>
            <w:pPr>
              <w:spacing w:after="20" w:before="20"/>
            </w:pPr>
            <w:r/>
            <w:r>
              <w:rPr>
                <w:rFonts w:ascii="Calibri" w:hAnsi="Calibri"/>
                <w:b/>
                <w:i w:val="0"/>
                <w:color w:val="334E68"/>
                <w:sz w:val="17"/>
              </w:rPr>
              <w:t>Performance validation</w:t>
            </w:r>
          </w:p>
        </w:tc>
        <w:tc>
          <w:tcPr>
            <w:tcW w:type="dxa" w:w="1735"/>
            <w:shd w:val="clear" w:color="auto" w:fill="FAFBFD"/>
          </w:tcPr>
          <w:p>
            <w:pPr>
              <w:spacing w:after="20" w:before="20"/>
            </w:pPr>
            <w:r/>
          </w:p>
        </w:tc>
        <w:tc>
          <w:tcPr>
            <w:tcW w:type="dxa" w:w="1157"/>
            <w:shd w:val="clear" w:color="auto" w:fill="FAFBFD"/>
          </w:tcPr>
          <w:p>
            <w:pPr>
              <w:spacing w:after="20" w:before="20"/>
            </w:pPr>
            <w:r/>
          </w:p>
        </w:tc>
        <w:tc>
          <w:tcPr>
            <w:tcW w:type="dxa" w:w="3084"/>
            <w:shd w:val="clear" w:color="auto" w:fill="FAFBFD"/>
          </w:tcPr>
          <w:p>
            <w:pPr>
              <w:spacing w:after="20" w:before="20"/>
            </w:pPr>
            <w:r/>
          </w:p>
        </w:tc>
        <w:tc>
          <w:tcPr>
            <w:tcW w:type="dxa" w:w="1542"/>
            <w:shd w:val="clear" w:color="auto" w:fill="FAFBFD"/>
          </w:tcPr>
          <w:p>
            <w:pPr>
              <w:spacing w:after="20" w:before="20"/>
            </w:pPr>
            <w:r/>
          </w:p>
        </w:tc>
      </w:tr>
      <w:tr>
        <w:trPr>
          <w:cantSplit/>
        </w:trPr>
        <w:tc>
          <w:tcPr>
            <w:tcW w:type="dxa" w:w="2120"/>
          </w:tcPr>
          <w:p>
            <w:pPr>
              <w:spacing w:after="20" w:before="20"/>
            </w:pPr>
            <w:r/>
            <w:r>
              <w:rPr>
                <w:rFonts w:ascii="Calibri" w:hAnsi="Calibri"/>
                <w:b/>
                <w:i w:val="0"/>
                <w:color w:val="334E68"/>
                <w:sz w:val="17"/>
              </w:rPr>
              <w:t>Cutover readiness</w:t>
            </w:r>
          </w:p>
        </w:tc>
        <w:tc>
          <w:tcPr>
            <w:tcW w:type="dxa" w:w="1735"/>
          </w:tcPr>
          <w:p>
            <w:pPr>
              <w:spacing w:after="20" w:before="20"/>
            </w:pPr>
            <w:r/>
          </w:p>
        </w:tc>
        <w:tc>
          <w:tcPr>
            <w:tcW w:type="dxa" w:w="1157"/>
          </w:tcPr>
          <w:p>
            <w:pPr>
              <w:spacing w:after="20" w:before="20"/>
            </w:pPr>
            <w:r/>
          </w:p>
        </w:tc>
        <w:tc>
          <w:tcPr>
            <w:tcW w:type="dxa" w:w="3084"/>
          </w:tcPr>
          <w:p>
            <w:pPr>
              <w:spacing w:after="20" w:before="20"/>
            </w:pPr>
            <w:r/>
          </w:p>
        </w:tc>
        <w:tc>
          <w:tcPr>
            <w:tcW w:type="dxa" w:w="1542"/>
          </w:tcPr>
          <w:p>
            <w:pPr>
              <w:spacing w:after="20" w:before="20"/>
            </w:pPr>
            <w:r/>
          </w:p>
        </w:tc>
      </w:tr>
      <w:tr>
        <w:trPr>
          <w:cantSplit/>
        </w:trPr>
        <w:tc>
          <w:tcPr>
            <w:tcW w:type="dxa" w:w="2120"/>
            <w:shd w:val="clear" w:color="auto" w:fill="FAFBFD"/>
          </w:tcPr>
          <w:p>
            <w:pPr>
              <w:spacing w:after="20" w:before="20"/>
            </w:pPr>
            <w:r/>
            <w:r>
              <w:rPr>
                <w:rFonts w:ascii="Calibri" w:hAnsi="Calibri"/>
                <w:b/>
                <w:i w:val="0"/>
                <w:color w:val="334E68"/>
                <w:sz w:val="17"/>
              </w:rPr>
              <w:t>Functional validation</w:t>
            </w:r>
          </w:p>
        </w:tc>
        <w:tc>
          <w:tcPr>
            <w:tcW w:type="dxa" w:w="1735"/>
            <w:shd w:val="clear" w:color="auto" w:fill="FAFBFD"/>
          </w:tcPr>
          <w:p>
            <w:pPr>
              <w:spacing w:after="20" w:before="20"/>
            </w:pPr>
            <w:r/>
          </w:p>
        </w:tc>
        <w:tc>
          <w:tcPr>
            <w:tcW w:type="dxa" w:w="1157"/>
            <w:shd w:val="clear" w:color="auto" w:fill="FAFBFD"/>
          </w:tcPr>
          <w:p>
            <w:pPr>
              <w:spacing w:after="20" w:before="20"/>
            </w:pPr>
            <w:r/>
          </w:p>
        </w:tc>
        <w:tc>
          <w:tcPr>
            <w:tcW w:type="dxa" w:w="3084"/>
            <w:shd w:val="clear" w:color="auto" w:fill="FAFBFD"/>
          </w:tcPr>
          <w:p>
            <w:pPr>
              <w:spacing w:after="20" w:before="20"/>
            </w:pPr>
            <w:r/>
          </w:p>
        </w:tc>
        <w:tc>
          <w:tcPr>
            <w:tcW w:type="dxa" w:w="1542"/>
            <w:shd w:val="clear" w:color="auto" w:fill="FAFBFD"/>
          </w:tcPr>
          <w:p>
            <w:pPr>
              <w:spacing w:after="20" w:before="20"/>
            </w:pPr>
            <w:r/>
          </w:p>
        </w:tc>
      </w:tr>
      <w:tr>
        <w:trPr>
          <w:cantSplit/>
        </w:trPr>
        <w:tc>
          <w:tcPr>
            <w:tcW w:type="dxa" w:w="2120"/>
          </w:tcPr>
          <w:p>
            <w:pPr>
              <w:spacing w:after="20" w:before="20"/>
            </w:pPr>
            <w:r/>
            <w:r>
              <w:rPr>
                <w:rFonts w:ascii="Calibri" w:hAnsi="Calibri"/>
                <w:b/>
                <w:i w:val="0"/>
                <w:color w:val="334E68"/>
                <w:sz w:val="17"/>
              </w:rPr>
              <w:t>Go/No-Go decision</w:t>
            </w:r>
          </w:p>
        </w:tc>
        <w:tc>
          <w:tcPr>
            <w:tcW w:type="dxa" w:w="1735"/>
          </w:tcPr>
          <w:p>
            <w:pPr>
              <w:spacing w:after="20" w:before="20"/>
            </w:pPr>
            <w:r/>
          </w:p>
        </w:tc>
        <w:tc>
          <w:tcPr>
            <w:tcW w:type="dxa" w:w="1157"/>
          </w:tcPr>
          <w:p>
            <w:pPr>
              <w:spacing w:after="20" w:before="20"/>
            </w:pPr>
            <w:r/>
          </w:p>
        </w:tc>
        <w:tc>
          <w:tcPr>
            <w:tcW w:type="dxa" w:w="3084"/>
          </w:tcPr>
          <w:p>
            <w:pPr>
              <w:spacing w:after="20" w:before="20"/>
            </w:pPr>
            <w:r/>
          </w:p>
        </w:tc>
        <w:tc>
          <w:tcPr>
            <w:tcW w:type="dxa" w:w="1542"/>
          </w:tcPr>
          <w:p>
            <w:pPr>
              <w:spacing w:after="20" w:before="20"/>
            </w:pPr>
            <w:r/>
          </w:p>
        </w:tc>
      </w:tr>
    </w:tbl>
    <w:p>
      <w:pPr>
        <w:spacing w:after="40"/>
      </w:pPr>
    </w:p>
    <w:p>
      <w:r>
        <w:br w:type="page"/>
      </w:r>
    </w:p>
    <w:p>
      <w:pPr>
        <w:spacing w:after="20"/>
      </w:pPr>
      <w:r>
        <w:rPr>
          <w:rFonts w:ascii="Calibri" w:hAnsi="Calibri"/>
          <w:b/>
          <w:color w:val="1B4F86"/>
          <w:sz w:val="16"/>
        </w:rPr>
        <w:t>SECTION 13 · REFERENCE</w:t>
      </w:r>
    </w:p>
    <w:p>
      <w:pPr>
        <w:pStyle w:val="Heading1"/>
        <w:pBdr>
          <w:bottom w:val="single" w:sz="12" w:space="5" w:color="1B4F86"/>
        </w:pBdr>
        <w:spacing w:after="160"/>
      </w:pPr>
      <w:r>
        <w:rPr>
          <w:rFonts w:ascii="Calibri Light" w:hAnsi="Calibri Light"/>
          <w:b/>
          <w:color w:val="0F2B4C"/>
          <w:sz w:val="38"/>
        </w:rPr>
        <w:t>13  Evidence and documentation strategy</w:t>
      </w:r>
    </w:p>
    <w:p>
      <w:pPr>
        <w:spacing w:after="200"/>
      </w:pPr>
      <w:r>
        <w:rPr>
          <w:rFonts w:ascii="Calibri" w:hAnsi="Calibri"/>
          <w:i/>
          <w:color w:val="5B7288"/>
          <w:sz w:val="21"/>
        </w:rPr>
        <w:t>Evidence is the difference between “it works” and “it is proven to work, by these checks, at this time, compared with this baseline”. It is also the only defence against absorbing a pre-existing fault as a migration defect.</w:t>
      </w:r>
    </w:p>
    <w:p>
      <w:pPr>
        <w:sectPr>
          <w:pgSz w:w="11906" w:h="16838"/>
          <w:pgMar w:top="1020" w:right="1134" w:bottom="1020" w:left="1134" w:header="567" w:footer="567" w:gutter="0"/>
          <w:cols w:space="720"/>
          <w:titlePg/>
          <w:docGrid w:linePitch="360"/>
        </w:sectPr>
      </w:pPr>
    </w:p>
    <w:p>
      <w:pPr>
        <w:spacing w:before="160" w:after="80"/>
        <w:jc w:val="center"/>
        <w:keepNext/>
      </w:pPr>
      <w:r>
        <w:drawing>
          <wp:inline xmlns:a="http://schemas.openxmlformats.org/drawingml/2006/main" xmlns:pic="http://schemas.openxmlformats.org/drawingml/2006/picture">
            <wp:extent cx="8892000" cy="3828500"/>
            <wp:docPr id="8" name="Picture 8"/>
            <wp:cNvGraphicFramePr>
              <a:graphicFrameLocks noChangeAspect="1"/>
            </wp:cNvGraphicFramePr>
            <a:graphic>
              <a:graphicData uri="http://schemas.openxmlformats.org/drawingml/2006/picture">
                <pic:pic>
                  <pic:nvPicPr>
                    <pic:cNvPr id="0" name="d8-evidence.png"/>
                    <pic:cNvPicPr/>
                  </pic:nvPicPr>
                  <pic:blipFill>
                    <a:blip r:embed="rId18"/>
                    <a:stretch>
                      <a:fillRect/>
                    </a:stretch>
                  </pic:blipFill>
                  <pic:spPr>
                    <a:xfrm>
                      <a:off x="0" y="0"/>
                      <a:ext cx="8892000" cy="3828500"/>
                    </a:xfrm>
                    <a:prstGeom prst="rect"/>
                  </pic:spPr>
                </pic:pic>
              </a:graphicData>
            </a:graphic>
          </wp:inline>
        </w:drawing>
      </w:r>
    </w:p>
    <w:p>
      <w:pPr>
        <w:spacing w:after="240"/>
      </w:pPr>
      <w:r>
        <w:rPr>
          <w:rFonts w:ascii="Calibri" w:hAnsi="Calibri"/>
          <w:i/>
          <w:color w:val="5B7288"/>
          <w:sz w:val="17"/>
        </w:rPr>
        <w:t>Figure 8. The evidence lifecycle. The loop from retest back to comparison is deliberate: a correction is not complete until the comparison has been re-run and re-recorded.</w:t>
      </w: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13.1  Evidence lifecycle</w:t>
      </w:r>
    </w:p>
    <w:p>
      <w:pPr>
        <w:spacing w:after="40"/>
        <w:ind w:left="578" w:hanging="227"/>
      </w:pPr>
      <w:r>
        <w:rPr>
          <w:rFonts w:ascii="Calibri" w:hAnsi="Calibri"/>
          <w:b/>
          <w:color w:val="0F2B4C"/>
          <w:sz w:val="19"/>
        </w:rPr>
        <w:t xml:space="preserve">1.  </w:t>
      </w:r>
      <w:r>
        <w:rPr>
          <w:rFonts w:ascii="Calibri" w:hAnsi="Calibri"/>
          <w:b w:val="0"/>
          <w:i w:val="0"/>
          <w:color w:val="334E68"/>
          <w:sz w:val="19"/>
        </w:rPr>
        <w:t>Capture source evidence before migration.</w:t>
      </w:r>
    </w:p>
    <w:p>
      <w:pPr>
        <w:spacing w:after="40"/>
        <w:ind w:left="578" w:hanging="227"/>
      </w:pPr>
      <w:r>
        <w:rPr>
          <w:rFonts w:ascii="Calibri" w:hAnsi="Calibri"/>
          <w:b/>
          <w:color w:val="0F2B4C"/>
          <w:sz w:val="19"/>
        </w:rPr>
        <w:t xml:space="preserve">2.  </w:t>
      </w:r>
      <w:r>
        <w:rPr>
          <w:rFonts w:ascii="Calibri" w:hAnsi="Calibri"/>
          <w:b w:val="0"/>
          <w:i w:val="0"/>
          <w:color w:val="334E68"/>
          <w:sz w:val="19"/>
        </w:rPr>
        <w:t>Execute migration/cutover activities.</w:t>
      </w:r>
    </w:p>
    <w:p>
      <w:pPr>
        <w:spacing w:after="40"/>
        <w:ind w:left="578" w:hanging="227"/>
      </w:pPr>
      <w:r>
        <w:rPr>
          <w:rFonts w:ascii="Calibri" w:hAnsi="Calibri"/>
          <w:b/>
          <w:color w:val="0F2B4C"/>
          <w:sz w:val="19"/>
        </w:rPr>
        <w:t xml:space="preserve">3.  </w:t>
      </w:r>
      <w:r>
        <w:rPr>
          <w:rFonts w:ascii="Calibri" w:hAnsi="Calibri"/>
          <w:b w:val="0"/>
          <w:i w:val="0"/>
          <w:color w:val="334E68"/>
          <w:sz w:val="19"/>
        </w:rPr>
        <w:t>Capture equivalent target evidence.</w:t>
      </w:r>
    </w:p>
    <w:p>
      <w:pPr>
        <w:spacing w:after="40"/>
        <w:ind w:left="578" w:hanging="227"/>
      </w:pPr>
      <w:r>
        <w:rPr>
          <w:rFonts w:ascii="Calibri" w:hAnsi="Calibri"/>
          <w:b/>
          <w:color w:val="0F2B4C"/>
          <w:sz w:val="19"/>
        </w:rPr>
        <w:t xml:space="preserve">4.  </w:t>
      </w:r>
      <w:r>
        <w:rPr>
          <w:rFonts w:ascii="Calibri" w:hAnsi="Calibri"/>
          <w:b w:val="0"/>
          <w:i w:val="0"/>
          <w:color w:val="334E68"/>
          <w:sz w:val="19"/>
        </w:rPr>
        <w:t>Compare source and target.</w:t>
      </w:r>
    </w:p>
    <w:p>
      <w:pPr>
        <w:spacing w:after="40"/>
        <w:ind w:left="578" w:hanging="227"/>
      </w:pPr>
      <w:r>
        <w:rPr>
          <w:rFonts w:ascii="Calibri" w:hAnsi="Calibri"/>
          <w:b/>
          <w:color w:val="0F2B4C"/>
          <w:sz w:val="19"/>
        </w:rPr>
        <w:t xml:space="preserve">5.  </w:t>
      </w:r>
      <w:r>
        <w:rPr>
          <w:rFonts w:ascii="Calibri" w:hAnsi="Calibri"/>
          <w:b w:val="0"/>
          <w:i w:val="0"/>
          <w:color w:val="334E68"/>
          <w:sz w:val="19"/>
        </w:rPr>
        <w:t>Identify deviations.</w:t>
      </w:r>
    </w:p>
    <w:p>
      <w:pPr>
        <w:spacing w:after="40"/>
        <w:ind w:left="578" w:hanging="227"/>
      </w:pPr>
      <w:r>
        <w:rPr>
          <w:rFonts w:ascii="Calibri" w:hAnsi="Calibri"/>
          <w:b/>
          <w:color w:val="0F2B4C"/>
          <w:sz w:val="19"/>
        </w:rPr>
        <w:t xml:space="preserve">6.  </w:t>
      </w:r>
      <w:r>
        <w:rPr>
          <w:rFonts w:ascii="Calibri" w:hAnsi="Calibri"/>
          <w:b w:val="0"/>
          <w:i w:val="0"/>
          <w:color w:val="334E68"/>
          <w:sz w:val="19"/>
        </w:rPr>
        <w:t>Correct issues with the responsible team.</w:t>
      </w:r>
    </w:p>
    <w:p>
      <w:pPr>
        <w:spacing w:after="40"/>
        <w:ind w:left="578" w:hanging="227"/>
      </w:pPr>
      <w:r>
        <w:rPr>
          <w:rFonts w:ascii="Calibri" w:hAnsi="Calibri"/>
          <w:b/>
          <w:color w:val="0F2B4C"/>
          <w:sz w:val="19"/>
        </w:rPr>
        <w:t xml:space="preserve">7.  </w:t>
      </w:r>
      <w:r>
        <w:rPr>
          <w:rFonts w:ascii="Calibri" w:hAnsi="Calibri"/>
          <w:b w:val="0"/>
          <w:i w:val="0"/>
          <w:color w:val="334E68"/>
          <w:sz w:val="19"/>
        </w:rPr>
        <w:t>Retest.</w:t>
      </w:r>
    </w:p>
    <w:p>
      <w:pPr>
        <w:spacing w:after="40"/>
        <w:ind w:left="578" w:hanging="227"/>
      </w:pPr>
      <w:r>
        <w:rPr>
          <w:rFonts w:ascii="Calibri" w:hAnsi="Calibri"/>
          <w:b/>
          <w:color w:val="0F2B4C"/>
          <w:sz w:val="19"/>
        </w:rPr>
        <w:t xml:space="preserve">8.  </w:t>
      </w:r>
      <w:r>
        <w:rPr>
          <w:rFonts w:ascii="Calibri" w:hAnsi="Calibri"/>
          <w:b w:val="0"/>
          <w:i w:val="0"/>
          <w:color w:val="334E68"/>
          <w:sz w:val="19"/>
        </w:rPr>
        <w:t>Capture final evidence.</w:t>
      </w:r>
    </w:p>
    <w:p>
      <w:pPr>
        <w:spacing w:after="40"/>
        <w:ind w:left="578" w:hanging="227"/>
      </w:pPr>
      <w:r>
        <w:rPr>
          <w:rFonts w:ascii="Calibri" w:hAnsi="Calibri"/>
          <w:b/>
          <w:color w:val="0F2B4C"/>
          <w:sz w:val="19"/>
        </w:rPr>
        <w:t xml:space="preserve">9.  </w:t>
      </w:r>
      <w:r>
        <w:rPr>
          <w:rFonts w:ascii="Calibri" w:hAnsi="Calibri"/>
          <w:b w:val="0"/>
          <w:i w:val="0"/>
          <w:color w:val="334E68"/>
          <w:sz w:val="19"/>
        </w:rPr>
        <w:t>Complete handover.</w:t>
      </w: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EQUIVALENT MEANS EQUIVALENT</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A target screenshot of a different transaction, a different time window or a filtered view is not comparable evidence. Same check, same scope, same tooling, and — for performance — the same period type and load profile.</w:t>
      </w:r>
    </w:p>
    <w:p>
      <w:pPr>
        <w:pStyle w:val="Heading2"/>
        <w:pBdr>
          <w:bottom w:val="single" w:sz="6" w:space="3" w:color="E8EDF3"/>
        </w:pBdr>
      </w:pPr>
      <w:r>
        <w:rPr>
          <w:rFonts w:ascii="Calibri" w:hAnsi="Calibri"/>
          <w:b/>
          <w:color w:val="0F2B4C"/>
          <w:sz w:val="26"/>
        </w:rPr>
        <w:t>13.2  Evidence categories</w:t>
      </w:r>
    </w:p>
    <w:p>
      <w:pPr>
        <w:spacing w:before="100" w:after="20"/>
        <w:shd w:val="clear" w:color="auto" w:fill="F7F9FC"/>
        <w:pBdr>
          <w:left w:val="single" w:sz="18" w:space="6" w:color="9EC3EC"/>
        </w:pBdr>
      </w:pPr>
      <w:r>
        <w:rPr>
          <w:rFonts w:ascii="Calibri" w:hAnsi="Calibri"/>
          <w:b/>
          <w:color w:val="0F2B4C"/>
          <w:sz w:val="19"/>
        </w:rPr>
        <w:t>OS configuration and file systems</w:t>
      </w:r>
    </w:p>
    <w:p>
      <w:pPr>
        <w:spacing w:before="100" w:after="20"/>
        <w:shd w:val="clear" w:color="auto" w:fill="F7F9FC"/>
        <w:pBdr>
          <w:left w:val="single" w:sz="18" w:space="6" w:color="9EC3EC"/>
        </w:pBdr>
      </w:pPr>
      <w:r>
        <w:rPr>
          <w:rFonts w:ascii="Calibri" w:hAnsi="Calibri"/>
          <w:b/>
          <w:color w:val="0F2B4C"/>
          <w:sz w:val="19"/>
        </w:rPr>
        <w:t>CPU and memory</w:t>
      </w:r>
    </w:p>
    <w:p>
      <w:pPr>
        <w:spacing w:before="100" w:after="20"/>
        <w:shd w:val="clear" w:color="auto" w:fill="F7F9FC"/>
        <w:pBdr>
          <w:left w:val="single" w:sz="18" w:space="6" w:color="9EC3EC"/>
        </w:pBdr>
      </w:pPr>
      <w:r>
        <w:rPr>
          <w:rFonts w:ascii="Calibri" w:hAnsi="Calibri"/>
          <w:b/>
          <w:color w:val="0F2B4C"/>
          <w:sz w:val="19"/>
        </w:rPr>
        <w:t>UID/GID</w:t>
      </w:r>
    </w:p>
    <w:p>
      <w:pPr>
        <w:spacing w:before="100" w:after="20"/>
        <w:shd w:val="clear" w:color="auto" w:fill="F7F9FC"/>
        <w:pBdr>
          <w:left w:val="single" w:sz="18" w:space="6" w:color="9EC3EC"/>
        </w:pBdr>
      </w:pPr>
      <w:r>
        <w:rPr>
          <w:rFonts w:ascii="Calibri" w:hAnsi="Calibri"/>
          <w:b/>
          <w:color w:val="0F2B4C"/>
          <w:sz w:val="19"/>
        </w:rPr>
        <w:t>IP / hostname</w:t>
      </w:r>
    </w:p>
    <w:p>
      <w:pPr>
        <w:spacing w:before="100" w:after="20"/>
        <w:shd w:val="clear" w:color="auto" w:fill="F7F9FC"/>
        <w:pBdr>
          <w:left w:val="single" w:sz="18" w:space="6" w:color="9EC3EC"/>
        </w:pBdr>
      </w:pPr>
      <w:r>
        <w:rPr>
          <w:rFonts w:ascii="Calibri" w:hAnsi="Calibri"/>
          <w:b/>
          <w:color w:val="0F2B4C"/>
          <w:sz w:val="19"/>
        </w:rPr>
        <w:t>SAP status and application servers</w:t>
      </w:r>
    </w:p>
    <w:p>
      <w:pPr>
        <w:spacing w:before="100" w:after="20"/>
        <w:shd w:val="clear" w:color="auto" w:fill="F7F9FC"/>
        <w:pBdr>
          <w:left w:val="single" w:sz="18" w:space="6" w:color="9EC3EC"/>
        </w:pBdr>
      </w:pPr>
      <w:r>
        <w:rPr>
          <w:rFonts w:ascii="Calibri" w:hAnsi="Calibri"/>
          <w:b/>
          <w:color w:val="0F2B4C"/>
          <w:sz w:val="19"/>
        </w:rPr>
        <w:t>RFC and Gateway status</w:t>
      </w:r>
    </w:p>
    <w:p>
      <w:pPr>
        <w:spacing w:before="100" w:after="20"/>
        <w:shd w:val="clear" w:color="auto" w:fill="F7F9FC"/>
        <w:pBdr>
          <w:left w:val="single" w:sz="18" w:space="6" w:color="9EC3EC"/>
        </w:pBdr>
      </w:pPr>
      <w:r>
        <w:rPr>
          <w:rFonts w:ascii="Calibri" w:hAnsi="Calibri"/>
          <w:b/>
          <w:color w:val="0F2B4C"/>
          <w:sz w:val="19"/>
        </w:rPr>
        <w:t>STMS</w:t>
      </w:r>
    </w:p>
    <w:p>
      <w:pPr>
        <w:spacing w:before="100" w:after="20"/>
        <w:shd w:val="clear" w:color="auto" w:fill="F7F9FC"/>
        <w:pBdr>
          <w:left w:val="single" w:sz="18" w:space="6" w:color="9EC3EC"/>
        </w:pBdr>
      </w:pPr>
      <w:r>
        <w:rPr>
          <w:rFonts w:ascii="Calibri" w:hAnsi="Calibri"/>
          <w:b/>
          <w:color w:val="0F2B4C"/>
          <w:sz w:val="19"/>
        </w:rPr>
        <w:t>Database status and backup</w:t>
      </w:r>
    </w:p>
    <w:p>
      <w:pPr>
        <w:spacing w:before="100" w:after="20"/>
        <w:shd w:val="clear" w:color="auto" w:fill="F7F9FC"/>
        <w:pBdr>
          <w:left w:val="single" w:sz="18" w:space="6" w:color="9EC3EC"/>
        </w:pBdr>
      </w:pPr>
      <w:r>
        <w:rPr>
          <w:rFonts w:ascii="Calibri" w:hAnsi="Calibri"/>
          <w:b/>
          <w:color w:val="0F2B4C"/>
          <w:sz w:val="19"/>
        </w:rPr>
        <w:t>Printers and AL11</w:t>
      </w:r>
    </w:p>
    <w:p>
      <w:pPr>
        <w:spacing w:before="100" w:after="20"/>
        <w:shd w:val="clear" w:color="auto" w:fill="F7F9FC"/>
        <w:pBdr>
          <w:left w:val="single" w:sz="18" w:space="6" w:color="9EC3EC"/>
        </w:pBdr>
      </w:pPr>
      <w:r>
        <w:rPr>
          <w:rFonts w:ascii="Calibri" w:hAnsi="Calibri"/>
          <w:b/>
          <w:color w:val="0F2B4C"/>
          <w:sz w:val="19"/>
        </w:rPr>
        <w:t>SNC and certificates</w:t>
      </w:r>
    </w:p>
    <w:p>
      <w:pPr>
        <w:spacing w:before="100" w:after="20"/>
        <w:shd w:val="clear" w:color="auto" w:fill="F7F9FC"/>
        <w:pBdr>
          <w:left w:val="single" w:sz="18" w:space="6" w:color="9EC3EC"/>
        </w:pBdr>
      </w:pPr>
      <w:r>
        <w:rPr>
          <w:rFonts w:ascii="Calibri" w:hAnsi="Calibri"/>
          <w:b/>
          <w:color w:val="0F2B4C"/>
          <w:sz w:val="19"/>
        </w:rPr>
        <w:t>Performance indicators</w:t>
      </w:r>
    </w:p>
    <w:p>
      <w:pPr>
        <w:spacing w:before="100" w:after="20"/>
        <w:shd w:val="clear" w:color="auto" w:fill="F7F9FC"/>
        <w:pBdr>
          <w:left w:val="single" w:sz="18" w:space="6" w:color="9EC3EC"/>
        </w:pBdr>
      </w:pPr>
      <w:r>
        <w:rPr>
          <w:rFonts w:ascii="Calibri" w:hAnsi="Calibri"/>
          <w:b/>
          <w:color w:val="0F2B4C"/>
          <w:sz w:val="19"/>
        </w:rPr>
        <w:t>Backup/recovery evidence</w:t>
      </w:r>
    </w:p>
    <w:p>
      <w:pPr>
        <w:spacing w:before="100" w:after="20"/>
        <w:shd w:val="clear" w:color="auto" w:fill="F7F9FC"/>
        <w:pBdr>
          <w:left w:val="single" w:sz="18" w:space="6" w:color="9EC3EC"/>
        </w:pBdr>
      </w:pPr>
      <w:r>
        <w:rPr>
          <w:rFonts w:ascii="Calibri" w:hAnsi="Calibri"/>
          <w:b/>
          <w:color w:val="0F2B4C"/>
          <w:sz w:val="19"/>
        </w:rPr>
        <w:t>Database synchronization/switchover evidence</w:t>
      </w:r>
    </w:p>
    <w:p>
      <w:pPr>
        <w:spacing w:before="100" w:after="20"/>
        <w:shd w:val="clear" w:color="auto" w:fill="F7F9FC"/>
        <w:pBdr>
          <w:left w:val="single" w:sz="18" w:space="6" w:color="9EC3EC"/>
        </w:pBdr>
      </w:pPr>
      <w:r>
        <w:rPr>
          <w:rFonts w:ascii="Calibri" w:hAnsi="Calibri"/>
          <w:b/>
          <w:color w:val="0F2B4C"/>
          <w:sz w:val="19"/>
        </w:rPr>
        <w:t>Functional transaction evidence</w:t>
      </w:r>
    </w:p>
    <w:p>
      <w:pPr>
        <w:spacing w:before="100" w:after="20"/>
        <w:shd w:val="clear" w:color="auto" w:fill="F7F9FC"/>
        <w:pBdr>
          <w:left w:val="single" w:sz="18" w:space="6" w:color="9EC3EC"/>
        </w:pBdr>
      </w:pPr>
      <w:r>
        <w:rPr>
          <w:rFonts w:ascii="Calibri" w:hAnsi="Calibri"/>
          <w:b/>
          <w:color w:val="0F2B4C"/>
          <w:sz w:val="19"/>
        </w:rPr>
        <w:t>Approvals and Go/No-Go decision</w:t>
      </w:r>
    </w:p>
    <w:p>
      <w:pPr>
        <w:pStyle w:val="Heading2"/>
        <w:pBdr>
          <w:bottom w:val="single" w:sz="6" w:space="3" w:color="E8EDF3"/>
        </w:pBdr>
      </w:pPr>
      <w:r>
        <w:rPr>
          <w:rFonts w:ascii="Calibri" w:hAnsi="Calibri"/>
          <w:b/>
          <w:color w:val="0F2B4C"/>
          <w:sz w:val="26"/>
        </w:rPr>
        <w:t>13.3  Recommended evidence record</w:t>
      </w:r>
    </w:p>
    <w:p>
      <w:pPr>
        <w:spacing w:after="60" w:before="160"/>
        <w:keepNext/>
      </w:pPr>
      <w:r>
        <w:rPr>
          <w:rFonts w:ascii="Calibri" w:hAnsi="Calibri"/>
          <w:b/>
          <w:color w:val="5B7288"/>
          <w:sz w:val="15"/>
        </w:rPr>
        <w:t>EVIDENCE REGISTER TEMPLATE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578"/>
        <w:gridCol w:w="2313"/>
        <w:gridCol w:w="2313"/>
        <w:gridCol w:w="2313"/>
        <w:gridCol w:w="2120"/>
      </w:tblGrid>
      <w:tr>
        <w:trPr>
          <w:tblHeader/>
          <w:cantSplit/>
        </w:trPr>
        <w:tc>
          <w:tcPr>
            <w:tcW w:type="dxa" w:w="578"/>
            <w:shd w:val="clear" w:color="auto" w:fill="0F2B4C"/>
          </w:tcPr>
          <w:p>
            <w:pPr>
              <w:spacing w:after="20" w:before="20"/>
            </w:pPr>
            <w:r/>
            <w:r>
              <w:rPr>
                <w:rFonts w:ascii="Calibri" w:hAnsi="Calibri"/>
                <w:b/>
                <w:color w:val="FFFFFF"/>
                <w:sz w:val="17"/>
              </w:rPr>
              <w:t>ID</w:t>
            </w:r>
          </w:p>
        </w:tc>
        <w:tc>
          <w:tcPr>
            <w:tcW w:type="dxa" w:w="2313"/>
            <w:shd w:val="clear" w:color="auto" w:fill="0F2B4C"/>
          </w:tcPr>
          <w:p>
            <w:pPr>
              <w:spacing w:after="20" w:before="20"/>
            </w:pPr>
            <w:r/>
            <w:r>
              <w:rPr>
                <w:rFonts w:ascii="Calibri" w:hAnsi="Calibri"/>
                <w:b/>
                <w:color w:val="FFFFFF"/>
                <w:sz w:val="17"/>
              </w:rPr>
              <w:t>Validation area</w:t>
            </w:r>
          </w:p>
        </w:tc>
        <w:tc>
          <w:tcPr>
            <w:tcW w:type="dxa" w:w="2313"/>
            <w:shd w:val="clear" w:color="auto" w:fill="0F2B4C"/>
          </w:tcPr>
          <w:p>
            <w:pPr>
              <w:spacing w:after="20" w:before="20"/>
            </w:pPr>
            <w:r/>
            <w:r>
              <w:rPr>
                <w:rFonts w:ascii="Calibri" w:hAnsi="Calibri"/>
                <w:b/>
                <w:color w:val="FFFFFF"/>
                <w:sz w:val="17"/>
              </w:rPr>
              <w:t>Source evidence</w:t>
            </w:r>
          </w:p>
        </w:tc>
        <w:tc>
          <w:tcPr>
            <w:tcW w:type="dxa" w:w="2313"/>
            <w:shd w:val="clear" w:color="auto" w:fill="0F2B4C"/>
          </w:tcPr>
          <w:p>
            <w:pPr>
              <w:spacing w:after="20" w:before="20"/>
            </w:pPr>
            <w:r/>
            <w:r>
              <w:rPr>
                <w:rFonts w:ascii="Calibri" w:hAnsi="Calibri"/>
                <w:b/>
                <w:color w:val="FFFFFF"/>
                <w:sz w:val="17"/>
              </w:rPr>
              <w:t>Target evidence</w:t>
            </w:r>
          </w:p>
        </w:tc>
        <w:tc>
          <w:tcPr>
            <w:tcW w:type="dxa" w:w="2120"/>
            <w:shd w:val="clear" w:color="auto" w:fill="0F2B4C"/>
          </w:tcPr>
          <w:p>
            <w:pPr>
              <w:spacing w:after="20" w:before="20"/>
            </w:pPr>
            <w:r/>
            <w:r>
              <w:rPr>
                <w:rFonts w:ascii="Calibri" w:hAnsi="Calibri"/>
                <w:b/>
                <w:color w:val="FFFFFF"/>
                <w:sz w:val="17"/>
              </w:rPr>
              <w:t>Result / action</w:t>
            </w:r>
          </w:p>
        </w:tc>
      </w:tr>
      <w:tr>
        <w:trPr>
          <w:cantSplit/>
        </w:trPr>
        <w:tc>
          <w:tcPr>
            <w:tcW w:type="dxa" w:w="578"/>
          </w:tcPr>
          <w:p>
            <w:pPr>
              <w:spacing w:after="20" w:before="20"/>
            </w:pPr>
            <w:r/>
            <w:r>
              <w:rPr>
                <w:rFonts w:ascii="Calibri" w:hAnsi="Calibri"/>
                <w:b/>
                <w:i w:val="0"/>
                <w:color w:val="334E68"/>
                <w:sz w:val="17"/>
              </w:rPr>
              <w:t>1</w:t>
            </w:r>
          </w:p>
        </w:tc>
        <w:tc>
          <w:tcPr>
            <w:tcW w:type="dxa" w:w="2313"/>
          </w:tcPr>
          <w:p>
            <w:pPr>
              <w:spacing w:after="20" w:before="20"/>
            </w:pPr>
            <w:r/>
          </w:p>
        </w:tc>
        <w:tc>
          <w:tcPr>
            <w:tcW w:type="dxa" w:w="2313"/>
          </w:tcPr>
          <w:p>
            <w:pPr>
              <w:spacing w:after="20" w:before="20"/>
            </w:pPr>
            <w:r/>
          </w:p>
        </w:tc>
        <w:tc>
          <w:tcPr>
            <w:tcW w:type="dxa" w:w="2313"/>
          </w:tcPr>
          <w:p>
            <w:pPr>
              <w:spacing w:after="20" w:before="20"/>
            </w:pPr>
            <w:r/>
          </w:p>
        </w:tc>
        <w:tc>
          <w:tcPr>
            <w:tcW w:type="dxa" w:w="2120"/>
          </w:tcPr>
          <w:p>
            <w:pPr>
              <w:spacing w:after="20" w:before="20"/>
            </w:pPr>
            <w:r/>
          </w:p>
        </w:tc>
      </w:tr>
      <w:tr>
        <w:trPr>
          <w:cantSplit/>
        </w:trPr>
        <w:tc>
          <w:tcPr>
            <w:tcW w:type="dxa" w:w="578"/>
            <w:shd w:val="clear" w:color="auto" w:fill="FAFBFD"/>
          </w:tcPr>
          <w:p>
            <w:pPr>
              <w:spacing w:after="20" w:before="20"/>
            </w:pPr>
            <w:r/>
            <w:r>
              <w:rPr>
                <w:rFonts w:ascii="Calibri" w:hAnsi="Calibri"/>
                <w:b/>
                <w:i w:val="0"/>
                <w:color w:val="334E68"/>
                <w:sz w:val="17"/>
              </w:rPr>
              <w:t>2</w:t>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120"/>
            <w:shd w:val="clear" w:color="auto" w:fill="FAFBFD"/>
          </w:tcPr>
          <w:p>
            <w:pPr>
              <w:spacing w:after="20" w:before="20"/>
            </w:pPr>
            <w:r/>
          </w:p>
        </w:tc>
      </w:tr>
      <w:tr>
        <w:trPr>
          <w:cantSplit/>
        </w:trPr>
        <w:tc>
          <w:tcPr>
            <w:tcW w:type="dxa" w:w="578"/>
          </w:tcPr>
          <w:p>
            <w:pPr>
              <w:spacing w:after="20" w:before="20"/>
            </w:pPr>
            <w:r/>
            <w:r>
              <w:rPr>
                <w:rFonts w:ascii="Calibri" w:hAnsi="Calibri"/>
                <w:b/>
                <w:i w:val="0"/>
                <w:color w:val="334E68"/>
                <w:sz w:val="17"/>
              </w:rPr>
              <w:t>3</w:t>
            </w:r>
          </w:p>
        </w:tc>
        <w:tc>
          <w:tcPr>
            <w:tcW w:type="dxa" w:w="2313"/>
          </w:tcPr>
          <w:p>
            <w:pPr>
              <w:spacing w:after="20" w:before="20"/>
            </w:pPr>
            <w:r/>
          </w:p>
        </w:tc>
        <w:tc>
          <w:tcPr>
            <w:tcW w:type="dxa" w:w="2313"/>
          </w:tcPr>
          <w:p>
            <w:pPr>
              <w:spacing w:after="20" w:before="20"/>
            </w:pPr>
            <w:r/>
          </w:p>
        </w:tc>
        <w:tc>
          <w:tcPr>
            <w:tcW w:type="dxa" w:w="2313"/>
          </w:tcPr>
          <w:p>
            <w:pPr>
              <w:spacing w:after="20" w:before="20"/>
            </w:pPr>
            <w:r/>
          </w:p>
        </w:tc>
        <w:tc>
          <w:tcPr>
            <w:tcW w:type="dxa" w:w="2120"/>
          </w:tcPr>
          <w:p>
            <w:pPr>
              <w:spacing w:after="20" w:before="20"/>
            </w:pPr>
            <w:r/>
          </w:p>
        </w:tc>
      </w:tr>
      <w:tr>
        <w:trPr>
          <w:cantSplit/>
        </w:trPr>
        <w:tc>
          <w:tcPr>
            <w:tcW w:type="dxa" w:w="578"/>
            <w:shd w:val="clear" w:color="auto" w:fill="FAFBFD"/>
          </w:tcPr>
          <w:p>
            <w:pPr>
              <w:spacing w:after="20" w:before="20"/>
            </w:pPr>
            <w:r/>
            <w:r>
              <w:rPr>
                <w:rFonts w:ascii="Calibri" w:hAnsi="Calibri"/>
                <w:b/>
                <w:i w:val="0"/>
                <w:color w:val="334E68"/>
                <w:sz w:val="17"/>
              </w:rPr>
              <w:t>4</w:t>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120"/>
            <w:shd w:val="clear" w:color="auto" w:fill="FAFBFD"/>
          </w:tcPr>
          <w:p>
            <w:pPr>
              <w:spacing w:after="20" w:before="20"/>
            </w:pPr>
            <w:r/>
          </w:p>
        </w:tc>
      </w:tr>
      <w:tr>
        <w:trPr>
          <w:cantSplit/>
        </w:trPr>
        <w:tc>
          <w:tcPr>
            <w:tcW w:type="dxa" w:w="578"/>
          </w:tcPr>
          <w:p>
            <w:pPr>
              <w:spacing w:after="20" w:before="20"/>
            </w:pPr>
            <w:r/>
            <w:r>
              <w:rPr>
                <w:rFonts w:ascii="Calibri" w:hAnsi="Calibri"/>
                <w:b/>
                <w:i w:val="0"/>
                <w:color w:val="334E68"/>
                <w:sz w:val="17"/>
              </w:rPr>
              <w:t>5</w:t>
            </w:r>
          </w:p>
        </w:tc>
        <w:tc>
          <w:tcPr>
            <w:tcW w:type="dxa" w:w="2313"/>
          </w:tcPr>
          <w:p>
            <w:pPr>
              <w:spacing w:after="20" w:before="20"/>
            </w:pPr>
            <w:r/>
          </w:p>
        </w:tc>
        <w:tc>
          <w:tcPr>
            <w:tcW w:type="dxa" w:w="2313"/>
          </w:tcPr>
          <w:p>
            <w:pPr>
              <w:spacing w:after="20" w:before="20"/>
            </w:pPr>
            <w:r/>
          </w:p>
        </w:tc>
        <w:tc>
          <w:tcPr>
            <w:tcW w:type="dxa" w:w="2313"/>
          </w:tcPr>
          <w:p>
            <w:pPr>
              <w:spacing w:after="20" w:before="20"/>
            </w:pPr>
            <w:r/>
          </w:p>
        </w:tc>
        <w:tc>
          <w:tcPr>
            <w:tcW w:type="dxa" w:w="2120"/>
          </w:tcPr>
          <w:p>
            <w:pPr>
              <w:spacing w:after="20" w:before="20"/>
            </w:pPr>
            <w:r/>
          </w:p>
        </w:tc>
      </w:tr>
      <w:tr>
        <w:trPr>
          <w:cantSplit/>
        </w:trPr>
        <w:tc>
          <w:tcPr>
            <w:tcW w:type="dxa" w:w="578"/>
            <w:shd w:val="clear" w:color="auto" w:fill="FAFBFD"/>
          </w:tcPr>
          <w:p>
            <w:pPr>
              <w:spacing w:after="20" w:before="20"/>
            </w:pPr>
            <w:r/>
            <w:r>
              <w:rPr>
                <w:rFonts w:ascii="Calibri" w:hAnsi="Calibri"/>
                <w:b/>
                <w:i w:val="0"/>
                <w:color w:val="334E68"/>
                <w:sz w:val="17"/>
              </w:rPr>
              <w:t>6</w:t>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120"/>
            <w:shd w:val="clear" w:color="auto" w:fill="FAFBFD"/>
          </w:tcPr>
          <w:p>
            <w:pPr>
              <w:spacing w:after="20" w:before="20"/>
            </w:pPr>
            <w:r/>
          </w:p>
        </w:tc>
      </w:tr>
      <w:tr>
        <w:trPr>
          <w:cantSplit/>
        </w:trPr>
        <w:tc>
          <w:tcPr>
            <w:tcW w:type="dxa" w:w="578"/>
          </w:tcPr>
          <w:p>
            <w:pPr>
              <w:spacing w:after="20" w:before="20"/>
            </w:pPr>
            <w:r/>
            <w:r>
              <w:rPr>
                <w:rFonts w:ascii="Calibri" w:hAnsi="Calibri"/>
                <w:b/>
                <w:i w:val="0"/>
                <w:color w:val="334E68"/>
                <w:sz w:val="17"/>
              </w:rPr>
              <w:t>7</w:t>
            </w:r>
          </w:p>
        </w:tc>
        <w:tc>
          <w:tcPr>
            <w:tcW w:type="dxa" w:w="2313"/>
          </w:tcPr>
          <w:p>
            <w:pPr>
              <w:spacing w:after="20" w:before="20"/>
            </w:pPr>
            <w:r/>
          </w:p>
        </w:tc>
        <w:tc>
          <w:tcPr>
            <w:tcW w:type="dxa" w:w="2313"/>
          </w:tcPr>
          <w:p>
            <w:pPr>
              <w:spacing w:after="20" w:before="20"/>
            </w:pPr>
            <w:r/>
          </w:p>
        </w:tc>
        <w:tc>
          <w:tcPr>
            <w:tcW w:type="dxa" w:w="2313"/>
          </w:tcPr>
          <w:p>
            <w:pPr>
              <w:spacing w:after="20" w:before="20"/>
            </w:pPr>
            <w:r/>
          </w:p>
        </w:tc>
        <w:tc>
          <w:tcPr>
            <w:tcW w:type="dxa" w:w="2120"/>
          </w:tcPr>
          <w:p>
            <w:pPr>
              <w:spacing w:after="20" w:before="20"/>
            </w:pPr>
            <w:r/>
          </w:p>
        </w:tc>
      </w:tr>
      <w:tr>
        <w:trPr>
          <w:cantSplit/>
        </w:trPr>
        <w:tc>
          <w:tcPr>
            <w:tcW w:type="dxa" w:w="578"/>
            <w:shd w:val="clear" w:color="auto" w:fill="FAFBFD"/>
          </w:tcPr>
          <w:p>
            <w:pPr>
              <w:spacing w:after="20" w:before="20"/>
            </w:pPr>
            <w:r/>
            <w:r>
              <w:rPr>
                <w:rFonts w:ascii="Calibri" w:hAnsi="Calibri"/>
                <w:b/>
                <w:i w:val="0"/>
                <w:color w:val="334E68"/>
                <w:sz w:val="17"/>
              </w:rPr>
              <w:t>8</w:t>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313"/>
            <w:shd w:val="clear" w:color="auto" w:fill="FAFBFD"/>
          </w:tcPr>
          <w:p>
            <w:pPr>
              <w:spacing w:after="20" w:before="20"/>
            </w:pPr>
            <w:r/>
          </w:p>
        </w:tc>
        <w:tc>
          <w:tcPr>
            <w:tcW w:type="dxa" w:w="2120"/>
            <w:shd w:val="clear" w:color="auto" w:fill="FAFBFD"/>
          </w:tcPr>
          <w:p>
            <w:pPr>
              <w:spacing w:after="20" w:before="20"/>
            </w:pPr>
            <w:r/>
          </w:p>
        </w:tc>
      </w:tr>
    </w:tbl>
    <w:p>
      <w:pPr>
        <w:spacing w:after="40"/>
      </w:pPr>
    </w:p>
    <w:p>
      <w:pPr>
        <w:pStyle w:val="Heading2"/>
        <w:pBdr>
          <w:bottom w:val="single" w:sz="6" w:space="3" w:color="E8EDF3"/>
        </w:pBdr>
      </w:pPr>
      <w:r>
        <w:rPr>
          <w:rFonts w:ascii="Calibri" w:hAnsi="Calibri"/>
          <w:b/>
          <w:color w:val="0F2B4C"/>
          <w:sz w:val="26"/>
        </w:rPr>
        <w:t>13.4  Naming and storage convention</w:t>
      </w:r>
    </w:p>
    <w:p>
      <w:r>
        <w:rPr>
          <w:rFonts w:ascii="Calibri" w:hAnsi="Calibri"/>
          <w:b w:val="0"/>
          <w:i w:val="0"/>
          <w:color w:val="334E68"/>
          <w:sz w:val="20"/>
        </w:rPr>
        <w:t>Adopt one convention across the programme so that evidence can be found during a 02:00 cutover call without opening files:</w:t>
      </w:r>
    </w:p>
    <w:p>
      <w:pPr>
        <w:spacing w:before="120" w:after="0"/>
        <w:ind w:left="170"/>
        <w:shd w:val="clear" w:color="auto" w:fill="0E2340"/>
        <w:pBdr>
          <w:left w:val="single" w:sz="18" w:space="4" w:color="1B4F86"/>
        </w:pBdr>
      </w:pPr>
      <w:r>
        <w:rPr>
          <w:rFonts w:ascii="Consolas" w:hAnsi="Consolas"/>
          <w:color w:val="D6E4F5"/>
          <w:sz w:val="16"/>
        </w:rPr>
        <w:t>&amp;lt;SID&amp;gt;_&amp;lt;PHASE&amp;gt;_&amp;lt;CHECK&amp;gt;_&amp;lt;SOURCE|TARGET&amp;gt;_&amp;lt;YYYYMMDD-HHMM&amp;gt;.&amp;lt;ext&amp;gt;</w:t>
      </w:r>
    </w:p>
    <w:p>
      <w:pPr>
        <w:spacing w:before="0" w:after="0"/>
        <w:ind w:left="170"/>
        <w:shd w:val="clear" w:color="auto" w:fill="0E2340"/>
        <w:pBdr>
          <w:left w:val="single" w:sz="18" w:space="4" w:color="1B4F86"/>
        </w:pBdr>
      </w:pPr>
      <w:r>
        <w:rPr>
          <w:rFonts w:ascii="Consolas" w:hAnsi="Consolas"/>
          <w:color w:val="7FA2C8"/>
          <w:sz w:val="16"/>
        </w:rPr>
        <w:t># examples</w:t>
      </w:r>
    </w:p>
    <w:p>
      <w:pPr>
        <w:spacing w:before="0" w:after="0"/>
        <w:ind w:left="170"/>
        <w:shd w:val="clear" w:color="auto" w:fill="0E2340"/>
        <w:pBdr>
          <w:left w:val="single" w:sz="18" w:space="4" w:color="1B4F86"/>
        </w:pBdr>
      </w:pPr>
      <w:r>
        <w:rPr>
          <w:rFonts w:ascii="Consolas" w:hAnsi="Consolas"/>
          <w:color w:val="D6E4F5"/>
          <w:sz w:val="16"/>
        </w:rPr>
        <w:t>PRD_PRECUT_SM59_SOURCE_20261002-1015.pdf</w:t>
      </w:r>
    </w:p>
    <w:p>
      <w:pPr>
        <w:spacing w:before="0" w:after="0"/>
        <w:ind w:left="170"/>
        <w:shd w:val="clear" w:color="auto" w:fill="0E2340"/>
        <w:pBdr>
          <w:left w:val="single" w:sz="18" w:space="4" w:color="1B4F86"/>
        </w:pBdr>
      </w:pPr>
      <w:r>
        <w:rPr>
          <w:rFonts w:ascii="Consolas" w:hAnsi="Consolas"/>
          <w:color w:val="D6E4F5"/>
          <w:sz w:val="16"/>
        </w:rPr>
        <w:t>PRD_CUTOVER_R3TRANS_TARGET_20261005-0212.log</w:t>
      </w:r>
    </w:p>
    <w:p>
      <w:pPr>
        <w:spacing w:before="0" w:after="0"/>
        <w:ind w:left="170"/>
        <w:shd w:val="clear" w:color="auto" w:fill="0E2340"/>
        <w:pBdr>
          <w:left w:val="single" w:sz="18" w:space="4" w:color="1B4F86"/>
        </w:pBdr>
      </w:pPr>
      <w:r>
        <w:rPr>
          <w:rFonts w:ascii="Consolas" w:hAnsi="Consolas"/>
          <w:color w:val="D6E4F5"/>
          <w:sz w:val="16"/>
        </w:rPr>
        <w:t>PRD_CUTOVER_SCN_BOTH_20261005-0140.png</w:t>
      </w:r>
    </w:p>
    <w:p>
      <w:pPr>
        <w:spacing w:before="0" w:after="120"/>
        <w:ind w:left="170"/>
        <w:shd w:val="clear" w:color="auto" w:fill="0E2340"/>
        <w:pBdr>
          <w:left w:val="single" w:sz="18" w:space="4" w:color="1B4F86"/>
        </w:pBdr>
      </w:pPr>
      <w:r>
        <w:rPr>
          <w:rFonts w:ascii="Consolas" w:hAnsi="Consolas"/>
          <w:color w:val="D6E4F5"/>
          <w:sz w:val="16"/>
        </w:rPr>
        <w:t>PRD_HYPER_ST03N_TARGET_20261007-0900.pdf</w:t>
      </w:r>
    </w:p>
    <w:p>
      <w:pPr>
        <w:spacing w:after="40"/>
        <w:ind w:left="351" w:hanging="227"/>
      </w:pPr>
      <w:r>
        <w:rPr>
          <w:rFonts w:ascii="Calibri" w:hAnsi="Calibri"/>
          <w:b/>
          <w:color w:val="1B4F86"/>
          <w:sz w:val="19"/>
        </w:rPr>
        <w:t xml:space="preserve">▪  </w:t>
      </w:r>
      <w:r>
        <w:rPr>
          <w:rFonts w:ascii="Calibri" w:hAnsi="Calibri"/>
          <w:b w:val="0"/>
          <w:i w:val="0"/>
          <w:color w:val="334E68"/>
          <w:sz w:val="19"/>
        </w:rPr>
        <w:t>Store per the project retention and data-handling rules — no production data in unapproved locations, personal drives or chat.</w:t>
      </w:r>
    </w:p>
    <w:p>
      <w:pPr>
        <w:spacing w:after="40"/>
        <w:ind w:left="351" w:hanging="227"/>
      </w:pPr>
      <w:r>
        <w:rPr>
          <w:rFonts w:ascii="Calibri" w:hAnsi="Calibri"/>
          <w:b/>
          <w:color w:val="1B4F86"/>
          <w:sz w:val="19"/>
        </w:rPr>
        <w:t xml:space="preserve">▪  </w:t>
      </w:r>
      <w:r>
        <w:rPr>
          <w:rFonts w:ascii="Calibri" w:hAnsi="Calibri"/>
          <w:b w:val="0"/>
          <w:i w:val="0"/>
          <w:color w:val="334E68"/>
          <w:sz w:val="19"/>
        </w:rPr>
        <w:t>Attach evidence to the change/Jira record at the gate it supports, not in a batch at the end.</w:t>
      </w:r>
    </w:p>
    <w:p>
      <w:pPr>
        <w:spacing w:after="40"/>
        <w:ind w:left="351" w:hanging="227"/>
      </w:pPr>
      <w:r>
        <w:rPr>
          <w:rFonts w:ascii="Calibri" w:hAnsi="Calibri"/>
          <w:b/>
          <w:color w:val="1B4F86"/>
          <w:sz w:val="19"/>
        </w:rPr>
        <w:t xml:space="preserve">▪  </w:t>
      </w:r>
      <w:r>
        <w:rPr>
          <w:rFonts w:ascii="Calibri" w:hAnsi="Calibri"/>
          <w:b w:val="0"/>
          <w:i w:val="0"/>
          <w:color w:val="334E68"/>
          <w:sz w:val="19"/>
        </w:rPr>
        <w:t>Capture full output. A cropped success line proves nothing about what else was on the screen.</w:t>
      </w:r>
    </w:p>
    <w:p>
      <w:pPr>
        <w:spacing w:after="40"/>
        <w:ind w:left="351" w:hanging="227"/>
      </w:pPr>
      <w:r>
        <w:rPr>
          <w:rFonts w:ascii="Calibri" w:hAnsi="Calibri"/>
          <w:b/>
          <w:color w:val="1B4F86"/>
          <w:sz w:val="19"/>
        </w:rPr>
        <w:t xml:space="preserve">▪  </w:t>
      </w:r>
      <w:r>
        <w:rPr>
          <w:rFonts w:ascii="Calibri" w:hAnsi="Calibri"/>
          <w:b w:val="0"/>
          <w:i w:val="0"/>
          <w:color w:val="334E68"/>
          <w:sz w:val="19"/>
        </w:rPr>
        <w:t>Where evidence contains credentials, secrets or personal data, redact before storing and note that redaction occurred.</w:t>
      </w:r>
    </w:p>
    <w:p>
      <w:pPr>
        <w:spacing w:after="40"/>
        <w:ind w:left="351" w:hanging="227"/>
      </w:pPr>
      <w:r>
        <w:rPr>
          <w:rFonts w:ascii="Calibri" w:hAnsi="Calibri"/>
          <w:b/>
          <w:color w:val="1B4F86"/>
          <w:sz w:val="19"/>
        </w:rPr>
        <w:t xml:space="preserve">▪  </w:t>
      </w:r>
      <w:r>
        <w:rPr>
          <w:rFonts w:ascii="Calibri" w:hAnsi="Calibri"/>
          <w:b w:val="0"/>
          <w:i w:val="0"/>
          <w:color w:val="334E68"/>
          <w:sz w:val="19"/>
        </w:rPr>
        <w:t>Keep the evidence pack indexed by checklist item so a reviewer can jump from “SNC” to the SNC proof in one step.</w:t>
      </w:r>
    </w:p>
    <w:p>
      <w:pPr>
        <w:pStyle w:val="Heading2"/>
        <w:pBdr>
          <w:bottom w:val="single" w:sz="6" w:space="3" w:color="E8EDF3"/>
        </w:pBdr>
      </w:pPr>
      <w:r>
        <w:rPr>
          <w:rFonts w:ascii="Calibri" w:hAnsi="Calibri"/>
          <w:b/>
          <w:color w:val="0F2B4C"/>
          <w:sz w:val="26"/>
        </w:rPr>
        <w:t>13.5  Documentation set produced by a migration</w:t>
      </w:r>
    </w:p>
    <w:p>
      <w:pPr>
        <w:spacing w:after="60" w:before="160"/>
        <w:keepNext/>
      </w:pPr>
      <w:r>
        <w:rPr>
          <w:rFonts w:ascii="Calibri" w:hAnsi="Calibri"/>
          <w:b/>
          <w:color w:val="5B7288"/>
          <w:sz w:val="15"/>
        </w:rPr>
        <w:t>DOCUMENTATION SET</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699"/>
        <w:gridCol w:w="1928"/>
        <w:gridCol w:w="5012"/>
      </w:tblGrid>
      <w:tr>
        <w:trPr>
          <w:tblHeader/>
          <w:cantSplit/>
        </w:trPr>
        <w:tc>
          <w:tcPr>
            <w:tcW w:type="dxa" w:w="2699"/>
            <w:shd w:val="clear" w:color="auto" w:fill="0F2B4C"/>
          </w:tcPr>
          <w:p>
            <w:pPr>
              <w:spacing w:after="20" w:before="20"/>
            </w:pPr>
            <w:r/>
            <w:r>
              <w:rPr>
                <w:rFonts w:ascii="Calibri" w:hAnsi="Calibri"/>
                <w:b/>
                <w:color w:val="FFFFFF"/>
                <w:sz w:val="17"/>
              </w:rPr>
              <w:t>Document</w:t>
            </w:r>
          </w:p>
        </w:tc>
        <w:tc>
          <w:tcPr>
            <w:tcW w:type="dxa" w:w="1928"/>
            <w:shd w:val="clear" w:color="auto" w:fill="0F2B4C"/>
          </w:tcPr>
          <w:p>
            <w:pPr>
              <w:spacing w:after="20" w:before="20"/>
            </w:pPr>
            <w:r/>
            <w:r>
              <w:rPr>
                <w:rFonts w:ascii="Calibri" w:hAnsi="Calibri"/>
                <w:b/>
                <w:color w:val="FFFFFF"/>
                <w:sz w:val="17"/>
              </w:rPr>
              <w:t>Owner</w:t>
            </w:r>
          </w:p>
        </w:tc>
        <w:tc>
          <w:tcPr>
            <w:tcW w:type="dxa" w:w="5012"/>
            <w:shd w:val="clear" w:color="auto" w:fill="0F2B4C"/>
          </w:tcPr>
          <w:p>
            <w:pPr>
              <w:spacing w:after="20" w:before="20"/>
            </w:pPr>
            <w:r/>
            <w:r>
              <w:rPr>
                <w:rFonts w:ascii="Calibri" w:hAnsi="Calibri"/>
                <w:b/>
                <w:color w:val="FFFFFF"/>
                <w:sz w:val="17"/>
              </w:rPr>
              <w:t>Purpose</w:t>
            </w:r>
          </w:p>
        </w:tc>
      </w:tr>
      <w:tr>
        <w:trPr>
          <w:cantSplit/>
        </w:trPr>
        <w:tc>
          <w:tcPr>
            <w:tcW w:type="dxa" w:w="2699"/>
          </w:tcPr>
          <w:p>
            <w:pPr>
              <w:spacing w:after="20" w:before="20"/>
            </w:pPr>
            <w:r/>
            <w:r>
              <w:rPr>
                <w:rFonts w:ascii="Calibri" w:hAnsi="Calibri"/>
                <w:b/>
                <w:i w:val="0"/>
                <w:color w:val="334E68"/>
                <w:sz w:val="17"/>
              </w:rPr>
              <w:t>Source baseline pack</w:t>
            </w:r>
          </w:p>
        </w:tc>
        <w:tc>
          <w:tcPr>
            <w:tcW w:type="dxa" w:w="1928"/>
          </w:tcPr>
          <w:p>
            <w:pPr>
              <w:spacing w:after="20" w:before="20"/>
            </w:pPr>
            <w:r/>
            <w:r>
              <w:rPr>
                <w:rFonts w:ascii="Calibri" w:hAnsi="Calibri"/>
                <w:b w:val="0"/>
                <w:i w:val="0"/>
                <w:color w:val="334E68"/>
                <w:sz w:val="17"/>
              </w:rPr>
              <w:t>Basis / migration</w:t>
            </w:r>
          </w:p>
        </w:tc>
        <w:tc>
          <w:tcPr>
            <w:tcW w:type="dxa" w:w="5012"/>
          </w:tcPr>
          <w:p>
            <w:pPr>
              <w:spacing w:after="20" w:before="20"/>
            </w:pPr>
            <w:r/>
            <w:r>
              <w:rPr>
                <w:rFonts w:ascii="Calibri" w:hAnsi="Calibri"/>
                <w:b w:val="0"/>
                <w:i w:val="0"/>
                <w:color w:val="334E68"/>
                <w:sz w:val="17"/>
              </w:rPr>
              <w:t>Reference for every comparison and for hypercare triage</w:t>
            </w:r>
          </w:p>
        </w:tc>
      </w:tr>
      <w:tr>
        <w:trPr>
          <w:cantSplit/>
        </w:trPr>
        <w:tc>
          <w:tcPr>
            <w:tcW w:type="dxa" w:w="2699"/>
            <w:shd w:val="clear" w:color="auto" w:fill="FAFBFD"/>
          </w:tcPr>
          <w:p>
            <w:pPr>
              <w:spacing w:after="20" w:before="20"/>
            </w:pPr>
            <w:r/>
            <w:r>
              <w:rPr>
                <w:rFonts w:ascii="Calibri" w:hAnsi="Calibri"/>
                <w:b/>
                <w:i w:val="0"/>
                <w:color w:val="334E68"/>
                <w:sz w:val="17"/>
              </w:rPr>
              <w:t>Build sheet (approved)</w:t>
            </w:r>
          </w:p>
        </w:tc>
        <w:tc>
          <w:tcPr>
            <w:tcW w:type="dxa" w:w="1928"/>
            <w:shd w:val="clear" w:color="auto" w:fill="FAFBFD"/>
          </w:tcPr>
          <w:p>
            <w:pPr>
              <w:spacing w:after="20" w:before="20"/>
            </w:pPr>
            <w:r/>
            <w:r>
              <w:rPr>
                <w:rFonts w:ascii="Calibri" w:hAnsi="Calibri"/>
                <w:b w:val="0"/>
                <w:i w:val="0"/>
                <w:color w:val="334E68"/>
                <w:sz w:val="17"/>
              </w:rPr>
              <w:t>Basis + automation</w:t>
            </w:r>
          </w:p>
        </w:tc>
        <w:tc>
          <w:tcPr>
            <w:tcW w:type="dxa" w:w="5012"/>
            <w:shd w:val="clear" w:color="auto" w:fill="FAFBFD"/>
          </w:tcPr>
          <w:p>
            <w:pPr>
              <w:spacing w:after="20" w:before="20"/>
            </w:pPr>
            <w:r/>
            <w:r>
              <w:rPr>
                <w:rFonts w:ascii="Calibri" w:hAnsi="Calibri"/>
                <w:b w:val="0"/>
                <w:i w:val="0"/>
                <w:color w:val="334E68"/>
                <w:sz w:val="17"/>
              </w:rPr>
              <w:t>The provisioning input and the validation reference</w:t>
            </w:r>
          </w:p>
        </w:tc>
      </w:tr>
      <w:tr>
        <w:trPr>
          <w:cantSplit/>
        </w:trPr>
        <w:tc>
          <w:tcPr>
            <w:tcW w:type="dxa" w:w="2699"/>
          </w:tcPr>
          <w:p>
            <w:pPr>
              <w:spacing w:after="20" w:before="20"/>
            </w:pPr>
            <w:r/>
            <w:r>
              <w:rPr>
                <w:rFonts w:ascii="Calibri" w:hAnsi="Calibri"/>
                <w:b/>
                <w:i w:val="0"/>
                <w:color w:val="334E68"/>
                <w:sz w:val="17"/>
              </w:rPr>
              <w:t>Infrastructure validation record</w:t>
            </w:r>
          </w:p>
        </w:tc>
        <w:tc>
          <w:tcPr>
            <w:tcW w:type="dxa" w:w="1928"/>
          </w:tcPr>
          <w:p>
            <w:pPr>
              <w:spacing w:after="20" w:before="20"/>
            </w:pPr>
            <w:r/>
            <w:r>
              <w:rPr>
                <w:rFonts w:ascii="Calibri" w:hAnsi="Calibri"/>
                <w:b w:val="0"/>
                <w:i w:val="0"/>
                <w:color w:val="334E68"/>
                <w:sz w:val="17"/>
              </w:rPr>
              <w:t>Basis / migration</w:t>
            </w:r>
          </w:p>
        </w:tc>
        <w:tc>
          <w:tcPr>
            <w:tcW w:type="dxa" w:w="5012"/>
          </w:tcPr>
          <w:p>
            <w:pPr>
              <w:spacing w:after="20" w:before="20"/>
            </w:pPr>
            <w:r/>
            <w:r>
              <w:rPr>
                <w:rFonts w:ascii="Calibri" w:hAnsi="Calibri"/>
                <w:b w:val="0"/>
                <w:i w:val="0"/>
                <w:color w:val="334E68"/>
                <w:sz w:val="17"/>
              </w:rPr>
              <w:t>Proof that what was built matches what was approved</w:t>
            </w:r>
          </w:p>
        </w:tc>
      </w:tr>
      <w:tr>
        <w:trPr>
          <w:cantSplit/>
        </w:trPr>
        <w:tc>
          <w:tcPr>
            <w:tcW w:type="dxa" w:w="2699"/>
            <w:shd w:val="clear" w:color="auto" w:fill="FAFBFD"/>
          </w:tcPr>
          <w:p>
            <w:pPr>
              <w:spacing w:after="20" w:before="20"/>
            </w:pPr>
            <w:r/>
            <w:r>
              <w:rPr>
                <w:rFonts w:ascii="Calibri" w:hAnsi="Calibri"/>
                <w:b/>
                <w:i w:val="0"/>
                <w:color w:val="334E68"/>
                <w:sz w:val="17"/>
              </w:rPr>
              <w:t>Backup/recovery test record</w:t>
            </w:r>
          </w:p>
        </w:tc>
        <w:tc>
          <w:tcPr>
            <w:tcW w:type="dxa" w:w="1928"/>
            <w:shd w:val="clear" w:color="auto" w:fill="FAFBFD"/>
          </w:tcPr>
          <w:p>
            <w:pPr>
              <w:spacing w:after="20" w:before="20"/>
            </w:pPr>
            <w:r/>
            <w:r>
              <w:rPr>
                <w:rFonts w:ascii="Calibri" w:hAnsi="Calibri"/>
                <w:b w:val="0"/>
                <w:i w:val="0"/>
                <w:color w:val="334E68"/>
                <w:sz w:val="17"/>
              </w:rPr>
              <w:t>Basis + DBA</w:t>
            </w:r>
          </w:p>
        </w:tc>
        <w:tc>
          <w:tcPr>
            <w:tcW w:type="dxa" w:w="5012"/>
            <w:shd w:val="clear" w:color="auto" w:fill="FAFBFD"/>
          </w:tcPr>
          <w:p>
            <w:pPr>
              <w:spacing w:after="20" w:before="20"/>
            </w:pPr>
            <w:r/>
            <w:r>
              <w:rPr>
                <w:rFonts w:ascii="Calibri" w:hAnsi="Calibri"/>
                <w:b w:val="0"/>
                <w:i w:val="0"/>
                <w:color w:val="334E68"/>
                <w:sz w:val="17"/>
              </w:rPr>
              <w:t>Proof the recovery path works before it is needed</w:t>
            </w:r>
          </w:p>
        </w:tc>
      </w:tr>
      <w:tr>
        <w:trPr>
          <w:cantSplit/>
        </w:trPr>
        <w:tc>
          <w:tcPr>
            <w:tcW w:type="dxa" w:w="2699"/>
          </w:tcPr>
          <w:p>
            <w:pPr>
              <w:spacing w:after="20" w:before="20"/>
            </w:pPr>
            <w:r/>
            <w:r>
              <w:rPr>
                <w:rFonts w:ascii="Calibri" w:hAnsi="Calibri"/>
                <w:b/>
                <w:i w:val="0"/>
                <w:color w:val="334E68"/>
                <w:sz w:val="17"/>
              </w:rPr>
              <w:t>Validation workbooks (Sections 12)</w:t>
            </w:r>
          </w:p>
        </w:tc>
        <w:tc>
          <w:tcPr>
            <w:tcW w:type="dxa" w:w="1928"/>
          </w:tcPr>
          <w:p>
            <w:pPr>
              <w:spacing w:after="20" w:before="20"/>
            </w:pPr>
            <w:r/>
            <w:r>
              <w:rPr>
                <w:rFonts w:ascii="Calibri" w:hAnsi="Calibri"/>
                <w:b w:val="0"/>
                <w:i w:val="0"/>
                <w:color w:val="334E68"/>
                <w:sz w:val="17"/>
              </w:rPr>
              <w:t>Executing engineer</w:t>
            </w:r>
          </w:p>
        </w:tc>
        <w:tc>
          <w:tcPr>
            <w:tcW w:type="dxa" w:w="5012"/>
          </w:tcPr>
          <w:p>
            <w:pPr>
              <w:spacing w:after="20" w:before="20"/>
            </w:pPr>
            <w:r/>
            <w:r>
              <w:rPr>
                <w:rFonts w:ascii="Calibri" w:hAnsi="Calibri"/>
                <w:b w:val="0"/>
                <w:i w:val="0"/>
                <w:color w:val="334E68"/>
                <w:sz w:val="17"/>
              </w:rPr>
              <w:t>Check-by-check results with evidence references</w:t>
            </w:r>
          </w:p>
        </w:tc>
      </w:tr>
      <w:tr>
        <w:trPr>
          <w:cantSplit/>
        </w:trPr>
        <w:tc>
          <w:tcPr>
            <w:tcW w:type="dxa" w:w="2699"/>
            <w:shd w:val="clear" w:color="auto" w:fill="FAFBFD"/>
          </w:tcPr>
          <w:p>
            <w:pPr>
              <w:spacing w:after="20" w:before="20"/>
            </w:pPr>
            <w:r/>
            <w:r>
              <w:rPr>
                <w:rFonts w:ascii="Calibri" w:hAnsi="Calibri"/>
                <w:b/>
                <w:i w:val="0"/>
                <w:color w:val="334E68"/>
                <w:sz w:val="17"/>
              </w:rPr>
              <w:t>Cutover runbook and log</w:t>
            </w:r>
          </w:p>
        </w:tc>
        <w:tc>
          <w:tcPr>
            <w:tcW w:type="dxa" w:w="1928"/>
            <w:shd w:val="clear" w:color="auto" w:fill="FAFBFD"/>
          </w:tcPr>
          <w:p>
            <w:pPr>
              <w:spacing w:after="20" w:before="20"/>
            </w:pPr>
            <w:r/>
            <w:r>
              <w:rPr>
                <w:rFonts w:ascii="Calibri" w:hAnsi="Calibri"/>
                <w:b w:val="0"/>
                <w:i w:val="0"/>
                <w:color w:val="334E68"/>
                <w:sz w:val="17"/>
              </w:rPr>
              <w:t>Basis / migration + PMO</w:t>
            </w:r>
          </w:p>
        </w:tc>
        <w:tc>
          <w:tcPr>
            <w:tcW w:type="dxa" w:w="5012"/>
            <w:shd w:val="clear" w:color="auto" w:fill="FAFBFD"/>
          </w:tcPr>
          <w:p>
            <w:pPr>
              <w:spacing w:after="20" w:before="20"/>
            </w:pPr>
            <w:r/>
            <w:r>
              <w:rPr>
                <w:rFonts w:ascii="Calibri" w:hAnsi="Calibri"/>
                <w:b w:val="0"/>
                <w:i w:val="0"/>
                <w:color w:val="334E68"/>
                <w:sz w:val="17"/>
              </w:rPr>
              <w:t>What was planned, what was done, at what time, by whom</w:t>
            </w:r>
          </w:p>
        </w:tc>
      </w:tr>
      <w:tr>
        <w:trPr>
          <w:cantSplit/>
        </w:trPr>
        <w:tc>
          <w:tcPr>
            <w:tcW w:type="dxa" w:w="2699"/>
          </w:tcPr>
          <w:p>
            <w:pPr>
              <w:spacing w:after="20" w:before="20"/>
            </w:pPr>
            <w:r/>
            <w:r>
              <w:rPr>
                <w:rFonts w:ascii="Calibri" w:hAnsi="Calibri"/>
                <w:b/>
                <w:i w:val="0"/>
                <w:color w:val="334E68"/>
                <w:sz w:val="17"/>
              </w:rPr>
              <w:t>Go/No-Go pack and decision record</w:t>
            </w:r>
          </w:p>
        </w:tc>
        <w:tc>
          <w:tcPr>
            <w:tcW w:type="dxa" w:w="1928"/>
          </w:tcPr>
          <w:p>
            <w:pPr>
              <w:spacing w:after="20" w:before="20"/>
            </w:pPr>
            <w:r/>
            <w:r>
              <w:rPr>
                <w:rFonts w:ascii="Calibri" w:hAnsi="Calibri"/>
                <w:b w:val="0"/>
                <w:i w:val="0"/>
                <w:color w:val="334E68"/>
                <w:sz w:val="17"/>
              </w:rPr>
              <w:t>PMO</w:t>
            </w:r>
          </w:p>
        </w:tc>
        <w:tc>
          <w:tcPr>
            <w:tcW w:type="dxa" w:w="5012"/>
          </w:tcPr>
          <w:p>
            <w:pPr>
              <w:spacing w:after="20" w:before="20"/>
            </w:pPr>
            <w:r/>
            <w:r>
              <w:rPr>
                <w:rFonts w:ascii="Calibri" w:hAnsi="Calibri"/>
                <w:b w:val="0"/>
                <w:i w:val="0"/>
                <w:color w:val="334E68"/>
                <w:sz w:val="17"/>
              </w:rPr>
              <w:t>The evidence set and the named approvals behind the decision</w:t>
            </w:r>
          </w:p>
        </w:tc>
      </w:tr>
      <w:tr>
        <w:trPr>
          <w:cantSplit/>
        </w:trPr>
        <w:tc>
          <w:tcPr>
            <w:tcW w:type="dxa" w:w="2699"/>
            <w:shd w:val="clear" w:color="auto" w:fill="FAFBFD"/>
          </w:tcPr>
          <w:p>
            <w:pPr>
              <w:spacing w:after="20" w:before="20"/>
            </w:pPr>
            <w:r/>
            <w:r>
              <w:rPr>
                <w:rFonts w:ascii="Calibri" w:hAnsi="Calibri"/>
                <w:b/>
                <w:i w:val="0"/>
                <w:color w:val="334E68"/>
                <w:sz w:val="17"/>
              </w:rPr>
              <w:t>Hypercare issue log</w:t>
            </w:r>
          </w:p>
        </w:tc>
        <w:tc>
          <w:tcPr>
            <w:tcW w:type="dxa" w:w="1928"/>
            <w:shd w:val="clear" w:color="auto" w:fill="FAFBFD"/>
          </w:tcPr>
          <w:p>
            <w:pPr>
              <w:spacing w:after="20" w:before="20"/>
            </w:pPr>
            <w:r/>
            <w:r>
              <w:rPr>
                <w:rFonts w:ascii="Calibri" w:hAnsi="Calibri"/>
                <w:b w:val="0"/>
                <w:i w:val="0"/>
                <w:color w:val="334E68"/>
                <w:sz w:val="17"/>
              </w:rPr>
              <w:t>Hypercare lead</w:t>
            </w:r>
          </w:p>
        </w:tc>
        <w:tc>
          <w:tcPr>
            <w:tcW w:type="dxa" w:w="5012"/>
            <w:shd w:val="clear" w:color="auto" w:fill="FAFBFD"/>
          </w:tcPr>
          <w:p>
            <w:pPr>
              <w:spacing w:after="20" w:before="20"/>
            </w:pPr>
            <w:r/>
            <w:r>
              <w:rPr>
                <w:rFonts w:ascii="Calibri" w:hAnsi="Calibri"/>
                <w:b w:val="0"/>
                <w:i w:val="0"/>
                <w:color w:val="334E68"/>
                <w:sz w:val="17"/>
              </w:rPr>
              <w:t>Issues, classification (migration vs pre-existing), owners, closure</w:t>
            </w:r>
          </w:p>
        </w:tc>
      </w:tr>
      <w:tr>
        <w:trPr>
          <w:cantSplit/>
        </w:trPr>
        <w:tc>
          <w:tcPr>
            <w:tcW w:type="dxa" w:w="2699"/>
          </w:tcPr>
          <w:p>
            <w:pPr>
              <w:spacing w:after="20" w:before="20"/>
            </w:pPr>
            <w:r/>
            <w:r>
              <w:rPr>
                <w:rFonts w:ascii="Calibri" w:hAnsi="Calibri"/>
                <w:b/>
                <w:i w:val="0"/>
                <w:color w:val="334E68"/>
                <w:sz w:val="17"/>
              </w:rPr>
              <w:t>Handover pack to BAU</w:t>
            </w:r>
          </w:p>
        </w:tc>
        <w:tc>
          <w:tcPr>
            <w:tcW w:type="dxa" w:w="1928"/>
          </w:tcPr>
          <w:p>
            <w:pPr>
              <w:spacing w:after="20" w:before="20"/>
            </w:pPr>
            <w:r/>
            <w:r>
              <w:rPr>
                <w:rFonts w:ascii="Calibri" w:hAnsi="Calibri"/>
                <w:b w:val="0"/>
                <w:i w:val="0"/>
                <w:color w:val="334E68"/>
                <w:sz w:val="17"/>
              </w:rPr>
              <w:t>Basis / migration</w:t>
            </w:r>
          </w:p>
        </w:tc>
        <w:tc>
          <w:tcPr>
            <w:tcW w:type="dxa" w:w="5012"/>
          </w:tcPr>
          <w:p>
            <w:pPr>
              <w:spacing w:after="20" w:before="20"/>
            </w:pPr>
            <w:r/>
            <w:r>
              <w:rPr>
                <w:rFonts w:ascii="Calibri" w:hAnsi="Calibri"/>
                <w:b w:val="0"/>
                <w:i w:val="0"/>
                <w:color w:val="334E68"/>
                <w:sz w:val="17"/>
              </w:rPr>
              <w:t>Final state, known issues, deferred items, contacts, evidence archive</w:t>
            </w:r>
          </w:p>
        </w:tc>
      </w:tr>
    </w:tbl>
    <w:p>
      <w:pPr>
        <w:spacing w:after="40"/>
      </w:pPr>
    </w:p>
    <w:p>
      <w:r>
        <w:br w:type="page"/>
      </w:r>
    </w:p>
    <w:p>
      <w:pPr>
        <w:spacing w:after="20"/>
      </w:pPr>
      <w:r>
        <w:rPr>
          <w:rFonts w:ascii="Calibri" w:hAnsi="Calibri"/>
          <w:b/>
          <w:color w:val="1B4F86"/>
          <w:sz w:val="16"/>
        </w:rPr>
        <w:t>SECTION 14 · REFERENCE</w:t>
      </w:r>
    </w:p>
    <w:p>
      <w:pPr>
        <w:pStyle w:val="Heading1"/>
        <w:pBdr>
          <w:bottom w:val="single" w:sz="12" w:space="5" w:color="1B4F86"/>
        </w:pBdr>
        <w:spacing w:after="160"/>
      </w:pPr>
      <w:r>
        <w:rPr>
          <w:rFonts w:ascii="Calibri Light" w:hAnsi="Calibri Light"/>
          <w:b/>
          <w:color w:val="0F2B4C"/>
          <w:sz w:val="38"/>
        </w:rPr>
        <w:t>14  Ownership and operating model</w:t>
      </w:r>
    </w:p>
    <w:p>
      <w:pPr>
        <w:spacing w:after="200"/>
      </w:pPr>
      <w:r>
        <w:rPr>
          <w:rFonts w:ascii="Calibri" w:hAnsi="Calibri"/>
          <w:i/>
          <w:color w:val="5B7288"/>
          <w:sz w:val="21"/>
        </w:rPr>
        <w:t>The training concluded with an ownership model intended to prevent conflicting changes and unclear accountability. Technology rarely fails a migration on its own; uncoordinated people do.</w:t>
      </w:r>
    </w:p>
    <w:p>
      <w:pPr>
        <w:pStyle w:val="Heading2"/>
        <w:pBdr>
          <w:bottom w:val="single" w:sz="6" w:space="3" w:color="E8EDF3"/>
        </w:pBdr>
      </w:pPr>
      <w:r>
        <w:rPr>
          <w:rFonts w:ascii="Calibri" w:hAnsi="Calibri"/>
          <w:b/>
          <w:color w:val="0F2B4C"/>
          <w:sz w:val="26"/>
        </w:rPr>
        <w:t>14.1  Ownership model</w:t>
      </w:r>
    </w:p>
    <w:p>
      <w:pPr>
        <w:spacing w:after="40"/>
        <w:ind w:left="578" w:hanging="227"/>
      </w:pPr>
      <w:r>
        <w:rPr>
          <w:rFonts w:ascii="Calibri" w:hAnsi="Calibri"/>
          <w:b/>
          <w:color w:val="0F2B4C"/>
          <w:sz w:val="19"/>
        </w:rPr>
        <w:t xml:space="preserve">1.  </w:t>
      </w:r>
      <w:r>
        <w:rPr>
          <w:rFonts w:ascii="Calibri" w:hAnsi="Calibri"/>
          <w:b w:val="0"/>
          <w:i w:val="0"/>
          <w:color w:val="334E68"/>
          <w:sz w:val="19"/>
        </w:rPr>
        <w:t>Complete the training and review the documentation.</w:t>
      </w:r>
    </w:p>
    <w:p>
      <w:pPr>
        <w:spacing w:after="40"/>
        <w:ind w:left="578" w:hanging="227"/>
      </w:pPr>
      <w:r>
        <w:rPr>
          <w:rFonts w:ascii="Calibri" w:hAnsi="Calibri"/>
          <w:b/>
          <w:color w:val="0F2B4C"/>
          <w:sz w:val="19"/>
        </w:rPr>
        <w:t xml:space="preserve">2.  </w:t>
      </w:r>
      <w:r>
        <w:rPr>
          <w:rFonts w:ascii="Calibri" w:hAnsi="Calibri"/>
          <w:b w:val="0"/>
          <w:i w:val="0"/>
          <w:color w:val="334E68"/>
          <w:sz w:val="19"/>
        </w:rPr>
        <w:t>Clear technical doubts before taking ownership — an unasked question becomes a cutover incident.</w:t>
      </w:r>
    </w:p>
    <w:p>
      <w:pPr>
        <w:spacing w:after="40"/>
        <w:ind w:left="578" w:hanging="227"/>
      </w:pPr>
      <w:r>
        <w:rPr>
          <w:rFonts w:ascii="Calibri" w:hAnsi="Calibri"/>
          <w:b/>
          <w:color w:val="0F2B4C"/>
          <w:sz w:val="19"/>
        </w:rPr>
        <w:t xml:space="preserve">3.  </w:t>
      </w:r>
      <w:r>
        <w:rPr>
          <w:rFonts w:ascii="Calibri" w:hAnsi="Calibri"/>
          <w:b w:val="0"/>
          <w:i w:val="0"/>
          <w:color w:val="334E68"/>
          <w:sz w:val="19"/>
        </w:rPr>
        <w:t>Assign individual SIDs/systems to owners.</w:t>
      </w:r>
    </w:p>
    <w:p>
      <w:pPr>
        <w:spacing w:after="40"/>
        <w:ind w:left="578" w:hanging="227"/>
      </w:pPr>
      <w:r>
        <w:rPr>
          <w:rFonts w:ascii="Calibri" w:hAnsi="Calibri"/>
          <w:b/>
          <w:color w:val="0F2B4C"/>
          <w:sz w:val="19"/>
        </w:rPr>
        <w:t xml:space="preserve">4.  </w:t>
      </w:r>
      <w:r>
        <w:rPr>
          <w:rFonts w:ascii="Calibri" w:hAnsi="Calibri"/>
          <w:b w:val="0"/>
          <w:i w:val="0"/>
          <w:color w:val="334E68"/>
          <w:sz w:val="19"/>
        </w:rPr>
        <w:t>Assign a guide/support person for each owner.</w:t>
      </w:r>
    </w:p>
    <w:p>
      <w:pPr>
        <w:spacing w:after="40"/>
        <w:ind w:left="578" w:hanging="227"/>
      </w:pPr>
      <w:r>
        <w:rPr>
          <w:rFonts w:ascii="Calibri" w:hAnsi="Calibri"/>
          <w:b/>
          <w:color w:val="0F2B4C"/>
          <w:sz w:val="19"/>
        </w:rPr>
        <w:t xml:space="preserve">5.  </w:t>
      </w:r>
      <w:r>
        <w:rPr>
          <w:rFonts w:ascii="Calibri" w:hAnsi="Calibri"/>
          <w:b w:val="0"/>
          <w:i w:val="0"/>
          <w:color w:val="334E68"/>
          <w:sz w:val="19"/>
        </w:rPr>
        <w:t>The assigned owner remains accountable for the system.</w:t>
      </w:r>
    </w:p>
    <w:p>
      <w:pPr>
        <w:spacing w:after="40"/>
        <w:ind w:left="578" w:hanging="227"/>
      </w:pPr>
      <w:r>
        <w:rPr>
          <w:rFonts w:ascii="Calibri" w:hAnsi="Calibri"/>
          <w:b/>
          <w:color w:val="0F2B4C"/>
          <w:sz w:val="19"/>
        </w:rPr>
        <w:t xml:space="preserve">6.  </w:t>
      </w:r>
      <w:r>
        <w:rPr>
          <w:rFonts w:ascii="Calibri" w:hAnsi="Calibri"/>
          <w:b w:val="0"/>
          <w:i w:val="0"/>
          <w:color w:val="334E68"/>
          <w:sz w:val="19"/>
        </w:rPr>
        <w:t>Avoid multiple people independently modifying the same assigned system.</w:t>
      </w:r>
    </w:p>
    <w:p>
      <w:pPr>
        <w:spacing w:after="40"/>
        <w:ind w:left="578" w:hanging="227"/>
      </w:pPr>
      <w:r>
        <w:rPr>
          <w:rFonts w:ascii="Calibri" w:hAnsi="Calibri"/>
          <w:b/>
          <w:color w:val="0F2B4C"/>
          <w:sz w:val="19"/>
        </w:rPr>
        <w:t xml:space="preserve">7.  </w:t>
      </w:r>
      <w:r>
        <w:rPr>
          <w:rFonts w:ascii="Calibri" w:hAnsi="Calibri"/>
          <w:b w:val="0"/>
          <w:i w:val="0"/>
          <w:color w:val="334E68"/>
          <w:sz w:val="19"/>
        </w:rPr>
        <w:t>Consolidate the training documentation/MOM after completion.</w:t>
      </w:r>
    </w:p>
    <w:p>
      <w:pPr>
        <w:spacing w:after="40"/>
        <w:ind w:left="578" w:hanging="227"/>
      </w:pPr>
      <w:r>
        <w:rPr>
          <w:rFonts w:ascii="Calibri" w:hAnsi="Calibri"/>
          <w:b/>
          <w:color w:val="0F2B4C"/>
          <w:sz w:val="19"/>
        </w:rPr>
        <w:t xml:space="preserve">8.  </w:t>
      </w:r>
      <w:r>
        <w:rPr>
          <w:rFonts w:ascii="Calibri" w:hAnsi="Calibri"/>
          <w:b w:val="0"/>
          <w:i w:val="0"/>
          <w:color w:val="334E68"/>
          <w:sz w:val="19"/>
        </w:rPr>
        <w:t>Circulate the finalized material after confirmation/sign-off.</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OWNERSHIP PRINCIPLE</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One accountable owner per assigned system, with a defined guide/support path and controlled changes. Accountability does not mean doing everything alone — it means being the person who knows the state of the system and who authorises changes to it.</w:t>
      </w:r>
    </w:p>
    <w:p>
      <w:pPr>
        <w:pStyle w:val="Heading2"/>
        <w:pBdr>
          <w:bottom w:val="single" w:sz="6" w:space="3" w:color="E8EDF3"/>
        </w:pBdr>
      </w:pPr>
      <w:r>
        <w:rPr>
          <w:rFonts w:ascii="Calibri" w:hAnsi="Calibri"/>
          <w:b/>
          <w:color w:val="0F2B4C"/>
          <w:sz w:val="26"/>
        </w:rPr>
        <w:t>14.2  System ownership register</w:t>
      </w:r>
    </w:p>
    <w:p>
      <w:pPr>
        <w:sectPr>
          <w:pgSz w:w="11906" w:h="16838"/>
          <w:pgMar w:top="1020" w:right="1134" w:bottom="1020" w:left="1134" w:header="567" w:footer="567" w:gutter="0"/>
          <w:cols w:space="720"/>
          <w:titlePg/>
          <w:docGrid w:linePitch="360"/>
        </w:sectPr>
      </w:pPr>
    </w:p>
    <w:p>
      <w:pPr>
        <w:spacing w:after="60" w:before="160"/>
        <w:keepNext/>
      </w:pPr>
      <w:r>
        <w:rPr>
          <w:rFonts w:ascii="Calibri" w:hAnsi="Calibri"/>
          <w:b/>
          <w:color w:val="5B7288"/>
          <w:sz w:val="15"/>
        </w:rPr>
        <w:t>OWNERSHIP REGISTER TEMPLATE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457"/>
        <w:gridCol w:w="3787"/>
        <w:gridCol w:w="2625"/>
        <w:gridCol w:w="2625"/>
        <w:gridCol w:w="2330"/>
        <w:gridCol w:w="1746"/>
      </w:tblGrid>
      <w:tr>
        <w:trPr>
          <w:tblHeader/>
          <w:cantSplit/>
        </w:trPr>
        <w:tc>
          <w:tcPr>
            <w:tcW w:type="dxa" w:w="1457"/>
            <w:shd w:val="clear" w:color="auto" w:fill="0F2B4C"/>
          </w:tcPr>
          <w:p>
            <w:pPr>
              <w:spacing w:after="20" w:before="20"/>
            </w:pPr>
            <w:r/>
            <w:r>
              <w:rPr>
                <w:rFonts w:ascii="Calibri" w:hAnsi="Calibri"/>
                <w:b/>
                <w:color w:val="FFFFFF"/>
                <w:sz w:val="17"/>
              </w:rPr>
              <w:t>SID</w:t>
            </w:r>
          </w:p>
        </w:tc>
        <w:tc>
          <w:tcPr>
            <w:tcW w:type="dxa" w:w="3787"/>
            <w:shd w:val="clear" w:color="auto" w:fill="0F2B4C"/>
          </w:tcPr>
          <w:p>
            <w:pPr>
              <w:spacing w:after="20" w:before="20"/>
            </w:pPr>
            <w:r/>
            <w:r>
              <w:rPr>
                <w:rFonts w:ascii="Calibri" w:hAnsi="Calibri"/>
                <w:b/>
                <w:color w:val="FFFFFF"/>
                <w:sz w:val="17"/>
              </w:rPr>
              <w:t>System / description</w:t>
            </w:r>
          </w:p>
        </w:tc>
        <w:tc>
          <w:tcPr>
            <w:tcW w:type="dxa" w:w="2625"/>
            <w:shd w:val="clear" w:color="auto" w:fill="0F2B4C"/>
          </w:tcPr>
          <w:p>
            <w:pPr>
              <w:spacing w:after="20" w:before="20"/>
            </w:pPr>
            <w:r/>
            <w:r>
              <w:rPr>
                <w:rFonts w:ascii="Calibri" w:hAnsi="Calibri"/>
                <w:b/>
                <w:color w:val="FFFFFF"/>
                <w:sz w:val="17"/>
              </w:rPr>
              <w:t>Owner (accountable)</w:t>
            </w:r>
          </w:p>
        </w:tc>
        <w:tc>
          <w:tcPr>
            <w:tcW w:type="dxa" w:w="2625"/>
            <w:shd w:val="clear" w:color="auto" w:fill="0F2B4C"/>
          </w:tcPr>
          <w:p>
            <w:pPr>
              <w:spacing w:after="20" w:before="20"/>
            </w:pPr>
            <w:r/>
            <w:r>
              <w:rPr>
                <w:rFonts w:ascii="Calibri" w:hAnsi="Calibri"/>
                <w:b/>
                <w:color w:val="FFFFFF"/>
                <w:sz w:val="17"/>
              </w:rPr>
              <w:t>Guide / support</w:t>
            </w:r>
          </w:p>
        </w:tc>
        <w:tc>
          <w:tcPr>
            <w:tcW w:type="dxa" w:w="2330"/>
            <w:shd w:val="clear" w:color="auto" w:fill="0F2B4C"/>
          </w:tcPr>
          <w:p>
            <w:pPr>
              <w:spacing w:after="20" w:before="20"/>
            </w:pPr>
            <w:r/>
            <w:r>
              <w:rPr>
                <w:rFonts w:ascii="Calibri" w:hAnsi="Calibri"/>
                <w:b/>
                <w:color w:val="FFFFFF"/>
                <w:sz w:val="17"/>
              </w:rPr>
              <w:t>Backup owner</w:t>
            </w:r>
          </w:p>
        </w:tc>
        <w:tc>
          <w:tcPr>
            <w:tcW w:type="dxa" w:w="1746"/>
            <w:shd w:val="clear" w:color="auto" w:fill="0F2B4C"/>
          </w:tcPr>
          <w:p>
            <w:pPr>
              <w:spacing w:after="20" w:before="20"/>
            </w:pPr>
            <w:r/>
            <w:r>
              <w:rPr>
                <w:rFonts w:ascii="Calibri" w:hAnsi="Calibri"/>
                <w:b/>
                <w:color w:val="FFFFFF"/>
                <w:sz w:val="17"/>
              </w:rPr>
              <w:t>Status</w:t>
            </w:r>
          </w:p>
        </w:tc>
      </w:tr>
      <w:tr>
        <w:trPr>
          <w:cantSplit/>
        </w:trPr>
        <w:tc>
          <w:tcPr>
            <w:tcW w:type="dxa" w:w="1457"/>
          </w:tcPr>
          <w:p>
            <w:pPr>
              <w:spacing w:after="20" w:before="20"/>
            </w:pPr>
            <w:r/>
          </w:p>
        </w:tc>
        <w:tc>
          <w:tcPr>
            <w:tcW w:type="dxa" w:w="3787"/>
          </w:tcPr>
          <w:p>
            <w:pPr>
              <w:spacing w:after="20" w:before="20"/>
            </w:pPr>
            <w:r/>
          </w:p>
        </w:tc>
        <w:tc>
          <w:tcPr>
            <w:tcW w:type="dxa" w:w="2625"/>
          </w:tcPr>
          <w:p>
            <w:pPr>
              <w:spacing w:after="20" w:before="20"/>
            </w:pPr>
            <w:r/>
          </w:p>
        </w:tc>
        <w:tc>
          <w:tcPr>
            <w:tcW w:type="dxa" w:w="2625"/>
          </w:tcPr>
          <w:p>
            <w:pPr>
              <w:spacing w:after="20" w:before="20"/>
            </w:pPr>
            <w:r/>
          </w:p>
        </w:tc>
        <w:tc>
          <w:tcPr>
            <w:tcW w:type="dxa" w:w="2330"/>
          </w:tcPr>
          <w:p>
            <w:pPr>
              <w:spacing w:after="20" w:before="20"/>
            </w:pPr>
            <w:r/>
          </w:p>
        </w:tc>
        <w:tc>
          <w:tcPr>
            <w:tcW w:type="dxa" w:w="1746"/>
          </w:tcPr>
          <w:p>
            <w:pPr>
              <w:spacing w:after="20" w:before="20"/>
            </w:pPr>
            <w:r/>
          </w:p>
        </w:tc>
      </w:tr>
      <w:tr>
        <w:trPr>
          <w:cantSplit/>
        </w:trPr>
        <w:tc>
          <w:tcPr>
            <w:tcW w:type="dxa" w:w="1457"/>
            <w:shd w:val="clear" w:color="auto" w:fill="FAFBFD"/>
          </w:tcPr>
          <w:p>
            <w:pPr>
              <w:spacing w:after="20" w:before="20"/>
            </w:pPr>
            <w:r/>
          </w:p>
        </w:tc>
        <w:tc>
          <w:tcPr>
            <w:tcW w:type="dxa" w:w="3787"/>
            <w:shd w:val="clear" w:color="auto" w:fill="FAFBFD"/>
          </w:tcPr>
          <w:p>
            <w:pPr>
              <w:spacing w:after="20" w:before="20"/>
            </w:pPr>
            <w:r/>
          </w:p>
        </w:tc>
        <w:tc>
          <w:tcPr>
            <w:tcW w:type="dxa" w:w="2625"/>
            <w:shd w:val="clear" w:color="auto" w:fill="FAFBFD"/>
          </w:tcPr>
          <w:p>
            <w:pPr>
              <w:spacing w:after="20" w:before="20"/>
            </w:pPr>
            <w:r/>
          </w:p>
        </w:tc>
        <w:tc>
          <w:tcPr>
            <w:tcW w:type="dxa" w:w="2625"/>
            <w:shd w:val="clear" w:color="auto" w:fill="FAFBFD"/>
          </w:tcPr>
          <w:p>
            <w:pPr>
              <w:spacing w:after="20" w:before="20"/>
            </w:pPr>
            <w:r/>
          </w:p>
        </w:tc>
        <w:tc>
          <w:tcPr>
            <w:tcW w:type="dxa" w:w="2330"/>
            <w:shd w:val="clear" w:color="auto" w:fill="FAFBFD"/>
          </w:tcPr>
          <w:p>
            <w:pPr>
              <w:spacing w:after="20" w:before="20"/>
            </w:pPr>
            <w:r/>
          </w:p>
        </w:tc>
        <w:tc>
          <w:tcPr>
            <w:tcW w:type="dxa" w:w="1746"/>
            <w:shd w:val="clear" w:color="auto" w:fill="FAFBFD"/>
          </w:tcPr>
          <w:p>
            <w:pPr>
              <w:spacing w:after="20" w:before="20"/>
            </w:pPr>
            <w:r/>
          </w:p>
        </w:tc>
      </w:tr>
      <w:tr>
        <w:trPr>
          <w:cantSplit/>
        </w:trPr>
        <w:tc>
          <w:tcPr>
            <w:tcW w:type="dxa" w:w="1457"/>
          </w:tcPr>
          <w:p>
            <w:pPr>
              <w:spacing w:after="20" w:before="20"/>
            </w:pPr>
            <w:r/>
          </w:p>
        </w:tc>
        <w:tc>
          <w:tcPr>
            <w:tcW w:type="dxa" w:w="3787"/>
          </w:tcPr>
          <w:p>
            <w:pPr>
              <w:spacing w:after="20" w:before="20"/>
            </w:pPr>
            <w:r/>
          </w:p>
        </w:tc>
        <w:tc>
          <w:tcPr>
            <w:tcW w:type="dxa" w:w="2625"/>
          </w:tcPr>
          <w:p>
            <w:pPr>
              <w:spacing w:after="20" w:before="20"/>
            </w:pPr>
            <w:r/>
          </w:p>
        </w:tc>
        <w:tc>
          <w:tcPr>
            <w:tcW w:type="dxa" w:w="2625"/>
          </w:tcPr>
          <w:p>
            <w:pPr>
              <w:spacing w:after="20" w:before="20"/>
            </w:pPr>
            <w:r/>
          </w:p>
        </w:tc>
        <w:tc>
          <w:tcPr>
            <w:tcW w:type="dxa" w:w="2330"/>
          </w:tcPr>
          <w:p>
            <w:pPr>
              <w:spacing w:after="20" w:before="20"/>
            </w:pPr>
            <w:r/>
          </w:p>
        </w:tc>
        <w:tc>
          <w:tcPr>
            <w:tcW w:type="dxa" w:w="1746"/>
          </w:tcPr>
          <w:p>
            <w:pPr>
              <w:spacing w:after="20" w:before="20"/>
            </w:pPr>
            <w:r/>
          </w:p>
        </w:tc>
      </w:tr>
      <w:tr>
        <w:trPr>
          <w:cantSplit/>
        </w:trPr>
        <w:tc>
          <w:tcPr>
            <w:tcW w:type="dxa" w:w="1457"/>
            <w:shd w:val="clear" w:color="auto" w:fill="FAFBFD"/>
          </w:tcPr>
          <w:p>
            <w:pPr>
              <w:spacing w:after="20" w:before="20"/>
            </w:pPr>
            <w:r/>
          </w:p>
        </w:tc>
        <w:tc>
          <w:tcPr>
            <w:tcW w:type="dxa" w:w="3787"/>
            <w:shd w:val="clear" w:color="auto" w:fill="FAFBFD"/>
          </w:tcPr>
          <w:p>
            <w:pPr>
              <w:spacing w:after="20" w:before="20"/>
            </w:pPr>
            <w:r/>
          </w:p>
        </w:tc>
        <w:tc>
          <w:tcPr>
            <w:tcW w:type="dxa" w:w="2625"/>
            <w:shd w:val="clear" w:color="auto" w:fill="FAFBFD"/>
          </w:tcPr>
          <w:p>
            <w:pPr>
              <w:spacing w:after="20" w:before="20"/>
            </w:pPr>
            <w:r/>
          </w:p>
        </w:tc>
        <w:tc>
          <w:tcPr>
            <w:tcW w:type="dxa" w:w="2625"/>
            <w:shd w:val="clear" w:color="auto" w:fill="FAFBFD"/>
          </w:tcPr>
          <w:p>
            <w:pPr>
              <w:spacing w:after="20" w:before="20"/>
            </w:pPr>
            <w:r/>
          </w:p>
        </w:tc>
        <w:tc>
          <w:tcPr>
            <w:tcW w:type="dxa" w:w="2330"/>
            <w:shd w:val="clear" w:color="auto" w:fill="FAFBFD"/>
          </w:tcPr>
          <w:p>
            <w:pPr>
              <w:spacing w:after="20" w:before="20"/>
            </w:pPr>
            <w:r/>
          </w:p>
        </w:tc>
        <w:tc>
          <w:tcPr>
            <w:tcW w:type="dxa" w:w="1746"/>
            <w:shd w:val="clear" w:color="auto" w:fill="FAFBFD"/>
          </w:tcPr>
          <w:p>
            <w:pPr>
              <w:spacing w:after="20" w:before="20"/>
            </w:pPr>
            <w:r/>
          </w:p>
        </w:tc>
      </w:tr>
      <w:tr>
        <w:trPr>
          <w:cantSplit/>
        </w:trPr>
        <w:tc>
          <w:tcPr>
            <w:tcW w:type="dxa" w:w="1457"/>
          </w:tcPr>
          <w:p>
            <w:pPr>
              <w:spacing w:after="20" w:before="20"/>
            </w:pPr>
            <w:r/>
          </w:p>
        </w:tc>
        <w:tc>
          <w:tcPr>
            <w:tcW w:type="dxa" w:w="3787"/>
          </w:tcPr>
          <w:p>
            <w:pPr>
              <w:spacing w:after="20" w:before="20"/>
            </w:pPr>
            <w:r/>
          </w:p>
        </w:tc>
        <w:tc>
          <w:tcPr>
            <w:tcW w:type="dxa" w:w="2625"/>
          </w:tcPr>
          <w:p>
            <w:pPr>
              <w:spacing w:after="20" w:before="20"/>
            </w:pPr>
            <w:r/>
          </w:p>
        </w:tc>
        <w:tc>
          <w:tcPr>
            <w:tcW w:type="dxa" w:w="2625"/>
          </w:tcPr>
          <w:p>
            <w:pPr>
              <w:spacing w:after="20" w:before="20"/>
            </w:pPr>
            <w:r/>
          </w:p>
        </w:tc>
        <w:tc>
          <w:tcPr>
            <w:tcW w:type="dxa" w:w="2330"/>
          </w:tcPr>
          <w:p>
            <w:pPr>
              <w:spacing w:after="20" w:before="20"/>
            </w:pPr>
            <w:r/>
          </w:p>
        </w:tc>
        <w:tc>
          <w:tcPr>
            <w:tcW w:type="dxa" w:w="1746"/>
          </w:tcPr>
          <w:p>
            <w:pPr>
              <w:spacing w:after="20" w:before="20"/>
            </w:pPr>
            <w:r/>
          </w:p>
        </w:tc>
      </w:tr>
      <w:tr>
        <w:trPr>
          <w:cantSplit/>
        </w:trPr>
        <w:tc>
          <w:tcPr>
            <w:tcW w:type="dxa" w:w="1457"/>
            <w:shd w:val="clear" w:color="auto" w:fill="FAFBFD"/>
          </w:tcPr>
          <w:p>
            <w:pPr>
              <w:spacing w:after="20" w:before="20"/>
            </w:pPr>
            <w:r/>
          </w:p>
        </w:tc>
        <w:tc>
          <w:tcPr>
            <w:tcW w:type="dxa" w:w="3787"/>
            <w:shd w:val="clear" w:color="auto" w:fill="FAFBFD"/>
          </w:tcPr>
          <w:p>
            <w:pPr>
              <w:spacing w:after="20" w:before="20"/>
            </w:pPr>
            <w:r/>
          </w:p>
        </w:tc>
        <w:tc>
          <w:tcPr>
            <w:tcW w:type="dxa" w:w="2625"/>
            <w:shd w:val="clear" w:color="auto" w:fill="FAFBFD"/>
          </w:tcPr>
          <w:p>
            <w:pPr>
              <w:spacing w:after="20" w:before="20"/>
            </w:pPr>
            <w:r/>
          </w:p>
        </w:tc>
        <w:tc>
          <w:tcPr>
            <w:tcW w:type="dxa" w:w="2625"/>
            <w:shd w:val="clear" w:color="auto" w:fill="FAFBFD"/>
          </w:tcPr>
          <w:p>
            <w:pPr>
              <w:spacing w:after="20" w:before="20"/>
            </w:pPr>
            <w:r/>
          </w:p>
        </w:tc>
        <w:tc>
          <w:tcPr>
            <w:tcW w:type="dxa" w:w="2330"/>
            <w:shd w:val="clear" w:color="auto" w:fill="FAFBFD"/>
          </w:tcPr>
          <w:p>
            <w:pPr>
              <w:spacing w:after="20" w:before="20"/>
            </w:pPr>
            <w:r/>
          </w:p>
        </w:tc>
        <w:tc>
          <w:tcPr>
            <w:tcW w:type="dxa" w:w="1746"/>
            <w:shd w:val="clear" w:color="auto" w:fill="FAFBFD"/>
          </w:tcPr>
          <w:p>
            <w:pPr>
              <w:spacing w:after="20" w:before="20"/>
            </w:pPr>
            <w:r/>
          </w:p>
        </w:tc>
      </w:tr>
    </w:tbl>
    <w:p>
      <w:pPr>
        <w:spacing w:after="40"/>
      </w:pP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14.3  Typical collaboration model</w:t>
      </w:r>
    </w:p>
    <w:p>
      <w:pPr>
        <w:spacing w:after="60" w:before="160"/>
        <w:keepNext/>
      </w:pPr>
      <w:r>
        <w:rPr>
          <w:rFonts w:ascii="Calibri" w:hAnsi="Calibri"/>
          <w:b/>
          <w:color w:val="5B7288"/>
          <w:sz w:val="15"/>
        </w:rPr>
        <w:t>COLLABORATION MODEL</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928"/>
        <w:gridCol w:w="4241"/>
        <w:gridCol w:w="3470"/>
      </w:tblGrid>
      <w:tr>
        <w:trPr>
          <w:tblHeader/>
          <w:cantSplit/>
        </w:trPr>
        <w:tc>
          <w:tcPr>
            <w:tcW w:type="dxa" w:w="1928"/>
            <w:shd w:val="clear" w:color="auto" w:fill="0F2B4C"/>
          </w:tcPr>
          <w:p>
            <w:pPr>
              <w:spacing w:after="20" w:before="20"/>
            </w:pPr>
            <w:r/>
            <w:r>
              <w:rPr>
                <w:rFonts w:ascii="Calibri" w:hAnsi="Calibri"/>
                <w:b/>
                <w:color w:val="FFFFFF"/>
                <w:sz w:val="17"/>
              </w:rPr>
              <w:t>Team</w:t>
            </w:r>
          </w:p>
        </w:tc>
        <w:tc>
          <w:tcPr>
            <w:tcW w:type="dxa" w:w="4241"/>
            <w:shd w:val="clear" w:color="auto" w:fill="0F2B4C"/>
          </w:tcPr>
          <w:p>
            <w:pPr>
              <w:spacing w:after="20" w:before="20"/>
            </w:pPr>
            <w:r/>
            <w:r>
              <w:rPr>
                <w:rFonts w:ascii="Calibri" w:hAnsi="Calibri"/>
                <w:b/>
                <w:color w:val="FFFFFF"/>
                <w:sz w:val="17"/>
              </w:rPr>
              <w:t>Owns</w:t>
            </w:r>
          </w:p>
        </w:tc>
        <w:tc>
          <w:tcPr>
            <w:tcW w:type="dxa" w:w="3470"/>
            <w:shd w:val="clear" w:color="auto" w:fill="0F2B4C"/>
          </w:tcPr>
          <w:p>
            <w:pPr>
              <w:spacing w:after="20" w:before="20"/>
            </w:pPr>
            <w:r/>
            <w:r>
              <w:rPr>
                <w:rFonts w:ascii="Calibri" w:hAnsi="Calibri"/>
                <w:b/>
                <w:color w:val="FFFFFF"/>
                <w:sz w:val="17"/>
              </w:rPr>
              <w:t>Consulted on</w:t>
            </w:r>
          </w:p>
        </w:tc>
      </w:tr>
      <w:tr>
        <w:trPr>
          <w:cantSplit/>
        </w:trPr>
        <w:tc>
          <w:tcPr>
            <w:tcW w:type="dxa" w:w="1928"/>
          </w:tcPr>
          <w:p>
            <w:pPr>
              <w:spacing w:after="20" w:before="20"/>
            </w:pPr>
            <w:r/>
            <w:r>
              <w:rPr>
                <w:rFonts w:ascii="Calibri" w:hAnsi="Calibri"/>
                <w:b/>
                <w:i w:val="0"/>
                <w:color w:val="334E68"/>
                <w:sz w:val="17"/>
              </w:rPr>
              <w:t>Basis / migration</w:t>
            </w:r>
          </w:p>
        </w:tc>
        <w:tc>
          <w:tcPr>
            <w:tcW w:type="dxa" w:w="4241"/>
          </w:tcPr>
          <w:p>
            <w:pPr>
              <w:spacing w:after="20" w:before="20"/>
            </w:pPr>
            <w:r/>
            <w:r>
              <w:rPr>
                <w:rFonts w:ascii="Calibri" w:hAnsi="Calibri"/>
                <w:b w:val="0"/>
                <w:i w:val="0"/>
                <w:color w:val="334E68"/>
                <w:sz w:val="17"/>
              </w:rPr>
              <w:t>SAP validation, migration coordination and technical handover</w:t>
            </w:r>
          </w:p>
        </w:tc>
        <w:tc>
          <w:tcPr>
            <w:tcW w:type="dxa" w:w="3470"/>
          </w:tcPr>
          <w:p>
            <w:pPr>
              <w:spacing w:after="20" w:before="20"/>
            </w:pPr>
            <w:r/>
            <w:r>
              <w:rPr>
                <w:rFonts w:ascii="Calibri" w:hAnsi="Calibri"/>
                <w:b w:val="0"/>
                <w:i w:val="0"/>
                <w:color w:val="334E68"/>
                <w:sz w:val="17"/>
              </w:rPr>
              <w:t>Everything SAP-side; chairs the technical bridge</w:t>
            </w:r>
          </w:p>
        </w:tc>
      </w:tr>
      <w:tr>
        <w:trPr>
          <w:cantSplit/>
        </w:trPr>
        <w:tc>
          <w:tcPr>
            <w:tcW w:type="dxa" w:w="1928"/>
            <w:shd w:val="clear" w:color="auto" w:fill="FAFBFD"/>
          </w:tcPr>
          <w:p>
            <w:pPr>
              <w:spacing w:after="20" w:before="20"/>
            </w:pPr>
            <w:r/>
            <w:r>
              <w:rPr>
                <w:rFonts w:ascii="Calibri" w:hAnsi="Calibri"/>
                <w:b/>
                <w:i w:val="0"/>
                <w:color w:val="334E68"/>
                <w:sz w:val="17"/>
              </w:rPr>
              <w:t>DBA</w:t>
            </w:r>
          </w:p>
        </w:tc>
        <w:tc>
          <w:tcPr>
            <w:tcW w:type="dxa" w:w="4241"/>
            <w:shd w:val="clear" w:color="auto" w:fill="FAFBFD"/>
          </w:tcPr>
          <w:p>
            <w:pPr>
              <w:spacing w:after="20" w:before="20"/>
            </w:pPr>
            <w:r/>
            <w:r>
              <w:rPr>
                <w:rFonts w:ascii="Calibri" w:hAnsi="Calibri"/>
                <w:b w:val="0"/>
                <w:i w:val="0"/>
                <w:color w:val="334E68"/>
                <w:sz w:val="17"/>
              </w:rPr>
              <w:t>Database migration, synchronization, backup/recovery and database validation</w:t>
            </w:r>
          </w:p>
        </w:tc>
        <w:tc>
          <w:tcPr>
            <w:tcW w:type="dxa" w:w="3470"/>
            <w:shd w:val="clear" w:color="auto" w:fill="FAFBFD"/>
          </w:tcPr>
          <w:p>
            <w:pPr>
              <w:spacing w:after="20" w:before="20"/>
            </w:pPr>
            <w:r/>
            <w:r>
              <w:rPr>
                <w:rFonts w:ascii="Calibri" w:hAnsi="Calibri"/>
                <w:b w:val="0"/>
                <w:i w:val="0"/>
                <w:color w:val="334E68"/>
                <w:sz w:val="17"/>
              </w:rPr>
              <w:t>Storage sizing, snapshot strategy, DB parameters</w:t>
            </w:r>
          </w:p>
        </w:tc>
      </w:tr>
      <w:tr>
        <w:trPr>
          <w:cantSplit/>
        </w:trPr>
        <w:tc>
          <w:tcPr>
            <w:tcW w:type="dxa" w:w="1928"/>
          </w:tcPr>
          <w:p>
            <w:pPr>
              <w:spacing w:after="20" w:before="20"/>
            </w:pPr>
            <w:r/>
            <w:r>
              <w:rPr>
                <w:rFonts w:ascii="Calibri" w:hAnsi="Calibri"/>
                <w:b/>
                <w:i w:val="0"/>
                <w:color w:val="334E68"/>
                <w:sz w:val="17"/>
              </w:rPr>
              <w:t>Linux</w:t>
            </w:r>
          </w:p>
        </w:tc>
        <w:tc>
          <w:tcPr>
            <w:tcW w:type="dxa" w:w="4241"/>
          </w:tcPr>
          <w:p>
            <w:pPr>
              <w:spacing w:after="20" w:before="20"/>
            </w:pPr>
            <w:r/>
            <w:r>
              <w:rPr>
                <w:rFonts w:ascii="Calibri" w:hAnsi="Calibri"/>
                <w:b w:val="0"/>
                <w:i w:val="0"/>
                <w:color w:val="334E68"/>
                <w:sz w:val="17"/>
              </w:rPr>
              <w:t>OS configuration, services, file systems, UID/GID and reboot coordination</w:t>
            </w:r>
          </w:p>
        </w:tc>
        <w:tc>
          <w:tcPr>
            <w:tcW w:type="dxa" w:w="3470"/>
          </w:tcPr>
          <w:p>
            <w:pPr>
              <w:spacing w:after="20" w:before="20"/>
            </w:pPr>
            <w:r/>
            <w:r>
              <w:rPr>
                <w:rFonts w:ascii="Calibri" w:hAnsi="Calibri"/>
                <w:b w:val="0"/>
                <w:i w:val="0"/>
                <w:color w:val="334E68"/>
                <w:sz w:val="17"/>
              </w:rPr>
              <w:t>Auto-start design, kernel tuning, reboot sequencing</w:t>
            </w:r>
          </w:p>
        </w:tc>
      </w:tr>
      <w:tr>
        <w:trPr>
          <w:cantSplit/>
        </w:trPr>
        <w:tc>
          <w:tcPr>
            <w:tcW w:type="dxa" w:w="1928"/>
            <w:shd w:val="clear" w:color="auto" w:fill="FAFBFD"/>
          </w:tcPr>
          <w:p>
            <w:pPr>
              <w:spacing w:after="20" w:before="20"/>
            </w:pPr>
            <w:r/>
            <w:r>
              <w:rPr>
                <w:rFonts w:ascii="Calibri" w:hAnsi="Calibri"/>
                <w:b/>
                <w:i w:val="0"/>
                <w:color w:val="334E68"/>
                <w:sz w:val="17"/>
              </w:rPr>
              <w:t>Network / IPAM / DNS</w:t>
            </w:r>
          </w:p>
        </w:tc>
        <w:tc>
          <w:tcPr>
            <w:tcW w:type="dxa" w:w="4241"/>
            <w:shd w:val="clear" w:color="auto" w:fill="FAFBFD"/>
          </w:tcPr>
          <w:p>
            <w:pPr>
              <w:spacing w:after="20" w:before="20"/>
            </w:pPr>
            <w:r/>
            <w:r>
              <w:rPr>
                <w:rFonts w:ascii="Calibri" w:hAnsi="Calibri"/>
                <w:b w:val="0"/>
                <w:i w:val="0"/>
                <w:color w:val="334E68"/>
                <w:sz w:val="17"/>
              </w:rPr>
              <w:t>IP changes, hostname resolution, CNAME and connectivity</w:t>
            </w:r>
          </w:p>
        </w:tc>
        <w:tc>
          <w:tcPr>
            <w:tcW w:type="dxa" w:w="3470"/>
            <w:shd w:val="clear" w:color="auto" w:fill="FAFBFD"/>
          </w:tcPr>
          <w:p>
            <w:pPr>
              <w:spacing w:after="20" w:before="20"/>
            </w:pPr>
            <w:r/>
            <w:r>
              <w:rPr>
                <w:rFonts w:ascii="Calibri" w:hAnsi="Calibri"/>
                <w:b w:val="0"/>
                <w:i w:val="0"/>
                <w:color w:val="334E68"/>
                <w:sz w:val="17"/>
              </w:rPr>
              <w:t>TTL reduction, resolver design, firewall and security groups</w:t>
            </w:r>
          </w:p>
        </w:tc>
      </w:tr>
      <w:tr>
        <w:trPr>
          <w:cantSplit/>
        </w:trPr>
        <w:tc>
          <w:tcPr>
            <w:tcW w:type="dxa" w:w="1928"/>
          </w:tcPr>
          <w:p>
            <w:pPr>
              <w:spacing w:after="20" w:before="20"/>
            </w:pPr>
            <w:r/>
            <w:r>
              <w:rPr>
                <w:rFonts w:ascii="Calibri" w:hAnsi="Calibri"/>
                <w:b/>
                <w:i w:val="0"/>
                <w:color w:val="334E68"/>
                <w:sz w:val="17"/>
              </w:rPr>
              <w:t>Application / functional</w:t>
            </w:r>
          </w:p>
        </w:tc>
        <w:tc>
          <w:tcPr>
            <w:tcW w:type="dxa" w:w="4241"/>
          </w:tcPr>
          <w:p>
            <w:pPr>
              <w:spacing w:after="20" w:before="20"/>
            </w:pPr>
            <w:r/>
            <w:r>
              <w:rPr>
                <w:rFonts w:ascii="Calibri" w:hAnsi="Calibri"/>
                <w:b w:val="0"/>
                <w:i w:val="0"/>
                <w:color w:val="334E68"/>
                <w:sz w:val="17"/>
              </w:rPr>
              <w:t>Business transactions and application validation</w:t>
            </w:r>
          </w:p>
        </w:tc>
        <w:tc>
          <w:tcPr>
            <w:tcW w:type="dxa" w:w="3470"/>
          </w:tcPr>
          <w:p>
            <w:pPr>
              <w:spacing w:after="20" w:before="20"/>
            </w:pPr>
            <w:r/>
            <w:r>
              <w:rPr>
                <w:rFonts w:ascii="Calibri" w:hAnsi="Calibri"/>
                <w:b w:val="0"/>
                <w:i w:val="0"/>
                <w:color w:val="334E68"/>
                <w:sz w:val="17"/>
              </w:rPr>
              <w:t>Test scripts, data readiness, user communication</w:t>
            </w:r>
          </w:p>
        </w:tc>
      </w:tr>
      <w:tr>
        <w:trPr>
          <w:cantSplit/>
        </w:trPr>
        <w:tc>
          <w:tcPr>
            <w:tcW w:type="dxa" w:w="1928"/>
            <w:shd w:val="clear" w:color="auto" w:fill="FAFBFD"/>
          </w:tcPr>
          <w:p>
            <w:pPr>
              <w:spacing w:after="20" w:before="20"/>
            </w:pPr>
            <w:r/>
            <w:r>
              <w:rPr>
                <w:rFonts w:ascii="Calibri" w:hAnsi="Calibri"/>
                <w:b/>
                <w:i w:val="0"/>
                <w:color w:val="334E68"/>
                <w:sz w:val="17"/>
              </w:rPr>
              <w:t>Automation / cloud</w:t>
            </w:r>
          </w:p>
        </w:tc>
        <w:tc>
          <w:tcPr>
            <w:tcW w:type="dxa" w:w="4241"/>
            <w:shd w:val="clear" w:color="auto" w:fill="FAFBFD"/>
          </w:tcPr>
          <w:p>
            <w:pPr>
              <w:spacing w:after="20" w:before="20"/>
            </w:pPr>
            <w:r/>
            <w:r>
              <w:rPr>
                <w:rFonts w:ascii="Calibri" w:hAnsi="Calibri"/>
                <w:b w:val="0"/>
                <w:i w:val="0"/>
                <w:color w:val="334E68"/>
                <w:sz w:val="17"/>
              </w:rPr>
              <w:t>AWS infrastructure provisioning and configuration automation</w:t>
            </w:r>
          </w:p>
        </w:tc>
        <w:tc>
          <w:tcPr>
            <w:tcW w:type="dxa" w:w="3470"/>
            <w:shd w:val="clear" w:color="auto" w:fill="FAFBFD"/>
          </w:tcPr>
          <w:p>
            <w:pPr>
              <w:spacing w:after="20" w:before="20"/>
            </w:pPr>
            <w:r/>
            <w:r>
              <w:rPr>
                <w:rFonts w:ascii="Calibri" w:hAnsi="Calibri"/>
                <w:b w:val="0"/>
                <w:i w:val="0"/>
                <w:color w:val="334E68"/>
                <w:sz w:val="17"/>
              </w:rPr>
              <w:t>Build-sheet feasibility, tagging, CMDB automation</w:t>
            </w:r>
          </w:p>
        </w:tc>
      </w:tr>
      <w:tr>
        <w:trPr>
          <w:cantSplit/>
        </w:trPr>
        <w:tc>
          <w:tcPr>
            <w:tcW w:type="dxa" w:w="1928"/>
          </w:tcPr>
          <w:p>
            <w:pPr>
              <w:spacing w:after="20" w:before="20"/>
            </w:pPr>
            <w:r/>
            <w:r>
              <w:rPr>
                <w:rFonts w:ascii="Calibri" w:hAnsi="Calibri"/>
                <w:b/>
                <w:i w:val="0"/>
                <w:color w:val="334E68"/>
                <w:sz w:val="17"/>
              </w:rPr>
              <w:t>Security / AD</w:t>
            </w:r>
          </w:p>
        </w:tc>
        <w:tc>
          <w:tcPr>
            <w:tcW w:type="dxa" w:w="4241"/>
          </w:tcPr>
          <w:p>
            <w:pPr>
              <w:spacing w:after="20" w:before="20"/>
            </w:pPr>
            <w:r/>
            <w:r>
              <w:rPr>
                <w:rFonts w:ascii="Calibri" w:hAnsi="Calibri"/>
                <w:b w:val="0"/>
                <w:i w:val="0"/>
                <w:color w:val="334E68"/>
                <w:sz w:val="17"/>
              </w:rPr>
              <w:t>Credentials, SSO/SNC/certificates and security dependencies</w:t>
            </w:r>
          </w:p>
        </w:tc>
        <w:tc>
          <w:tcPr>
            <w:tcW w:type="dxa" w:w="3470"/>
          </w:tcPr>
          <w:p>
            <w:pPr>
              <w:spacing w:after="20" w:before="20"/>
            </w:pPr>
            <w:r/>
            <w:r>
              <w:rPr>
                <w:rFonts w:ascii="Calibri" w:hAnsi="Calibri"/>
                <w:b w:val="0"/>
                <w:i w:val="0"/>
                <w:color w:val="334E68"/>
                <w:sz w:val="17"/>
              </w:rPr>
              <w:t>Certificate reissue, privileged access, audit requirements</w:t>
            </w:r>
          </w:p>
        </w:tc>
      </w:tr>
      <w:tr>
        <w:trPr>
          <w:cantSplit/>
        </w:trPr>
        <w:tc>
          <w:tcPr>
            <w:tcW w:type="dxa" w:w="1928"/>
            <w:shd w:val="clear" w:color="auto" w:fill="FAFBFD"/>
          </w:tcPr>
          <w:p>
            <w:pPr>
              <w:spacing w:after="20" w:before="20"/>
            </w:pPr>
            <w:r/>
            <w:r>
              <w:rPr>
                <w:rFonts w:ascii="Calibri" w:hAnsi="Calibri"/>
                <w:b/>
                <w:i w:val="0"/>
                <w:color w:val="334E68"/>
                <w:sz w:val="17"/>
              </w:rPr>
              <w:t>Project management / stakeholders</w:t>
            </w:r>
          </w:p>
        </w:tc>
        <w:tc>
          <w:tcPr>
            <w:tcW w:type="dxa" w:w="4241"/>
            <w:shd w:val="clear" w:color="auto" w:fill="FAFBFD"/>
          </w:tcPr>
          <w:p>
            <w:pPr>
              <w:spacing w:after="20" w:before="20"/>
            </w:pPr>
            <w:r/>
            <w:r>
              <w:rPr>
                <w:rFonts w:ascii="Calibri" w:hAnsi="Calibri"/>
                <w:b w:val="0"/>
                <w:i w:val="0"/>
                <w:color w:val="334E68"/>
                <w:sz w:val="17"/>
              </w:rPr>
              <w:t>Approvals, Go/No-Go and change governance</w:t>
            </w:r>
          </w:p>
        </w:tc>
        <w:tc>
          <w:tcPr>
            <w:tcW w:type="dxa" w:w="3470"/>
            <w:shd w:val="clear" w:color="auto" w:fill="FAFBFD"/>
          </w:tcPr>
          <w:p>
            <w:pPr>
              <w:spacing w:after="20" w:before="20"/>
            </w:pPr>
            <w:r/>
            <w:r>
              <w:rPr>
                <w:rFonts w:ascii="Calibri" w:hAnsi="Calibri"/>
                <w:b w:val="0"/>
                <w:i w:val="0"/>
                <w:color w:val="334E68"/>
                <w:sz w:val="17"/>
              </w:rPr>
              <w:t>Window scheduling, risk acceptance, communication</w:t>
            </w:r>
          </w:p>
        </w:tc>
      </w:tr>
    </w:tbl>
    <w:p>
      <w:pPr>
        <w:spacing w:after="40"/>
      </w:pPr>
    </w:p>
    <w:p>
      <w:pPr>
        <w:pStyle w:val="Heading2"/>
        <w:pBdr>
          <w:bottom w:val="single" w:sz="6" w:space="3" w:color="E8EDF3"/>
        </w:pBdr>
      </w:pPr>
      <w:r>
        <w:rPr>
          <w:rFonts w:ascii="Calibri" w:hAnsi="Calibri"/>
          <w:b/>
          <w:color w:val="0F2B4C"/>
          <w:sz w:val="26"/>
        </w:rPr>
        <w:t>14.4  Escalation path</w:t>
      </w:r>
    </w:p>
    <w:p>
      <w:pPr>
        <w:spacing w:after="60" w:before="160"/>
        <w:keepNext/>
      </w:pPr>
      <w:r>
        <w:rPr>
          <w:rFonts w:ascii="Calibri" w:hAnsi="Calibri"/>
          <w:b/>
          <w:color w:val="5B7288"/>
          <w:sz w:val="15"/>
        </w:rPr>
        <w:t>ESCALATION MODEL</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349"/>
        <w:gridCol w:w="3662"/>
        <w:gridCol w:w="2891"/>
        <w:gridCol w:w="1735"/>
      </w:tblGrid>
      <w:tr>
        <w:trPr>
          <w:tblHeader/>
          <w:cantSplit/>
        </w:trPr>
        <w:tc>
          <w:tcPr>
            <w:tcW w:type="dxa" w:w="1349"/>
            <w:shd w:val="clear" w:color="auto" w:fill="0F2B4C"/>
          </w:tcPr>
          <w:p>
            <w:pPr>
              <w:spacing w:after="20" w:before="20"/>
            </w:pPr>
            <w:r/>
            <w:r>
              <w:rPr>
                <w:rFonts w:ascii="Calibri" w:hAnsi="Calibri"/>
                <w:b/>
                <w:color w:val="FFFFFF"/>
                <w:sz w:val="17"/>
              </w:rPr>
              <w:t>Severity</w:t>
            </w:r>
          </w:p>
        </w:tc>
        <w:tc>
          <w:tcPr>
            <w:tcW w:type="dxa" w:w="3662"/>
            <w:shd w:val="clear" w:color="auto" w:fill="0F2B4C"/>
          </w:tcPr>
          <w:p>
            <w:pPr>
              <w:spacing w:after="20" w:before="20"/>
            </w:pPr>
            <w:r/>
            <w:r>
              <w:rPr>
                <w:rFonts w:ascii="Calibri" w:hAnsi="Calibri"/>
                <w:b/>
                <w:color w:val="FFFFFF"/>
                <w:sz w:val="17"/>
              </w:rPr>
              <w:t>Definition</w:t>
            </w:r>
          </w:p>
        </w:tc>
        <w:tc>
          <w:tcPr>
            <w:tcW w:type="dxa" w:w="2891"/>
            <w:shd w:val="clear" w:color="auto" w:fill="0F2B4C"/>
          </w:tcPr>
          <w:p>
            <w:pPr>
              <w:spacing w:after="20" w:before="20"/>
            </w:pPr>
            <w:r/>
            <w:r>
              <w:rPr>
                <w:rFonts w:ascii="Calibri" w:hAnsi="Calibri"/>
                <w:b/>
                <w:color w:val="FFFFFF"/>
                <w:sz w:val="17"/>
              </w:rPr>
              <w:t>Route</w:t>
            </w:r>
          </w:p>
        </w:tc>
        <w:tc>
          <w:tcPr>
            <w:tcW w:type="dxa" w:w="1735"/>
            <w:shd w:val="clear" w:color="auto" w:fill="0F2B4C"/>
          </w:tcPr>
          <w:p>
            <w:pPr>
              <w:spacing w:after="20" w:before="20"/>
            </w:pPr>
            <w:r/>
            <w:r>
              <w:rPr>
                <w:rFonts w:ascii="Calibri" w:hAnsi="Calibri"/>
                <w:b/>
                <w:color w:val="FFFFFF"/>
                <w:sz w:val="17"/>
              </w:rPr>
              <w:t>Response expectation</w:t>
            </w:r>
          </w:p>
        </w:tc>
      </w:tr>
      <w:tr>
        <w:trPr>
          <w:cantSplit/>
        </w:trPr>
        <w:tc>
          <w:tcPr>
            <w:tcW w:type="dxa" w:w="1349"/>
          </w:tcPr>
          <w:p>
            <w:pPr>
              <w:spacing w:after="20" w:before="20"/>
            </w:pPr>
            <w:r/>
            <w:r>
              <w:rPr>
                <w:rFonts w:ascii="Calibri" w:hAnsi="Calibri"/>
                <w:b/>
                <w:i w:val="0"/>
                <w:color w:val="334E68"/>
                <w:sz w:val="17"/>
              </w:rPr>
              <w:t>S1 — Critical</w:t>
            </w:r>
          </w:p>
        </w:tc>
        <w:tc>
          <w:tcPr>
            <w:tcW w:type="dxa" w:w="3662"/>
          </w:tcPr>
          <w:p>
            <w:pPr>
              <w:spacing w:after="20" w:before="20"/>
            </w:pPr>
            <w:r/>
            <w:r>
              <w:rPr>
                <w:rFonts w:ascii="Calibri" w:hAnsi="Calibri"/>
                <w:b w:val="0"/>
                <w:i w:val="0"/>
                <w:color w:val="334E68"/>
                <w:sz w:val="17"/>
              </w:rPr>
              <w:t>Cutover blocked, system unavailable, data at risk, or rollback decision required</w:t>
            </w:r>
          </w:p>
        </w:tc>
        <w:tc>
          <w:tcPr>
            <w:tcW w:type="dxa" w:w="2891"/>
          </w:tcPr>
          <w:p>
            <w:pPr>
              <w:spacing w:after="20" w:before="20"/>
            </w:pPr>
            <w:r/>
            <w:r>
              <w:rPr>
                <w:rFonts w:ascii="Calibri" w:hAnsi="Calibri"/>
                <w:b w:val="0"/>
                <w:i w:val="0"/>
                <w:color w:val="334E68"/>
                <w:sz w:val="17"/>
              </w:rPr>
              <w:t>Bridge → module owner → programme lead → stakeholders immediately</w:t>
            </w:r>
          </w:p>
        </w:tc>
        <w:tc>
          <w:tcPr>
            <w:tcW w:type="dxa" w:w="1735"/>
          </w:tcPr>
          <w:p>
            <w:pPr>
              <w:spacing w:after="20" w:before="20"/>
            </w:pPr>
            <w:r/>
            <w:r>
              <w:rPr>
                <w:rFonts w:ascii="Calibri" w:hAnsi="Calibri"/>
                <w:b w:val="0"/>
                <w:i w:val="0"/>
                <w:color w:val="334E68"/>
                <w:sz w:val="17"/>
              </w:rPr>
              <w:t>Immediate; decision within the agreed checkpoint interval</w:t>
            </w:r>
          </w:p>
        </w:tc>
      </w:tr>
      <w:tr>
        <w:trPr>
          <w:cantSplit/>
        </w:trPr>
        <w:tc>
          <w:tcPr>
            <w:tcW w:type="dxa" w:w="1349"/>
            <w:shd w:val="clear" w:color="auto" w:fill="FAFBFD"/>
          </w:tcPr>
          <w:p>
            <w:pPr>
              <w:spacing w:after="20" w:before="20"/>
            </w:pPr>
            <w:r/>
            <w:r>
              <w:rPr>
                <w:rFonts w:ascii="Calibri" w:hAnsi="Calibri"/>
                <w:b/>
                <w:i w:val="0"/>
                <w:color w:val="334E68"/>
                <w:sz w:val="17"/>
              </w:rPr>
              <w:t>S2 — High</w:t>
            </w:r>
          </w:p>
        </w:tc>
        <w:tc>
          <w:tcPr>
            <w:tcW w:type="dxa" w:w="3662"/>
            <w:shd w:val="clear" w:color="auto" w:fill="FAFBFD"/>
          </w:tcPr>
          <w:p>
            <w:pPr>
              <w:spacing w:after="20" w:before="20"/>
            </w:pPr>
            <w:r/>
            <w:r>
              <w:rPr>
                <w:rFonts w:ascii="Calibri" w:hAnsi="Calibri"/>
                <w:b w:val="0"/>
                <w:i w:val="0"/>
                <w:color w:val="334E68"/>
                <w:sz w:val="17"/>
              </w:rPr>
              <w:t>A gate cannot be passed; a validation item fails with no workaround</w:t>
            </w:r>
          </w:p>
        </w:tc>
        <w:tc>
          <w:tcPr>
            <w:tcW w:type="dxa" w:w="2891"/>
            <w:shd w:val="clear" w:color="auto" w:fill="FAFBFD"/>
          </w:tcPr>
          <w:p>
            <w:pPr>
              <w:spacing w:after="20" w:before="20"/>
            </w:pPr>
            <w:r/>
            <w:r>
              <w:rPr>
                <w:rFonts w:ascii="Calibri" w:hAnsi="Calibri"/>
                <w:b w:val="0"/>
                <w:i w:val="0"/>
                <w:color w:val="334E68"/>
                <w:sz w:val="17"/>
              </w:rPr>
              <w:t>Module owner → accountable team lead; logged in the change record</w:t>
            </w:r>
          </w:p>
        </w:tc>
        <w:tc>
          <w:tcPr>
            <w:tcW w:type="dxa" w:w="1735"/>
            <w:shd w:val="clear" w:color="auto" w:fill="FAFBFD"/>
          </w:tcPr>
          <w:p>
            <w:pPr>
              <w:spacing w:after="20" w:before="20"/>
            </w:pPr>
            <w:r/>
            <w:r>
              <w:rPr>
                <w:rFonts w:ascii="Calibri" w:hAnsi="Calibri"/>
                <w:b w:val="0"/>
                <w:i w:val="0"/>
                <w:color w:val="334E68"/>
                <w:sz w:val="17"/>
              </w:rPr>
              <w:t>Same day, inside the window if one is open</w:t>
            </w:r>
          </w:p>
        </w:tc>
      </w:tr>
      <w:tr>
        <w:trPr>
          <w:cantSplit/>
        </w:trPr>
        <w:tc>
          <w:tcPr>
            <w:tcW w:type="dxa" w:w="1349"/>
          </w:tcPr>
          <w:p>
            <w:pPr>
              <w:spacing w:after="20" w:before="20"/>
            </w:pPr>
            <w:r/>
            <w:r>
              <w:rPr>
                <w:rFonts w:ascii="Calibri" w:hAnsi="Calibri"/>
                <w:b/>
                <w:i w:val="0"/>
                <w:color w:val="334E68"/>
                <w:sz w:val="17"/>
              </w:rPr>
              <w:t>S3 — Medium</w:t>
            </w:r>
          </w:p>
        </w:tc>
        <w:tc>
          <w:tcPr>
            <w:tcW w:type="dxa" w:w="3662"/>
          </w:tcPr>
          <w:p>
            <w:pPr>
              <w:spacing w:after="20" w:before="20"/>
            </w:pPr>
            <w:r/>
            <w:r>
              <w:rPr>
                <w:rFonts w:ascii="Calibri" w:hAnsi="Calibri"/>
                <w:b w:val="0"/>
                <w:i w:val="0"/>
                <w:color w:val="334E68"/>
                <w:sz w:val="17"/>
              </w:rPr>
              <w:t>Deviation with a workaround; deferrable to a later checkpoint</w:t>
            </w:r>
          </w:p>
        </w:tc>
        <w:tc>
          <w:tcPr>
            <w:tcW w:type="dxa" w:w="2891"/>
          </w:tcPr>
          <w:p>
            <w:pPr>
              <w:spacing w:after="20" w:before="20"/>
            </w:pPr>
            <w:r/>
            <w:r>
              <w:rPr>
                <w:rFonts w:ascii="Calibri" w:hAnsi="Calibri"/>
                <w:b w:val="0"/>
                <w:i w:val="0"/>
                <w:color w:val="334E68"/>
                <w:sz w:val="17"/>
              </w:rPr>
              <w:t>Owning team; tracked in the deviation log</w:t>
            </w:r>
          </w:p>
        </w:tc>
        <w:tc>
          <w:tcPr>
            <w:tcW w:type="dxa" w:w="1735"/>
          </w:tcPr>
          <w:p>
            <w:pPr>
              <w:spacing w:after="20" w:before="20"/>
            </w:pPr>
            <w:r/>
            <w:r>
              <w:rPr>
                <w:rFonts w:ascii="Calibri" w:hAnsi="Calibri"/>
                <w:b w:val="0"/>
                <w:i w:val="0"/>
                <w:color w:val="334E68"/>
                <w:sz w:val="17"/>
              </w:rPr>
              <w:t>Before the next gate</w:t>
            </w:r>
          </w:p>
        </w:tc>
      </w:tr>
      <w:tr>
        <w:trPr>
          <w:cantSplit/>
        </w:trPr>
        <w:tc>
          <w:tcPr>
            <w:tcW w:type="dxa" w:w="1349"/>
            <w:shd w:val="clear" w:color="auto" w:fill="FAFBFD"/>
          </w:tcPr>
          <w:p>
            <w:pPr>
              <w:spacing w:after="20" w:before="20"/>
            </w:pPr>
            <w:r/>
            <w:r>
              <w:rPr>
                <w:rFonts w:ascii="Calibri" w:hAnsi="Calibri"/>
                <w:b/>
                <w:i w:val="0"/>
                <w:color w:val="334E68"/>
                <w:sz w:val="17"/>
              </w:rPr>
              <w:t>S4 — Low</w:t>
            </w:r>
          </w:p>
        </w:tc>
        <w:tc>
          <w:tcPr>
            <w:tcW w:type="dxa" w:w="3662"/>
            <w:shd w:val="clear" w:color="auto" w:fill="FAFBFD"/>
          </w:tcPr>
          <w:p>
            <w:pPr>
              <w:spacing w:after="20" w:before="20"/>
            </w:pPr>
            <w:r/>
            <w:r>
              <w:rPr>
                <w:rFonts w:ascii="Calibri" w:hAnsi="Calibri"/>
                <w:b w:val="0"/>
                <w:i w:val="0"/>
                <w:color w:val="334E68"/>
                <w:sz w:val="17"/>
              </w:rPr>
              <w:t>Cosmetic, documentation, or non-blocking observation</w:t>
            </w:r>
          </w:p>
        </w:tc>
        <w:tc>
          <w:tcPr>
            <w:tcW w:type="dxa" w:w="2891"/>
            <w:shd w:val="clear" w:color="auto" w:fill="FAFBFD"/>
          </w:tcPr>
          <w:p>
            <w:pPr>
              <w:spacing w:after="20" w:before="20"/>
            </w:pPr>
            <w:r/>
            <w:r>
              <w:rPr>
                <w:rFonts w:ascii="Calibri" w:hAnsi="Calibri"/>
                <w:b w:val="0"/>
                <w:i w:val="0"/>
                <w:color w:val="334E68"/>
                <w:sz w:val="17"/>
              </w:rPr>
              <w:t>Deviation log; closed during hypercare</w:t>
            </w:r>
          </w:p>
        </w:tc>
        <w:tc>
          <w:tcPr>
            <w:tcW w:type="dxa" w:w="1735"/>
            <w:shd w:val="clear" w:color="auto" w:fill="FAFBFD"/>
          </w:tcPr>
          <w:p>
            <w:pPr>
              <w:spacing w:after="20" w:before="20"/>
            </w:pPr>
            <w:r/>
            <w:r>
              <w:rPr>
                <w:rFonts w:ascii="Calibri" w:hAnsi="Calibri"/>
                <w:b w:val="0"/>
                <w:i w:val="0"/>
                <w:color w:val="334E68"/>
                <w:sz w:val="17"/>
              </w:rPr>
              <w:t>Hypercare window</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CHANGE CONTROL DOES NOT PAUSE FOR A MIGRATION</w:t>
      </w:r>
    </w:p>
    <w:p>
      <w:pPr>
        <w:spacing w:after="40"/>
        <w:ind w:left="170"/>
        <w:shd w:val="clear" w:color="auto" w:fill="FFFDF5"/>
        <w:pBdr>
          <w:left w:val="single" w:sz="6" w:space="6" w:color="D9A520"/>
          <w:bottom w:val="single" w:sz="6" w:space="6" w:color="D9A520"/>
          <w:right w:val="single" w:sz="6" w:space="6" w:color="D9A520"/>
        </w:pBdr>
      </w:pPr>
      <w:r>
        <w:rPr>
          <w:rFonts w:ascii="Calibri" w:hAnsi="Calibri"/>
          <w:b w:val="0"/>
          <w:i w:val="0"/>
          <w:color w:val="334E68"/>
          <w:sz w:val="18"/>
        </w:rPr>
        <w:t>Every change made during build, validation and cutover is still a change: it needs an owner, a record and, where the process requires it, an approval. The cutover change record is the umbrella — but it must list what was done, not merely that a cutover happened.</w:t>
      </w:r>
    </w:p>
    <w:p>
      <w:r>
        <w:br w:type="page"/>
      </w:r>
    </w:p>
    <w:p>
      <w:pPr>
        <w:spacing w:after="20"/>
      </w:pPr>
      <w:r>
        <w:rPr>
          <w:rFonts w:ascii="Calibri" w:hAnsi="Calibri"/>
          <w:b/>
          <w:color w:val="1B4F86"/>
          <w:sz w:val="16"/>
        </w:rPr>
        <w:t>SECTION 15 · REFERENCE</w:t>
      </w:r>
    </w:p>
    <w:p>
      <w:pPr>
        <w:pStyle w:val="Heading1"/>
        <w:pBdr>
          <w:bottom w:val="single" w:sz="12" w:space="5" w:color="1B4F86"/>
        </w:pBdr>
        <w:spacing w:after="160"/>
      </w:pPr>
      <w:r>
        <w:rPr>
          <w:rFonts w:ascii="Calibri Light" w:hAnsi="Calibri Light"/>
          <w:b/>
          <w:color w:val="0F2B4C"/>
          <w:sz w:val="38"/>
        </w:rPr>
        <w:t>15  Troubleshooting playbook and common failure modes</w:t>
      </w:r>
    </w:p>
    <w:p>
      <w:pPr>
        <w:spacing w:after="200"/>
      </w:pPr>
      <w:r>
        <w:rPr>
          <w:rFonts w:ascii="Calibri" w:hAnsi="Calibri"/>
          <w:i/>
          <w:color w:val="5B7288"/>
          <w:sz w:val="21"/>
        </w:rPr>
        <w:t>The failures that recur across SAP migrations, with the first diagnostic question for each. Use this before changing anything: most of these are resolved by finding the cause, not by adjusting a parameter.</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Service enabled but exit code non-zero (127 / 255 / other)</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SAP starts manually as </w:t>
      </w:r>
      <w:r>
        <w:rPr>
          <w:rFonts w:ascii="Consolas" w:hAnsi="Consolas"/>
          <w:b w:val="0"/>
          <w:i w:val="0"/>
          <w:color w:val="123A63"/>
          <w:sz w:val="19"/>
          <w:shd w:val="clear" w:color="auto" w:fill="EEF2F7"/>
        </w:rPr>
        <w:t>&lt;sid&gt;adm</w:t>
      </w:r>
      <w:r>
        <w:rPr>
          <w:rFonts w:ascii="Calibri" w:hAnsi="Calibri"/>
          <w:b w:val="0"/>
          <w:i w:val="0"/>
          <w:color w:val="334E68"/>
          <w:sz w:val="19"/>
        </w:rPr>
        <w:t xml:space="preserve"> but not from the service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Instance starts but never registers in </w:t>
      </w:r>
      <w:r>
        <w:rPr>
          <w:rFonts w:ascii="Consolas" w:hAnsi="Consolas"/>
          <w:b w:val="0"/>
          <w:i w:val="0"/>
          <w:color w:val="123A63"/>
          <w:sz w:val="19"/>
          <w:shd w:val="clear" w:color="auto" w:fill="EEF2F7"/>
        </w:rPr>
        <w:t>SM51</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Read the service journal and the SAP start log before retrying.</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boot ordering: file systems mounted, network up, virtual IP owned, database reachable.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For 127: path, environment and shared libraries. For 255: the SAP-side trace (</w:t>
      </w:r>
      <w:r>
        <w:rPr>
          <w:rFonts w:ascii="Consolas" w:hAnsi="Consolas"/>
          <w:b w:val="0"/>
          <w:i w:val="0"/>
          <w:color w:val="123A63"/>
          <w:sz w:val="19"/>
          <w:shd w:val="clear" w:color="auto" w:fill="EEF2F7"/>
        </w:rPr>
        <w:t>dev_disp</w:t>
      </w:r>
      <w:r>
        <w:rPr>
          <w:rFonts w:ascii="Calibri" w:hAnsi="Calibri"/>
          <w:b w:val="0"/>
          <w:i w:val="0"/>
          <w:color w:val="334E68"/>
          <w:sz w:val="19"/>
        </w:rPr>
        <w:t xml:space="preserve">, </w:t>
      </w:r>
      <w:r>
        <w:rPr>
          <w:rFonts w:ascii="Consolas" w:hAnsi="Consolas"/>
          <w:b w:val="0"/>
          <w:i w:val="0"/>
          <w:color w:val="123A63"/>
          <w:sz w:val="19"/>
          <w:shd w:val="clear" w:color="auto" w:fill="EEF2F7"/>
        </w:rPr>
        <w:t>dev_ms</w:t>
      </w:r>
      <w:r>
        <w:rPr>
          <w:rFonts w:ascii="Calibri" w:hAnsi="Calibri"/>
          <w:b w:val="0"/>
          <w:i w:val="0"/>
          <w:color w:val="334E68"/>
          <w:sz w:val="19"/>
        </w:rPr>
        <w:t xml:space="preserve">, </w:t>
      </w:r>
      <w:r>
        <w:rPr>
          <w:rFonts w:ascii="Consolas" w:hAnsi="Consolas"/>
          <w:b w:val="0"/>
          <w:i w:val="0"/>
          <w:color w:val="123A63"/>
          <w:sz w:val="19"/>
          <w:shd w:val="clear" w:color="auto" w:fill="EEF2F7"/>
        </w:rPr>
        <w:t>dev_w0</w:t>
      </w:r>
      <w:r>
        <w:rPr>
          <w:rFonts w:ascii="Calibri" w:hAnsi="Calibri"/>
          <w:b w:val="0"/>
          <w:i w:val="0"/>
          <w:color w:val="334E68"/>
          <w:sz w:val="19"/>
        </w:rPr>
        <w: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Confirm the cluster/HA manager is not fighting the local service for the same resource.</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Coordinate the reboot with the Linux team, and rehearse it before cutover — never for the first time in the window.</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Database not reachable or not open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Wrong credentials, missing user, or wallet/keystore problem</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Library or DB client (for example the Oracle client / HANA client) mismatch</w:t>
      </w:r>
    </w:p>
    <w:p>
      <w:pPr>
        <w:spacing w:after="40"/>
        <w:ind w:left="567" w:hanging="227"/>
        <w:shd w:val="clear" w:color="auto" w:fill="FBFCFE"/>
      </w:pPr>
      <w:r>
        <w:rPr>
          <w:rFonts w:ascii="Calibri" w:hAnsi="Calibri"/>
          <w:b/>
          <w:color w:val="1B4F86"/>
          <w:sz w:val="19"/>
        </w:rPr>
        <w:t xml:space="preserve">▪  </w:t>
      </w:r>
      <w:r>
        <w:rPr>
          <w:rFonts w:ascii="Consolas" w:hAnsi="Consolas"/>
          <w:b w:val="0"/>
          <w:i w:val="0"/>
          <w:color w:val="123A63"/>
          <w:sz w:val="19"/>
          <w:shd w:val="clear" w:color="auto" w:fill="EEF2F7"/>
        </w:rPr>
        <w:t>/etc/hosts</w:t>
      </w:r>
      <w:r>
        <w:rPr>
          <w:rFonts w:ascii="Calibri" w:hAnsi="Calibri"/>
          <w:b w:val="0"/>
          <w:i w:val="0"/>
          <w:color w:val="334E68"/>
          <w:sz w:val="19"/>
        </w:rPr>
        <w:t xml:space="preserve"> or </w:t>
      </w:r>
      <w:r>
        <w:rPr>
          <w:rFonts w:ascii="Consolas" w:hAnsi="Consolas"/>
          <w:b w:val="0"/>
          <w:i w:val="0"/>
          <w:color w:val="123A63"/>
          <w:sz w:val="19"/>
          <w:shd w:val="clear" w:color="auto" w:fill="EEF2F7"/>
        </w:rPr>
        <w:t>/etc/services</w:t>
      </w:r>
      <w:r>
        <w:rPr>
          <w:rFonts w:ascii="Calibri" w:hAnsi="Calibri"/>
          <w:b w:val="0"/>
          <w:i w:val="0"/>
          <w:color w:val="334E68"/>
          <w:sz w:val="19"/>
        </w:rPr>
        <w:t xml:space="preserve"> pointing at the source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Database name or SID changed without updating SAP configuration</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Read </w:t>
      </w:r>
      <w:r>
        <w:rPr>
          <w:rFonts w:ascii="Consolas" w:hAnsi="Consolas"/>
          <w:b w:val="0"/>
          <w:i w:val="0"/>
          <w:color w:val="123A63"/>
          <w:sz w:val="19"/>
          <w:shd w:val="clear" w:color="auto" w:fill="EEF2F7"/>
        </w:rPr>
        <w:t>trans.log</w:t>
      </w:r>
      <w:r>
        <w:rPr>
          <w:rFonts w:ascii="Calibri" w:hAnsi="Calibri"/>
          <w:b w:val="0"/>
          <w:i w:val="0"/>
          <w:color w:val="334E68"/>
          <w:sz w:val="19"/>
        </w:rPr>
        <w:t xml:space="preserve"> — it names the failing step.</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Test the DB connection independently of SAP (listener/service check, DB client connection).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Verify the DB host entry and the SAP profile's database parameters.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Confirm the DB client version and library path match the target design.</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Do not start SAP until this returns 0000; starting it first buries the real error under hundreds of secondary messages.</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RFC destination points at an old hostname/IP</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Gateway or message-server connection blocked by a security group or firewall</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Certificate, SNC or credential change on either side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Middleware endpoint not repointed</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The interface was already failing before migration (baseline)</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the baseline record first: was it working before?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Test the destination in </w:t>
      </w:r>
      <w:r>
        <w:rPr>
          <w:rFonts w:ascii="Consolas" w:hAnsi="Consolas"/>
          <w:b w:val="0"/>
          <w:i w:val="0"/>
          <w:color w:val="123A63"/>
          <w:sz w:val="19"/>
          <w:shd w:val="clear" w:color="auto" w:fill="EEF2F7"/>
        </w:rPr>
        <w:t>SM59</w:t>
      </w:r>
      <w:r>
        <w:rPr>
          <w:rFonts w:ascii="Calibri" w:hAnsi="Calibri"/>
          <w:b w:val="0"/>
          <w:i w:val="0"/>
          <w:color w:val="334E68"/>
          <w:sz w:val="19"/>
        </w:rPr>
        <w:t xml:space="preserve"> and read the returned error class.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Check </w:t>
      </w:r>
      <w:r>
        <w:rPr>
          <w:rFonts w:ascii="Consolas" w:hAnsi="Consolas"/>
          <w:b w:val="0"/>
          <w:i w:val="0"/>
          <w:color w:val="123A63"/>
          <w:sz w:val="19"/>
          <w:shd w:val="clear" w:color="auto" w:fill="EEF2F7"/>
        </w:rPr>
        <w:t>SMGW</w:t>
      </w:r>
      <w:r>
        <w:rPr>
          <w:rFonts w:ascii="Calibri" w:hAnsi="Calibri"/>
          <w:b w:val="0"/>
          <w:i w:val="0"/>
          <w:color w:val="334E68"/>
          <w:sz w:val="19"/>
        </w:rPr>
        <w:t xml:space="preserve"> for the connection and for missing registrations.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Validate name resolution and the network path from the SAP host, not from your laptop.</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If the baseline shows it was already failing, classify it as a pre-existing condition and route it to BAU with the evidence.</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UID/GID mismatch between source and target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Ownership not preserved by the copy or the rsync</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NFS export with root-squash or a different owner mapping</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EFS mount with different default ownership</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Compare numeric UID/GID, not just user names.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the ownership of the parent directory and the mount options.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For NFS/EFS, verify the export permission model and squashing behaviour.</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Fix the ID mapping rather than chmod-ing the symptom; a broad permission change creates a security finding.</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Backup backend not reachable, or permissions insufficient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Configuration files missing or inconsistent with the source topology</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Wrong recovery context (SystemDB versus tenant)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Insufficient storage or memory on the target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Log or data volume path mismatch</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Read the recovery log and the nameserver/indexserver traces.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Prove the S3/backend path with a manual read test before retrying.</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Confirm you are recovering the tenant from the correct system context.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Verify the INI/topology files describe the target, not the source.</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This is why recovery is tested before cutover. A first-time recovery attempt during the window is a rollback decision waiting to happen.</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Tablespace not recovered or not extended</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Archive/log volume difference after the migration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Compression, storage class or block-size difference on the target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Growth since the baseline was taken</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Compare per tablespace, not only the total.</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the recovery log for skipped or truncated datafiles.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Reconcile object counts for a sample of large tables.</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 total that looks plausible can hide a missing tablespace; compare the composition.</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Different workload mix or period compared</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Stale database statistics or a changed access path</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Memory configuration not matching the target sizing</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Network latency between application and database hosts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Storage throughput or IOPS below the sizing assumption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Instance type smaller than the sizing report specified</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Confirm you are comparing equivalent periods and load.</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Split the response time: DB, CPU, wait. Follow the dominant component.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Measure app-to-DB latency and storage throughput against the design.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whether database statistics were refreshed after the data move.</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Do not raise memory parameters first; find what is consuming the resource.</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CNAME or A record not updated, or updated in the wrong zone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Stale </w:t>
      </w:r>
      <w:r>
        <w:rPr>
          <w:rFonts w:ascii="Consolas" w:hAnsi="Consolas"/>
          <w:b w:val="0"/>
          <w:i w:val="0"/>
          <w:color w:val="123A63"/>
          <w:sz w:val="19"/>
          <w:shd w:val="clear" w:color="auto" w:fill="EEF2F7"/>
        </w:rPr>
        <w:t>/etc/hosts</w:t>
      </w:r>
      <w:r>
        <w:rPr>
          <w:rFonts w:ascii="Calibri" w:hAnsi="Calibri"/>
          <w:b w:val="0"/>
          <w:i w:val="0"/>
          <w:color w:val="334E68"/>
          <w:sz w:val="19"/>
        </w:rPr>
        <w:t xml:space="preserve"> entry overriding DNS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TTL still high, or a caching resolver holding the old record</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Private zone not associated with the target VPC</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Resolve from the affected host with </w:t>
      </w:r>
      <w:r>
        <w:rPr>
          <w:rFonts w:ascii="Consolas" w:hAnsi="Consolas"/>
          <w:b w:val="0"/>
          <w:i w:val="0"/>
          <w:color w:val="123A63"/>
          <w:sz w:val="19"/>
          <w:shd w:val="clear" w:color="auto" w:fill="EEF2F7"/>
        </w:rPr>
        <w:t>getent hosts</w:t>
      </w:r>
      <w:r>
        <w:rPr>
          <w:rFonts w:ascii="Calibri" w:hAnsi="Calibri"/>
          <w:b w:val="0"/>
          <w:i w:val="0"/>
          <w:color w:val="334E68"/>
          <w:sz w:val="19"/>
        </w:rPr>
        <w:t xml:space="preserve"> and </w:t>
      </w:r>
      <w:r>
        <w:rPr>
          <w:rFonts w:ascii="Consolas" w:hAnsi="Consolas"/>
          <w:b w:val="0"/>
          <w:i w:val="0"/>
          <w:color w:val="123A63"/>
          <w:sz w:val="19"/>
          <w:shd w:val="clear" w:color="auto" w:fill="EEF2F7"/>
        </w:rPr>
        <w:t>nslookup</w:t>
      </w:r>
      <w:r>
        <w:rPr>
          <w:rFonts w:ascii="Calibri" w:hAnsi="Calibri"/>
          <w:b w:val="0"/>
          <w:i w:val="0"/>
          <w:color w:val="334E68"/>
          <w:sz w:val="19"/>
        </w:rPr>
        <w: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Check </w:t>
      </w:r>
      <w:r>
        <w:rPr>
          <w:rFonts w:ascii="Consolas" w:hAnsi="Consolas"/>
          <w:b w:val="0"/>
          <w:i w:val="0"/>
          <w:color w:val="123A63"/>
          <w:sz w:val="19"/>
          <w:shd w:val="clear" w:color="auto" w:fill="EEF2F7"/>
        </w:rPr>
        <w:t>/etc/hosts</w:t>
      </w:r>
      <w:r>
        <w:rPr>
          <w:rFonts w:ascii="Calibri" w:hAnsi="Calibri"/>
          <w:b w:val="0"/>
          <w:i w:val="0"/>
          <w:color w:val="334E68"/>
          <w:sz w:val="19"/>
        </w:rPr>
        <w:t xml:space="preserve"> explicitly.</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Verify which zone answers and whether the VPC association is correct.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Prove it with a real connection test (</w:t>
      </w:r>
      <w:r>
        <w:rPr>
          <w:rFonts w:ascii="Consolas" w:hAnsi="Consolas"/>
          <w:b w:val="0"/>
          <w:i w:val="0"/>
          <w:color w:val="123A63"/>
          <w:sz w:val="19"/>
          <w:shd w:val="clear" w:color="auto" w:fill="EEF2F7"/>
        </w:rPr>
        <w:t>R3trans -d</w:t>
      </w:r>
      <w:r>
        <w:rPr>
          <w:rFonts w:ascii="Calibri" w:hAnsi="Calibri"/>
          <w:b w:val="0"/>
          <w:i w:val="0"/>
          <w:color w:val="334E68"/>
          <w:sz w:val="19"/>
        </w:rPr>
        <w:t>), not by reading the record.</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Lower TTL ahead of cutover as designed, and clear the host-file entries as part of post-processing.</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Certificate issued for the old hostname or domain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Certificate expired during the project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PSE/keystore not migrated, or migrated with wrong permissions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SSO provider still pointing at the old URL</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SNC configuration mismatch between partners</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Check validity and the hostname/domain match in </w:t>
      </w:r>
      <w:r>
        <w:rPr>
          <w:rFonts w:ascii="Consolas" w:hAnsi="Consolas"/>
          <w:b w:val="0"/>
          <w:i w:val="0"/>
          <w:color w:val="123A63"/>
          <w:sz w:val="19"/>
          <w:shd w:val="clear" w:color="auto" w:fill="EEF2F7"/>
        </w:rPr>
        <w:t>STRUST</w:t>
      </w:r>
      <w:r>
        <w:rPr>
          <w:rFonts w:ascii="Calibri" w:hAnsi="Calibri"/>
          <w:b w:val="0"/>
          <w:i w:val="0"/>
          <w:color w:val="334E68"/>
          <w:sz w:val="19"/>
        </w:rPr>
        <w: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Verify the PSE/keystore files exist with correct ownership.</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Test SNC handshake and SSO logon with a representative user, not an administrator account.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Confirm the partner side is configured for the new endpoint.</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Certificate reissue has lead time with the issuing authority — raise it during preparation.</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Transport directory not synchronized, or permissions wrong</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Domain controller or route definition pointing at the old landscape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TMS configuration not updated for the new hostnames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ChaRM cycle state inconsistent after the move</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 xml:space="preserve">Validate </w:t>
      </w:r>
      <w:r>
        <w:rPr>
          <w:rFonts w:ascii="Consolas" w:hAnsi="Consolas"/>
          <w:b w:val="0"/>
          <w:i w:val="0"/>
          <w:color w:val="123A63"/>
          <w:sz w:val="19"/>
          <w:shd w:val="clear" w:color="auto" w:fill="EEF2F7"/>
        </w:rPr>
        <w:t>STMS</w:t>
      </w:r>
      <w:r>
        <w:rPr>
          <w:rFonts w:ascii="Calibri" w:hAnsi="Calibri"/>
          <w:b w:val="0"/>
          <w:i w:val="0"/>
          <w:color w:val="334E68"/>
          <w:sz w:val="19"/>
        </w:rPr>
        <w:t>: domain, systems, routes, transport directory.</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Run a test import through the full route.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ownership and permissions on the transport directory on every host.</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 transport route that only works in one direction is a common half-migrated landscape symptom.</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Bucket/path/policy not matching the backup configuration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Agent not installed, not registered, or pointing at the old master server</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Credentials or IAM role missing on the new host</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Network path to the backup target blocked</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Check the backup log for the exact failing operation.</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Verify the agent inventory and registration against the source baseline.</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Test the backend path manually with the same identity the backup uses.</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The first backup on the target must succeed before the system is handed to BAU — no exceptions.</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w:t>
      </w:r>
    </w:p>
    <w:p>
      <w:pPr>
        <w:ind w:left="170"/>
        <w:shd w:val="clear" w:color="auto" w:fill="FBFCFE"/>
      </w:pPr>
      <w:r>
        <w:rPr>
          <w:rFonts w:ascii="Calibri" w:hAnsi="Calibri"/>
          <w:b/>
          <w:color w:val="5B7288"/>
          <w:sz w:val="16"/>
        </w:rPr>
        <w:t>SYMPTOMS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Jobs not released after cutover</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Control-M agent not reinstalled or not re-pointed</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Job definitions referencing old hostnames or paths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Dependencies resumed out of order</w:t>
      </w:r>
    </w:p>
    <w:p>
      <w:pPr>
        <w:ind w:left="170"/>
        <w:shd w:val="clear" w:color="auto" w:fill="FBFCFE"/>
      </w:pPr>
      <w:r>
        <w:rPr>
          <w:rFonts w:ascii="Calibri" w:hAnsi="Calibri"/>
          <w:b/>
          <w:color w:val="5B7288"/>
          <w:sz w:val="16"/>
        </w:rPr>
        <w:t>FIRST DIAGNOSTICS</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Compare the job list with the source baseline (</w:t>
      </w:r>
      <w:r>
        <w:rPr>
          <w:rFonts w:ascii="Consolas" w:hAnsi="Consolas"/>
          <w:b w:val="0"/>
          <w:i w:val="0"/>
          <w:color w:val="123A63"/>
          <w:sz w:val="19"/>
          <w:shd w:val="clear" w:color="auto" w:fill="EEF2F7"/>
        </w:rPr>
        <w:t>SM37</w:t>
      </w:r>
      <w:r>
        <w:rPr>
          <w:rFonts w:ascii="Calibri" w:hAnsi="Calibri"/>
          <w:b w:val="0"/>
          <w:i w:val="0"/>
          <w:color w:val="334E68"/>
          <w:sz w:val="19"/>
        </w:rPr>
        <w:t xml:space="preserve"> plus the scheduler).</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Confirm the agent is registered with the correct control.</w:t>
      </w:r>
    </w:p>
    <w:p>
      <w:pPr>
        <w:spacing w:after="40"/>
        <w:ind w:left="567" w:hanging="227"/>
        <w:shd w:val="clear" w:color="auto" w:fill="FBFCFE"/>
      </w:pPr>
      <w:r>
        <w:rPr>
          <w:rFonts w:ascii="Calibri" w:hAnsi="Calibri"/>
          <w:b/>
          <w:color w:val="1B4F86"/>
          <w:sz w:val="19"/>
        </w:rPr>
        <w:t xml:space="preserve">▪  </w:t>
      </w:r>
      <w:r>
        <w:rPr>
          <w:rFonts w:ascii="Calibri" w:hAnsi="Calibri"/>
          <w:b w:val="0"/>
          <w:i w:val="0"/>
          <w:color w:val="334E68"/>
          <w:sz w:val="19"/>
        </w:rPr>
        <w:t>Resume in the agreed order with the job owners on the call.</w:t>
      </w: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TIP</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Resuming everything at once creates a self-inflicted load spike on go-live day.</w:t>
      </w:r>
    </w:p>
    <w:p>
      <w:pPr>
        <w:spacing w:before="180" w:after="40"/>
        <w:shd w:val="clear" w:color="auto" w:fill="FFFBFB"/>
        <w:pBdr>
          <w:left w:val="single" w:sz="6" w:space="6" w:color="C8434B"/>
          <w:top w:val="single" w:sz="6" w:space="6" w:color="C8434B"/>
          <w:right w:val="single" w:sz="6" w:space="6" w:color="C8434B"/>
        </w:pBdr>
        <w:keepNext/>
      </w:pPr>
      <w:r>
        <w:rPr>
          <w:rFonts w:ascii="Calibri" w:hAnsi="Calibri"/>
          <w:b/>
          <w:color w:val="C8434B"/>
          <w:sz w:val="16"/>
        </w:rPr>
        <w:t>WHEN TO STOP AND ROLL BACK</w:t>
      </w:r>
    </w:p>
    <w:p>
      <w:pPr>
        <w:spacing w:after="40"/>
        <w:ind w:left="567" w:hanging="227"/>
        <w:shd w:val="clear" w:color="auto" w:fill="FFFBFB"/>
      </w:pPr>
      <w:r>
        <w:rPr>
          <w:rFonts w:ascii="Calibri" w:hAnsi="Calibri"/>
          <w:b/>
          <w:color w:val="1B4F86"/>
          <w:sz w:val="19"/>
        </w:rPr>
        <w:t xml:space="preserve">▪  </w:t>
      </w:r>
      <w:r>
        <w:rPr>
          <w:rFonts w:ascii="Calibri" w:hAnsi="Calibri"/>
          <w:b w:val="0"/>
          <w:i w:val="0"/>
          <w:color w:val="334E68"/>
          <w:sz w:val="19"/>
        </w:rPr>
        <w:t>The database cannot be validated and the remaining window cannot absorb the diagnosis.</w:t>
      </w:r>
    </w:p>
    <w:p>
      <w:pPr>
        <w:spacing w:after="40"/>
        <w:ind w:left="567" w:hanging="227"/>
        <w:shd w:val="clear" w:color="auto" w:fill="FFFBFB"/>
      </w:pPr>
      <w:r>
        <w:rPr>
          <w:rFonts w:ascii="Calibri" w:hAnsi="Calibri"/>
          <w:b/>
          <w:color w:val="1B4F86"/>
          <w:sz w:val="19"/>
        </w:rPr>
        <w:t xml:space="preserve">▪  </w:t>
      </w:r>
      <w:r>
        <w:rPr>
          <w:rFonts w:ascii="Calibri" w:hAnsi="Calibri"/>
          <w:b w:val="0"/>
          <w:i w:val="0"/>
          <w:color w:val="334E68"/>
          <w:sz w:val="19"/>
        </w:rPr>
        <w:t>The rollback point is about to expire or be invalidated by the next step.</w:t>
      </w:r>
    </w:p>
    <w:p>
      <w:pPr>
        <w:spacing w:after="40"/>
        <w:ind w:left="567" w:hanging="227"/>
        <w:shd w:val="clear" w:color="auto" w:fill="FFFBFB"/>
      </w:pPr>
      <w:r>
        <w:rPr>
          <w:rFonts w:ascii="Calibri" w:hAnsi="Calibri"/>
          <w:b/>
          <w:color w:val="1B4F86"/>
          <w:sz w:val="19"/>
        </w:rPr>
        <w:t xml:space="preserve">▪  </w:t>
      </w:r>
      <w:r>
        <w:rPr>
          <w:rFonts w:ascii="Calibri" w:hAnsi="Calibri"/>
          <w:b w:val="0"/>
          <w:i w:val="0"/>
          <w:color w:val="334E68"/>
          <w:sz w:val="19"/>
        </w:rPr>
        <w:t>Data consistency cannot be proven (SCN mismatch, corruption found, missing tablespaces).</w:t>
      </w:r>
    </w:p>
    <w:p>
      <w:pPr>
        <w:spacing w:after="40"/>
        <w:ind w:left="567" w:hanging="227"/>
        <w:shd w:val="clear" w:color="auto" w:fill="FFFBFB"/>
      </w:pPr>
      <w:r>
        <w:rPr>
          <w:rFonts w:ascii="Calibri" w:hAnsi="Calibri"/>
          <w:b/>
          <w:color w:val="1B4F86"/>
          <w:sz w:val="19"/>
        </w:rPr>
        <w:t xml:space="preserve">▪  </w:t>
      </w:r>
      <w:r>
        <w:rPr>
          <w:rFonts w:ascii="Calibri" w:hAnsi="Calibri"/>
          <w:b w:val="0"/>
          <w:i w:val="0"/>
          <w:color w:val="334E68"/>
          <w:sz w:val="19"/>
        </w:rPr>
        <w:t>A dependency outside the project's control will not be ready before the business deadline.</w:t>
      </w:r>
    </w:p>
    <w:p>
      <w:pPr>
        <w:spacing w:after="40"/>
        <w:ind w:left="567" w:hanging="227"/>
        <w:shd w:val="clear" w:color="auto" w:fill="FFFBFB"/>
      </w:pPr>
      <w:r>
        <w:rPr>
          <w:rFonts w:ascii="Calibri" w:hAnsi="Calibri"/>
          <w:b/>
          <w:color w:val="1B4F86"/>
          <w:sz w:val="19"/>
        </w:rPr>
        <w:t xml:space="preserve">▪  </w:t>
      </w:r>
      <w:r>
        <w:rPr>
          <w:rFonts w:ascii="Calibri" w:hAnsi="Calibri"/>
          <w:b w:val="0"/>
          <w:i w:val="0"/>
          <w:color w:val="334E68"/>
          <w:sz w:val="19"/>
        </w:rPr>
        <w:t>The Go/No-Go gate lacks a required approval or an unexplained critical open item.</w:t>
      </w:r>
    </w:p>
    <w:p>
      <w:pPr>
        <w:shd w:val="clear" w:color="auto" w:fill="FFFBFB"/>
        <w:pBdr>
          <w:left w:val="single" w:sz="6" w:space="6" w:color="C8434B"/>
          <w:bottom w:val="single" w:sz="6" w:space="6" w:color="C8434B"/>
          <w:right w:val="single" w:sz="6" w:space="6" w:color="C8434B"/>
        </w:pBdr>
        <w:spacing w:after="40"/>
      </w:pPr>
    </w:p>
    <w:p>
      <w:r>
        <w:br w:type="page"/>
      </w:r>
    </w:p>
    <w:p>
      <w:pPr>
        <w:spacing w:after="20"/>
      </w:pPr>
      <w:r>
        <w:rPr>
          <w:rFonts w:ascii="Calibri" w:hAnsi="Calibri"/>
          <w:b/>
          <w:color w:val="1B4F86"/>
          <w:sz w:val="16"/>
        </w:rPr>
        <w:t>SECTION 16</w:t>
      </w:r>
    </w:p>
    <w:p>
      <w:pPr>
        <w:pStyle w:val="Heading1"/>
        <w:pBdr>
          <w:bottom w:val="single" w:sz="12" w:space="5" w:color="1B4F86"/>
        </w:pBdr>
        <w:spacing w:after="160"/>
      </w:pPr>
      <w:r>
        <w:rPr>
          <w:rFonts w:ascii="Calibri Light" w:hAnsi="Calibri Light"/>
          <w:b/>
          <w:color w:val="0F2B4C"/>
          <w:sz w:val="38"/>
        </w:rPr>
        <w:t>16  Key lessons and practical guidance</w:t>
      </w:r>
    </w:p>
    <w:p>
      <w:pPr>
        <w:spacing w:after="200"/>
      </w:pPr>
      <w:r>
        <w:rPr>
          <w:rFonts w:ascii="Calibri" w:hAnsi="Calibri"/>
          <w:i/>
          <w:color w:val="5B7288"/>
          <w:sz w:val="21"/>
        </w:rPr>
        <w:t>Fifteen lessons carried out of the training sessions. Each one is short because the moment you need it will not be a comfortable one.</w:t>
      </w:r>
    </w:p>
    <w:p>
      <w:pPr>
        <w:spacing w:after="60" w:before="160"/>
        <w:keepNext/>
      </w:pPr>
      <w:r>
        <w:rPr>
          <w:rFonts w:ascii="Calibri" w:hAnsi="Calibri"/>
          <w:b/>
          <w:color w:val="5B7288"/>
          <w:sz w:val="15"/>
        </w:rPr>
        <w:t>KEY LESSONS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82"/>
        <w:gridCol w:w="7325"/>
        <w:gridCol w:w="1831"/>
      </w:tblGrid>
      <w:tr>
        <w:trPr>
          <w:tblHeader/>
          <w:cantSplit/>
        </w:trPr>
        <w:tc>
          <w:tcPr>
            <w:tcW w:type="dxa" w:w="482"/>
            <w:shd w:val="clear" w:color="auto" w:fill="0F2B4C"/>
          </w:tcPr>
          <w:p>
            <w:pPr>
              <w:spacing w:after="20" w:before="20"/>
            </w:pPr>
            <w:r/>
            <w:r>
              <w:rPr>
                <w:rFonts w:ascii="Calibri" w:hAnsi="Calibri"/>
                <w:b/>
                <w:color w:val="FFFFFF"/>
                <w:sz w:val="17"/>
              </w:rPr>
              <w:t>#</w:t>
            </w:r>
          </w:p>
        </w:tc>
        <w:tc>
          <w:tcPr>
            <w:tcW w:type="dxa" w:w="7325"/>
            <w:shd w:val="clear" w:color="auto" w:fill="0F2B4C"/>
          </w:tcPr>
          <w:p>
            <w:pPr>
              <w:spacing w:after="20" w:before="20"/>
            </w:pPr>
            <w:r/>
            <w:r>
              <w:rPr>
                <w:rFonts w:ascii="Calibri" w:hAnsi="Calibri"/>
                <w:b/>
                <w:color w:val="FFFFFF"/>
                <w:sz w:val="17"/>
              </w:rPr>
              <w:t>Lesson</w:t>
            </w:r>
          </w:p>
        </w:tc>
        <w:tc>
          <w:tcPr>
            <w:tcW w:type="dxa" w:w="1831"/>
            <w:shd w:val="clear" w:color="auto" w:fill="0F2B4C"/>
          </w:tcPr>
          <w:p>
            <w:pPr>
              <w:spacing w:after="20" w:before="20"/>
            </w:pPr>
            <w:r/>
            <w:r>
              <w:rPr>
                <w:rFonts w:ascii="Calibri" w:hAnsi="Calibri"/>
                <w:b/>
                <w:color w:val="FFFFFF"/>
                <w:sz w:val="17"/>
              </w:rPr>
              <w:t>Where it applies</w:t>
            </w:r>
          </w:p>
        </w:tc>
      </w:tr>
      <w:tr>
        <w:trPr>
          <w:cantSplit/>
        </w:trPr>
        <w:tc>
          <w:tcPr>
            <w:tcW w:type="dxa" w:w="482"/>
          </w:tcPr>
          <w:p>
            <w:pPr>
              <w:spacing w:after="20" w:before="20"/>
            </w:pPr>
            <w:r/>
            <w:r>
              <w:rPr>
                <w:rFonts w:ascii="Calibri" w:hAnsi="Calibri"/>
                <w:b/>
                <w:i w:val="0"/>
                <w:color w:val="334E68"/>
                <w:sz w:val="17"/>
              </w:rPr>
              <w:t>1</w:t>
            </w:r>
          </w:p>
        </w:tc>
        <w:tc>
          <w:tcPr>
            <w:tcW w:type="dxa" w:w="7325"/>
          </w:tcPr>
          <w:p>
            <w:pPr>
              <w:spacing w:after="20" w:before="20"/>
            </w:pPr>
            <w:r/>
            <w:r>
              <w:rPr>
                <w:rFonts w:ascii="Calibri" w:hAnsi="Calibri"/>
                <w:b w:val="0"/>
                <w:i w:val="0"/>
                <w:color w:val="334E68"/>
                <w:sz w:val="17"/>
              </w:rPr>
              <w:t>Never assume auto-start works. Test it through an actual reboot.</w:t>
            </w:r>
          </w:p>
        </w:tc>
        <w:tc>
          <w:tcPr>
            <w:tcW w:type="dxa" w:w="1831"/>
          </w:tcPr>
          <w:p>
            <w:pPr>
              <w:spacing w:after="20" w:before="20"/>
            </w:pPr>
            <w:r/>
            <w:r>
              <w:rPr>
                <w:rFonts w:ascii="Calibri" w:hAnsi="Calibri"/>
                <w:b w:val="0"/>
                <w:i w:val="0"/>
                <w:color w:val="334E68"/>
                <w:sz w:val="17"/>
              </w:rPr>
              <w:t>4, 7.1</w:t>
            </w:r>
          </w:p>
        </w:tc>
      </w:tr>
      <w:tr>
        <w:trPr>
          <w:cantSplit/>
        </w:trPr>
        <w:tc>
          <w:tcPr>
            <w:tcW w:type="dxa" w:w="482"/>
            <w:shd w:val="clear" w:color="auto" w:fill="FAFBFD"/>
          </w:tcPr>
          <w:p>
            <w:pPr>
              <w:spacing w:after="20" w:before="20"/>
            </w:pPr>
            <w:r/>
            <w:r>
              <w:rPr>
                <w:rFonts w:ascii="Calibri" w:hAnsi="Calibri"/>
                <w:b/>
                <w:i w:val="0"/>
                <w:color w:val="334E68"/>
                <w:sz w:val="17"/>
              </w:rPr>
              <w:t>2</w:t>
            </w:r>
          </w:p>
        </w:tc>
        <w:tc>
          <w:tcPr>
            <w:tcW w:type="dxa" w:w="7325"/>
            <w:shd w:val="clear" w:color="auto" w:fill="FAFBFD"/>
          </w:tcPr>
          <w:p>
            <w:pPr>
              <w:spacing w:after="20" w:before="20"/>
            </w:pPr>
            <w:r/>
            <w:r>
              <w:rPr>
                <w:rFonts w:ascii="Calibri" w:hAnsi="Calibri"/>
                <w:b w:val="0"/>
                <w:i w:val="0"/>
                <w:color w:val="334E68"/>
                <w:sz w:val="17"/>
              </w:rPr>
              <w:t>Always establish a source baseline before migration.</w:t>
            </w:r>
          </w:p>
        </w:tc>
        <w:tc>
          <w:tcPr>
            <w:tcW w:type="dxa" w:w="1831"/>
            <w:shd w:val="clear" w:color="auto" w:fill="FAFBFD"/>
          </w:tcPr>
          <w:p>
            <w:pPr>
              <w:spacing w:after="20" w:before="20"/>
            </w:pPr>
            <w:r/>
            <w:r>
              <w:rPr>
                <w:rFonts w:ascii="Calibri" w:hAnsi="Calibri"/>
                <w:b w:val="0"/>
                <w:i w:val="0"/>
                <w:color w:val="334E68"/>
                <w:sz w:val="17"/>
              </w:rPr>
              <w:t>4</w:t>
            </w:r>
          </w:p>
        </w:tc>
      </w:tr>
      <w:tr>
        <w:trPr>
          <w:cantSplit/>
        </w:trPr>
        <w:tc>
          <w:tcPr>
            <w:tcW w:type="dxa" w:w="482"/>
          </w:tcPr>
          <w:p>
            <w:pPr>
              <w:spacing w:after="20" w:before="20"/>
            </w:pPr>
            <w:r/>
            <w:r>
              <w:rPr>
                <w:rFonts w:ascii="Calibri" w:hAnsi="Calibri"/>
                <w:b/>
                <w:i w:val="0"/>
                <w:color w:val="334E68"/>
                <w:sz w:val="17"/>
              </w:rPr>
              <w:t>3</w:t>
            </w:r>
          </w:p>
        </w:tc>
        <w:tc>
          <w:tcPr>
            <w:tcW w:type="dxa" w:w="7325"/>
          </w:tcPr>
          <w:p>
            <w:pPr>
              <w:spacing w:after="20" w:before="20"/>
            </w:pPr>
            <w:r/>
            <w:r>
              <w:rPr>
                <w:rFonts w:ascii="Calibri" w:hAnsi="Calibri"/>
                <w:b w:val="0"/>
                <w:i w:val="0"/>
                <w:color w:val="334E68"/>
                <w:sz w:val="17"/>
              </w:rPr>
              <w:t>Use the approved build sheet as the central technical input.</w:t>
            </w:r>
          </w:p>
        </w:tc>
        <w:tc>
          <w:tcPr>
            <w:tcW w:type="dxa" w:w="1831"/>
          </w:tcPr>
          <w:p>
            <w:pPr>
              <w:spacing w:after="20" w:before="20"/>
            </w:pPr>
            <w:r/>
            <w:r>
              <w:rPr>
                <w:rFonts w:ascii="Calibri" w:hAnsi="Calibri"/>
                <w:b w:val="0"/>
                <w:i w:val="0"/>
                <w:color w:val="334E68"/>
                <w:sz w:val="17"/>
              </w:rPr>
              <w:t>5.2</w:t>
            </w:r>
          </w:p>
        </w:tc>
      </w:tr>
      <w:tr>
        <w:trPr>
          <w:cantSplit/>
        </w:trPr>
        <w:tc>
          <w:tcPr>
            <w:tcW w:type="dxa" w:w="482"/>
            <w:shd w:val="clear" w:color="auto" w:fill="FAFBFD"/>
          </w:tcPr>
          <w:p>
            <w:pPr>
              <w:spacing w:after="20" w:before="20"/>
            </w:pPr>
            <w:r/>
            <w:r>
              <w:rPr>
                <w:rFonts w:ascii="Calibri" w:hAnsi="Calibri"/>
                <w:b/>
                <w:i w:val="0"/>
                <w:color w:val="334E68"/>
                <w:sz w:val="17"/>
              </w:rPr>
              <w:t>4</w:t>
            </w:r>
          </w:p>
        </w:tc>
        <w:tc>
          <w:tcPr>
            <w:tcW w:type="dxa" w:w="7325"/>
            <w:shd w:val="clear" w:color="auto" w:fill="FAFBFD"/>
          </w:tcPr>
          <w:p>
            <w:pPr>
              <w:spacing w:after="20" w:before="20"/>
            </w:pPr>
            <w:r/>
            <w:r>
              <w:rPr>
                <w:rFonts w:ascii="Calibri" w:hAnsi="Calibri"/>
                <w:b w:val="0"/>
                <w:i w:val="0"/>
                <w:color w:val="334E68"/>
                <w:sz w:val="17"/>
              </w:rPr>
              <w:t>Validate provisioned AWS infrastructure rather than assuming automation produced the expected result.</w:t>
            </w:r>
          </w:p>
        </w:tc>
        <w:tc>
          <w:tcPr>
            <w:tcW w:type="dxa" w:w="1831"/>
            <w:shd w:val="clear" w:color="auto" w:fill="FAFBFD"/>
          </w:tcPr>
          <w:p>
            <w:pPr>
              <w:spacing w:after="20" w:before="20"/>
            </w:pPr>
            <w:r/>
            <w:r>
              <w:rPr>
                <w:rFonts w:ascii="Calibri" w:hAnsi="Calibri"/>
                <w:b w:val="0"/>
                <w:i w:val="0"/>
                <w:color w:val="334E68"/>
                <w:sz w:val="17"/>
              </w:rPr>
              <w:t>5.3</w:t>
            </w:r>
          </w:p>
        </w:tc>
      </w:tr>
      <w:tr>
        <w:trPr>
          <w:cantSplit/>
        </w:trPr>
        <w:tc>
          <w:tcPr>
            <w:tcW w:type="dxa" w:w="482"/>
          </w:tcPr>
          <w:p>
            <w:pPr>
              <w:spacing w:after="20" w:before="20"/>
            </w:pPr>
            <w:r/>
            <w:r>
              <w:rPr>
                <w:rFonts w:ascii="Calibri" w:hAnsi="Calibri"/>
                <w:b/>
                <w:i w:val="0"/>
                <w:color w:val="334E68"/>
                <w:sz w:val="17"/>
              </w:rPr>
              <w:t>5</w:t>
            </w:r>
          </w:p>
        </w:tc>
        <w:tc>
          <w:tcPr>
            <w:tcW w:type="dxa" w:w="7325"/>
          </w:tcPr>
          <w:p>
            <w:pPr>
              <w:spacing w:after="20" w:before="20"/>
            </w:pPr>
            <w:r/>
            <w:r>
              <w:rPr>
                <w:rFonts w:ascii="Calibri" w:hAnsi="Calibri"/>
                <w:b w:val="0"/>
                <w:i w:val="0"/>
                <w:color w:val="334E68"/>
                <w:sz w:val="17"/>
              </w:rPr>
              <w:t>Keep CMDB, inventory and actual infrastructure aligned.</w:t>
            </w:r>
          </w:p>
        </w:tc>
        <w:tc>
          <w:tcPr>
            <w:tcW w:type="dxa" w:w="1831"/>
          </w:tcPr>
          <w:p>
            <w:pPr>
              <w:spacing w:after="20" w:before="20"/>
            </w:pPr>
            <w:r/>
            <w:r>
              <w:rPr>
                <w:rFonts w:ascii="Calibri" w:hAnsi="Calibri"/>
                <w:b w:val="0"/>
                <w:i w:val="0"/>
                <w:color w:val="334E68"/>
                <w:sz w:val="17"/>
              </w:rPr>
              <w:t>5.5</w:t>
            </w:r>
          </w:p>
        </w:tc>
      </w:tr>
      <w:tr>
        <w:trPr>
          <w:cantSplit/>
        </w:trPr>
        <w:tc>
          <w:tcPr>
            <w:tcW w:type="dxa" w:w="482"/>
            <w:shd w:val="clear" w:color="auto" w:fill="FAFBFD"/>
          </w:tcPr>
          <w:p>
            <w:pPr>
              <w:spacing w:after="20" w:before="20"/>
            </w:pPr>
            <w:r/>
            <w:r>
              <w:rPr>
                <w:rFonts w:ascii="Calibri" w:hAnsi="Calibri"/>
                <w:b/>
                <w:i w:val="0"/>
                <w:color w:val="334E68"/>
                <w:sz w:val="17"/>
              </w:rPr>
              <w:t>6</w:t>
            </w:r>
          </w:p>
        </w:tc>
        <w:tc>
          <w:tcPr>
            <w:tcW w:type="dxa" w:w="7325"/>
            <w:shd w:val="clear" w:color="auto" w:fill="FAFBFD"/>
          </w:tcPr>
          <w:p>
            <w:pPr>
              <w:spacing w:after="20" w:before="20"/>
            </w:pPr>
            <w:r/>
            <w:r>
              <w:rPr>
                <w:rFonts w:ascii="Calibri" w:hAnsi="Calibri"/>
                <w:b w:val="0"/>
                <w:i w:val="0"/>
                <w:color w:val="334E68"/>
                <w:sz w:val="17"/>
              </w:rPr>
              <w:t>UID/GID mismatches can create permission and application issues.</w:t>
            </w:r>
          </w:p>
        </w:tc>
        <w:tc>
          <w:tcPr>
            <w:tcW w:type="dxa" w:w="1831"/>
            <w:shd w:val="clear" w:color="auto" w:fill="FAFBFD"/>
          </w:tcPr>
          <w:p>
            <w:pPr>
              <w:spacing w:after="20" w:before="20"/>
            </w:pPr>
            <w:r/>
            <w:r>
              <w:rPr>
                <w:rFonts w:ascii="Calibri" w:hAnsi="Calibri"/>
                <w:b w:val="0"/>
                <w:i w:val="0"/>
                <w:color w:val="334E68"/>
                <w:sz w:val="17"/>
              </w:rPr>
              <w:t>7.2</w:t>
            </w:r>
          </w:p>
        </w:tc>
      </w:tr>
      <w:tr>
        <w:trPr>
          <w:cantSplit/>
        </w:trPr>
        <w:tc>
          <w:tcPr>
            <w:tcW w:type="dxa" w:w="482"/>
          </w:tcPr>
          <w:p>
            <w:pPr>
              <w:spacing w:after="20" w:before="20"/>
            </w:pPr>
            <w:r/>
            <w:r>
              <w:rPr>
                <w:rFonts w:ascii="Calibri" w:hAnsi="Calibri"/>
                <w:b/>
                <w:i w:val="0"/>
                <w:color w:val="334E68"/>
                <w:sz w:val="17"/>
              </w:rPr>
              <w:t>7</w:t>
            </w:r>
          </w:p>
        </w:tc>
        <w:tc>
          <w:tcPr>
            <w:tcW w:type="dxa" w:w="7325"/>
          </w:tcPr>
          <w:p>
            <w:pPr>
              <w:spacing w:after="20" w:before="20"/>
            </w:pPr>
            <w:r/>
            <w:r>
              <w:rPr>
                <w:rFonts w:ascii="Calibri" w:hAnsi="Calibri"/>
                <w:b w:val="0"/>
                <w:i w:val="0"/>
                <w:color w:val="334E68"/>
                <w:sz w:val="17"/>
              </w:rPr>
              <w:t>Validate STMS, RFC, Gateway, certificates, printers and directories explicitly.</w:t>
            </w:r>
          </w:p>
        </w:tc>
        <w:tc>
          <w:tcPr>
            <w:tcW w:type="dxa" w:w="1831"/>
          </w:tcPr>
          <w:p>
            <w:pPr>
              <w:spacing w:after="20" w:before="20"/>
            </w:pPr>
            <w:r/>
            <w:r>
              <w:rPr>
                <w:rFonts w:ascii="Calibri" w:hAnsi="Calibri"/>
                <w:b w:val="0"/>
                <w:i w:val="0"/>
                <w:color w:val="334E68"/>
                <w:sz w:val="17"/>
              </w:rPr>
              <w:t>7.3</w:t>
            </w:r>
          </w:p>
        </w:tc>
      </w:tr>
      <w:tr>
        <w:trPr>
          <w:cantSplit/>
        </w:trPr>
        <w:tc>
          <w:tcPr>
            <w:tcW w:type="dxa" w:w="482"/>
            <w:shd w:val="clear" w:color="auto" w:fill="FAFBFD"/>
          </w:tcPr>
          <w:p>
            <w:pPr>
              <w:spacing w:after="20" w:before="20"/>
            </w:pPr>
            <w:r/>
            <w:r>
              <w:rPr>
                <w:rFonts w:ascii="Calibri" w:hAnsi="Calibri"/>
                <w:b/>
                <w:i w:val="0"/>
                <w:color w:val="334E68"/>
                <w:sz w:val="17"/>
              </w:rPr>
              <w:t>8</w:t>
            </w:r>
          </w:p>
        </w:tc>
        <w:tc>
          <w:tcPr>
            <w:tcW w:type="dxa" w:w="7325"/>
            <w:shd w:val="clear" w:color="auto" w:fill="FAFBFD"/>
          </w:tcPr>
          <w:p>
            <w:pPr>
              <w:spacing w:after="20" w:before="20"/>
            </w:pPr>
            <w:r/>
            <w:r>
              <w:rPr>
                <w:rFonts w:ascii="Calibri" w:hAnsi="Calibri"/>
                <w:b w:val="0"/>
                <w:i w:val="0"/>
                <w:color w:val="334E68"/>
                <w:sz w:val="17"/>
              </w:rPr>
              <w:t>Obtain third-party RFC credentials before cutover when required.</w:t>
            </w:r>
          </w:p>
        </w:tc>
        <w:tc>
          <w:tcPr>
            <w:tcW w:type="dxa" w:w="1831"/>
            <w:shd w:val="clear" w:color="auto" w:fill="FAFBFD"/>
          </w:tcPr>
          <w:p>
            <w:pPr>
              <w:spacing w:after="20" w:before="20"/>
            </w:pPr>
            <w:r/>
            <w:r>
              <w:rPr>
                <w:rFonts w:ascii="Calibri" w:hAnsi="Calibri"/>
                <w:b w:val="0"/>
                <w:i w:val="0"/>
                <w:color w:val="334E68"/>
                <w:sz w:val="17"/>
              </w:rPr>
              <w:t>4.1, 10.3</w:t>
            </w:r>
          </w:p>
        </w:tc>
      </w:tr>
      <w:tr>
        <w:trPr>
          <w:cantSplit/>
        </w:trPr>
        <w:tc>
          <w:tcPr>
            <w:tcW w:type="dxa" w:w="482"/>
          </w:tcPr>
          <w:p>
            <w:pPr>
              <w:spacing w:after="20" w:before="20"/>
            </w:pPr>
            <w:r/>
            <w:r>
              <w:rPr>
                <w:rFonts w:ascii="Calibri" w:hAnsi="Calibri"/>
                <w:b/>
                <w:i w:val="0"/>
                <w:color w:val="334E68"/>
                <w:sz w:val="17"/>
              </w:rPr>
              <w:t>9</w:t>
            </w:r>
          </w:p>
        </w:tc>
        <w:tc>
          <w:tcPr>
            <w:tcW w:type="dxa" w:w="7325"/>
          </w:tcPr>
          <w:p>
            <w:pPr>
              <w:spacing w:after="20" w:before="20"/>
            </w:pPr>
            <w:r/>
            <w:r>
              <w:rPr>
                <w:rFonts w:ascii="Calibri" w:hAnsi="Calibri"/>
                <w:b w:val="0"/>
                <w:i w:val="0"/>
                <w:color w:val="334E68"/>
                <w:sz w:val="17"/>
              </w:rPr>
              <w:t>Test backup and recovery before the actual cutover.</w:t>
            </w:r>
          </w:p>
        </w:tc>
        <w:tc>
          <w:tcPr>
            <w:tcW w:type="dxa" w:w="1831"/>
          </w:tcPr>
          <w:p>
            <w:pPr>
              <w:spacing w:after="20" w:before="20"/>
            </w:pPr>
            <w:r/>
            <w:r>
              <w:rPr>
                <w:rFonts w:ascii="Calibri" w:hAnsi="Calibri"/>
                <w:b w:val="0"/>
                <w:i w:val="0"/>
                <w:color w:val="334E68"/>
                <w:sz w:val="17"/>
              </w:rPr>
              <w:t>6.4</w:t>
            </w:r>
          </w:p>
        </w:tc>
      </w:tr>
      <w:tr>
        <w:trPr>
          <w:cantSplit/>
        </w:trPr>
        <w:tc>
          <w:tcPr>
            <w:tcW w:type="dxa" w:w="482"/>
            <w:shd w:val="clear" w:color="auto" w:fill="FAFBFD"/>
          </w:tcPr>
          <w:p>
            <w:pPr>
              <w:spacing w:after="20" w:before="20"/>
            </w:pPr>
            <w:r/>
            <w:r>
              <w:rPr>
                <w:rFonts w:ascii="Calibri" w:hAnsi="Calibri"/>
                <w:b/>
                <w:i w:val="0"/>
                <w:color w:val="334E68"/>
                <w:sz w:val="17"/>
              </w:rPr>
              <w:t>10</w:t>
            </w:r>
          </w:p>
        </w:tc>
        <w:tc>
          <w:tcPr>
            <w:tcW w:type="dxa" w:w="7325"/>
            <w:shd w:val="clear" w:color="auto" w:fill="FAFBFD"/>
          </w:tcPr>
          <w:p>
            <w:pPr>
              <w:spacing w:after="20" w:before="20"/>
            </w:pPr>
            <w:r/>
            <w:r>
              <w:rPr>
                <w:rFonts w:ascii="Calibri" w:hAnsi="Calibri"/>
                <w:b w:val="0"/>
                <w:i w:val="0"/>
                <w:color w:val="334E68"/>
                <w:sz w:val="17"/>
              </w:rPr>
              <w:t>Keep the source available until the required final backup activity is successfully completed.</w:t>
            </w:r>
          </w:p>
        </w:tc>
        <w:tc>
          <w:tcPr>
            <w:tcW w:type="dxa" w:w="1831"/>
            <w:shd w:val="clear" w:color="auto" w:fill="FAFBFD"/>
          </w:tcPr>
          <w:p>
            <w:pPr>
              <w:spacing w:after="20" w:before="20"/>
            </w:pPr>
            <w:r/>
            <w:r>
              <w:rPr>
                <w:rFonts w:ascii="Calibri" w:hAnsi="Calibri"/>
                <w:b w:val="0"/>
                <w:i w:val="0"/>
                <w:color w:val="334E68"/>
                <w:sz w:val="17"/>
              </w:rPr>
              <w:t>6.4</w:t>
            </w:r>
          </w:p>
        </w:tc>
      </w:tr>
      <w:tr>
        <w:trPr>
          <w:cantSplit/>
        </w:trPr>
        <w:tc>
          <w:tcPr>
            <w:tcW w:type="dxa" w:w="482"/>
          </w:tcPr>
          <w:p>
            <w:pPr>
              <w:spacing w:after="20" w:before="20"/>
            </w:pPr>
            <w:r/>
            <w:r>
              <w:rPr>
                <w:rFonts w:ascii="Calibri" w:hAnsi="Calibri"/>
                <w:b/>
                <w:i w:val="0"/>
                <w:color w:val="334E68"/>
                <w:sz w:val="17"/>
              </w:rPr>
              <w:t>11</w:t>
            </w:r>
          </w:p>
        </w:tc>
        <w:tc>
          <w:tcPr>
            <w:tcW w:type="dxa" w:w="7325"/>
          </w:tcPr>
          <w:p>
            <w:pPr>
              <w:spacing w:after="20" w:before="20"/>
            </w:pPr>
            <w:r/>
            <w:r>
              <w:rPr>
                <w:rFonts w:ascii="Calibri" w:hAnsi="Calibri"/>
                <w:b w:val="0"/>
                <w:i w:val="0"/>
                <w:color w:val="334E68"/>
                <w:sz w:val="17"/>
              </w:rPr>
              <w:t>Capture evidence at every important decision gate.</w:t>
            </w:r>
          </w:p>
        </w:tc>
        <w:tc>
          <w:tcPr>
            <w:tcW w:type="dxa" w:w="1831"/>
          </w:tcPr>
          <w:p>
            <w:pPr>
              <w:spacing w:after="20" w:before="20"/>
            </w:pPr>
            <w:r/>
            <w:r>
              <w:rPr>
                <w:rFonts w:ascii="Calibri" w:hAnsi="Calibri"/>
                <w:b w:val="0"/>
                <w:i w:val="0"/>
                <w:color w:val="334E68"/>
                <w:sz w:val="17"/>
              </w:rPr>
              <w:t>13</w:t>
            </w:r>
          </w:p>
        </w:tc>
      </w:tr>
      <w:tr>
        <w:trPr>
          <w:cantSplit/>
        </w:trPr>
        <w:tc>
          <w:tcPr>
            <w:tcW w:type="dxa" w:w="482"/>
            <w:shd w:val="clear" w:color="auto" w:fill="FAFBFD"/>
          </w:tcPr>
          <w:p>
            <w:pPr>
              <w:spacing w:after="20" w:before="20"/>
            </w:pPr>
            <w:r/>
            <w:r>
              <w:rPr>
                <w:rFonts w:ascii="Calibri" w:hAnsi="Calibri"/>
                <w:b/>
                <w:i w:val="0"/>
                <w:color w:val="334E68"/>
                <w:sz w:val="17"/>
              </w:rPr>
              <w:t>12</w:t>
            </w:r>
          </w:p>
        </w:tc>
        <w:tc>
          <w:tcPr>
            <w:tcW w:type="dxa" w:w="7325"/>
            <w:shd w:val="clear" w:color="auto" w:fill="FAFBFD"/>
          </w:tcPr>
          <w:p>
            <w:pPr>
              <w:spacing w:after="20" w:before="20"/>
            </w:pPr>
            <w:r/>
            <w:r>
              <w:rPr>
                <w:rFonts w:ascii="Calibri" w:hAnsi="Calibri"/>
                <w:b w:val="0"/>
                <w:i w:val="0"/>
                <w:color w:val="334E68"/>
                <w:sz w:val="17"/>
              </w:rPr>
              <w:t>Do not classify a pre-existing source issue as a migration defect without evidence.</w:t>
            </w:r>
          </w:p>
        </w:tc>
        <w:tc>
          <w:tcPr>
            <w:tcW w:type="dxa" w:w="1831"/>
            <w:shd w:val="clear" w:color="auto" w:fill="FAFBFD"/>
          </w:tcPr>
          <w:p>
            <w:pPr>
              <w:spacing w:after="20" w:before="20"/>
            </w:pPr>
            <w:r/>
            <w:r>
              <w:rPr>
                <w:rFonts w:ascii="Calibri" w:hAnsi="Calibri"/>
                <w:b w:val="0"/>
                <w:i w:val="0"/>
                <w:color w:val="334E68"/>
                <w:sz w:val="17"/>
              </w:rPr>
              <w:t>4.4, 13</w:t>
            </w:r>
          </w:p>
        </w:tc>
      </w:tr>
      <w:tr>
        <w:trPr>
          <w:cantSplit/>
        </w:trPr>
        <w:tc>
          <w:tcPr>
            <w:tcW w:type="dxa" w:w="482"/>
          </w:tcPr>
          <w:p>
            <w:pPr>
              <w:spacing w:after="20" w:before="20"/>
            </w:pPr>
            <w:r/>
            <w:r>
              <w:rPr>
                <w:rFonts w:ascii="Calibri" w:hAnsi="Calibri"/>
                <w:b/>
                <w:i w:val="0"/>
                <w:color w:val="334E68"/>
                <w:sz w:val="17"/>
              </w:rPr>
              <w:t>13</w:t>
            </w:r>
          </w:p>
        </w:tc>
        <w:tc>
          <w:tcPr>
            <w:tcW w:type="dxa" w:w="7325"/>
          </w:tcPr>
          <w:p>
            <w:pPr>
              <w:spacing w:after="20" w:before="20"/>
            </w:pPr>
            <w:r/>
            <w:r>
              <w:rPr>
                <w:rFonts w:ascii="Calibri" w:hAnsi="Calibri"/>
                <w:b w:val="0"/>
                <w:i w:val="0"/>
                <w:color w:val="334E68"/>
                <w:sz w:val="17"/>
              </w:rPr>
              <w:t>Go/No-Go must be evidence-driven and supported by technical, functional and owner approvals.</w:t>
            </w:r>
          </w:p>
        </w:tc>
        <w:tc>
          <w:tcPr>
            <w:tcW w:type="dxa" w:w="1831"/>
          </w:tcPr>
          <w:p>
            <w:pPr>
              <w:spacing w:after="20" w:before="20"/>
            </w:pPr>
            <w:r/>
            <w:r>
              <w:rPr>
                <w:rFonts w:ascii="Calibri" w:hAnsi="Calibri"/>
                <w:b w:val="0"/>
                <w:i w:val="0"/>
                <w:color w:val="334E68"/>
                <w:sz w:val="17"/>
              </w:rPr>
              <w:t>10.4</w:t>
            </w:r>
          </w:p>
        </w:tc>
      </w:tr>
      <w:tr>
        <w:trPr>
          <w:cantSplit/>
        </w:trPr>
        <w:tc>
          <w:tcPr>
            <w:tcW w:type="dxa" w:w="482"/>
            <w:shd w:val="clear" w:color="auto" w:fill="FAFBFD"/>
          </w:tcPr>
          <w:p>
            <w:pPr>
              <w:spacing w:after="20" w:before="20"/>
            </w:pPr>
            <w:r/>
            <w:r>
              <w:rPr>
                <w:rFonts w:ascii="Calibri" w:hAnsi="Calibri"/>
                <w:b/>
                <w:i w:val="0"/>
                <w:color w:val="334E68"/>
                <w:sz w:val="17"/>
              </w:rPr>
              <w:t>14</w:t>
            </w:r>
          </w:p>
        </w:tc>
        <w:tc>
          <w:tcPr>
            <w:tcW w:type="dxa" w:w="7325"/>
            <w:shd w:val="clear" w:color="auto" w:fill="FAFBFD"/>
          </w:tcPr>
          <w:p>
            <w:pPr>
              <w:spacing w:after="20" w:before="20"/>
            </w:pPr>
            <w:r/>
            <w:r>
              <w:rPr>
                <w:rFonts w:ascii="Calibri" w:hAnsi="Calibri"/>
                <w:b w:val="0"/>
                <w:i w:val="0"/>
                <w:color w:val="334E68"/>
                <w:sz w:val="17"/>
              </w:rPr>
              <w:t>Rollback readiness must be maintained until the migration is considered safe.</w:t>
            </w:r>
          </w:p>
        </w:tc>
        <w:tc>
          <w:tcPr>
            <w:tcW w:type="dxa" w:w="1831"/>
            <w:shd w:val="clear" w:color="auto" w:fill="FAFBFD"/>
          </w:tcPr>
          <w:p>
            <w:pPr>
              <w:spacing w:after="20" w:before="20"/>
            </w:pPr>
            <w:r/>
            <w:r>
              <w:rPr>
                <w:rFonts w:ascii="Calibri" w:hAnsi="Calibri"/>
                <w:b w:val="0"/>
                <w:i w:val="0"/>
                <w:color w:val="334E68"/>
                <w:sz w:val="17"/>
              </w:rPr>
              <w:t>9.3, 10.5</w:t>
            </w:r>
          </w:p>
        </w:tc>
      </w:tr>
      <w:tr>
        <w:trPr>
          <w:cantSplit/>
        </w:trPr>
        <w:tc>
          <w:tcPr>
            <w:tcW w:type="dxa" w:w="482"/>
          </w:tcPr>
          <w:p>
            <w:pPr>
              <w:spacing w:after="20" w:before="20"/>
            </w:pPr>
            <w:r/>
            <w:r>
              <w:rPr>
                <w:rFonts w:ascii="Calibri" w:hAnsi="Calibri"/>
                <w:b/>
                <w:i w:val="0"/>
                <w:color w:val="334E68"/>
                <w:sz w:val="17"/>
              </w:rPr>
              <w:t>15</w:t>
            </w:r>
          </w:p>
        </w:tc>
        <w:tc>
          <w:tcPr>
            <w:tcW w:type="dxa" w:w="7325"/>
          </w:tcPr>
          <w:p>
            <w:pPr>
              <w:spacing w:after="20" w:before="20"/>
            </w:pPr>
            <w:r/>
            <w:r>
              <w:rPr>
                <w:rFonts w:ascii="Calibri" w:hAnsi="Calibri"/>
                <w:b w:val="0"/>
                <w:i w:val="0"/>
                <w:color w:val="334E68"/>
                <w:sz w:val="17"/>
              </w:rPr>
              <w:t>During hypercare, compare actual issues with the pre-migration baseline.</w:t>
            </w:r>
          </w:p>
        </w:tc>
        <w:tc>
          <w:tcPr>
            <w:tcW w:type="dxa" w:w="1831"/>
          </w:tcPr>
          <w:p>
            <w:pPr>
              <w:spacing w:after="20" w:before="20"/>
            </w:pPr>
            <w:r/>
            <w:r>
              <w:rPr>
                <w:rFonts w:ascii="Calibri" w:hAnsi="Calibri"/>
                <w:b w:val="0"/>
                <w:i w:val="0"/>
                <w:color w:val="334E68"/>
                <w:sz w:val="17"/>
              </w:rPr>
              <w:t>10.6</w:t>
            </w:r>
          </w:p>
        </w:tc>
      </w:tr>
    </w:tbl>
    <w:p>
      <w:pPr>
        <w:spacing w:after="40"/>
      </w:pPr>
    </w:p>
    <w:p>
      <w:pPr>
        <w:pStyle w:val="Heading2"/>
        <w:pBdr>
          <w:bottom w:val="single" w:sz="6" w:space="3" w:color="E8EDF3"/>
        </w:pBdr>
      </w:pPr>
      <w:r>
        <w:rPr>
          <w:rFonts w:ascii="Calibri" w:hAnsi="Calibri"/>
          <w:b/>
          <w:color w:val="0F2B4C"/>
          <w:sz w:val="26"/>
        </w:rPr>
        <w:t>16.1  Anti-patterns the training warned against</w:t>
      </w:r>
    </w:p>
    <w:p>
      <w:pPr>
        <w:spacing w:before="100" w:after="20"/>
        <w:shd w:val="clear" w:color="auto" w:fill="F7F9FC"/>
        <w:pBdr>
          <w:left w:val="single" w:sz="18" w:space="6" w:color="9EC3EC"/>
        </w:pBdr>
      </w:pPr>
      <w:r>
        <w:rPr>
          <w:rFonts w:ascii="Calibri" w:hAnsi="Calibri"/>
          <w:b/>
          <w:color w:val="0F2B4C"/>
          <w:sz w:val="19"/>
        </w:rPr>
        <w:t>Silent fixes</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Repairing something during cutover without recording it. It becomes an unapproved change nobody can explain later.</w:t>
      </w:r>
    </w:p>
    <w:p>
      <w:pPr>
        <w:spacing w:before="100" w:after="20"/>
        <w:shd w:val="clear" w:color="auto" w:fill="F7F9FC"/>
        <w:pBdr>
          <w:left w:val="single" w:sz="18" w:space="6" w:color="9EC3EC"/>
        </w:pBdr>
      </w:pPr>
      <w:r>
        <w:rPr>
          <w:rFonts w:ascii="Calibri" w:hAnsi="Calibri"/>
          <w:b/>
          <w:color w:val="0F2B4C"/>
          <w:sz w:val="19"/>
        </w:rPr>
        <w:t>Assertion instead of evidence</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“It was working” with no timestamp, no output and no comparison to the baseline.</w:t>
      </w:r>
    </w:p>
    <w:p>
      <w:pPr>
        <w:spacing w:before="100" w:after="20"/>
        <w:shd w:val="clear" w:color="auto" w:fill="F7F9FC"/>
        <w:pBdr>
          <w:left w:val="single" w:sz="18" w:space="6" w:color="9EC3EC"/>
        </w:pBdr>
      </w:pPr>
      <w:r>
        <w:rPr>
          <w:rFonts w:ascii="Calibri" w:hAnsi="Calibri"/>
          <w:b/>
          <w:color w:val="0F2B4C"/>
          <w:sz w:val="19"/>
        </w:rPr>
        <w:t>Automation absolution</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Assuming the automated build is correct because it completed. Completion is not correctness.</w:t>
      </w:r>
    </w:p>
    <w:p>
      <w:pPr>
        <w:spacing w:before="100" w:after="20"/>
        <w:shd w:val="clear" w:color="auto" w:fill="F7F9FC"/>
        <w:pBdr>
          <w:left w:val="single" w:sz="18" w:space="6" w:color="9EC3EC"/>
        </w:pBdr>
      </w:pPr>
      <w:r>
        <w:rPr>
          <w:rFonts w:ascii="Calibri" w:hAnsi="Calibri"/>
          <w:b/>
          <w:color w:val="0F2B4C"/>
          <w:sz w:val="19"/>
        </w:rPr>
        <w:t>Parameter-first troubleshooting</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Raising memory, timeouts or buffer sizes before identifying what is consuming the resource.</w:t>
      </w:r>
    </w:p>
    <w:p>
      <w:pPr>
        <w:spacing w:before="100" w:after="20"/>
        <w:shd w:val="clear" w:color="auto" w:fill="F7F9FC"/>
        <w:pBdr>
          <w:left w:val="single" w:sz="18" w:space="6" w:color="9EC3EC"/>
        </w:pBdr>
      </w:pPr>
      <w:r>
        <w:rPr>
          <w:rFonts w:ascii="Calibri" w:hAnsi="Calibri"/>
          <w:b/>
          <w:color w:val="0F2B4C"/>
          <w:sz w:val="19"/>
        </w:rPr>
        <w:t>Shared ownership</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Three engineers making independent changes to one SID during validation.</w:t>
      </w:r>
    </w:p>
    <w:p>
      <w:pPr>
        <w:spacing w:before="100" w:after="20"/>
        <w:shd w:val="clear" w:color="auto" w:fill="F7F9FC"/>
        <w:pBdr>
          <w:left w:val="single" w:sz="18" w:space="6" w:color="9EC3EC"/>
        </w:pBdr>
      </w:pPr>
      <w:r>
        <w:rPr>
          <w:rFonts w:ascii="Calibri" w:hAnsi="Calibri"/>
          <w:b/>
          <w:color w:val="0F2B4C"/>
          <w:sz w:val="19"/>
        </w:rPr>
        <w:t>Compressed discovery</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Shortening discovery to protect the schedule, then paying for it in the cutover window.</w:t>
      </w:r>
    </w:p>
    <w:p>
      <w:pPr>
        <w:spacing w:before="100" w:after="20"/>
        <w:shd w:val="clear" w:color="auto" w:fill="F7F9FC"/>
        <w:pBdr>
          <w:left w:val="single" w:sz="18" w:space="6" w:color="9EC3EC"/>
        </w:pBdr>
      </w:pPr>
      <w:r>
        <w:rPr>
          <w:rFonts w:ascii="Calibri" w:hAnsi="Calibri"/>
          <w:b/>
          <w:color w:val="0F2B4C"/>
          <w:sz w:val="19"/>
        </w:rPr>
        <w:t>Unrehearsed rollback</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A rollback plan that exists in a document but has never been executed or timed.</w:t>
      </w:r>
    </w:p>
    <w:p>
      <w:pPr>
        <w:spacing w:before="100" w:after="20"/>
        <w:shd w:val="clear" w:color="auto" w:fill="F7F9FC"/>
        <w:pBdr>
          <w:left w:val="single" w:sz="18" w:space="6" w:color="9EC3EC"/>
        </w:pBdr>
      </w:pPr>
      <w:r>
        <w:rPr>
          <w:rFonts w:ascii="Calibri" w:hAnsi="Calibri"/>
          <w:b/>
          <w:color w:val="0F2B4C"/>
          <w:sz w:val="19"/>
        </w:rPr>
        <w:t>Late credential requests</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Third-party and middleware credentials requested in cutover week.</w:t>
      </w:r>
    </w:p>
    <w:p>
      <w:pPr>
        <w:spacing w:before="100" w:after="20"/>
        <w:shd w:val="clear" w:color="auto" w:fill="F7F9FC"/>
        <w:pBdr>
          <w:left w:val="single" w:sz="18" w:space="6" w:color="9EC3EC"/>
        </w:pBdr>
      </w:pPr>
      <w:r>
        <w:rPr>
          <w:rFonts w:ascii="Calibri" w:hAnsi="Calibri"/>
          <w:b/>
          <w:color w:val="0F2B4C"/>
          <w:sz w:val="19"/>
        </w:rPr>
        <w:t>Cropped screenshots</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Evidence that shows only the success line and none of the context around it.</w:t>
      </w:r>
    </w:p>
    <w:p>
      <w:pPr>
        <w:spacing w:before="100" w:after="20"/>
        <w:shd w:val="clear" w:color="auto" w:fill="F7F9FC"/>
        <w:pBdr>
          <w:left w:val="single" w:sz="18" w:space="6" w:color="9EC3EC"/>
        </w:pBdr>
      </w:pPr>
      <w:r>
        <w:rPr>
          <w:rFonts w:ascii="Calibri" w:hAnsi="Calibri"/>
          <w:b/>
          <w:color w:val="0F2B4C"/>
          <w:sz w:val="19"/>
        </w:rPr>
        <w:t>Hypercare amnesia</w:t>
      </w:r>
    </w:p>
    <w:p>
      <w:pPr>
        <w:spacing w:after="120"/>
        <w:ind w:left="170"/>
        <w:shd w:val="clear" w:color="auto" w:fill="F7F9FC"/>
        <w:pBdr>
          <w:left w:val="single" w:sz="6" w:space="6" w:color="9EC3EC"/>
          <w:right w:val="single" w:sz="6" w:space="6" w:color="9EC3EC"/>
        </w:pBdr>
      </w:pPr>
      <w:r>
        <w:rPr>
          <w:rFonts w:ascii="Calibri" w:hAnsi="Calibri"/>
          <w:b w:val="0"/>
          <w:i w:val="0"/>
          <w:color w:val="334E68"/>
          <w:sz w:val="18"/>
        </w:rPr>
        <w:t>Losing the baseline at go-live, so every pre-existing fault becomes a migration defect.</w:t>
      </w:r>
    </w:p>
    <w:p>
      <w:r>
        <w:br w:type="page"/>
      </w:r>
    </w:p>
    <w:p>
      <w:pPr>
        <w:spacing w:after="20"/>
      </w:pPr>
      <w:r>
        <w:rPr>
          <w:rFonts w:ascii="Calibri" w:hAnsi="Calibri"/>
          <w:b/>
          <w:color w:val="1B4F86"/>
          <w:sz w:val="16"/>
        </w:rPr>
        <w:t>SECTION 17</w:t>
      </w:r>
    </w:p>
    <w:p>
      <w:pPr>
        <w:pStyle w:val="Heading1"/>
        <w:pBdr>
          <w:bottom w:val="single" w:sz="12" w:space="5" w:color="1B4F86"/>
        </w:pBdr>
        <w:spacing w:after="160"/>
      </w:pPr>
      <w:r>
        <w:rPr>
          <w:rFonts w:ascii="Calibri Light" w:hAnsi="Calibri Light"/>
          <w:b/>
          <w:color w:val="0F2B4C"/>
          <w:sz w:val="38"/>
        </w:rPr>
        <w:t>17  Final knowledge check</w:t>
      </w:r>
    </w:p>
    <w:p>
      <w:pPr>
        <w:spacing w:after="200"/>
      </w:pPr>
      <w:r>
        <w:rPr>
          <w:rFonts w:ascii="Calibri" w:hAnsi="Calibri"/>
          <w:i/>
          <w:color w:val="5B7288"/>
          <w:sz w:val="21"/>
        </w:rPr>
        <w:t>Sixteen questions. The first twelve are from the source training; the last four were added during the professional review to cover points the modules rely on. Answers are hidden until opened — this is a self-test, not a reading exercise.</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It provides the evidence used for target comparison and it is what allows you to distinguish migration-related failures from pre-existing issues. Without a baseline, every post-migration problem is arguable: you cannot prove whether the migration caused it, and you cannot prove that a fix is needed. The baseline covers OS, SAP, database, interfaces, directories, workload, memory, backup status and known failures — each with a timestamp.</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2</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It is the approved system information used for target provisioning and for validating what was provisioned. It is prepared from the sizing report and architecture, peer-reviewed, finalised with the customer, and then used twice: as the input to automation, and as the reference the migration team validates the built environment against.</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3</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SystemDB provides central management and monitoring for the HANA system and holds the backup catalogue; TenantDB contains the application and data workload for a specific SAP system. They have separate login contexts and credentials, and both can reside on the same HANA server or VM. Neither is an HA component — high availability is a separate infrastructure-level design.</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4</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To confirm that the backup destination, configuration, permissions and the recovery process actually work before they are needed under production pressure. The test also produces the evidence required at Gate 1 and gives you a realistic duration estimate for the cutover window.</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5</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RFC destinations and their connectivity, including the relevant TCP/IP, HTTP and external connections. In a migration it is used twice: to enumerate the interface baseline before the move, and to prove each destination still works after it — compared against that baseline, so pre-existing failures are not mistaken for migration defects.</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6</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Transport landscape management: the transport domain and its controller, the systems in the landscape, the routes between them, and the transport directory. After migration you validate all four and prove the route works with a test import — a landscape that only transports in one direction is a common half-migrated symptom.</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7</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 xml:space="preserve">Because mismatches cause permission problems, inter-server communication issues, SAP file-access problems and application failures that appear far from their cause. Compare the numeric IDs for </w:t>
      </w:r>
      <w:r>
        <w:rPr>
          <w:rFonts w:ascii="Consolas" w:hAnsi="Consolas"/>
          <w:b w:val="0"/>
          <w:i w:val="0"/>
          <w:color w:val="123A63"/>
          <w:sz w:val="18"/>
          <w:shd w:val="clear" w:color="auto" w:fill="EEF2F7"/>
        </w:rPr>
        <w:t>sapadm</w:t>
      </w:r>
      <w:r>
        <w:rPr>
          <w:rFonts w:ascii="Calibri" w:hAnsi="Calibri"/>
          <w:b w:val="0"/>
          <w:i w:val="0"/>
          <w:color w:val="334E68"/>
          <w:sz w:val="18"/>
        </w:rPr>
        <w:t xml:space="preserve">, </w:t>
      </w:r>
      <w:r>
        <w:rPr>
          <w:rFonts w:ascii="Consolas" w:hAnsi="Consolas"/>
          <w:b w:val="0"/>
          <w:i w:val="0"/>
          <w:color w:val="123A63"/>
          <w:sz w:val="18"/>
          <w:shd w:val="clear" w:color="auto" w:fill="EEF2F7"/>
        </w:rPr>
        <w:t>&lt;sid&gt;adm</w:t>
      </w:r>
      <w:r>
        <w:rPr>
          <w:rFonts w:ascii="Calibri" w:hAnsi="Calibri"/>
          <w:b w:val="0"/>
          <w:i w:val="0"/>
          <w:color w:val="334E68"/>
          <w:sz w:val="18"/>
        </w:rPr>
        <w:t>, the database users and their groups — not just the names, which can be identical while the numbers differ.</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8</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To verify synchronization and data consistency between the source primary and the target standby before the switchover. Matching SCN values (with no apply gap) are the evidence that no committed data will be lost when the roles are swapped, and they are attached to the change ticket for approval.</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9</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It provides a rollback recovery point before subsequent migration activities. Taken after the standby is synchronized and before the role change, it lets you restore the target to a known consistent state if the switchover or the following validation fails.</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10</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To ensure the system is released only after the required technical, functional and owner approvals are in place, with evidence and confirmed rollback readiness. It is a governance control, not a formality: a No-Go with documented reasons is a successful use of the gate.</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11</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Execute the agreed rollback procedure — the one prepared and rehearsed before the window. Restore the snapshot or recover the source, revert DNS/CNAME, restart the source, re-validate connectivity, then record the reason, the evidence and the path back into the incident and change process.</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12</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val="0"/>
          <w:color w:val="334E68"/>
          <w:sz w:val="18"/>
        </w:rPr>
        <w:t>15 days after successful go-live. During that period, users are unlocked, background jobs and Control-M activities are resumed with the owning teams, remaining EDG/SAProuter configuration is completed, and every issue is classified as migration-related or pre-existing and routed to the responsible support team.</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13</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color w:val="334E68"/>
          <w:sz w:val="18"/>
        </w:rPr>
        <w:t>Added during the review pass.</w:t>
      </w:r>
      <w:r>
        <w:rPr>
          <w:rFonts w:ascii="Calibri" w:hAnsi="Calibri"/>
          <w:b w:val="0"/>
          <w:i w:val="0"/>
          <w:color w:val="334E68"/>
          <w:sz w:val="18"/>
        </w:rPr>
        <w:t xml:space="preserve"> Because it is the definitive SAP-to-database connectivity check. Starting SAP with a failing database connection generates hundreds of secondary errors in the work process and dispatcher traces that hide the real cause and consume window time; diagnosing </w:t>
      </w:r>
      <w:r>
        <w:rPr>
          <w:rFonts w:ascii="Consolas" w:hAnsi="Consolas"/>
          <w:b w:val="0"/>
          <w:i w:val="0"/>
          <w:color w:val="123A63"/>
          <w:sz w:val="18"/>
          <w:shd w:val="clear" w:color="auto" w:fill="EEF2F7"/>
        </w:rPr>
        <w:t>trans.log</w:t>
      </w:r>
      <w:r>
        <w:rPr>
          <w:rFonts w:ascii="Calibri" w:hAnsi="Calibri"/>
          <w:b w:val="0"/>
          <w:i w:val="0"/>
          <w:color w:val="334E68"/>
          <w:sz w:val="18"/>
        </w:rPr>
        <w:t xml:space="preserve"> first is faster and safer.</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14</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color w:val="334E68"/>
          <w:sz w:val="18"/>
        </w:rPr>
        <w:t>Added during the review pass.</w:t>
      </w:r>
      <w:r>
        <w:rPr>
          <w:rFonts w:ascii="Calibri" w:hAnsi="Calibri"/>
          <w:b w:val="0"/>
          <w:i w:val="0"/>
          <w:color w:val="334E68"/>
          <w:sz w:val="18"/>
        </w:rPr>
        <w:t xml:space="preserve"> An enabled, active service can still fail at boot because of dependency ordering — late-mounting file systems, network not yet up, a cluster-owned virtual IP, or an unreachable database. Only a reboot proves the sequence. A return code of 127 indicates a missing command or unresolved shared library (path, environment, library dependency); 255 is a generic failure from the start script or SAP program and must be diagnosed from the service journal and the SAP traces.</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15</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color w:val="334E68"/>
          <w:sz w:val="18"/>
        </w:rPr>
        <w:t>Added during the review pass.</w:t>
      </w:r>
      <w:r>
        <w:rPr>
          <w:rFonts w:ascii="Calibri" w:hAnsi="Calibri"/>
          <w:b w:val="0"/>
          <w:i w:val="0"/>
          <w:color w:val="334E68"/>
          <w:sz w:val="18"/>
        </w:rPr>
        <w:t xml:space="preserve"> A switchover is a planned, reversible role swap in which both databases end in valid roles and you can switch back; it is the migration mechanism. A failover is a disaster-recovery action taken when the primary is lost: the standby becomes primary and the old primary typically needs rebuilding. Migration runbooks must never describe a failover when they mean a switchover.</w:t>
      </w:r>
    </w:p>
    <w:p>
      <w:pPr>
        <w:spacing w:before="140" w:after="40"/>
        <w:shd w:val="clear" w:color="auto" w:fill="F4F7FB"/>
        <w:pBdr>
          <w:left w:val="single" w:sz="6" w:space="6" w:color="9EC3EC"/>
          <w:top w:val="single" w:sz="6" w:space="6" w:color="9EC3EC"/>
          <w:right w:val="single" w:sz="6" w:space="6" w:color="9EC3EC"/>
        </w:pBdr>
        <w:keepNext/>
      </w:pPr>
      <w:r>
        <w:rPr>
          <w:rFonts w:ascii="Calibri" w:hAnsi="Calibri"/>
          <w:b/>
          <w:color w:val="1B4F86"/>
          <w:sz w:val="19"/>
        </w:rPr>
        <w:t xml:space="preserve">Q1.  </w:t>
      </w:r>
      <w:r>
        <w:rPr>
          <w:rFonts w:ascii="Calibri" w:hAnsi="Calibri"/>
          <w:b/>
          <w:color w:val="0F2B4C"/>
          <w:sz w:val="19"/>
        </w:rPr>
        <w:t>16</w:t>
      </w:r>
    </w:p>
    <w:p>
      <w:pPr>
        <w:spacing w:after="40"/>
        <w:ind w:left="170"/>
        <w:shd w:val="clear" w:color="auto" w:fill="FBFCFE"/>
        <w:pBdr>
          <w:left w:val="single" w:sz="6" w:space="6" w:color="9EC3EC"/>
          <w:bottom w:val="single" w:sz="6" w:space="6" w:color="9EC3EC"/>
          <w:right w:val="single" w:sz="6" w:space="6" w:color="9EC3EC"/>
        </w:pBdr>
      </w:pPr>
      <w:r>
        <w:rPr>
          <w:rFonts w:ascii="Calibri" w:hAnsi="Calibri"/>
          <w:b w:val="0"/>
          <w:i/>
          <w:color w:val="334E68"/>
          <w:sz w:val="18"/>
        </w:rPr>
        <w:t>Added during the review pass.</w:t>
      </w:r>
      <w:r>
        <w:rPr>
          <w:rFonts w:ascii="Calibri" w:hAnsi="Calibri"/>
          <w:b w:val="0"/>
          <w:i w:val="0"/>
          <w:color w:val="334E68"/>
          <w:sz w:val="18"/>
        </w:rPr>
        <w:t xml:space="preserve"> Record it in the source baseline with evidence and a timestamp, classify it as a pre-existing condition, and route it to BAU support rather than absorbing it as a migration defect. If it is fixed during the migration, record the fix as a change — an unrecorded fix is an unapproved change that nobody can explain later.</w:t>
      </w:r>
    </w:p>
    <w:p>
      <w:pPr>
        <w:pStyle w:val="Heading2"/>
        <w:pBdr>
          <w:bottom w:val="single" w:sz="6" w:space="3" w:color="E8EDF3"/>
        </w:pBdr>
      </w:pPr>
      <w:r>
        <w:rPr>
          <w:rFonts w:ascii="Calibri" w:hAnsi="Calibri"/>
          <w:b/>
          <w:color w:val="0F2B4C"/>
          <w:sz w:val="26"/>
        </w:rPr>
        <w:t>17.1  Scoring guidance for trainers</w:t>
      </w:r>
    </w:p>
    <w:p>
      <w:pPr>
        <w:spacing w:after="60" w:before="160"/>
        <w:keepNext/>
      </w:pPr>
      <w:r>
        <w:rPr>
          <w:rFonts w:ascii="Calibri" w:hAnsi="Calibri"/>
          <w:b/>
          <w:color w:val="5B7288"/>
          <w:sz w:val="15"/>
        </w:rPr>
        <w:t>SCORING BANDS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157"/>
        <w:gridCol w:w="3855"/>
        <w:gridCol w:w="4626"/>
      </w:tblGrid>
      <w:tr>
        <w:trPr>
          <w:tblHeader/>
          <w:cantSplit/>
        </w:trPr>
        <w:tc>
          <w:tcPr>
            <w:tcW w:type="dxa" w:w="1157"/>
            <w:shd w:val="clear" w:color="auto" w:fill="0F2B4C"/>
          </w:tcPr>
          <w:p>
            <w:pPr>
              <w:spacing w:after="20" w:before="20"/>
            </w:pPr>
            <w:r/>
            <w:r>
              <w:rPr>
                <w:rFonts w:ascii="Calibri" w:hAnsi="Calibri"/>
                <w:b/>
                <w:color w:val="FFFFFF"/>
                <w:sz w:val="17"/>
              </w:rPr>
              <w:t>Score</w:t>
            </w:r>
          </w:p>
        </w:tc>
        <w:tc>
          <w:tcPr>
            <w:tcW w:type="dxa" w:w="3855"/>
            <w:shd w:val="clear" w:color="auto" w:fill="0F2B4C"/>
          </w:tcPr>
          <w:p>
            <w:pPr>
              <w:spacing w:after="20" w:before="20"/>
            </w:pPr>
            <w:r/>
            <w:r>
              <w:rPr>
                <w:rFonts w:ascii="Calibri" w:hAnsi="Calibri"/>
                <w:b/>
                <w:color w:val="FFFFFF"/>
                <w:sz w:val="17"/>
              </w:rPr>
              <w:t>Interpretation</w:t>
            </w:r>
          </w:p>
        </w:tc>
        <w:tc>
          <w:tcPr>
            <w:tcW w:type="dxa" w:w="4626"/>
            <w:shd w:val="clear" w:color="auto" w:fill="0F2B4C"/>
          </w:tcPr>
          <w:p>
            <w:pPr>
              <w:spacing w:after="20" w:before="20"/>
            </w:pPr>
            <w:r/>
            <w:r>
              <w:rPr>
                <w:rFonts w:ascii="Calibri" w:hAnsi="Calibri"/>
                <w:b/>
                <w:color w:val="FFFFFF"/>
                <w:sz w:val="17"/>
              </w:rPr>
              <w:t>Recommended action</w:t>
            </w:r>
          </w:p>
        </w:tc>
      </w:tr>
      <w:tr>
        <w:trPr>
          <w:cantSplit/>
        </w:trPr>
        <w:tc>
          <w:tcPr>
            <w:tcW w:type="dxa" w:w="1157"/>
          </w:tcPr>
          <w:p>
            <w:pPr>
              <w:spacing w:after="20" w:before="20"/>
            </w:pPr>
            <w:r/>
            <w:r>
              <w:rPr>
                <w:rFonts w:ascii="Calibri" w:hAnsi="Calibri"/>
                <w:b/>
                <w:i w:val="0"/>
                <w:color w:val="334E68"/>
                <w:sz w:val="17"/>
              </w:rPr>
              <w:t>14–16</w:t>
            </w:r>
          </w:p>
        </w:tc>
        <w:tc>
          <w:tcPr>
            <w:tcW w:type="dxa" w:w="3855"/>
          </w:tcPr>
          <w:p>
            <w:pPr>
              <w:spacing w:after="20" w:before="20"/>
            </w:pPr>
            <w:r/>
            <w:r>
              <w:rPr>
                <w:rFonts w:ascii="Calibri" w:hAnsi="Calibri"/>
                <w:b w:val="0"/>
                <w:i w:val="0"/>
                <w:color w:val="334E68"/>
                <w:sz w:val="17"/>
              </w:rPr>
              <w:t>Ready to take ownership of a system in a migration wave.</w:t>
            </w:r>
          </w:p>
        </w:tc>
        <w:tc>
          <w:tcPr>
            <w:tcW w:type="dxa" w:w="4626"/>
          </w:tcPr>
          <w:p>
            <w:pPr>
              <w:spacing w:after="20" w:before="20"/>
            </w:pPr>
            <w:r/>
            <w:r>
              <w:rPr>
                <w:rFonts w:ascii="Calibri" w:hAnsi="Calibri"/>
                <w:b w:val="0"/>
                <w:i w:val="0"/>
                <w:color w:val="334E68"/>
                <w:sz w:val="17"/>
              </w:rPr>
              <w:t>Assign a SID and a guide; proceed to supervised execution.</w:t>
            </w:r>
          </w:p>
        </w:tc>
      </w:tr>
      <w:tr>
        <w:trPr>
          <w:cantSplit/>
        </w:trPr>
        <w:tc>
          <w:tcPr>
            <w:tcW w:type="dxa" w:w="1157"/>
            <w:shd w:val="clear" w:color="auto" w:fill="FAFBFD"/>
          </w:tcPr>
          <w:p>
            <w:pPr>
              <w:spacing w:after="20" w:before="20"/>
            </w:pPr>
            <w:r/>
            <w:r>
              <w:rPr>
                <w:rFonts w:ascii="Calibri" w:hAnsi="Calibri"/>
                <w:b/>
                <w:i w:val="0"/>
                <w:color w:val="334E68"/>
                <w:sz w:val="17"/>
              </w:rPr>
              <w:t>11–13</w:t>
            </w:r>
          </w:p>
        </w:tc>
        <w:tc>
          <w:tcPr>
            <w:tcW w:type="dxa" w:w="3855"/>
            <w:shd w:val="clear" w:color="auto" w:fill="FAFBFD"/>
          </w:tcPr>
          <w:p>
            <w:pPr>
              <w:spacing w:after="20" w:before="20"/>
            </w:pPr>
            <w:r/>
            <w:r>
              <w:rPr>
                <w:rFonts w:ascii="Calibri" w:hAnsi="Calibri"/>
                <w:b w:val="0"/>
                <w:i w:val="0"/>
                <w:color w:val="334E68"/>
                <w:sz w:val="17"/>
              </w:rPr>
              <w:t>Sound understanding with gaps.</w:t>
            </w:r>
          </w:p>
        </w:tc>
        <w:tc>
          <w:tcPr>
            <w:tcW w:type="dxa" w:w="4626"/>
            <w:shd w:val="clear" w:color="auto" w:fill="FAFBFD"/>
          </w:tcPr>
          <w:p>
            <w:pPr>
              <w:spacing w:after="20" w:before="20"/>
            </w:pPr>
            <w:r/>
            <w:r>
              <w:rPr>
                <w:rFonts w:ascii="Calibri" w:hAnsi="Calibri"/>
                <w:b w:val="0"/>
                <w:i w:val="0"/>
                <w:color w:val="334E68"/>
                <w:sz w:val="17"/>
              </w:rPr>
              <w:t>Re-read the modules behind the missed questions; re-test before assignment.</w:t>
            </w:r>
          </w:p>
        </w:tc>
      </w:tr>
      <w:tr>
        <w:trPr>
          <w:cantSplit/>
        </w:trPr>
        <w:tc>
          <w:tcPr>
            <w:tcW w:type="dxa" w:w="1157"/>
          </w:tcPr>
          <w:p>
            <w:pPr>
              <w:spacing w:after="20" w:before="20"/>
            </w:pPr>
            <w:r/>
            <w:r>
              <w:rPr>
                <w:rFonts w:ascii="Calibri" w:hAnsi="Calibri"/>
                <w:b/>
                <w:i w:val="0"/>
                <w:color w:val="334E68"/>
                <w:sz w:val="17"/>
              </w:rPr>
              <w:t>8–10</w:t>
            </w:r>
          </w:p>
        </w:tc>
        <w:tc>
          <w:tcPr>
            <w:tcW w:type="dxa" w:w="3855"/>
          </w:tcPr>
          <w:p>
            <w:pPr>
              <w:spacing w:after="20" w:before="20"/>
            </w:pPr>
            <w:r/>
            <w:r>
              <w:rPr>
                <w:rFonts w:ascii="Calibri" w:hAnsi="Calibri"/>
                <w:b w:val="0"/>
                <w:i w:val="0"/>
                <w:color w:val="334E68"/>
                <w:sz w:val="17"/>
              </w:rPr>
              <w:t>Partial readiness.</w:t>
            </w:r>
          </w:p>
        </w:tc>
        <w:tc>
          <w:tcPr>
            <w:tcW w:type="dxa" w:w="4626"/>
          </w:tcPr>
          <w:p>
            <w:pPr>
              <w:spacing w:after="20" w:before="20"/>
            </w:pPr>
            <w:r/>
            <w:r>
              <w:rPr>
                <w:rFonts w:ascii="Calibri" w:hAnsi="Calibri"/>
                <w:b w:val="0"/>
                <w:i w:val="0"/>
                <w:color w:val="334E68"/>
                <w:sz w:val="17"/>
              </w:rPr>
              <w:t>Paired execution only, with the guide performing the validation and the trainee observing.</w:t>
            </w:r>
          </w:p>
        </w:tc>
      </w:tr>
      <w:tr>
        <w:trPr>
          <w:cantSplit/>
        </w:trPr>
        <w:tc>
          <w:tcPr>
            <w:tcW w:type="dxa" w:w="1157"/>
            <w:shd w:val="clear" w:color="auto" w:fill="FAFBFD"/>
          </w:tcPr>
          <w:p>
            <w:pPr>
              <w:spacing w:after="20" w:before="20"/>
            </w:pPr>
            <w:r/>
            <w:r>
              <w:rPr>
                <w:rFonts w:ascii="Calibri" w:hAnsi="Calibri"/>
                <w:b/>
                <w:i w:val="0"/>
                <w:color w:val="334E68"/>
                <w:sz w:val="17"/>
              </w:rPr>
              <w:t>Below 8</w:t>
            </w:r>
          </w:p>
        </w:tc>
        <w:tc>
          <w:tcPr>
            <w:tcW w:type="dxa" w:w="3855"/>
            <w:shd w:val="clear" w:color="auto" w:fill="FAFBFD"/>
          </w:tcPr>
          <w:p>
            <w:pPr>
              <w:spacing w:after="20" w:before="20"/>
            </w:pPr>
            <w:r/>
            <w:r>
              <w:rPr>
                <w:rFonts w:ascii="Calibri" w:hAnsi="Calibri"/>
                <w:b w:val="0"/>
                <w:i w:val="0"/>
                <w:color w:val="334E68"/>
                <w:sz w:val="17"/>
              </w:rPr>
              <w:t>Not yet ready for independent migration work.</w:t>
            </w:r>
          </w:p>
        </w:tc>
        <w:tc>
          <w:tcPr>
            <w:tcW w:type="dxa" w:w="4626"/>
            <w:shd w:val="clear" w:color="auto" w:fill="FAFBFD"/>
          </w:tcPr>
          <w:p>
            <w:pPr>
              <w:spacing w:after="20" w:before="20"/>
            </w:pPr>
            <w:r/>
            <w:r>
              <w:rPr>
                <w:rFonts w:ascii="Calibri" w:hAnsi="Calibri"/>
                <w:b w:val="0"/>
                <w:i w:val="0"/>
                <w:color w:val="334E68"/>
                <w:sz w:val="17"/>
              </w:rPr>
              <w:t>Repeat the training; focus on Modules 1, 4 and 7 and the evidence model.</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PRACTICAL ASSESSMENT SUGGESTION</w:t>
      </w:r>
    </w:p>
    <w:p>
      <w:pPr>
        <w:spacing w:after="40"/>
        <w:ind w:left="170"/>
        <w:shd w:val="clear" w:color="auto" w:fill="F4F7FB"/>
        <w:pBdr>
          <w:left w:val="single" w:sz="6" w:space="6" w:color="0F2B4C"/>
          <w:bottom w:val="single" w:sz="6" w:space="6" w:color="0F2B4C"/>
          <w:right w:val="single" w:sz="6" w:space="6" w:color="0F2B4C"/>
        </w:pBdr>
      </w:pPr>
      <w:r>
        <w:rPr>
          <w:rFonts w:ascii="Calibri" w:hAnsi="Calibri"/>
          <w:b w:val="0"/>
          <w:i w:val="0"/>
          <w:color w:val="334E68"/>
          <w:sz w:val="18"/>
        </w:rPr>
        <w:t>A written check tests recall; migration work tests judgement. Pair this quiz with a practical exercise: give the trainee a source baseline pack and a target system, and ask them to complete one Section 12 checklist, produce the evidence, classify three seeded deviations correctly, and present the result as if at a Go/No-Go gate.</w:t>
      </w:r>
    </w:p>
    <w:p>
      <w:r>
        <w:br w:type="page"/>
      </w:r>
    </w:p>
    <w:p>
      <w:pPr>
        <w:spacing w:after="20"/>
      </w:pPr>
      <w:r>
        <w:rPr>
          <w:rFonts w:ascii="Calibri" w:hAnsi="Calibri"/>
          <w:b/>
          <w:color w:val="1B4F86"/>
          <w:sz w:val="16"/>
        </w:rPr>
        <w:t>APPENDIX A</w:t>
      </w:r>
    </w:p>
    <w:p>
      <w:pPr>
        <w:pStyle w:val="Heading1"/>
        <w:pBdr>
          <w:bottom w:val="single" w:sz="12" w:space="5" w:color="1B4F86"/>
        </w:pBdr>
        <w:spacing w:after="160"/>
      </w:pPr>
      <w:r>
        <w:rPr>
          <w:rFonts w:ascii="Calibri Light" w:hAnsi="Calibri Light"/>
          <w:b/>
          <w:color w:val="0F2B4C"/>
          <w:sz w:val="38"/>
        </w:rPr>
        <w:t>A  Appendix A — Source training coverage</w:t>
      </w:r>
    </w:p>
    <w:p>
      <w:pPr>
        <w:spacing w:after="200"/>
      </w:pPr>
      <w:r>
        <w:rPr>
          <w:rFonts w:ascii="Calibri" w:hAnsi="Calibri"/>
          <w:i/>
          <w:color w:val="5B7288"/>
          <w:sz w:val="21"/>
        </w:rPr>
        <w:t>The supplied consolidated material included multiple training/MOM sections. This handbook reorganises them into a reusable training format; the mapping below preserves traceability to the source.</w:t>
      </w:r>
    </w:p>
    <w:p>
      <w:pPr>
        <w:spacing w:after="60" w:before="160"/>
        <w:keepNext/>
      </w:pPr>
      <w:r>
        <w:rPr>
          <w:rFonts w:ascii="Calibri" w:hAnsi="Calibri"/>
          <w:b/>
          <w:color w:val="5B7288"/>
          <w:sz w:val="15"/>
        </w:rPr>
        <w:t>SOURCE COVERAGE MAP</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891"/>
        <w:gridCol w:w="4433"/>
        <w:gridCol w:w="2313"/>
      </w:tblGrid>
      <w:tr>
        <w:trPr>
          <w:tblHeader/>
          <w:cantSplit/>
        </w:trPr>
        <w:tc>
          <w:tcPr>
            <w:tcW w:type="dxa" w:w="2891"/>
            <w:shd w:val="clear" w:color="auto" w:fill="0F2B4C"/>
          </w:tcPr>
          <w:p>
            <w:pPr>
              <w:spacing w:after="20" w:before="20"/>
            </w:pPr>
            <w:r/>
            <w:r>
              <w:rPr>
                <w:rFonts w:ascii="Calibri" w:hAnsi="Calibri"/>
                <w:b/>
                <w:color w:val="FFFFFF"/>
                <w:sz w:val="17"/>
              </w:rPr>
              <w:t>Source training / MOM section</w:t>
            </w:r>
          </w:p>
        </w:tc>
        <w:tc>
          <w:tcPr>
            <w:tcW w:type="dxa" w:w="4433"/>
            <w:shd w:val="clear" w:color="auto" w:fill="0F2B4C"/>
          </w:tcPr>
          <w:p>
            <w:pPr>
              <w:spacing w:after="20" w:before="20"/>
            </w:pPr>
            <w:r/>
            <w:r>
              <w:rPr>
                <w:rFonts w:ascii="Calibri" w:hAnsi="Calibri"/>
                <w:b/>
                <w:color w:val="FFFFFF"/>
                <w:sz w:val="17"/>
              </w:rPr>
              <w:t>Content covered</w:t>
            </w:r>
          </w:p>
        </w:tc>
        <w:tc>
          <w:tcPr>
            <w:tcW w:type="dxa" w:w="2313"/>
            <w:shd w:val="clear" w:color="auto" w:fill="0F2B4C"/>
          </w:tcPr>
          <w:p>
            <w:pPr>
              <w:spacing w:after="20" w:before="20"/>
            </w:pPr>
            <w:r/>
            <w:r>
              <w:rPr>
                <w:rFonts w:ascii="Calibri" w:hAnsi="Calibri"/>
                <w:b/>
                <w:color w:val="FFFFFF"/>
                <w:sz w:val="17"/>
              </w:rPr>
              <w:t>Mapped to</w:t>
            </w:r>
          </w:p>
        </w:tc>
      </w:tr>
      <w:tr>
        <w:trPr>
          <w:cantSplit/>
        </w:trPr>
        <w:tc>
          <w:tcPr>
            <w:tcW w:type="dxa" w:w="2891"/>
          </w:tcPr>
          <w:p>
            <w:pPr>
              <w:spacing w:after="20" w:before="20"/>
            </w:pPr>
            <w:r/>
            <w:r>
              <w:rPr>
                <w:rFonts w:ascii="Calibri" w:hAnsi="Calibri"/>
                <w:b/>
                <w:i w:val="0"/>
                <w:color w:val="334E68"/>
                <w:sz w:val="17"/>
              </w:rPr>
              <w:t>Final checklist session</w:t>
            </w:r>
          </w:p>
        </w:tc>
        <w:tc>
          <w:tcPr>
            <w:tcW w:type="dxa" w:w="4433"/>
          </w:tcPr>
          <w:p>
            <w:pPr>
              <w:spacing w:after="20" w:before="20"/>
            </w:pPr>
            <w:r/>
            <w:r>
              <w:rPr>
                <w:rFonts w:ascii="Calibri" w:hAnsi="Calibri"/>
                <w:b w:val="0"/>
                <w:i w:val="0"/>
                <w:color w:val="334E68"/>
                <w:sz w:val="17"/>
              </w:rPr>
              <w:t>Consolidated end-of-project checklist review and open items</w:t>
            </w:r>
          </w:p>
        </w:tc>
        <w:tc>
          <w:tcPr>
            <w:tcW w:type="dxa" w:w="2313"/>
          </w:tcPr>
          <w:p>
            <w:pPr>
              <w:spacing w:after="20" w:before="20"/>
            </w:pPr>
            <w:r/>
            <w:r>
              <w:rPr>
                <w:rFonts w:ascii="Calibri" w:hAnsi="Calibri"/>
                <w:b w:val="0"/>
                <w:i w:val="0"/>
                <w:color w:val="334E68"/>
                <w:sz w:val="17"/>
              </w:rPr>
              <w:t>Sections 10, 12</w:t>
            </w:r>
          </w:p>
        </w:tc>
      </w:tr>
      <w:tr>
        <w:trPr>
          <w:cantSplit/>
        </w:trPr>
        <w:tc>
          <w:tcPr>
            <w:tcW w:type="dxa" w:w="2891"/>
            <w:shd w:val="clear" w:color="auto" w:fill="FAFBFD"/>
          </w:tcPr>
          <w:p>
            <w:pPr>
              <w:spacing w:after="20" w:before="20"/>
            </w:pPr>
            <w:r/>
            <w:r>
              <w:rPr>
                <w:rFonts w:ascii="Calibri" w:hAnsi="Calibri"/>
                <w:b/>
                <w:i w:val="0"/>
                <w:color w:val="334E68"/>
                <w:sz w:val="17"/>
              </w:rPr>
              <w:t>SAP-to-AWS migration checklist</w:t>
            </w:r>
          </w:p>
        </w:tc>
        <w:tc>
          <w:tcPr>
            <w:tcW w:type="dxa" w:w="4433"/>
            <w:shd w:val="clear" w:color="auto" w:fill="FAFBFD"/>
          </w:tcPr>
          <w:p>
            <w:pPr>
              <w:spacing w:after="20" w:before="20"/>
            </w:pPr>
            <w:r/>
            <w:r>
              <w:rPr>
                <w:rFonts w:ascii="Calibri" w:hAnsi="Calibri"/>
                <w:b w:val="0"/>
                <w:i w:val="0"/>
                <w:color w:val="334E68"/>
                <w:sz w:val="17"/>
              </w:rPr>
              <w:t>Preparation, discovery, sizing, architecture, build and validation steps</w:t>
            </w:r>
          </w:p>
        </w:tc>
        <w:tc>
          <w:tcPr>
            <w:tcW w:type="dxa" w:w="2313"/>
            <w:shd w:val="clear" w:color="auto" w:fill="FAFBFD"/>
          </w:tcPr>
          <w:p>
            <w:pPr>
              <w:spacing w:after="20" w:before="20"/>
            </w:pPr>
            <w:r/>
            <w:r>
              <w:rPr>
                <w:rFonts w:ascii="Calibri" w:hAnsi="Calibri"/>
                <w:b w:val="0"/>
                <w:i w:val="0"/>
                <w:color w:val="334E68"/>
                <w:sz w:val="17"/>
              </w:rPr>
              <w:t>Sections 3, 4, 5, 7</w:t>
            </w:r>
          </w:p>
        </w:tc>
      </w:tr>
      <w:tr>
        <w:trPr>
          <w:cantSplit/>
        </w:trPr>
        <w:tc>
          <w:tcPr>
            <w:tcW w:type="dxa" w:w="2891"/>
          </w:tcPr>
          <w:p>
            <w:pPr>
              <w:spacing w:after="20" w:before="20"/>
            </w:pPr>
            <w:r/>
            <w:r>
              <w:rPr>
                <w:rFonts w:ascii="Calibri" w:hAnsi="Calibri"/>
                <w:b/>
                <w:i w:val="0"/>
                <w:color w:val="334E68"/>
                <w:sz w:val="17"/>
              </w:rPr>
              <w:t>HANA MDC and recovery</w:t>
            </w:r>
          </w:p>
        </w:tc>
        <w:tc>
          <w:tcPr>
            <w:tcW w:type="dxa" w:w="4433"/>
          </w:tcPr>
          <w:p>
            <w:pPr>
              <w:spacing w:after="20" w:before="20"/>
            </w:pPr>
            <w:r/>
            <w:r>
              <w:rPr>
                <w:rFonts w:ascii="Calibri" w:hAnsi="Calibri"/>
                <w:b w:val="0"/>
                <w:i w:val="0"/>
                <w:color w:val="334E68"/>
                <w:sz w:val="17"/>
              </w:rPr>
              <w:t>SystemDB/TenantDB, pre-checks, S3 backup backend, recovery sequence</w:t>
            </w:r>
          </w:p>
        </w:tc>
        <w:tc>
          <w:tcPr>
            <w:tcW w:type="dxa" w:w="2313"/>
          </w:tcPr>
          <w:p>
            <w:pPr>
              <w:spacing w:after="20" w:before="20"/>
            </w:pPr>
            <w:r/>
            <w:r>
              <w:rPr>
                <w:rFonts w:ascii="Calibri" w:hAnsi="Calibri"/>
                <w:b w:val="0"/>
                <w:i w:val="0"/>
                <w:color w:val="334E68"/>
                <w:sz w:val="17"/>
              </w:rPr>
              <w:t>Section 6</w:t>
            </w:r>
          </w:p>
        </w:tc>
      </w:tr>
      <w:tr>
        <w:trPr>
          <w:cantSplit/>
        </w:trPr>
        <w:tc>
          <w:tcPr>
            <w:tcW w:type="dxa" w:w="2891"/>
            <w:shd w:val="clear" w:color="auto" w:fill="FAFBFD"/>
          </w:tcPr>
          <w:p>
            <w:pPr>
              <w:spacing w:after="20" w:before="20"/>
            </w:pPr>
            <w:r/>
            <w:r>
              <w:rPr>
                <w:rFonts w:ascii="Calibri" w:hAnsi="Calibri"/>
                <w:b/>
                <w:i w:val="0"/>
                <w:color w:val="334E68"/>
                <w:sz w:val="17"/>
              </w:rPr>
              <w:t>SAP validation / monitoring / troubleshooting</w:t>
            </w:r>
          </w:p>
        </w:tc>
        <w:tc>
          <w:tcPr>
            <w:tcW w:type="dxa" w:w="4433"/>
            <w:shd w:val="clear" w:color="auto" w:fill="FAFBFD"/>
          </w:tcPr>
          <w:p>
            <w:pPr>
              <w:spacing w:after="20" w:before="20"/>
            </w:pPr>
            <w:r/>
            <w:r>
              <w:rPr>
                <w:rFonts w:ascii="Calibri" w:hAnsi="Calibri"/>
                <w:b w:val="0"/>
                <w:i w:val="0"/>
                <w:color w:val="334E68"/>
                <w:sz w:val="17"/>
              </w:rPr>
              <w:t>OS, SAP and database validation; ST02, ST03/ST03N, STAD, RZ10/RZ11</w:t>
            </w:r>
          </w:p>
        </w:tc>
        <w:tc>
          <w:tcPr>
            <w:tcW w:type="dxa" w:w="2313"/>
            <w:shd w:val="clear" w:color="auto" w:fill="FAFBFD"/>
          </w:tcPr>
          <w:p>
            <w:pPr>
              <w:spacing w:after="20" w:before="20"/>
            </w:pPr>
            <w:r/>
            <w:r>
              <w:rPr>
                <w:rFonts w:ascii="Calibri" w:hAnsi="Calibri"/>
                <w:b w:val="0"/>
                <w:i w:val="0"/>
                <w:color w:val="334E68"/>
                <w:sz w:val="17"/>
              </w:rPr>
              <w:t>Sections 7, 8</w:t>
            </w:r>
          </w:p>
        </w:tc>
      </w:tr>
      <w:tr>
        <w:trPr>
          <w:cantSplit/>
        </w:trPr>
        <w:tc>
          <w:tcPr>
            <w:tcW w:type="dxa" w:w="2891"/>
          </w:tcPr>
          <w:p>
            <w:pPr>
              <w:spacing w:after="20" w:before="20"/>
            </w:pPr>
            <w:r/>
            <w:r>
              <w:rPr>
                <w:rFonts w:ascii="Calibri" w:hAnsi="Calibri"/>
                <w:b/>
                <w:i w:val="0"/>
                <w:color w:val="334E68"/>
                <w:sz w:val="17"/>
              </w:rPr>
              <w:t>Oracle migration and switchover</w:t>
            </w:r>
          </w:p>
        </w:tc>
        <w:tc>
          <w:tcPr>
            <w:tcW w:type="dxa" w:w="4433"/>
          </w:tcPr>
          <w:p>
            <w:pPr>
              <w:spacing w:after="20" w:before="20"/>
            </w:pPr>
            <w:r/>
            <w:r>
              <w:rPr>
                <w:rFonts w:ascii="Calibri" w:hAnsi="Calibri"/>
                <w:b w:val="0"/>
                <w:i w:val="0"/>
                <w:color w:val="334E68"/>
                <w:sz w:val="17"/>
              </w:rPr>
              <w:t>Data Guard, SCN, snapshot, DBVERIFY, RMAN, DNS/IPAM</w:t>
            </w:r>
          </w:p>
        </w:tc>
        <w:tc>
          <w:tcPr>
            <w:tcW w:type="dxa" w:w="2313"/>
          </w:tcPr>
          <w:p>
            <w:pPr>
              <w:spacing w:after="20" w:before="20"/>
            </w:pPr>
            <w:r/>
            <w:r>
              <w:rPr>
                <w:rFonts w:ascii="Calibri" w:hAnsi="Calibri"/>
                <w:b w:val="0"/>
                <w:i w:val="0"/>
                <w:color w:val="334E68"/>
                <w:sz w:val="17"/>
              </w:rPr>
              <w:t>Section 9</w:t>
            </w:r>
          </w:p>
        </w:tc>
      </w:tr>
      <w:tr>
        <w:trPr>
          <w:cantSplit/>
        </w:trPr>
        <w:tc>
          <w:tcPr>
            <w:tcW w:type="dxa" w:w="2891"/>
            <w:shd w:val="clear" w:color="auto" w:fill="FAFBFD"/>
          </w:tcPr>
          <w:p>
            <w:pPr>
              <w:spacing w:after="20" w:before="20"/>
            </w:pPr>
            <w:r/>
            <w:r>
              <w:rPr>
                <w:rFonts w:ascii="Calibri" w:hAnsi="Calibri"/>
                <w:b/>
                <w:i w:val="0"/>
                <w:color w:val="334E68"/>
                <w:sz w:val="17"/>
              </w:rPr>
              <w:t>Cutover and go-live</w:t>
            </w:r>
          </w:p>
        </w:tc>
        <w:tc>
          <w:tcPr>
            <w:tcW w:type="dxa" w:w="4433"/>
            <w:shd w:val="clear" w:color="auto" w:fill="FAFBFD"/>
          </w:tcPr>
          <w:p>
            <w:pPr>
              <w:spacing w:after="20" w:before="20"/>
            </w:pPr>
            <w:r/>
            <w:r>
              <w:rPr>
                <w:rFonts w:ascii="Calibri" w:hAnsi="Calibri"/>
                <w:b w:val="0"/>
                <w:i w:val="0"/>
                <w:color w:val="334E68"/>
                <w:sz w:val="17"/>
              </w:rPr>
              <w:t>Shutdown, post-processing, functional validation, Go/No-Go, rollback</w:t>
            </w:r>
          </w:p>
        </w:tc>
        <w:tc>
          <w:tcPr>
            <w:tcW w:type="dxa" w:w="2313"/>
            <w:shd w:val="clear" w:color="auto" w:fill="FAFBFD"/>
          </w:tcPr>
          <w:p>
            <w:pPr>
              <w:spacing w:after="20" w:before="20"/>
            </w:pPr>
            <w:r/>
            <w:r>
              <w:rPr>
                <w:rFonts w:ascii="Calibri" w:hAnsi="Calibri"/>
                <w:b w:val="0"/>
                <w:i w:val="0"/>
                <w:color w:val="334E68"/>
                <w:sz w:val="17"/>
              </w:rPr>
              <w:t>Section 10</w:t>
            </w:r>
          </w:p>
        </w:tc>
      </w:tr>
      <w:tr>
        <w:trPr>
          <w:cantSplit/>
        </w:trPr>
        <w:tc>
          <w:tcPr>
            <w:tcW w:type="dxa" w:w="2891"/>
          </w:tcPr>
          <w:p>
            <w:pPr>
              <w:spacing w:after="20" w:before="20"/>
            </w:pPr>
            <w:r/>
            <w:r>
              <w:rPr>
                <w:rFonts w:ascii="Calibri" w:hAnsi="Calibri"/>
                <w:b/>
                <w:i w:val="0"/>
                <w:color w:val="334E68"/>
                <w:sz w:val="17"/>
              </w:rPr>
              <w:t>Ownership and evidence model</w:t>
            </w:r>
          </w:p>
        </w:tc>
        <w:tc>
          <w:tcPr>
            <w:tcW w:type="dxa" w:w="4433"/>
          </w:tcPr>
          <w:p>
            <w:pPr>
              <w:spacing w:after="20" w:before="20"/>
            </w:pPr>
            <w:r/>
            <w:r>
              <w:rPr>
                <w:rFonts w:ascii="Calibri" w:hAnsi="Calibri"/>
                <w:b w:val="0"/>
                <w:i w:val="0"/>
                <w:color w:val="334E68"/>
                <w:sz w:val="17"/>
              </w:rPr>
              <w:t>System ownership, guides, evidence lifecycle and categories</w:t>
            </w:r>
          </w:p>
        </w:tc>
        <w:tc>
          <w:tcPr>
            <w:tcW w:type="dxa" w:w="2313"/>
          </w:tcPr>
          <w:p>
            <w:pPr>
              <w:spacing w:after="20" w:before="20"/>
            </w:pPr>
            <w:r/>
            <w:r>
              <w:rPr>
                <w:rFonts w:ascii="Calibri" w:hAnsi="Calibri"/>
                <w:b w:val="0"/>
                <w:i w:val="0"/>
                <w:color w:val="334E68"/>
                <w:sz w:val="17"/>
              </w:rPr>
              <w:t>Sections 13, 14</w:t>
            </w:r>
          </w:p>
        </w:tc>
      </w:tr>
    </w:tbl>
    <w:p>
      <w:pPr>
        <w:spacing w:after="40"/>
      </w:pPr>
    </w:p>
    <w:p>
      <w:pPr>
        <w:spacing w:before="180" w:after="40"/>
        <w:shd w:val="clear" w:color="auto" w:fill="F4F7FB"/>
        <w:pBdr>
          <w:left w:val="single" w:sz="6" w:space="6" w:color="0F2B4C"/>
          <w:top w:val="single" w:sz="6" w:space="6" w:color="0F2B4C"/>
          <w:right w:val="single" w:sz="6" w:space="6" w:color="0F2B4C"/>
        </w:pBdr>
        <w:keepNext/>
      </w:pPr>
      <w:r>
        <w:rPr>
          <w:rFonts w:ascii="Calibri" w:hAnsi="Calibri"/>
          <w:b/>
          <w:color w:val="0F2B4C"/>
          <w:sz w:val="16"/>
        </w:rPr>
        <w:t>WHAT CHANGED DURING CONSOLIDATION</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Material was re-sequenced to follow the migration lifecycle rather than the order in which sessions were delivered.</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Repeated content across MOM sections was merged, keeping the most complete version of each instruction.</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Implicit knowledge (why a step matters, what a failure looks like) was made explicit for a training audience.</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 xml:space="preserve">Source terminology was preserved verbatim, including client-specific terms, which are tagged </w:t>
      </w:r>
      <w:r>
        <w:rPr>
          <w:rFonts w:ascii="Calibri" w:hAnsi="Calibri"/>
          <w:b w:val="0"/>
          <w:i w:val="0"/>
          <w:color w:val="334E68"/>
          <w:sz w:val="19"/>
        </w:rPr>
        <w:t>source term</w:t>
      </w:r>
      <w:r>
        <w:rPr>
          <w:rFonts w:ascii="Calibri" w:hAnsi="Calibri"/>
          <w:b w:val="0"/>
          <w:i w:val="0"/>
          <w:color w:val="334E68"/>
          <w:sz w:val="19"/>
        </w:rPr>
        <w:t xml:space="preserve"> throughout.</w:t>
      </w:r>
    </w:p>
    <w:p>
      <w:pPr>
        <w:spacing w:after="40"/>
        <w:ind w:left="567" w:hanging="227"/>
        <w:shd w:val="clear" w:color="auto" w:fill="F4F7FB"/>
      </w:pPr>
      <w:r>
        <w:rPr>
          <w:rFonts w:ascii="Calibri" w:hAnsi="Calibri"/>
          <w:b/>
          <w:color w:val="1B4F86"/>
          <w:sz w:val="19"/>
        </w:rPr>
        <w:t xml:space="preserve">▪  </w:t>
      </w:r>
      <w:r>
        <w:rPr>
          <w:rFonts w:ascii="Calibri" w:hAnsi="Calibri"/>
          <w:b w:val="0"/>
          <w:i w:val="0"/>
          <w:color w:val="334E68"/>
          <w:sz w:val="19"/>
        </w:rPr>
        <w:t>No technical value from the source was silently altered. Corrections and clarifications are listed in Appendix D.</w:t>
      </w:r>
    </w:p>
    <w:p>
      <w:pPr>
        <w:shd w:val="clear" w:color="auto" w:fill="F4F7FB"/>
        <w:pBdr>
          <w:left w:val="single" w:sz="6" w:space="6" w:color="0F2B4C"/>
          <w:bottom w:val="single" w:sz="6" w:space="6" w:color="0F2B4C"/>
          <w:right w:val="single" w:sz="6" w:space="6" w:color="0F2B4C"/>
        </w:pBdr>
        <w:spacing w:after="40"/>
      </w:pPr>
    </w:p>
    <w:p>
      <w:r>
        <w:br w:type="page"/>
      </w:r>
    </w:p>
    <w:p>
      <w:pPr>
        <w:spacing w:after="20"/>
      </w:pPr>
      <w:r>
        <w:rPr>
          <w:rFonts w:ascii="Calibri" w:hAnsi="Calibri"/>
          <w:b/>
          <w:color w:val="1B4F86"/>
          <w:sz w:val="16"/>
        </w:rPr>
        <w:t>APPENDIX B</w:t>
      </w:r>
    </w:p>
    <w:p>
      <w:pPr>
        <w:pStyle w:val="Heading1"/>
        <w:pBdr>
          <w:bottom w:val="single" w:sz="12" w:space="5" w:color="1B4F86"/>
        </w:pBdr>
        <w:spacing w:after="160"/>
      </w:pPr>
      <w:r>
        <w:rPr>
          <w:rFonts w:ascii="Calibri Light" w:hAnsi="Calibri Light"/>
          <w:b/>
          <w:color w:val="0F2B4C"/>
          <w:sz w:val="38"/>
        </w:rPr>
        <w:t>B  Appendix B — Training completion record</w:t>
      </w:r>
    </w:p>
    <w:p>
      <w:pPr>
        <w:spacing w:after="200"/>
      </w:pPr>
      <w:r>
        <w:rPr>
          <w:rFonts w:ascii="Calibri" w:hAnsi="Calibri"/>
          <w:i/>
          <w:color w:val="5B7288"/>
          <w:sz w:val="21"/>
        </w:rPr>
        <w:t>One row per module per attendee. Sign-off means the attendee has completed the material and can answer the associated knowledge-check questions.</w:t>
      </w:r>
    </w:p>
    <w:p>
      <w:pPr>
        <w:spacing w:after="60" w:before="160"/>
        <w:keepNext/>
      </w:pPr>
      <w:r>
        <w:rPr>
          <w:rFonts w:ascii="Calibri" w:hAnsi="Calibri"/>
          <w:b/>
          <w:color w:val="5B7288"/>
          <w:sz w:val="15"/>
        </w:rPr>
        <w:t>COMPLETION RECORD — ATTENDEE COPY</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891"/>
        <w:gridCol w:w="1928"/>
        <w:gridCol w:w="1349"/>
        <w:gridCol w:w="1735"/>
        <w:gridCol w:w="1735"/>
      </w:tblGrid>
      <w:tr>
        <w:trPr>
          <w:tblHeader/>
          <w:cantSplit/>
        </w:trPr>
        <w:tc>
          <w:tcPr>
            <w:tcW w:type="dxa" w:w="2891"/>
            <w:shd w:val="clear" w:color="auto" w:fill="0F2B4C"/>
          </w:tcPr>
          <w:p>
            <w:pPr>
              <w:spacing w:after="20" w:before="20"/>
            </w:pPr>
            <w:r/>
            <w:r>
              <w:rPr>
                <w:rFonts w:ascii="Calibri" w:hAnsi="Calibri"/>
                <w:b/>
                <w:color w:val="FFFFFF"/>
                <w:sz w:val="17"/>
              </w:rPr>
              <w:t>Module</w:t>
            </w:r>
          </w:p>
        </w:tc>
        <w:tc>
          <w:tcPr>
            <w:tcW w:type="dxa" w:w="1928"/>
            <w:shd w:val="clear" w:color="auto" w:fill="0F2B4C"/>
          </w:tcPr>
          <w:p>
            <w:pPr>
              <w:spacing w:after="20" w:before="20"/>
            </w:pPr>
            <w:r/>
            <w:r>
              <w:rPr>
                <w:rFonts w:ascii="Calibri" w:hAnsi="Calibri"/>
                <w:b/>
                <w:color w:val="FFFFFF"/>
                <w:sz w:val="17"/>
              </w:rPr>
              <w:t>Completed by</w:t>
            </w:r>
          </w:p>
        </w:tc>
        <w:tc>
          <w:tcPr>
            <w:tcW w:type="dxa" w:w="1349"/>
            <w:shd w:val="clear" w:color="auto" w:fill="0F2B4C"/>
          </w:tcPr>
          <w:p>
            <w:pPr>
              <w:spacing w:after="20" w:before="20"/>
            </w:pPr>
            <w:r/>
            <w:r>
              <w:rPr>
                <w:rFonts w:ascii="Calibri" w:hAnsi="Calibri"/>
                <w:b/>
                <w:color w:val="FFFFFF"/>
                <w:sz w:val="17"/>
              </w:rPr>
              <w:t>Date</w:t>
            </w:r>
          </w:p>
        </w:tc>
        <w:tc>
          <w:tcPr>
            <w:tcW w:type="dxa" w:w="1735"/>
            <w:shd w:val="clear" w:color="auto" w:fill="0F2B4C"/>
          </w:tcPr>
          <w:p>
            <w:pPr>
              <w:spacing w:after="20" w:before="20"/>
            </w:pPr>
            <w:r/>
            <w:r>
              <w:rPr>
                <w:rFonts w:ascii="Calibri" w:hAnsi="Calibri"/>
                <w:b/>
                <w:color w:val="FFFFFF"/>
                <w:sz w:val="17"/>
              </w:rPr>
              <w:t>Trainer sign-off</w:t>
            </w:r>
          </w:p>
        </w:tc>
        <w:tc>
          <w:tcPr>
            <w:tcW w:type="dxa" w:w="1735"/>
            <w:shd w:val="clear" w:color="auto" w:fill="0F2B4C"/>
          </w:tcPr>
          <w:p>
            <w:pPr>
              <w:spacing w:after="20" w:before="20"/>
            </w:pPr>
            <w:r/>
            <w:r>
              <w:rPr>
                <w:rFonts w:ascii="Calibri" w:hAnsi="Calibri"/>
                <w:b/>
                <w:color w:val="FFFFFF"/>
                <w:sz w:val="17"/>
              </w:rPr>
              <w:t>Knowledge check score</w:t>
            </w:r>
          </w:p>
        </w:tc>
      </w:tr>
      <w:tr>
        <w:trPr>
          <w:cantSplit/>
        </w:trPr>
        <w:tc>
          <w:tcPr>
            <w:tcW w:type="dxa" w:w="2891"/>
          </w:tcPr>
          <w:p>
            <w:pPr>
              <w:spacing w:after="20" w:before="20"/>
            </w:pPr>
            <w:r/>
            <w:r>
              <w:rPr>
                <w:rFonts w:ascii="Calibri" w:hAnsi="Calibri"/>
                <w:b/>
                <w:i w:val="0"/>
                <w:color w:val="334E68"/>
                <w:sz w:val="17"/>
              </w:rPr>
              <w:t>Preparation &amp;amp; Discovery</w:t>
            </w:r>
          </w:p>
        </w:tc>
        <w:tc>
          <w:tcPr>
            <w:tcW w:type="dxa" w:w="1928"/>
          </w:tcPr>
          <w:p>
            <w:pPr>
              <w:spacing w:after="20" w:before="20"/>
            </w:pPr>
            <w:r/>
          </w:p>
        </w:tc>
        <w:tc>
          <w:tcPr>
            <w:tcW w:type="dxa" w:w="1349"/>
          </w:tcPr>
          <w:p>
            <w:pPr>
              <w:spacing w:after="20" w:before="20"/>
            </w:pPr>
            <w:r/>
          </w:p>
        </w:tc>
        <w:tc>
          <w:tcPr>
            <w:tcW w:type="dxa" w:w="1735"/>
          </w:tcPr>
          <w:p>
            <w:pPr>
              <w:spacing w:after="20" w:before="20"/>
            </w:pPr>
            <w:r/>
          </w:p>
        </w:tc>
        <w:tc>
          <w:tcPr>
            <w:tcW w:type="dxa" w:w="1735"/>
          </w:tcPr>
          <w:p>
            <w:pPr>
              <w:spacing w:after="20" w:before="20"/>
            </w:pPr>
            <w:r/>
          </w:p>
        </w:tc>
      </w:tr>
      <w:tr>
        <w:trPr>
          <w:cantSplit/>
        </w:trPr>
        <w:tc>
          <w:tcPr>
            <w:tcW w:type="dxa" w:w="2891"/>
            <w:shd w:val="clear" w:color="auto" w:fill="FAFBFD"/>
          </w:tcPr>
          <w:p>
            <w:pPr>
              <w:spacing w:after="20" w:before="20"/>
            </w:pPr>
            <w:r/>
            <w:r>
              <w:rPr>
                <w:rFonts w:ascii="Calibri" w:hAnsi="Calibri"/>
                <w:b/>
                <w:i w:val="0"/>
                <w:color w:val="334E68"/>
                <w:sz w:val="17"/>
              </w:rPr>
              <w:t>AWS Build &amp;amp; Architecture</w:t>
            </w:r>
          </w:p>
        </w:tc>
        <w:tc>
          <w:tcPr>
            <w:tcW w:type="dxa" w:w="1928"/>
            <w:shd w:val="clear" w:color="auto" w:fill="FAFBFD"/>
          </w:tcPr>
          <w:p>
            <w:pPr>
              <w:spacing w:after="20" w:before="20"/>
            </w:pPr>
            <w:r/>
          </w:p>
        </w:tc>
        <w:tc>
          <w:tcPr>
            <w:tcW w:type="dxa" w:w="1349"/>
            <w:shd w:val="clear" w:color="auto" w:fill="FAFBFD"/>
          </w:tcPr>
          <w:p>
            <w:pPr>
              <w:spacing w:after="20" w:before="20"/>
            </w:pPr>
            <w:r/>
          </w:p>
        </w:tc>
        <w:tc>
          <w:tcPr>
            <w:tcW w:type="dxa" w:w="1735"/>
            <w:shd w:val="clear" w:color="auto" w:fill="FAFBFD"/>
          </w:tcPr>
          <w:p>
            <w:pPr>
              <w:spacing w:after="20" w:before="20"/>
            </w:pPr>
            <w:r/>
          </w:p>
        </w:tc>
        <w:tc>
          <w:tcPr>
            <w:tcW w:type="dxa" w:w="1735"/>
            <w:shd w:val="clear" w:color="auto" w:fill="FAFBFD"/>
          </w:tcPr>
          <w:p>
            <w:pPr>
              <w:spacing w:after="20" w:before="20"/>
            </w:pPr>
            <w:r/>
          </w:p>
        </w:tc>
      </w:tr>
      <w:tr>
        <w:trPr>
          <w:cantSplit/>
        </w:trPr>
        <w:tc>
          <w:tcPr>
            <w:tcW w:type="dxa" w:w="2891"/>
          </w:tcPr>
          <w:p>
            <w:pPr>
              <w:spacing w:after="20" w:before="20"/>
            </w:pPr>
            <w:r/>
            <w:r>
              <w:rPr>
                <w:rFonts w:ascii="Calibri" w:hAnsi="Calibri"/>
                <w:b/>
                <w:i w:val="0"/>
                <w:color w:val="334E68"/>
                <w:sz w:val="17"/>
              </w:rPr>
              <w:t>HANA Backup &amp;amp; Recovery</w:t>
            </w:r>
          </w:p>
        </w:tc>
        <w:tc>
          <w:tcPr>
            <w:tcW w:type="dxa" w:w="1928"/>
          </w:tcPr>
          <w:p>
            <w:pPr>
              <w:spacing w:after="20" w:before="20"/>
            </w:pPr>
            <w:r/>
          </w:p>
        </w:tc>
        <w:tc>
          <w:tcPr>
            <w:tcW w:type="dxa" w:w="1349"/>
          </w:tcPr>
          <w:p>
            <w:pPr>
              <w:spacing w:after="20" w:before="20"/>
            </w:pPr>
            <w:r/>
          </w:p>
        </w:tc>
        <w:tc>
          <w:tcPr>
            <w:tcW w:type="dxa" w:w="1735"/>
          </w:tcPr>
          <w:p>
            <w:pPr>
              <w:spacing w:after="20" w:before="20"/>
            </w:pPr>
            <w:r/>
          </w:p>
        </w:tc>
        <w:tc>
          <w:tcPr>
            <w:tcW w:type="dxa" w:w="1735"/>
          </w:tcPr>
          <w:p>
            <w:pPr>
              <w:spacing w:after="20" w:before="20"/>
            </w:pPr>
            <w:r/>
          </w:p>
        </w:tc>
      </w:tr>
      <w:tr>
        <w:trPr>
          <w:cantSplit/>
        </w:trPr>
        <w:tc>
          <w:tcPr>
            <w:tcW w:type="dxa" w:w="2891"/>
            <w:shd w:val="clear" w:color="auto" w:fill="FAFBFD"/>
          </w:tcPr>
          <w:p>
            <w:pPr>
              <w:spacing w:after="20" w:before="20"/>
            </w:pPr>
            <w:r/>
            <w:r>
              <w:rPr>
                <w:rFonts w:ascii="Calibri" w:hAnsi="Calibri"/>
                <w:b/>
                <w:i w:val="0"/>
                <w:color w:val="334E68"/>
                <w:sz w:val="17"/>
              </w:rPr>
              <w:t>SAP Validation &amp;amp; Monitoring</w:t>
            </w:r>
          </w:p>
        </w:tc>
        <w:tc>
          <w:tcPr>
            <w:tcW w:type="dxa" w:w="1928"/>
            <w:shd w:val="clear" w:color="auto" w:fill="FAFBFD"/>
          </w:tcPr>
          <w:p>
            <w:pPr>
              <w:spacing w:after="20" w:before="20"/>
            </w:pPr>
            <w:r/>
          </w:p>
        </w:tc>
        <w:tc>
          <w:tcPr>
            <w:tcW w:type="dxa" w:w="1349"/>
            <w:shd w:val="clear" w:color="auto" w:fill="FAFBFD"/>
          </w:tcPr>
          <w:p>
            <w:pPr>
              <w:spacing w:after="20" w:before="20"/>
            </w:pPr>
            <w:r/>
          </w:p>
        </w:tc>
        <w:tc>
          <w:tcPr>
            <w:tcW w:type="dxa" w:w="1735"/>
            <w:shd w:val="clear" w:color="auto" w:fill="FAFBFD"/>
          </w:tcPr>
          <w:p>
            <w:pPr>
              <w:spacing w:after="20" w:before="20"/>
            </w:pPr>
            <w:r/>
          </w:p>
        </w:tc>
        <w:tc>
          <w:tcPr>
            <w:tcW w:type="dxa" w:w="1735"/>
            <w:shd w:val="clear" w:color="auto" w:fill="FAFBFD"/>
          </w:tcPr>
          <w:p>
            <w:pPr>
              <w:spacing w:after="20" w:before="20"/>
            </w:pPr>
            <w:r/>
          </w:p>
        </w:tc>
      </w:tr>
      <w:tr>
        <w:trPr>
          <w:cantSplit/>
        </w:trPr>
        <w:tc>
          <w:tcPr>
            <w:tcW w:type="dxa" w:w="2891"/>
          </w:tcPr>
          <w:p>
            <w:pPr>
              <w:spacing w:after="20" w:before="20"/>
            </w:pPr>
            <w:r/>
            <w:r>
              <w:rPr>
                <w:rFonts w:ascii="Calibri" w:hAnsi="Calibri"/>
                <w:b/>
                <w:i w:val="0"/>
                <w:color w:val="334E68"/>
                <w:sz w:val="17"/>
              </w:rPr>
              <w:t>Performance &amp;amp; Troubleshooting</w:t>
            </w:r>
          </w:p>
        </w:tc>
        <w:tc>
          <w:tcPr>
            <w:tcW w:type="dxa" w:w="1928"/>
          </w:tcPr>
          <w:p>
            <w:pPr>
              <w:spacing w:after="20" w:before="20"/>
            </w:pPr>
            <w:r/>
          </w:p>
        </w:tc>
        <w:tc>
          <w:tcPr>
            <w:tcW w:type="dxa" w:w="1349"/>
          </w:tcPr>
          <w:p>
            <w:pPr>
              <w:spacing w:after="20" w:before="20"/>
            </w:pPr>
            <w:r/>
          </w:p>
        </w:tc>
        <w:tc>
          <w:tcPr>
            <w:tcW w:type="dxa" w:w="1735"/>
          </w:tcPr>
          <w:p>
            <w:pPr>
              <w:spacing w:after="20" w:before="20"/>
            </w:pPr>
            <w:r/>
          </w:p>
        </w:tc>
        <w:tc>
          <w:tcPr>
            <w:tcW w:type="dxa" w:w="1735"/>
          </w:tcPr>
          <w:p>
            <w:pPr>
              <w:spacing w:after="20" w:before="20"/>
            </w:pPr>
            <w:r/>
          </w:p>
        </w:tc>
      </w:tr>
      <w:tr>
        <w:trPr>
          <w:cantSplit/>
        </w:trPr>
        <w:tc>
          <w:tcPr>
            <w:tcW w:type="dxa" w:w="2891"/>
            <w:shd w:val="clear" w:color="auto" w:fill="FAFBFD"/>
          </w:tcPr>
          <w:p>
            <w:pPr>
              <w:spacing w:after="20" w:before="20"/>
            </w:pPr>
            <w:r/>
            <w:r>
              <w:rPr>
                <w:rFonts w:ascii="Calibri" w:hAnsi="Calibri"/>
                <w:b/>
                <w:i w:val="0"/>
                <w:color w:val="334E68"/>
                <w:sz w:val="17"/>
              </w:rPr>
              <w:t>Oracle &amp;amp; Cutover</w:t>
            </w:r>
          </w:p>
        </w:tc>
        <w:tc>
          <w:tcPr>
            <w:tcW w:type="dxa" w:w="1928"/>
            <w:shd w:val="clear" w:color="auto" w:fill="FAFBFD"/>
          </w:tcPr>
          <w:p>
            <w:pPr>
              <w:spacing w:after="20" w:before="20"/>
            </w:pPr>
            <w:r/>
          </w:p>
        </w:tc>
        <w:tc>
          <w:tcPr>
            <w:tcW w:type="dxa" w:w="1349"/>
            <w:shd w:val="clear" w:color="auto" w:fill="FAFBFD"/>
          </w:tcPr>
          <w:p>
            <w:pPr>
              <w:spacing w:after="20" w:before="20"/>
            </w:pPr>
            <w:r/>
          </w:p>
        </w:tc>
        <w:tc>
          <w:tcPr>
            <w:tcW w:type="dxa" w:w="1735"/>
            <w:shd w:val="clear" w:color="auto" w:fill="FAFBFD"/>
          </w:tcPr>
          <w:p>
            <w:pPr>
              <w:spacing w:after="20" w:before="20"/>
            </w:pPr>
            <w:r/>
          </w:p>
        </w:tc>
        <w:tc>
          <w:tcPr>
            <w:tcW w:type="dxa" w:w="1735"/>
            <w:shd w:val="clear" w:color="auto" w:fill="FAFBFD"/>
          </w:tcPr>
          <w:p>
            <w:pPr>
              <w:spacing w:after="20" w:before="20"/>
            </w:pPr>
            <w:r/>
          </w:p>
        </w:tc>
      </w:tr>
      <w:tr>
        <w:trPr>
          <w:cantSplit/>
        </w:trPr>
        <w:tc>
          <w:tcPr>
            <w:tcW w:type="dxa" w:w="2891"/>
          </w:tcPr>
          <w:p>
            <w:pPr>
              <w:spacing w:after="20" w:before="20"/>
            </w:pPr>
            <w:r/>
            <w:r>
              <w:rPr>
                <w:rFonts w:ascii="Calibri" w:hAnsi="Calibri"/>
                <w:b/>
                <w:i w:val="0"/>
                <w:color w:val="334E68"/>
                <w:sz w:val="17"/>
              </w:rPr>
              <w:t>Go-Live &amp;amp; Hypercare</w:t>
            </w:r>
          </w:p>
        </w:tc>
        <w:tc>
          <w:tcPr>
            <w:tcW w:type="dxa" w:w="1928"/>
          </w:tcPr>
          <w:p>
            <w:pPr>
              <w:spacing w:after="20" w:before="20"/>
            </w:pPr>
            <w:r/>
          </w:p>
        </w:tc>
        <w:tc>
          <w:tcPr>
            <w:tcW w:type="dxa" w:w="1349"/>
          </w:tcPr>
          <w:p>
            <w:pPr>
              <w:spacing w:after="20" w:before="20"/>
            </w:pPr>
            <w:r/>
          </w:p>
        </w:tc>
        <w:tc>
          <w:tcPr>
            <w:tcW w:type="dxa" w:w="1735"/>
          </w:tcPr>
          <w:p>
            <w:pPr>
              <w:spacing w:after="20" w:before="20"/>
            </w:pPr>
            <w:r/>
          </w:p>
        </w:tc>
        <w:tc>
          <w:tcPr>
            <w:tcW w:type="dxa" w:w="1735"/>
          </w:tcPr>
          <w:p>
            <w:pPr>
              <w:spacing w:after="20" w:before="20"/>
            </w:pPr>
            <w:r/>
          </w:p>
        </w:tc>
      </w:tr>
      <w:tr>
        <w:trPr>
          <w:cantSplit/>
        </w:trPr>
        <w:tc>
          <w:tcPr>
            <w:tcW w:type="dxa" w:w="2891"/>
            <w:shd w:val="clear" w:color="auto" w:fill="FAFBFD"/>
          </w:tcPr>
          <w:p>
            <w:pPr>
              <w:spacing w:after="20" w:before="20"/>
            </w:pPr>
            <w:r/>
            <w:r>
              <w:rPr>
                <w:rFonts w:ascii="Calibri" w:hAnsi="Calibri"/>
                <w:b/>
                <w:i w:val="0"/>
                <w:color w:val="334E68"/>
                <w:sz w:val="17"/>
              </w:rPr>
              <w:t>Evidence &amp;amp; Ownership model</w:t>
            </w:r>
          </w:p>
        </w:tc>
        <w:tc>
          <w:tcPr>
            <w:tcW w:type="dxa" w:w="1928"/>
            <w:shd w:val="clear" w:color="auto" w:fill="FAFBFD"/>
          </w:tcPr>
          <w:p>
            <w:pPr>
              <w:spacing w:after="20" w:before="20"/>
            </w:pPr>
            <w:r/>
          </w:p>
        </w:tc>
        <w:tc>
          <w:tcPr>
            <w:tcW w:type="dxa" w:w="1349"/>
            <w:shd w:val="clear" w:color="auto" w:fill="FAFBFD"/>
          </w:tcPr>
          <w:p>
            <w:pPr>
              <w:spacing w:after="20" w:before="20"/>
            </w:pPr>
            <w:r/>
          </w:p>
        </w:tc>
        <w:tc>
          <w:tcPr>
            <w:tcW w:type="dxa" w:w="1735"/>
            <w:shd w:val="clear" w:color="auto" w:fill="FAFBFD"/>
          </w:tcPr>
          <w:p>
            <w:pPr>
              <w:spacing w:after="20" w:before="20"/>
            </w:pPr>
            <w:r/>
          </w:p>
        </w:tc>
        <w:tc>
          <w:tcPr>
            <w:tcW w:type="dxa" w:w="1735"/>
            <w:shd w:val="clear" w:color="auto" w:fill="FAFBFD"/>
          </w:tcPr>
          <w:p>
            <w:pPr>
              <w:spacing w:after="20" w:before="20"/>
            </w:pPr>
            <w:r/>
          </w:p>
        </w:tc>
      </w:tr>
    </w:tbl>
    <w:p>
      <w:pPr>
        <w:spacing w:after="40"/>
      </w:pPr>
    </w:p>
    <w:p>
      <w:pPr>
        <w:pStyle w:val="Heading2"/>
        <w:pBdr>
          <w:bottom w:val="single" w:sz="6" w:space="3" w:color="E8EDF3"/>
        </w:pBdr>
      </w:pPr>
      <w:r>
        <w:rPr>
          <w:rFonts w:ascii="Calibri" w:hAnsi="Calibri"/>
          <w:b/>
          <w:color w:val="0F2B4C"/>
          <w:sz w:val="26"/>
        </w:rPr>
        <w:t>B.1  Session register</w:t>
      </w:r>
    </w:p>
    <w:p>
      <w:pPr>
        <w:sectPr>
          <w:pgSz w:w="11906" w:h="16838"/>
          <w:pgMar w:top="1020" w:right="1134" w:bottom="1020" w:left="1134" w:header="567" w:footer="567" w:gutter="0"/>
          <w:cols w:space="720"/>
          <w:titlePg/>
          <w:docGrid w:linePitch="360"/>
        </w:sectPr>
      </w:pPr>
    </w:p>
    <w:p>
      <w:pPr>
        <w:spacing w:after="60" w:before="160"/>
        <w:keepNext/>
      </w:pPr>
      <w:r>
        <w:rPr>
          <w:rFonts w:ascii="Calibri" w:hAnsi="Calibri"/>
          <w:b/>
          <w:color w:val="5B7288"/>
          <w:sz w:val="15"/>
        </w:rPr>
        <w:t>SESSION REGISTER (MOM CONSOLIDATION SOURCE)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746"/>
        <w:gridCol w:w="1457"/>
        <w:gridCol w:w="1457"/>
        <w:gridCol w:w="2041"/>
        <w:gridCol w:w="2330"/>
        <w:gridCol w:w="2914"/>
        <w:gridCol w:w="2625"/>
      </w:tblGrid>
      <w:tr>
        <w:trPr>
          <w:tblHeader/>
          <w:cantSplit/>
        </w:trPr>
        <w:tc>
          <w:tcPr>
            <w:tcW w:type="dxa" w:w="1746"/>
            <w:shd w:val="clear" w:color="auto" w:fill="0F2B4C"/>
          </w:tcPr>
          <w:p>
            <w:pPr>
              <w:spacing w:after="20" w:before="20"/>
            </w:pPr>
            <w:r/>
            <w:r>
              <w:rPr>
                <w:rFonts w:ascii="Calibri" w:hAnsi="Calibri"/>
                <w:b/>
                <w:color w:val="FFFFFF"/>
                <w:sz w:val="17"/>
              </w:rPr>
              <w:t>Session</w:t>
            </w:r>
          </w:p>
        </w:tc>
        <w:tc>
          <w:tcPr>
            <w:tcW w:type="dxa" w:w="1457"/>
            <w:shd w:val="clear" w:color="auto" w:fill="0F2B4C"/>
          </w:tcPr>
          <w:p>
            <w:pPr>
              <w:spacing w:after="20" w:before="20"/>
            </w:pPr>
            <w:r/>
            <w:r>
              <w:rPr>
                <w:rFonts w:ascii="Calibri" w:hAnsi="Calibri"/>
                <w:b/>
                <w:color w:val="FFFFFF"/>
                <w:sz w:val="17"/>
              </w:rPr>
              <w:t>Date</w:t>
            </w:r>
          </w:p>
        </w:tc>
        <w:tc>
          <w:tcPr>
            <w:tcW w:type="dxa" w:w="1457"/>
            <w:shd w:val="clear" w:color="auto" w:fill="0F2B4C"/>
          </w:tcPr>
          <w:p>
            <w:pPr>
              <w:spacing w:after="20" w:before="20"/>
            </w:pPr>
            <w:r/>
            <w:r>
              <w:rPr>
                <w:rFonts w:ascii="Calibri" w:hAnsi="Calibri"/>
                <w:b/>
                <w:color w:val="FFFFFF"/>
                <w:sz w:val="17"/>
              </w:rPr>
              <w:t>Duration</w:t>
            </w:r>
          </w:p>
        </w:tc>
        <w:tc>
          <w:tcPr>
            <w:tcW w:type="dxa" w:w="2041"/>
            <w:shd w:val="clear" w:color="auto" w:fill="0F2B4C"/>
          </w:tcPr>
          <w:p>
            <w:pPr>
              <w:spacing w:after="20" w:before="20"/>
            </w:pPr>
            <w:r/>
            <w:r>
              <w:rPr>
                <w:rFonts w:ascii="Calibri" w:hAnsi="Calibri"/>
                <w:b/>
                <w:color w:val="FFFFFF"/>
                <w:sz w:val="17"/>
              </w:rPr>
              <w:t>Trainer</w:t>
            </w:r>
          </w:p>
        </w:tc>
        <w:tc>
          <w:tcPr>
            <w:tcW w:type="dxa" w:w="2330"/>
            <w:shd w:val="clear" w:color="auto" w:fill="0F2B4C"/>
          </w:tcPr>
          <w:p>
            <w:pPr>
              <w:spacing w:after="20" w:before="20"/>
            </w:pPr>
            <w:r/>
            <w:r>
              <w:rPr>
                <w:rFonts w:ascii="Calibri" w:hAnsi="Calibri"/>
                <w:b/>
                <w:color w:val="FFFFFF"/>
                <w:sz w:val="17"/>
              </w:rPr>
              <w:t>Attendees</w:t>
            </w:r>
          </w:p>
        </w:tc>
        <w:tc>
          <w:tcPr>
            <w:tcW w:type="dxa" w:w="2914"/>
            <w:shd w:val="clear" w:color="auto" w:fill="0F2B4C"/>
          </w:tcPr>
          <w:p>
            <w:pPr>
              <w:spacing w:after="20" w:before="20"/>
            </w:pPr>
            <w:r/>
            <w:r>
              <w:rPr>
                <w:rFonts w:ascii="Calibri" w:hAnsi="Calibri"/>
                <w:b/>
                <w:color w:val="FFFFFF"/>
                <w:sz w:val="17"/>
              </w:rPr>
              <w:t>Topics covered</w:t>
            </w:r>
          </w:p>
        </w:tc>
        <w:tc>
          <w:tcPr>
            <w:tcW w:type="dxa" w:w="2625"/>
            <w:shd w:val="clear" w:color="auto" w:fill="0F2B4C"/>
          </w:tcPr>
          <w:p>
            <w:pPr>
              <w:spacing w:after="20" w:before="20"/>
            </w:pPr>
            <w:r/>
            <w:r>
              <w:rPr>
                <w:rFonts w:ascii="Calibri" w:hAnsi="Calibri"/>
                <w:b/>
                <w:color w:val="FFFFFF"/>
                <w:sz w:val="17"/>
              </w:rPr>
              <w:t>Actions from the session</w:t>
            </w:r>
          </w:p>
        </w:tc>
      </w:tr>
      <w:tr>
        <w:trPr>
          <w:cantSplit/>
        </w:trPr>
        <w:tc>
          <w:tcPr>
            <w:tcW w:type="dxa" w:w="1746"/>
          </w:tcPr>
          <w:p>
            <w:pPr>
              <w:spacing w:after="20" w:before="20"/>
            </w:pPr>
            <w:r/>
          </w:p>
        </w:tc>
        <w:tc>
          <w:tcPr>
            <w:tcW w:type="dxa" w:w="1457"/>
          </w:tcPr>
          <w:p>
            <w:pPr>
              <w:spacing w:after="20" w:before="20"/>
            </w:pPr>
            <w:r/>
          </w:p>
        </w:tc>
        <w:tc>
          <w:tcPr>
            <w:tcW w:type="dxa" w:w="1457"/>
          </w:tcPr>
          <w:p>
            <w:pPr>
              <w:spacing w:after="20" w:before="20"/>
            </w:pPr>
            <w:r/>
          </w:p>
        </w:tc>
        <w:tc>
          <w:tcPr>
            <w:tcW w:type="dxa" w:w="2041"/>
          </w:tcPr>
          <w:p>
            <w:pPr>
              <w:spacing w:after="20" w:before="20"/>
            </w:pPr>
            <w:r/>
          </w:p>
        </w:tc>
        <w:tc>
          <w:tcPr>
            <w:tcW w:type="dxa" w:w="2330"/>
          </w:tcPr>
          <w:p>
            <w:pPr>
              <w:spacing w:after="20" w:before="20"/>
            </w:pPr>
            <w:r/>
          </w:p>
        </w:tc>
        <w:tc>
          <w:tcPr>
            <w:tcW w:type="dxa" w:w="2914"/>
          </w:tcPr>
          <w:p>
            <w:pPr>
              <w:spacing w:after="20" w:before="20"/>
            </w:pPr>
            <w:r/>
          </w:p>
        </w:tc>
        <w:tc>
          <w:tcPr>
            <w:tcW w:type="dxa" w:w="2625"/>
          </w:tcPr>
          <w:p>
            <w:pPr>
              <w:spacing w:after="20" w:before="20"/>
            </w:pPr>
            <w:r/>
          </w:p>
        </w:tc>
      </w:tr>
      <w:tr>
        <w:trPr>
          <w:cantSplit/>
        </w:trPr>
        <w:tc>
          <w:tcPr>
            <w:tcW w:type="dxa" w:w="1746"/>
            <w:shd w:val="clear" w:color="auto" w:fill="FAFBFD"/>
          </w:tcPr>
          <w:p>
            <w:pPr>
              <w:spacing w:after="20" w:before="20"/>
            </w:pPr>
            <w:r/>
          </w:p>
        </w:tc>
        <w:tc>
          <w:tcPr>
            <w:tcW w:type="dxa" w:w="1457"/>
            <w:shd w:val="clear" w:color="auto" w:fill="FAFBFD"/>
          </w:tcPr>
          <w:p>
            <w:pPr>
              <w:spacing w:after="20" w:before="20"/>
            </w:pPr>
            <w:r/>
          </w:p>
        </w:tc>
        <w:tc>
          <w:tcPr>
            <w:tcW w:type="dxa" w:w="1457"/>
            <w:shd w:val="clear" w:color="auto" w:fill="FAFBFD"/>
          </w:tcPr>
          <w:p>
            <w:pPr>
              <w:spacing w:after="20" w:before="20"/>
            </w:pPr>
            <w:r/>
          </w:p>
        </w:tc>
        <w:tc>
          <w:tcPr>
            <w:tcW w:type="dxa" w:w="2041"/>
            <w:shd w:val="clear" w:color="auto" w:fill="FAFBFD"/>
          </w:tcPr>
          <w:p>
            <w:pPr>
              <w:spacing w:after="20" w:before="20"/>
            </w:pPr>
            <w:r/>
          </w:p>
        </w:tc>
        <w:tc>
          <w:tcPr>
            <w:tcW w:type="dxa" w:w="2330"/>
            <w:shd w:val="clear" w:color="auto" w:fill="FAFBFD"/>
          </w:tcPr>
          <w:p>
            <w:pPr>
              <w:spacing w:after="20" w:before="20"/>
            </w:pPr>
            <w:r/>
          </w:p>
        </w:tc>
        <w:tc>
          <w:tcPr>
            <w:tcW w:type="dxa" w:w="2914"/>
            <w:shd w:val="clear" w:color="auto" w:fill="FAFBFD"/>
          </w:tcPr>
          <w:p>
            <w:pPr>
              <w:spacing w:after="20" w:before="20"/>
            </w:pPr>
            <w:r/>
          </w:p>
        </w:tc>
        <w:tc>
          <w:tcPr>
            <w:tcW w:type="dxa" w:w="2625"/>
            <w:shd w:val="clear" w:color="auto" w:fill="FAFBFD"/>
          </w:tcPr>
          <w:p>
            <w:pPr>
              <w:spacing w:after="20" w:before="20"/>
            </w:pPr>
            <w:r/>
          </w:p>
        </w:tc>
      </w:tr>
      <w:tr>
        <w:trPr>
          <w:cantSplit/>
        </w:trPr>
        <w:tc>
          <w:tcPr>
            <w:tcW w:type="dxa" w:w="1746"/>
          </w:tcPr>
          <w:p>
            <w:pPr>
              <w:spacing w:after="20" w:before="20"/>
            </w:pPr>
            <w:r/>
          </w:p>
        </w:tc>
        <w:tc>
          <w:tcPr>
            <w:tcW w:type="dxa" w:w="1457"/>
          </w:tcPr>
          <w:p>
            <w:pPr>
              <w:spacing w:after="20" w:before="20"/>
            </w:pPr>
            <w:r/>
          </w:p>
        </w:tc>
        <w:tc>
          <w:tcPr>
            <w:tcW w:type="dxa" w:w="1457"/>
          </w:tcPr>
          <w:p>
            <w:pPr>
              <w:spacing w:after="20" w:before="20"/>
            </w:pPr>
            <w:r/>
          </w:p>
        </w:tc>
        <w:tc>
          <w:tcPr>
            <w:tcW w:type="dxa" w:w="2041"/>
          </w:tcPr>
          <w:p>
            <w:pPr>
              <w:spacing w:after="20" w:before="20"/>
            </w:pPr>
            <w:r/>
          </w:p>
        </w:tc>
        <w:tc>
          <w:tcPr>
            <w:tcW w:type="dxa" w:w="2330"/>
          </w:tcPr>
          <w:p>
            <w:pPr>
              <w:spacing w:after="20" w:before="20"/>
            </w:pPr>
            <w:r/>
          </w:p>
        </w:tc>
        <w:tc>
          <w:tcPr>
            <w:tcW w:type="dxa" w:w="2914"/>
          </w:tcPr>
          <w:p>
            <w:pPr>
              <w:spacing w:after="20" w:before="20"/>
            </w:pPr>
            <w:r/>
          </w:p>
        </w:tc>
        <w:tc>
          <w:tcPr>
            <w:tcW w:type="dxa" w:w="2625"/>
          </w:tcPr>
          <w:p>
            <w:pPr>
              <w:spacing w:after="20" w:before="20"/>
            </w:pPr>
            <w:r/>
          </w:p>
        </w:tc>
      </w:tr>
      <w:tr>
        <w:trPr>
          <w:cantSplit/>
        </w:trPr>
        <w:tc>
          <w:tcPr>
            <w:tcW w:type="dxa" w:w="1746"/>
            <w:shd w:val="clear" w:color="auto" w:fill="FAFBFD"/>
          </w:tcPr>
          <w:p>
            <w:pPr>
              <w:spacing w:after="20" w:before="20"/>
            </w:pPr>
            <w:r/>
          </w:p>
        </w:tc>
        <w:tc>
          <w:tcPr>
            <w:tcW w:type="dxa" w:w="1457"/>
            <w:shd w:val="clear" w:color="auto" w:fill="FAFBFD"/>
          </w:tcPr>
          <w:p>
            <w:pPr>
              <w:spacing w:after="20" w:before="20"/>
            </w:pPr>
            <w:r/>
          </w:p>
        </w:tc>
        <w:tc>
          <w:tcPr>
            <w:tcW w:type="dxa" w:w="1457"/>
            <w:shd w:val="clear" w:color="auto" w:fill="FAFBFD"/>
          </w:tcPr>
          <w:p>
            <w:pPr>
              <w:spacing w:after="20" w:before="20"/>
            </w:pPr>
            <w:r/>
          </w:p>
        </w:tc>
        <w:tc>
          <w:tcPr>
            <w:tcW w:type="dxa" w:w="2041"/>
            <w:shd w:val="clear" w:color="auto" w:fill="FAFBFD"/>
          </w:tcPr>
          <w:p>
            <w:pPr>
              <w:spacing w:after="20" w:before="20"/>
            </w:pPr>
            <w:r/>
          </w:p>
        </w:tc>
        <w:tc>
          <w:tcPr>
            <w:tcW w:type="dxa" w:w="2330"/>
            <w:shd w:val="clear" w:color="auto" w:fill="FAFBFD"/>
          </w:tcPr>
          <w:p>
            <w:pPr>
              <w:spacing w:after="20" w:before="20"/>
            </w:pPr>
            <w:r/>
          </w:p>
        </w:tc>
        <w:tc>
          <w:tcPr>
            <w:tcW w:type="dxa" w:w="2914"/>
            <w:shd w:val="clear" w:color="auto" w:fill="FAFBFD"/>
          </w:tcPr>
          <w:p>
            <w:pPr>
              <w:spacing w:after="20" w:before="20"/>
            </w:pPr>
            <w:r/>
          </w:p>
        </w:tc>
        <w:tc>
          <w:tcPr>
            <w:tcW w:type="dxa" w:w="2625"/>
            <w:shd w:val="clear" w:color="auto" w:fill="FAFBFD"/>
          </w:tcPr>
          <w:p>
            <w:pPr>
              <w:spacing w:after="20" w:before="20"/>
            </w:pPr>
            <w:r/>
          </w:p>
        </w:tc>
      </w:tr>
      <w:tr>
        <w:trPr>
          <w:cantSplit/>
        </w:trPr>
        <w:tc>
          <w:tcPr>
            <w:tcW w:type="dxa" w:w="1746"/>
          </w:tcPr>
          <w:p>
            <w:pPr>
              <w:spacing w:after="20" w:before="20"/>
            </w:pPr>
            <w:r/>
          </w:p>
        </w:tc>
        <w:tc>
          <w:tcPr>
            <w:tcW w:type="dxa" w:w="1457"/>
          </w:tcPr>
          <w:p>
            <w:pPr>
              <w:spacing w:after="20" w:before="20"/>
            </w:pPr>
            <w:r/>
          </w:p>
        </w:tc>
        <w:tc>
          <w:tcPr>
            <w:tcW w:type="dxa" w:w="1457"/>
          </w:tcPr>
          <w:p>
            <w:pPr>
              <w:spacing w:after="20" w:before="20"/>
            </w:pPr>
            <w:r/>
          </w:p>
        </w:tc>
        <w:tc>
          <w:tcPr>
            <w:tcW w:type="dxa" w:w="2041"/>
          </w:tcPr>
          <w:p>
            <w:pPr>
              <w:spacing w:after="20" w:before="20"/>
            </w:pPr>
            <w:r/>
          </w:p>
        </w:tc>
        <w:tc>
          <w:tcPr>
            <w:tcW w:type="dxa" w:w="2330"/>
          </w:tcPr>
          <w:p>
            <w:pPr>
              <w:spacing w:after="20" w:before="20"/>
            </w:pPr>
            <w:r/>
          </w:p>
        </w:tc>
        <w:tc>
          <w:tcPr>
            <w:tcW w:type="dxa" w:w="2914"/>
          </w:tcPr>
          <w:p>
            <w:pPr>
              <w:spacing w:after="20" w:before="20"/>
            </w:pPr>
            <w:r/>
          </w:p>
        </w:tc>
        <w:tc>
          <w:tcPr>
            <w:tcW w:type="dxa" w:w="2625"/>
          </w:tcPr>
          <w:p>
            <w:pPr>
              <w:spacing w:after="20" w:before="20"/>
            </w:pPr>
            <w:r/>
          </w:p>
        </w:tc>
      </w:tr>
      <w:tr>
        <w:trPr>
          <w:cantSplit/>
        </w:trPr>
        <w:tc>
          <w:tcPr>
            <w:tcW w:type="dxa" w:w="1746"/>
            <w:shd w:val="clear" w:color="auto" w:fill="FAFBFD"/>
          </w:tcPr>
          <w:p>
            <w:pPr>
              <w:spacing w:after="20" w:before="20"/>
            </w:pPr>
            <w:r/>
          </w:p>
        </w:tc>
        <w:tc>
          <w:tcPr>
            <w:tcW w:type="dxa" w:w="1457"/>
            <w:shd w:val="clear" w:color="auto" w:fill="FAFBFD"/>
          </w:tcPr>
          <w:p>
            <w:pPr>
              <w:spacing w:after="20" w:before="20"/>
            </w:pPr>
            <w:r/>
          </w:p>
        </w:tc>
        <w:tc>
          <w:tcPr>
            <w:tcW w:type="dxa" w:w="1457"/>
            <w:shd w:val="clear" w:color="auto" w:fill="FAFBFD"/>
          </w:tcPr>
          <w:p>
            <w:pPr>
              <w:spacing w:after="20" w:before="20"/>
            </w:pPr>
            <w:r/>
          </w:p>
        </w:tc>
        <w:tc>
          <w:tcPr>
            <w:tcW w:type="dxa" w:w="2041"/>
            <w:shd w:val="clear" w:color="auto" w:fill="FAFBFD"/>
          </w:tcPr>
          <w:p>
            <w:pPr>
              <w:spacing w:after="20" w:before="20"/>
            </w:pPr>
            <w:r/>
          </w:p>
        </w:tc>
        <w:tc>
          <w:tcPr>
            <w:tcW w:type="dxa" w:w="2330"/>
            <w:shd w:val="clear" w:color="auto" w:fill="FAFBFD"/>
          </w:tcPr>
          <w:p>
            <w:pPr>
              <w:spacing w:after="20" w:before="20"/>
            </w:pPr>
            <w:r/>
          </w:p>
        </w:tc>
        <w:tc>
          <w:tcPr>
            <w:tcW w:type="dxa" w:w="2914"/>
            <w:shd w:val="clear" w:color="auto" w:fill="FAFBFD"/>
          </w:tcPr>
          <w:p>
            <w:pPr>
              <w:spacing w:after="20" w:before="20"/>
            </w:pPr>
            <w:r/>
          </w:p>
        </w:tc>
        <w:tc>
          <w:tcPr>
            <w:tcW w:type="dxa" w:w="2625"/>
            <w:shd w:val="clear" w:color="auto" w:fill="FAFBFD"/>
          </w:tcPr>
          <w:p>
            <w:pPr>
              <w:spacing w:after="20" w:before="20"/>
            </w:pPr>
            <w:r/>
          </w:p>
        </w:tc>
      </w:tr>
    </w:tbl>
    <w:p>
      <w:pPr>
        <w:spacing w:after="40"/>
      </w:pP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B.2  Competency confirmation</w:t>
      </w:r>
    </w:p>
    <w:p>
      <w:pPr>
        <w:spacing w:after="60" w:before="160"/>
        <w:keepNext/>
      </w:pPr>
      <w:r>
        <w:rPr>
          <w:rFonts w:ascii="Calibri" w:hAnsi="Calibri"/>
          <w:b/>
          <w:color w:val="5B7288"/>
          <w:sz w:val="15"/>
        </w:rPr>
        <w:t>PRACTICAL COMPETENCY CONFIRMATION</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4626"/>
        <w:gridCol w:w="1928"/>
        <w:gridCol w:w="1542"/>
        <w:gridCol w:w="1542"/>
      </w:tblGrid>
      <w:tr>
        <w:trPr>
          <w:tblHeader/>
          <w:cantSplit/>
        </w:trPr>
        <w:tc>
          <w:tcPr>
            <w:tcW w:type="dxa" w:w="4626"/>
            <w:shd w:val="clear" w:color="auto" w:fill="0F2B4C"/>
          </w:tcPr>
          <w:p>
            <w:pPr>
              <w:spacing w:after="20" w:before="20"/>
            </w:pPr>
            <w:r/>
            <w:r>
              <w:rPr>
                <w:rFonts w:ascii="Calibri" w:hAnsi="Calibri"/>
                <w:b/>
                <w:color w:val="FFFFFF"/>
                <w:sz w:val="17"/>
              </w:rPr>
              <w:t>Competency</w:t>
            </w:r>
          </w:p>
        </w:tc>
        <w:tc>
          <w:tcPr>
            <w:tcW w:type="dxa" w:w="1928"/>
            <w:shd w:val="clear" w:color="auto" w:fill="0F2B4C"/>
          </w:tcPr>
          <w:p>
            <w:pPr>
              <w:spacing w:after="20" w:before="20"/>
            </w:pPr>
            <w:r/>
            <w:r>
              <w:rPr>
                <w:rFonts w:ascii="Calibri" w:hAnsi="Calibri"/>
                <w:b/>
                <w:color w:val="FFFFFF"/>
                <w:sz w:val="17"/>
              </w:rPr>
              <w:t>Assessed by</w:t>
            </w:r>
          </w:p>
        </w:tc>
        <w:tc>
          <w:tcPr>
            <w:tcW w:type="dxa" w:w="1542"/>
            <w:shd w:val="clear" w:color="auto" w:fill="0F2B4C"/>
          </w:tcPr>
          <w:p>
            <w:pPr>
              <w:spacing w:after="20" w:before="20"/>
            </w:pPr>
            <w:r/>
            <w:r>
              <w:rPr>
                <w:rFonts w:ascii="Calibri" w:hAnsi="Calibri"/>
                <w:b/>
                <w:color w:val="FFFFFF"/>
                <w:sz w:val="17"/>
              </w:rPr>
              <w:t>Result</w:t>
            </w:r>
          </w:p>
        </w:tc>
        <w:tc>
          <w:tcPr>
            <w:tcW w:type="dxa" w:w="1542"/>
            <w:shd w:val="clear" w:color="auto" w:fill="0F2B4C"/>
          </w:tcPr>
          <w:p>
            <w:pPr>
              <w:spacing w:after="20" w:before="20"/>
            </w:pPr>
            <w:r/>
            <w:r>
              <w:rPr>
                <w:rFonts w:ascii="Calibri" w:hAnsi="Calibri"/>
                <w:b/>
                <w:color w:val="FFFFFF"/>
                <w:sz w:val="17"/>
              </w:rPr>
              <w:t>Date</w:t>
            </w:r>
          </w:p>
        </w:tc>
      </w:tr>
      <w:tr>
        <w:trPr>
          <w:cantSplit/>
        </w:trPr>
        <w:tc>
          <w:tcPr>
            <w:tcW w:type="dxa" w:w="4626"/>
          </w:tcPr>
          <w:p>
            <w:pPr>
              <w:spacing w:after="20" w:before="20"/>
            </w:pPr>
            <w:r/>
            <w:r>
              <w:rPr>
                <w:rFonts w:ascii="Calibri" w:hAnsi="Calibri"/>
                <w:b/>
                <w:i w:val="0"/>
                <w:color w:val="334E68"/>
                <w:sz w:val="17"/>
              </w:rPr>
              <w:t>Can build and use a source baseline pack</w:t>
            </w:r>
          </w:p>
        </w:tc>
        <w:tc>
          <w:tcPr>
            <w:tcW w:type="dxa" w:w="1928"/>
          </w:tcPr>
          <w:p>
            <w:pPr>
              <w:spacing w:after="20" w:before="20"/>
            </w:pPr>
            <w:r/>
          </w:p>
        </w:tc>
        <w:tc>
          <w:tcPr>
            <w:tcW w:type="dxa" w:w="1542"/>
          </w:tcPr>
          <w:p>
            <w:pPr>
              <w:spacing w:after="20" w:before="20"/>
            </w:pPr>
            <w:r/>
          </w:p>
        </w:tc>
        <w:tc>
          <w:tcPr>
            <w:tcW w:type="dxa" w:w="1542"/>
          </w:tcPr>
          <w:p>
            <w:pPr>
              <w:spacing w:after="20" w:before="20"/>
            </w:pPr>
            <w:r/>
          </w:p>
        </w:tc>
      </w:tr>
      <w:tr>
        <w:trPr>
          <w:cantSplit/>
        </w:trPr>
        <w:tc>
          <w:tcPr>
            <w:tcW w:type="dxa" w:w="4626"/>
            <w:shd w:val="clear" w:color="auto" w:fill="FAFBFD"/>
          </w:tcPr>
          <w:p>
            <w:pPr>
              <w:spacing w:after="20" w:before="20"/>
            </w:pPr>
            <w:r/>
            <w:r>
              <w:rPr>
                <w:rFonts w:ascii="Calibri" w:hAnsi="Calibri"/>
                <w:b/>
                <w:i w:val="0"/>
                <w:color w:val="334E68"/>
                <w:sz w:val="17"/>
              </w:rPr>
              <w:t>Can validate a provisioned AWS target against a build sheet</w:t>
            </w:r>
          </w:p>
        </w:tc>
        <w:tc>
          <w:tcPr>
            <w:tcW w:type="dxa" w:w="1928"/>
            <w:shd w:val="clear" w:color="auto" w:fill="FAFBFD"/>
          </w:tcPr>
          <w:p>
            <w:pPr>
              <w:spacing w:after="20" w:before="20"/>
            </w:pPr>
            <w:r/>
          </w:p>
        </w:tc>
        <w:tc>
          <w:tcPr>
            <w:tcW w:type="dxa" w:w="1542"/>
            <w:shd w:val="clear" w:color="auto" w:fill="FAFBFD"/>
          </w:tcPr>
          <w:p>
            <w:pPr>
              <w:spacing w:after="20" w:before="20"/>
            </w:pPr>
            <w:r/>
          </w:p>
        </w:tc>
        <w:tc>
          <w:tcPr>
            <w:tcW w:type="dxa" w:w="1542"/>
            <w:shd w:val="clear" w:color="auto" w:fill="FAFBFD"/>
          </w:tcPr>
          <w:p>
            <w:pPr>
              <w:spacing w:after="20" w:before="20"/>
            </w:pPr>
            <w:r/>
          </w:p>
        </w:tc>
      </w:tr>
      <w:tr>
        <w:trPr>
          <w:cantSplit/>
        </w:trPr>
        <w:tc>
          <w:tcPr>
            <w:tcW w:type="dxa" w:w="4626"/>
          </w:tcPr>
          <w:p>
            <w:pPr>
              <w:spacing w:after="20" w:before="20"/>
            </w:pPr>
            <w:r/>
            <w:r>
              <w:rPr>
                <w:rFonts w:ascii="Calibri" w:hAnsi="Calibri"/>
                <w:b/>
                <w:i w:val="0"/>
                <w:color w:val="334E68"/>
                <w:sz w:val="17"/>
              </w:rPr>
              <w:t>Can perform SAP Basis post-migration validation end to end</w:t>
            </w:r>
          </w:p>
        </w:tc>
        <w:tc>
          <w:tcPr>
            <w:tcW w:type="dxa" w:w="1928"/>
          </w:tcPr>
          <w:p>
            <w:pPr>
              <w:spacing w:after="20" w:before="20"/>
            </w:pPr>
            <w:r/>
          </w:p>
        </w:tc>
        <w:tc>
          <w:tcPr>
            <w:tcW w:type="dxa" w:w="1542"/>
          </w:tcPr>
          <w:p>
            <w:pPr>
              <w:spacing w:after="20" w:before="20"/>
            </w:pPr>
            <w:r/>
          </w:p>
        </w:tc>
        <w:tc>
          <w:tcPr>
            <w:tcW w:type="dxa" w:w="1542"/>
          </w:tcPr>
          <w:p>
            <w:pPr>
              <w:spacing w:after="20" w:before="20"/>
            </w:pPr>
            <w:r/>
          </w:p>
        </w:tc>
      </w:tr>
      <w:tr>
        <w:trPr>
          <w:cantSplit/>
        </w:trPr>
        <w:tc>
          <w:tcPr>
            <w:tcW w:type="dxa" w:w="4626"/>
            <w:shd w:val="clear" w:color="auto" w:fill="FAFBFD"/>
          </w:tcPr>
          <w:p>
            <w:pPr>
              <w:spacing w:after="20" w:before="20"/>
            </w:pPr>
            <w:r/>
            <w:r>
              <w:rPr>
                <w:rFonts w:ascii="Calibri" w:hAnsi="Calibri"/>
                <w:b/>
                <w:i w:val="0"/>
                <w:color w:val="334E68"/>
                <w:sz w:val="17"/>
              </w:rPr>
              <w:t>Can execute and interpret the HANA backup/recovery test</w:t>
            </w:r>
          </w:p>
        </w:tc>
        <w:tc>
          <w:tcPr>
            <w:tcW w:type="dxa" w:w="1928"/>
            <w:shd w:val="clear" w:color="auto" w:fill="FAFBFD"/>
          </w:tcPr>
          <w:p>
            <w:pPr>
              <w:spacing w:after="20" w:before="20"/>
            </w:pPr>
            <w:r/>
          </w:p>
        </w:tc>
        <w:tc>
          <w:tcPr>
            <w:tcW w:type="dxa" w:w="1542"/>
            <w:shd w:val="clear" w:color="auto" w:fill="FAFBFD"/>
          </w:tcPr>
          <w:p>
            <w:pPr>
              <w:spacing w:after="20" w:before="20"/>
            </w:pPr>
            <w:r/>
          </w:p>
        </w:tc>
        <w:tc>
          <w:tcPr>
            <w:tcW w:type="dxa" w:w="1542"/>
            <w:shd w:val="clear" w:color="auto" w:fill="FAFBFD"/>
          </w:tcPr>
          <w:p>
            <w:pPr>
              <w:spacing w:after="20" w:before="20"/>
            </w:pPr>
            <w:r/>
          </w:p>
        </w:tc>
      </w:tr>
      <w:tr>
        <w:trPr>
          <w:cantSplit/>
        </w:trPr>
        <w:tc>
          <w:tcPr>
            <w:tcW w:type="dxa" w:w="4626"/>
          </w:tcPr>
          <w:p>
            <w:pPr>
              <w:spacing w:after="20" w:before="20"/>
            </w:pPr>
            <w:r/>
            <w:r>
              <w:rPr>
                <w:rFonts w:ascii="Calibri" w:hAnsi="Calibri"/>
                <w:b/>
                <w:i w:val="0"/>
                <w:color w:val="334E68"/>
                <w:sz w:val="17"/>
              </w:rPr>
              <w:t>Can support an Oracle Data Guard switchover and validate the new primary</w:t>
            </w:r>
          </w:p>
        </w:tc>
        <w:tc>
          <w:tcPr>
            <w:tcW w:type="dxa" w:w="1928"/>
          </w:tcPr>
          <w:p>
            <w:pPr>
              <w:spacing w:after="20" w:before="20"/>
            </w:pPr>
            <w:r/>
          </w:p>
        </w:tc>
        <w:tc>
          <w:tcPr>
            <w:tcW w:type="dxa" w:w="1542"/>
          </w:tcPr>
          <w:p>
            <w:pPr>
              <w:spacing w:after="20" w:before="20"/>
            </w:pPr>
            <w:r/>
          </w:p>
        </w:tc>
        <w:tc>
          <w:tcPr>
            <w:tcW w:type="dxa" w:w="1542"/>
          </w:tcPr>
          <w:p>
            <w:pPr>
              <w:spacing w:after="20" w:before="20"/>
            </w:pPr>
            <w:r/>
          </w:p>
        </w:tc>
      </w:tr>
      <w:tr>
        <w:trPr>
          <w:cantSplit/>
        </w:trPr>
        <w:tc>
          <w:tcPr>
            <w:tcW w:type="dxa" w:w="4626"/>
            <w:shd w:val="clear" w:color="auto" w:fill="FAFBFD"/>
          </w:tcPr>
          <w:p>
            <w:pPr>
              <w:spacing w:after="20" w:before="20"/>
            </w:pPr>
            <w:r/>
            <w:r>
              <w:rPr>
                <w:rFonts w:ascii="Calibri" w:hAnsi="Calibri"/>
                <w:b/>
                <w:i w:val="0"/>
                <w:color w:val="334E68"/>
                <w:sz w:val="17"/>
              </w:rPr>
              <w:t>Can perform cutover post-processing and interpret R3trans -d</w:t>
            </w:r>
          </w:p>
        </w:tc>
        <w:tc>
          <w:tcPr>
            <w:tcW w:type="dxa" w:w="1928"/>
            <w:shd w:val="clear" w:color="auto" w:fill="FAFBFD"/>
          </w:tcPr>
          <w:p>
            <w:pPr>
              <w:spacing w:after="20" w:before="20"/>
            </w:pPr>
            <w:r/>
          </w:p>
        </w:tc>
        <w:tc>
          <w:tcPr>
            <w:tcW w:type="dxa" w:w="1542"/>
            <w:shd w:val="clear" w:color="auto" w:fill="FAFBFD"/>
          </w:tcPr>
          <w:p>
            <w:pPr>
              <w:spacing w:after="20" w:before="20"/>
            </w:pPr>
            <w:r/>
          </w:p>
        </w:tc>
        <w:tc>
          <w:tcPr>
            <w:tcW w:type="dxa" w:w="1542"/>
            <w:shd w:val="clear" w:color="auto" w:fill="FAFBFD"/>
          </w:tcPr>
          <w:p>
            <w:pPr>
              <w:spacing w:after="20" w:before="20"/>
            </w:pPr>
            <w:r/>
          </w:p>
        </w:tc>
      </w:tr>
      <w:tr>
        <w:trPr>
          <w:cantSplit/>
        </w:trPr>
        <w:tc>
          <w:tcPr>
            <w:tcW w:type="dxa" w:w="4626"/>
          </w:tcPr>
          <w:p>
            <w:pPr>
              <w:spacing w:after="20" w:before="20"/>
            </w:pPr>
            <w:r/>
            <w:r>
              <w:rPr>
                <w:rFonts w:ascii="Calibri" w:hAnsi="Calibri"/>
                <w:b/>
                <w:i w:val="0"/>
                <w:color w:val="334E68"/>
                <w:sz w:val="17"/>
              </w:rPr>
              <w:t>Can triage a performance issue to the correct owning team</w:t>
            </w:r>
          </w:p>
        </w:tc>
        <w:tc>
          <w:tcPr>
            <w:tcW w:type="dxa" w:w="1928"/>
          </w:tcPr>
          <w:p>
            <w:pPr>
              <w:spacing w:after="20" w:before="20"/>
            </w:pPr>
            <w:r/>
          </w:p>
        </w:tc>
        <w:tc>
          <w:tcPr>
            <w:tcW w:type="dxa" w:w="1542"/>
          </w:tcPr>
          <w:p>
            <w:pPr>
              <w:spacing w:after="20" w:before="20"/>
            </w:pPr>
            <w:r/>
          </w:p>
        </w:tc>
        <w:tc>
          <w:tcPr>
            <w:tcW w:type="dxa" w:w="1542"/>
          </w:tcPr>
          <w:p>
            <w:pPr>
              <w:spacing w:after="20" w:before="20"/>
            </w:pPr>
            <w:r/>
          </w:p>
        </w:tc>
      </w:tr>
      <w:tr>
        <w:trPr>
          <w:cantSplit/>
        </w:trPr>
        <w:tc>
          <w:tcPr>
            <w:tcW w:type="dxa" w:w="4626"/>
            <w:shd w:val="clear" w:color="auto" w:fill="FAFBFD"/>
          </w:tcPr>
          <w:p>
            <w:pPr>
              <w:spacing w:after="20" w:before="20"/>
            </w:pPr>
            <w:r/>
            <w:r>
              <w:rPr>
                <w:rFonts w:ascii="Calibri" w:hAnsi="Calibri"/>
                <w:b/>
                <w:i w:val="0"/>
                <w:color w:val="334E68"/>
                <w:sz w:val="17"/>
              </w:rPr>
              <w:t>Can present evidence at a Go/No-Go gate</w:t>
            </w:r>
          </w:p>
        </w:tc>
        <w:tc>
          <w:tcPr>
            <w:tcW w:type="dxa" w:w="1928"/>
            <w:shd w:val="clear" w:color="auto" w:fill="FAFBFD"/>
          </w:tcPr>
          <w:p>
            <w:pPr>
              <w:spacing w:after="20" w:before="20"/>
            </w:pPr>
            <w:r/>
          </w:p>
        </w:tc>
        <w:tc>
          <w:tcPr>
            <w:tcW w:type="dxa" w:w="1542"/>
            <w:shd w:val="clear" w:color="auto" w:fill="FAFBFD"/>
          </w:tcPr>
          <w:p>
            <w:pPr>
              <w:spacing w:after="20" w:before="20"/>
            </w:pPr>
            <w:r/>
          </w:p>
        </w:tc>
        <w:tc>
          <w:tcPr>
            <w:tcW w:type="dxa" w:w="1542"/>
            <w:shd w:val="clear" w:color="auto" w:fill="FAFBFD"/>
          </w:tcPr>
          <w:p>
            <w:pPr>
              <w:spacing w:after="20" w:before="20"/>
            </w:pPr>
            <w:r/>
          </w:p>
        </w:tc>
      </w:tr>
      <w:tr>
        <w:trPr>
          <w:cantSplit/>
        </w:trPr>
        <w:tc>
          <w:tcPr>
            <w:tcW w:type="dxa" w:w="4626"/>
          </w:tcPr>
          <w:p>
            <w:pPr>
              <w:spacing w:after="20" w:before="20"/>
            </w:pPr>
            <w:r/>
            <w:r>
              <w:rPr>
                <w:rFonts w:ascii="Calibri" w:hAnsi="Calibri"/>
                <w:b/>
                <w:i w:val="0"/>
                <w:color w:val="334E68"/>
                <w:sz w:val="17"/>
              </w:rPr>
              <w:t>Can classify a hypercare issue against the baseline</w:t>
            </w:r>
          </w:p>
        </w:tc>
        <w:tc>
          <w:tcPr>
            <w:tcW w:type="dxa" w:w="1928"/>
          </w:tcPr>
          <w:p>
            <w:pPr>
              <w:spacing w:after="20" w:before="20"/>
            </w:pPr>
            <w:r/>
          </w:p>
        </w:tc>
        <w:tc>
          <w:tcPr>
            <w:tcW w:type="dxa" w:w="1542"/>
          </w:tcPr>
          <w:p>
            <w:pPr>
              <w:spacing w:after="20" w:before="20"/>
            </w:pPr>
            <w:r/>
          </w:p>
        </w:tc>
        <w:tc>
          <w:tcPr>
            <w:tcW w:type="dxa" w:w="1542"/>
          </w:tcPr>
          <w:p>
            <w:pPr>
              <w:spacing w:after="20" w:before="20"/>
            </w:pPr>
            <w:r/>
          </w:p>
        </w:tc>
      </w:tr>
    </w:tbl>
    <w:p>
      <w:pPr>
        <w:spacing w:after="40"/>
      </w:pPr>
    </w:p>
    <w:p>
      <w:r>
        <w:br w:type="page"/>
      </w:r>
    </w:p>
    <w:p>
      <w:pPr>
        <w:spacing w:after="20"/>
      </w:pPr>
      <w:r>
        <w:rPr>
          <w:rFonts w:ascii="Calibri" w:hAnsi="Calibri"/>
          <w:b/>
          <w:color w:val="1B4F86"/>
          <w:sz w:val="16"/>
        </w:rPr>
        <w:t>APPENDIX C</w:t>
      </w:r>
    </w:p>
    <w:p>
      <w:pPr>
        <w:pStyle w:val="Heading1"/>
        <w:pBdr>
          <w:bottom w:val="single" w:sz="12" w:space="5" w:color="1B4F86"/>
        </w:pBdr>
        <w:spacing w:after="160"/>
      </w:pPr>
      <w:r>
        <w:rPr>
          <w:rFonts w:ascii="Calibri Light" w:hAnsi="Calibri Light"/>
          <w:b/>
          <w:color w:val="0F2B4C"/>
          <w:sz w:val="38"/>
        </w:rPr>
        <w:t>C  Appendix C — Glossary and acronyms</w:t>
      </w:r>
    </w:p>
    <w:p>
      <w:pPr>
        <w:spacing w:after="200"/>
      </w:pPr>
      <w:r>
        <w:rPr>
          <w:rFonts w:ascii="Calibri" w:hAnsi="Calibri"/>
          <w:i/>
          <w:color w:val="5B7288"/>
          <w:sz w:val="21"/>
        </w:rPr>
        <w:t>Terms used in this handbook. Client-specific terms carried over from the source material are marked and should be confirmed against the project glossary before use.</w:t>
      </w:r>
    </w:p>
    <w:p>
      <w:r>
        <w:br w:type="page"/>
      </w:r>
    </w:p>
    <w:p>
      <w:pPr>
        <w:spacing w:after="20"/>
      </w:pPr>
      <w:r>
        <w:rPr>
          <w:rFonts w:ascii="Calibri" w:hAnsi="Calibri"/>
          <w:b/>
          <w:color w:val="1B4F86"/>
          <w:sz w:val="16"/>
        </w:rPr>
        <w:t>APPENDIX D</w:t>
      </w:r>
    </w:p>
    <w:p>
      <w:pPr>
        <w:pStyle w:val="Heading1"/>
        <w:pBdr>
          <w:bottom w:val="single" w:sz="12" w:space="5" w:color="1B4F86"/>
        </w:pBdr>
        <w:spacing w:after="160"/>
      </w:pPr>
      <w:r>
        <w:rPr>
          <w:rFonts w:ascii="Calibri Light" w:hAnsi="Calibri Light"/>
          <w:b/>
          <w:color w:val="0F2B4C"/>
          <w:sz w:val="38"/>
        </w:rPr>
        <w:t>D  Appendix D — Technical review and vetting notes</w:t>
      </w:r>
    </w:p>
    <w:p>
      <w:pPr>
        <w:spacing w:after="200"/>
      </w:pPr>
      <w:r>
        <w:rPr>
          <w:rFonts w:ascii="Calibri" w:hAnsi="Calibri"/>
          <w:i/>
          <w:color w:val="5B7288"/>
          <w:sz w:val="21"/>
        </w:rPr>
        <w:t>This handbook was reviewed for technical accuracy and professional consistency. Every editorial change and every flagged ambiguity is recorded here so a reviewer can see exactly what was preserved from the source and what was clarified.</w:t>
      </w:r>
    </w:p>
    <w:p>
      <w:pPr>
        <w:pStyle w:val="Heading2"/>
        <w:pBdr>
          <w:bottom w:val="single" w:sz="6" w:space="3" w:color="E8EDF3"/>
        </w:pBdr>
      </w:pPr>
      <w:r>
        <w:rPr>
          <w:rFonts w:ascii="Calibri" w:hAnsi="Calibri"/>
          <w:b/>
          <w:color w:val="0F2B4C"/>
          <w:sz w:val="26"/>
        </w:rPr>
        <w:t>D.1  Vetting summary</w:t>
      </w:r>
    </w:p>
    <w:p>
      <w:pPr>
        <w:spacing w:before="100" w:after="20"/>
        <w:shd w:val="clear" w:color="auto" w:fill="F4F7FB"/>
        <w:pBdr>
          <w:left w:val="single" w:sz="18" w:space="6" w:color="1B4F86"/>
        </w:pBdr>
      </w:pPr>
      <w:r>
        <w:rPr>
          <w:rFonts w:ascii="Calibri" w:hAnsi="Calibri"/>
          <w:b/>
          <w:color w:val="0F2B4C"/>
          <w:sz w:val="26"/>
        </w:rPr>
        <w:t>tables reviewed</w:t>
      </w:r>
      <w:r>
        <w:rPr>
          <w:rFonts w:ascii="Calibri" w:hAnsi="Calibri"/>
          <w:b/>
          <w:color w:val="5B7288"/>
          <w:sz w:val="16"/>
        </w:rPr>
        <w:t xml:space="preserve">   67</w:t>
      </w:r>
    </w:p>
    <w:p>
      <w:pPr>
        <w:shd w:val="clear" w:color="auto" w:fill="F4F7FB"/>
        <w:pBdr>
          <w:left w:val="single" w:sz="18" w:space="6" w:color="1B4F86"/>
        </w:pBdr>
        <w:spacing w:after="80"/>
      </w:pPr>
      <w:r>
        <w:rPr>
          <w:rFonts w:ascii="Calibri" w:hAnsi="Calibri"/>
          <w:color w:val="5B7288"/>
          <w:sz w:val="17"/>
        </w:rPr>
        <w:t>Every table, checklist and statement checked for technical accuracy</w:t>
      </w:r>
    </w:p>
    <w:p>
      <w:pPr>
        <w:spacing w:before="100" w:after="20"/>
        <w:shd w:val="clear" w:color="auto" w:fill="F4F7FB"/>
        <w:pBdr>
          <w:left w:val="single" w:sz="18" w:space="6" w:color="1B4F86"/>
        </w:pBdr>
      </w:pPr>
      <w:r>
        <w:rPr>
          <w:rFonts w:ascii="Calibri" w:hAnsi="Calibri"/>
          <w:b/>
          <w:color w:val="0F2B4C"/>
          <w:sz w:val="26"/>
        </w:rPr>
        <w:t>corrections</w:t>
      </w:r>
      <w:r>
        <w:rPr>
          <w:rFonts w:ascii="Calibri" w:hAnsi="Calibri"/>
          <w:b/>
          <w:color w:val="5B7288"/>
          <w:sz w:val="16"/>
        </w:rPr>
        <w:t xml:space="preserve">   12</w:t>
      </w:r>
    </w:p>
    <w:p>
      <w:pPr>
        <w:shd w:val="clear" w:color="auto" w:fill="F4F7FB"/>
        <w:pBdr>
          <w:left w:val="single" w:sz="18" w:space="6" w:color="1B4F86"/>
        </w:pBdr>
        <w:spacing w:after="80"/>
      </w:pPr>
      <w:r>
        <w:rPr>
          <w:rFonts w:ascii="Calibri" w:hAnsi="Calibri"/>
          <w:color w:val="5B7288"/>
          <w:sz w:val="17"/>
        </w:rPr>
        <w:t>Technical clarifications added where the source was imprecise</w:t>
      </w:r>
    </w:p>
    <w:p>
      <w:pPr>
        <w:spacing w:before="100" w:after="20"/>
        <w:shd w:val="clear" w:color="auto" w:fill="F4F7FB"/>
        <w:pBdr>
          <w:left w:val="single" w:sz="18" w:space="6" w:color="1B4F86"/>
        </w:pBdr>
      </w:pPr>
      <w:r>
        <w:rPr>
          <w:rFonts w:ascii="Calibri" w:hAnsi="Calibri"/>
          <w:b/>
          <w:color w:val="0F2B4C"/>
          <w:sz w:val="26"/>
        </w:rPr>
        <w:t>terms flagged</w:t>
      </w:r>
      <w:r>
        <w:rPr>
          <w:rFonts w:ascii="Calibri" w:hAnsi="Calibri"/>
          <w:b/>
          <w:color w:val="5B7288"/>
          <w:sz w:val="16"/>
        </w:rPr>
        <w:t xml:space="preserve">   9</w:t>
      </w:r>
    </w:p>
    <w:p>
      <w:pPr>
        <w:shd w:val="clear" w:color="auto" w:fill="F4F7FB"/>
        <w:pBdr>
          <w:left w:val="single" w:sz="18" w:space="6" w:color="1B4F86"/>
        </w:pBdr>
        <w:spacing w:after="80"/>
      </w:pPr>
      <w:r>
        <w:rPr>
          <w:rFonts w:ascii="Calibri" w:hAnsi="Calibri"/>
          <w:color w:val="5B7288"/>
          <w:sz w:val="17"/>
        </w:rPr>
        <w:t>Client-specific or unverifiable terms retained but marked</w:t>
      </w:r>
    </w:p>
    <w:p>
      <w:pPr>
        <w:spacing w:before="100" w:after="20"/>
        <w:shd w:val="clear" w:color="auto" w:fill="F4F7FB"/>
        <w:pBdr>
          <w:left w:val="single" w:sz="18" w:space="6" w:color="1B4F86"/>
        </w:pBdr>
      </w:pPr>
      <w:r>
        <w:rPr>
          <w:rFonts w:ascii="Calibri" w:hAnsi="Calibri"/>
          <w:b/>
          <w:color w:val="0F2B4C"/>
          <w:sz w:val="26"/>
        </w:rPr>
        <w:t>quiz questions added</w:t>
      </w:r>
      <w:r>
        <w:rPr>
          <w:rFonts w:ascii="Calibri" w:hAnsi="Calibri"/>
          <w:b/>
          <w:color w:val="5B7288"/>
          <w:sz w:val="16"/>
        </w:rPr>
        <w:t xml:space="preserve">   4</w:t>
      </w:r>
    </w:p>
    <w:p>
      <w:pPr>
        <w:shd w:val="clear" w:color="auto" w:fill="F4F7FB"/>
        <w:pBdr>
          <w:left w:val="single" w:sz="18" w:space="6" w:color="1B4F86"/>
        </w:pBdr>
        <w:spacing w:after="80"/>
      </w:pPr>
      <w:r>
        <w:rPr>
          <w:rFonts w:ascii="Calibri" w:hAnsi="Calibri"/>
          <w:color w:val="5B7288"/>
          <w:sz w:val="17"/>
        </w:rPr>
        <w:t>Review-pass questions covering points the modules rely on</w:t>
      </w:r>
    </w:p>
    <w:p>
      <w:pPr>
        <w:pStyle w:val="Heading2"/>
        <w:pBdr>
          <w:bottom w:val="single" w:sz="6" w:space="3" w:color="E8EDF3"/>
        </w:pBdr>
      </w:pPr>
      <w:r>
        <w:rPr>
          <w:rFonts w:ascii="Calibri" w:hAnsi="Calibri"/>
          <w:b/>
          <w:color w:val="0F2B4C"/>
          <w:sz w:val="26"/>
        </w:rPr>
        <w:t>D.2  Technical corrections and clarifications</w:t>
      </w:r>
    </w:p>
    <w:p>
      <w:pPr>
        <w:spacing w:after="60" w:before="160"/>
        <w:keepNext/>
      </w:pPr>
      <w:r>
        <w:rPr>
          <w:rFonts w:ascii="Calibri" w:hAnsi="Calibri"/>
          <w:b/>
          <w:color w:val="5B7288"/>
          <w:sz w:val="15"/>
        </w:rPr>
        <w:t>CORRECTIONS AND CLARIFICATIONS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386"/>
        <w:gridCol w:w="2313"/>
        <w:gridCol w:w="3277"/>
        <w:gridCol w:w="3662"/>
      </w:tblGrid>
      <w:tr>
        <w:trPr>
          <w:tblHeader/>
          <w:cantSplit/>
        </w:trPr>
        <w:tc>
          <w:tcPr>
            <w:tcW w:type="dxa" w:w="386"/>
            <w:shd w:val="clear" w:color="auto" w:fill="0F2B4C"/>
          </w:tcPr>
          <w:p>
            <w:pPr>
              <w:spacing w:after="20" w:before="20"/>
            </w:pPr>
            <w:r/>
            <w:r>
              <w:rPr>
                <w:rFonts w:ascii="Calibri" w:hAnsi="Calibri"/>
                <w:b/>
                <w:color w:val="FFFFFF"/>
                <w:sz w:val="17"/>
              </w:rPr>
              <w:t>#</w:t>
            </w:r>
          </w:p>
        </w:tc>
        <w:tc>
          <w:tcPr>
            <w:tcW w:type="dxa" w:w="2313"/>
            <w:shd w:val="clear" w:color="auto" w:fill="0F2B4C"/>
          </w:tcPr>
          <w:p>
            <w:pPr>
              <w:spacing w:after="20" w:before="20"/>
            </w:pPr>
            <w:r/>
            <w:r>
              <w:rPr>
                <w:rFonts w:ascii="Calibri" w:hAnsi="Calibri"/>
                <w:b/>
                <w:color w:val="FFFFFF"/>
                <w:sz w:val="17"/>
              </w:rPr>
              <w:t>Source statement</w:t>
            </w:r>
          </w:p>
        </w:tc>
        <w:tc>
          <w:tcPr>
            <w:tcW w:type="dxa" w:w="3277"/>
            <w:shd w:val="clear" w:color="auto" w:fill="0F2B4C"/>
          </w:tcPr>
          <w:p>
            <w:pPr>
              <w:spacing w:after="20" w:before="20"/>
            </w:pPr>
            <w:r/>
            <w:r>
              <w:rPr>
                <w:rFonts w:ascii="Calibri" w:hAnsi="Calibri"/>
                <w:b/>
                <w:color w:val="FFFFFF"/>
                <w:sz w:val="17"/>
              </w:rPr>
              <w:t>Review finding</w:t>
            </w:r>
          </w:p>
        </w:tc>
        <w:tc>
          <w:tcPr>
            <w:tcW w:type="dxa" w:w="3662"/>
            <w:shd w:val="clear" w:color="auto" w:fill="0F2B4C"/>
          </w:tcPr>
          <w:p>
            <w:pPr>
              <w:spacing w:after="20" w:before="20"/>
            </w:pPr>
            <w:r/>
            <w:r>
              <w:rPr>
                <w:rFonts w:ascii="Calibri" w:hAnsi="Calibri"/>
                <w:b/>
                <w:color w:val="FFFFFF"/>
                <w:sz w:val="17"/>
              </w:rPr>
              <w:t>Action taken</w:t>
            </w:r>
          </w:p>
        </w:tc>
      </w:tr>
      <w:tr>
        <w:trPr>
          <w:cantSplit/>
        </w:trPr>
        <w:tc>
          <w:tcPr>
            <w:tcW w:type="dxa" w:w="386"/>
          </w:tcPr>
          <w:p>
            <w:pPr>
              <w:spacing w:after="20" w:before="20"/>
            </w:pPr>
            <w:r/>
            <w:r>
              <w:rPr>
                <w:rFonts w:ascii="Calibri" w:hAnsi="Calibri"/>
                <w:b/>
                <w:i w:val="0"/>
                <w:color w:val="334E68"/>
                <w:sz w:val="17"/>
              </w:rPr>
              <w:t>1</w:t>
            </w:r>
          </w:p>
        </w:tc>
        <w:tc>
          <w:tcPr>
            <w:tcW w:type="dxa" w:w="2313"/>
          </w:tcPr>
          <w:p>
            <w:pPr>
              <w:spacing w:after="20" w:before="20"/>
            </w:pPr>
            <w:r/>
            <w:r>
              <w:rPr>
                <w:rFonts w:ascii="Calibri" w:hAnsi="Calibri"/>
                <w:b w:val="0"/>
                <w:i w:val="0"/>
                <w:color w:val="334E68"/>
                <w:sz w:val="17"/>
              </w:rPr>
              <w:t>“Run R3TRANS -d and confirm return code 0000.”</w:t>
            </w:r>
          </w:p>
        </w:tc>
        <w:tc>
          <w:tcPr>
            <w:tcW w:type="dxa" w:w="3277"/>
          </w:tcPr>
          <w:p>
            <w:pPr>
              <w:spacing w:after="20" w:before="20"/>
            </w:pPr>
            <w:r/>
            <w:r>
              <w:rPr>
                <w:rFonts w:ascii="Calibri" w:hAnsi="Calibri"/>
                <w:b w:val="0"/>
                <w:i w:val="0"/>
                <w:color w:val="334E68"/>
                <w:sz w:val="17"/>
              </w:rPr>
              <w:t>Correct, but the source did not say what to do when the code is not 0000, nor which codes appear in practice.</w:t>
            </w:r>
          </w:p>
        </w:tc>
        <w:tc>
          <w:tcPr>
            <w:tcW w:type="dxa" w:w="3662"/>
          </w:tcPr>
          <w:p>
            <w:pPr>
              <w:spacing w:after="20" w:before="20"/>
            </w:pPr>
            <w:r/>
            <w:r>
              <w:rPr>
                <w:rFonts w:ascii="Calibri" w:hAnsi="Calibri"/>
                <w:b w:val="0"/>
                <w:i w:val="0"/>
                <w:color w:val="334E68"/>
                <w:sz w:val="17"/>
              </w:rPr>
              <w:t xml:space="preserve">Retained the 0000 requirement; added the diagnostic sequence (read </w:t>
            </w:r>
            <w:r>
              <w:rPr>
                <w:rFonts w:ascii="Consolas" w:hAnsi="Consolas"/>
                <w:b w:val="0"/>
                <w:i w:val="0"/>
                <w:color w:val="123A63"/>
                <w:sz w:val="17"/>
                <w:shd w:val="clear" w:color="auto" w:fill="EEF2F7"/>
              </w:rPr>
              <w:t>trans.log</w:t>
            </w:r>
            <w:r>
              <w:rPr>
                <w:rFonts w:ascii="Calibri" w:hAnsi="Calibri"/>
                <w:b w:val="0"/>
                <w:i w:val="0"/>
                <w:color w:val="334E68"/>
                <w:sz w:val="17"/>
              </w:rPr>
              <w:t>, test the DB connection independently) and common non-zero codes with a note to confirm them against the release in use. Section 10.2.</w:t>
            </w:r>
          </w:p>
        </w:tc>
      </w:tr>
      <w:tr>
        <w:trPr>
          <w:cantSplit/>
        </w:trPr>
        <w:tc>
          <w:tcPr>
            <w:tcW w:type="dxa" w:w="386"/>
            <w:shd w:val="clear" w:color="auto" w:fill="FAFBFD"/>
          </w:tcPr>
          <w:p>
            <w:pPr>
              <w:spacing w:after="20" w:before="20"/>
            </w:pPr>
            <w:r/>
            <w:r>
              <w:rPr>
                <w:rFonts w:ascii="Calibri" w:hAnsi="Calibri"/>
                <w:b/>
                <w:i w:val="0"/>
                <w:color w:val="334E68"/>
                <w:sz w:val="17"/>
              </w:rPr>
              <w:t>2</w:t>
            </w:r>
          </w:p>
        </w:tc>
        <w:tc>
          <w:tcPr>
            <w:tcW w:type="dxa" w:w="2313"/>
            <w:shd w:val="clear" w:color="auto" w:fill="FAFBFD"/>
          </w:tcPr>
          <w:p>
            <w:pPr>
              <w:spacing w:after="20" w:before="20"/>
            </w:pPr>
            <w:r/>
            <w:r>
              <w:rPr>
                <w:rFonts w:ascii="Calibri" w:hAnsi="Calibri"/>
                <w:b w:val="0"/>
                <w:i w:val="0"/>
                <w:color w:val="334E68"/>
                <w:sz w:val="17"/>
              </w:rPr>
              <w:t>“Service status Active, return code 0 … return codes such as 127 or 255 were discussed.”</w:t>
            </w:r>
          </w:p>
        </w:tc>
        <w:tc>
          <w:tcPr>
            <w:tcW w:type="dxa" w:w="3277"/>
            <w:shd w:val="clear" w:color="auto" w:fill="FAFBFD"/>
          </w:tcPr>
          <w:p>
            <w:pPr>
              <w:spacing w:after="20" w:before="20"/>
            </w:pPr>
            <w:r/>
            <w:r>
              <w:rPr>
                <w:rFonts w:ascii="Calibri" w:hAnsi="Calibri"/>
                <w:b w:val="0"/>
                <w:i w:val="0"/>
                <w:color w:val="334E68"/>
                <w:sz w:val="17"/>
              </w:rPr>
              <w:t>Accurate but incomplete: 127 and 255 are shell/service-level codes whose meaning depends on the start mechanism.</w:t>
            </w:r>
          </w:p>
        </w:tc>
        <w:tc>
          <w:tcPr>
            <w:tcW w:type="dxa" w:w="3662"/>
            <w:shd w:val="clear" w:color="auto" w:fill="FAFBFD"/>
          </w:tcPr>
          <w:p>
            <w:pPr>
              <w:spacing w:after="20" w:before="20"/>
            </w:pPr>
            <w:r/>
            <w:r>
              <w:rPr>
                <w:rFonts w:ascii="Calibri" w:hAnsi="Calibri"/>
                <w:b w:val="0"/>
                <w:i w:val="0"/>
                <w:color w:val="334E68"/>
                <w:sz w:val="17"/>
              </w:rPr>
              <w:t>Presented as a diagnostic table (0 = success, 127 = command/library not found, 255 = generic failure) with the explicit caveat that the mapping is a starting point. Section 7.1.</w:t>
            </w:r>
          </w:p>
        </w:tc>
      </w:tr>
      <w:tr>
        <w:trPr>
          <w:cantSplit/>
        </w:trPr>
        <w:tc>
          <w:tcPr>
            <w:tcW w:type="dxa" w:w="386"/>
          </w:tcPr>
          <w:p>
            <w:pPr>
              <w:spacing w:after="20" w:before="20"/>
            </w:pPr>
            <w:r/>
            <w:r>
              <w:rPr>
                <w:rFonts w:ascii="Calibri" w:hAnsi="Calibri"/>
                <w:b/>
                <w:i w:val="0"/>
                <w:color w:val="334E68"/>
                <w:sz w:val="17"/>
              </w:rPr>
              <w:t>3</w:t>
            </w:r>
          </w:p>
        </w:tc>
        <w:tc>
          <w:tcPr>
            <w:tcW w:type="dxa" w:w="2313"/>
          </w:tcPr>
          <w:p>
            <w:pPr>
              <w:spacing w:after="20" w:before="20"/>
            </w:pPr>
            <w:r/>
            <w:r>
              <w:rPr>
                <w:rFonts w:ascii="Calibri" w:hAnsi="Calibri"/>
                <w:b w:val="0"/>
                <w:i w:val="0"/>
                <w:color w:val="334E68"/>
                <w:sz w:val="17"/>
              </w:rPr>
              <w:t>“STAD detailed analysis” listed alongside ST03/ST03N without distinction.</w:t>
            </w:r>
          </w:p>
        </w:tc>
        <w:tc>
          <w:tcPr>
            <w:tcW w:type="dxa" w:w="3277"/>
          </w:tcPr>
          <w:p>
            <w:pPr>
              <w:spacing w:after="20" w:before="20"/>
            </w:pPr>
            <w:r/>
            <w:r>
              <w:rPr>
                <w:rFonts w:ascii="Calibri" w:hAnsi="Calibri"/>
                <w:b w:val="0"/>
                <w:i w:val="0"/>
                <w:color w:val="334E68"/>
                <w:sz w:val="17"/>
              </w:rPr>
              <w:t>ST03/ST03N are aggregate workload statistics; STAD shows the individual statistical records behind them. Conflating them leads to wrong triage.</w:t>
            </w:r>
          </w:p>
        </w:tc>
        <w:tc>
          <w:tcPr>
            <w:tcW w:type="dxa" w:w="3662"/>
          </w:tcPr>
          <w:p>
            <w:pPr>
              <w:spacing w:after="20" w:before="20"/>
            </w:pPr>
            <w:r/>
            <w:r>
              <w:rPr>
                <w:rFonts w:ascii="Calibri" w:hAnsi="Calibri"/>
                <w:b w:val="0"/>
                <w:i w:val="0"/>
                <w:color w:val="334E68"/>
                <w:sz w:val="17"/>
              </w:rPr>
              <w:t>Added the aggregate-versus-record distinction and the drill-down path. Sections 8.3, 8.4.</w:t>
            </w:r>
          </w:p>
        </w:tc>
      </w:tr>
      <w:tr>
        <w:trPr>
          <w:cantSplit/>
        </w:trPr>
        <w:tc>
          <w:tcPr>
            <w:tcW w:type="dxa" w:w="386"/>
            <w:shd w:val="clear" w:color="auto" w:fill="FAFBFD"/>
          </w:tcPr>
          <w:p>
            <w:pPr>
              <w:spacing w:after="20" w:before="20"/>
            </w:pPr>
            <w:r/>
            <w:r>
              <w:rPr>
                <w:rFonts w:ascii="Calibri" w:hAnsi="Calibri"/>
                <w:b/>
                <w:i w:val="0"/>
                <w:color w:val="334E68"/>
                <w:sz w:val="17"/>
              </w:rPr>
              <w:t>4</w:t>
            </w:r>
          </w:p>
        </w:tc>
        <w:tc>
          <w:tcPr>
            <w:tcW w:type="dxa" w:w="2313"/>
            <w:shd w:val="clear" w:color="auto" w:fill="FAFBFD"/>
          </w:tcPr>
          <w:p>
            <w:pPr>
              <w:spacing w:after="20" w:before="20"/>
            </w:pPr>
            <w:r/>
            <w:r>
              <w:rPr>
                <w:rFonts w:ascii="Calibri" w:hAnsi="Calibri"/>
                <w:b w:val="0"/>
                <w:i w:val="0"/>
                <w:color w:val="334E68"/>
                <w:sz w:val="17"/>
              </w:rPr>
              <w:t>“ST03 is used for workload analysis.”</w:t>
            </w:r>
          </w:p>
        </w:tc>
        <w:tc>
          <w:tcPr>
            <w:tcW w:type="dxa" w:w="3277"/>
            <w:shd w:val="clear" w:color="auto" w:fill="FAFBFD"/>
          </w:tcPr>
          <w:p>
            <w:pPr>
              <w:spacing w:after="20" w:before="20"/>
            </w:pPr>
            <w:r/>
            <w:r>
              <w:rPr>
                <w:rFonts w:ascii="Calibri" w:hAnsi="Calibri"/>
                <w:b w:val="0"/>
                <w:i w:val="0"/>
                <w:color w:val="334E68"/>
                <w:sz w:val="17"/>
              </w:rPr>
              <w:t>ST03N is the current workload transaction in modern releases; ST03 is legacy but still referenced in runbooks.</w:t>
            </w:r>
          </w:p>
        </w:tc>
        <w:tc>
          <w:tcPr>
            <w:tcW w:type="dxa" w:w="3662"/>
            <w:shd w:val="clear" w:color="auto" w:fill="FAFBFD"/>
          </w:tcPr>
          <w:p>
            <w:pPr>
              <w:spacing w:after="20" w:before="20"/>
            </w:pPr>
            <w:r/>
            <w:r>
              <w:rPr>
                <w:rFonts w:ascii="Calibri" w:hAnsi="Calibri"/>
                <w:b w:val="0"/>
                <w:i w:val="0"/>
                <w:color w:val="334E68"/>
                <w:sz w:val="17"/>
              </w:rPr>
              <w:t>Both retained, with a footnote explaining the relationship so the source terminology stays recognisable. Sections 8.3, 11.1.</w:t>
            </w:r>
          </w:p>
        </w:tc>
      </w:tr>
      <w:tr>
        <w:trPr>
          <w:cantSplit/>
        </w:trPr>
        <w:tc>
          <w:tcPr>
            <w:tcW w:type="dxa" w:w="386"/>
          </w:tcPr>
          <w:p>
            <w:pPr>
              <w:spacing w:after="20" w:before="20"/>
            </w:pPr>
            <w:r/>
            <w:r>
              <w:rPr>
                <w:rFonts w:ascii="Calibri" w:hAnsi="Calibri"/>
                <w:b/>
                <w:i w:val="0"/>
                <w:color w:val="334E68"/>
                <w:sz w:val="17"/>
              </w:rPr>
              <w:t>5</w:t>
            </w:r>
          </w:p>
        </w:tc>
        <w:tc>
          <w:tcPr>
            <w:tcW w:type="dxa" w:w="2313"/>
          </w:tcPr>
          <w:p>
            <w:pPr>
              <w:spacing w:after="20" w:before="20"/>
            </w:pPr>
            <w:r/>
            <w:r>
              <w:rPr>
                <w:rFonts w:ascii="Calibri" w:hAnsi="Calibri"/>
                <w:b w:val="0"/>
                <w:i w:val="0"/>
                <w:color w:val="334E68"/>
                <w:sz w:val="17"/>
              </w:rPr>
              <w:t>“SystemDB and TenantDB … should not be confused with HA server architecture.”</w:t>
            </w:r>
          </w:p>
        </w:tc>
        <w:tc>
          <w:tcPr>
            <w:tcW w:type="dxa" w:w="3277"/>
          </w:tcPr>
          <w:p>
            <w:pPr>
              <w:spacing w:after="20" w:before="20"/>
            </w:pPr>
            <w:r/>
            <w:r>
              <w:rPr>
                <w:rFonts w:ascii="Calibri" w:hAnsi="Calibri"/>
                <w:b w:val="0"/>
                <w:i w:val="0"/>
                <w:color w:val="334E68"/>
                <w:sz w:val="17"/>
              </w:rPr>
              <w:t>Correct and important, but the source did not name the actual HA mechanism.</w:t>
            </w:r>
          </w:p>
        </w:tc>
        <w:tc>
          <w:tcPr>
            <w:tcW w:type="dxa" w:w="3662"/>
          </w:tcPr>
          <w:p>
            <w:pPr>
              <w:spacing w:after="20" w:before="20"/>
            </w:pPr>
            <w:r/>
            <w:r>
              <w:rPr>
                <w:rFonts w:ascii="Calibri" w:hAnsi="Calibri"/>
                <w:b w:val="0"/>
                <w:i w:val="0"/>
                <w:color w:val="334E68"/>
                <w:sz w:val="17"/>
              </w:rPr>
              <w:t>Added HANA System Replication (HSR) as the HA mechanism, clearly separated from the container model. Sections 6.1, Figure 4.</w:t>
            </w:r>
          </w:p>
        </w:tc>
      </w:tr>
      <w:tr>
        <w:trPr>
          <w:cantSplit/>
        </w:trPr>
        <w:tc>
          <w:tcPr>
            <w:tcW w:type="dxa" w:w="386"/>
            <w:shd w:val="clear" w:color="auto" w:fill="FAFBFD"/>
          </w:tcPr>
          <w:p>
            <w:pPr>
              <w:spacing w:after="20" w:before="20"/>
            </w:pPr>
            <w:r/>
            <w:r>
              <w:rPr>
                <w:rFonts w:ascii="Calibri" w:hAnsi="Calibri"/>
                <w:b/>
                <w:i w:val="0"/>
                <w:color w:val="334E68"/>
                <w:sz w:val="17"/>
              </w:rPr>
              <w:t>6</w:t>
            </w:r>
          </w:p>
        </w:tc>
        <w:tc>
          <w:tcPr>
            <w:tcW w:type="dxa" w:w="2313"/>
            <w:shd w:val="clear" w:color="auto" w:fill="FAFBFD"/>
          </w:tcPr>
          <w:p>
            <w:pPr>
              <w:spacing w:after="20" w:before="20"/>
            </w:pPr>
            <w:r/>
            <w:r>
              <w:rPr>
                <w:rFonts w:ascii="Calibri" w:hAnsi="Calibri"/>
                <w:b w:val="0"/>
                <w:i w:val="0"/>
                <w:color w:val="334E68"/>
                <w:sz w:val="17"/>
              </w:rPr>
              <w:t>S3 as the HANA backup backend, mechanism unnamed.</w:t>
            </w:r>
          </w:p>
        </w:tc>
        <w:tc>
          <w:tcPr>
            <w:tcW w:type="dxa" w:w="3277"/>
            <w:shd w:val="clear" w:color="auto" w:fill="FAFBFD"/>
          </w:tcPr>
          <w:p>
            <w:pPr>
              <w:spacing w:after="20" w:before="20"/>
            </w:pPr>
            <w:r/>
            <w:r>
              <w:rPr>
                <w:rFonts w:ascii="Calibri" w:hAnsi="Calibri"/>
                <w:b w:val="0"/>
                <w:i w:val="0"/>
                <w:color w:val="334E68"/>
                <w:sz w:val="17"/>
              </w:rPr>
              <w:t>The mechanism (certified Backint agent versus file-based backup) changes the configuration, permissions, logs and restore syntax.</w:t>
            </w:r>
          </w:p>
        </w:tc>
        <w:tc>
          <w:tcPr>
            <w:tcW w:type="dxa" w:w="3662"/>
            <w:shd w:val="clear" w:color="auto" w:fill="FAFBFD"/>
          </w:tcPr>
          <w:p>
            <w:pPr>
              <w:spacing w:after="20" w:before="20"/>
            </w:pPr>
            <w:r/>
            <w:r>
              <w:rPr>
                <w:rFonts w:ascii="Calibri" w:hAnsi="Calibri"/>
                <w:b w:val="0"/>
                <w:i w:val="0"/>
                <w:color w:val="334E68"/>
                <w:sz w:val="17"/>
              </w:rPr>
              <w:t>Flagged for confirmation with the project HANA standard; both options described. Section 6.3.</w:t>
            </w:r>
          </w:p>
        </w:tc>
      </w:tr>
      <w:tr>
        <w:trPr>
          <w:cantSplit/>
        </w:trPr>
        <w:tc>
          <w:tcPr>
            <w:tcW w:type="dxa" w:w="386"/>
          </w:tcPr>
          <w:p>
            <w:pPr>
              <w:spacing w:after="20" w:before="20"/>
            </w:pPr>
            <w:r/>
            <w:r>
              <w:rPr>
                <w:rFonts w:ascii="Calibri" w:hAnsi="Calibri"/>
                <w:b/>
                <w:i w:val="0"/>
                <w:color w:val="334E68"/>
                <w:sz w:val="17"/>
              </w:rPr>
              <w:t>7</w:t>
            </w:r>
          </w:p>
        </w:tc>
        <w:tc>
          <w:tcPr>
            <w:tcW w:type="dxa" w:w="2313"/>
          </w:tcPr>
          <w:p>
            <w:pPr>
              <w:spacing w:after="20" w:before="20"/>
            </w:pPr>
            <w:r/>
            <w:r>
              <w:rPr>
                <w:rFonts w:ascii="Calibri" w:hAnsi="Calibri"/>
                <w:b w:val="0"/>
                <w:i w:val="0"/>
                <w:color w:val="334E68"/>
                <w:sz w:val="17"/>
              </w:rPr>
              <w:t>“The target standby is activated as the new primary.”</w:t>
            </w:r>
          </w:p>
        </w:tc>
        <w:tc>
          <w:tcPr>
            <w:tcW w:type="dxa" w:w="3277"/>
          </w:tcPr>
          <w:p>
            <w:pPr>
              <w:spacing w:after="20" w:before="20"/>
            </w:pPr>
            <w:r/>
            <w:r>
              <w:rPr>
                <w:rFonts w:ascii="Calibri" w:hAnsi="Calibri"/>
                <w:b w:val="0"/>
                <w:i w:val="0"/>
                <w:color w:val="334E68"/>
                <w:sz w:val="17"/>
              </w:rPr>
              <w:t>Correct for the scenario, but the source used switchover and activation language interchangeably, and did not distinguish it from failover.</w:t>
            </w:r>
          </w:p>
        </w:tc>
        <w:tc>
          <w:tcPr>
            <w:tcW w:type="dxa" w:w="3662"/>
          </w:tcPr>
          <w:p>
            <w:pPr>
              <w:spacing w:after="20" w:before="20"/>
            </w:pPr>
            <w:r/>
            <w:r>
              <w:rPr>
                <w:rFonts w:ascii="Calibri" w:hAnsi="Calibri"/>
                <w:b w:val="0"/>
                <w:i w:val="0"/>
                <w:color w:val="334E68"/>
                <w:sz w:val="17"/>
              </w:rPr>
              <w:t>Added the switchover-versus-failover distinction and a vocabulary table; noted that command syntax belongs to the project runbook. Section 9.1, Figure 5.</w:t>
            </w:r>
          </w:p>
        </w:tc>
      </w:tr>
      <w:tr>
        <w:trPr>
          <w:cantSplit/>
        </w:trPr>
        <w:tc>
          <w:tcPr>
            <w:tcW w:type="dxa" w:w="386"/>
            <w:shd w:val="clear" w:color="auto" w:fill="FAFBFD"/>
          </w:tcPr>
          <w:p>
            <w:pPr>
              <w:spacing w:after="20" w:before="20"/>
            </w:pPr>
            <w:r/>
            <w:r>
              <w:rPr>
                <w:rFonts w:ascii="Calibri" w:hAnsi="Calibri"/>
                <w:b/>
                <w:i w:val="0"/>
                <w:color w:val="334E68"/>
                <w:sz w:val="17"/>
              </w:rPr>
              <w:t>8</w:t>
            </w:r>
          </w:p>
        </w:tc>
        <w:tc>
          <w:tcPr>
            <w:tcW w:type="dxa" w:w="2313"/>
            <w:shd w:val="clear" w:color="auto" w:fill="FAFBFD"/>
          </w:tcPr>
          <w:p>
            <w:pPr>
              <w:spacing w:after="20" w:before="20"/>
            </w:pPr>
            <w:r/>
            <w:r>
              <w:rPr>
                <w:rFonts w:ascii="Calibri" w:hAnsi="Calibri"/>
                <w:b w:val="0"/>
                <w:i w:val="0"/>
                <w:color w:val="334E68"/>
                <w:sz w:val="17"/>
              </w:rPr>
              <w:t>“Take the required AWS disk-level snapshot before subsequent activities.”</w:t>
            </w:r>
          </w:p>
        </w:tc>
        <w:tc>
          <w:tcPr>
            <w:tcW w:type="dxa" w:w="3277"/>
            <w:shd w:val="clear" w:color="auto" w:fill="FAFBFD"/>
          </w:tcPr>
          <w:p>
            <w:pPr>
              <w:spacing w:after="20" w:before="20"/>
            </w:pPr>
            <w:r/>
            <w:r>
              <w:rPr>
                <w:rFonts w:ascii="Calibri" w:hAnsi="Calibri"/>
                <w:b w:val="0"/>
                <w:i w:val="0"/>
                <w:color w:val="334E68"/>
                <w:sz w:val="17"/>
              </w:rPr>
              <w:t>Correct, but timing and consistency type matter: a snapshot taken before synchronisation completes, or a crash-consistent snapshot where an application-consistent one is required, is not a reliable recovery point.</w:t>
            </w:r>
          </w:p>
        </w:tc>
        <w:tc>
          <w:tcPr>
            <w:tcW w:type="dxa" w:w="3662"/>
            <w:shd w:val="clear" w:color="auto" w:fill="FAFBFD"/>
          </w:tcPr>
          <w:p>
            <w:pPr>
              <w:spacing w:after="20" w:before="20"/>
            </w:pPr>
            <w:r/>
            <w:r>
              <w:rPr>
                <w:rFonts w:ascii="Calibri" w:hAnsi="Calibri"/>
                <w:b w:val="0"/>
                <w:i w:val="0"/>
                <w:color w:val="334E68"/>
                <w:sz w:val="17"/>
              </w:rPr>
              <w:t>Specified the timing (after synchronisation, before role change) and flagged the consistency decision as a DBA-lead call. Section 9.3.</w:t>
            </w:r>
          </w:p>
        </w:tc>
      </w:tr>
      <w:tr>
        <w:trPr>
          <w:cantSplit/>
        </w:trPr>
        <w:tc>
          <w:tcPr>
            <w:tcW w:type="dxa" w:w="386"/>
          </w:tcPr>
          <w:p>
            <w:pPr>
              <w:spacing w:after="20" w:before="20"/>
            </w:pPr>
            <w:r/>
            <w:r>
              <w:rPr>
                <w:rFonts w:ascii="Calibri" w:hAnsi="Calibri"/>
                <w:b/>
                <w:i w:val="0"/>
                <w:color w:val="334E68"/>
                <w:sz w:val="17"/>
              </w:rPr>
              <w:t>9</w:t>
            </w:r>
          </w:p>
        </w:tc>
        <w:tc>
          <w:tcPr>
            <w:tcW w:type="dxa" w:w="2313"/>
          </w:tcPr>
          <w:p>
            <w:pPr>
              <w:spacing w:after="20" w:before="20"/>
            </w:pPr>
            <w:r/>
            <w:r>
              <w:rPr>
                <w:rFonts w:ascii="Calibri" w:hAnsi="Calibri"/>
                <w:b w:val="0"/>
                <w:i w:val="0"/>
                <w:color w:val="334E68"/>
                <w:sz w:val="17"/>
              </w:rPr>
              <w:t>“Extended Memory → if exhausted → Heap/Private Memory.”</w:t>
            </w:r>
          </w:p>
        </w:tc>
        <w:tc>
          <w:tcPr>
            <w:tcW w:type="dxa" w:w="3277"/>
          </w:tcPr>
          <w:p>
            <w:pPr>
              <w:spacing w:after="20" w:before="20"/>
            </w:pPr>
            <w:r/>
            <w:r>
              <w:rPr>
                <w:rFonts w:ascii="Calibri" w:hAnsi="Calibri"/>
                <w:b w:val="0"/>
                <w:i w:val="0"/>
                <w:color w:val="334E68"/>
                <w:sz w:val="17"/>
              </w:rPr>
              <w:t>Correct as a general relationship, but incomplete without roll area and paging, which is where the user-visible symptom often appears.</w:t>
            </w:r>
          </w:p>
        </w:tc>
        <w:tc>
          <w:tcPr>
            <w:tcW w:type="dxa" w:w="3662"/>
          </w:tcPr>
          <w:p>
            <w:pPr>
              <w:spacing w:after="20" w:before="20"/>
            </w:pPr>
            <w:r/>
            <w:r>
              <w:rPr>
                <w:rFonts w:ascii="Calibri" w:hAnsi="Calibri"/>
                <w:b w:val="0"/>
                <w:i w:val="0"/>
                <w:color w:val="334E68"/>
                <w:sz w:val="17"/>
              </w:rPr>
              <w:t>Extended the model to roll, EM, heap/private and paging, and added the “find the cause, don't raise the parameter” rule. Section 8.1, Figure 7.</w:t>
            </w:r>
          </w:p>
        </w:tc>
      </w:tr>
      <w:tr>
        <w:trPr>
          <w:cantSplit/>
        </w:trPr>
        <w:tc>
          <w:tcPr>
            <w:tcW w:type="dxa" w:w="386"/>
            <w:shd w:val="clear" w:color="auto" w:fill="FAFBFD"/>
          </w:tcPr>
          <w:p>
            <w:pPr>
              <w:spacing w:after="20" w:before="20"/>
            </w:pPr>
            <w:r/>
            <w:r>
              <w:rPr>
                <w:rFonts w:ascii="Calibri" w:hAnsi="Calibri"/>
                <w:b/>
                <w:i w:val="0"/>
                <w:color w:val="334E68"/>
                <w:sz w:val="17"/>
              </w:rPr>
              <w:t>10</w:t>
            </w:r>
          </w:p>
        </w:tc>
        <w:tc>
          <w:tcPr>
            <w:tcW w:type="dxa" w:w="2313"/>
            <w:shd w:val="clear" w:color="auto" w:fill="FAFBFD"/>
          </w:tcPr>
          <w:p>
            <w:pPr>
              <w:spacing w:after="20" w:before="20"/>
            </w:pPr>
            <w:r/>
            <w:r>
              <w:rPr>
                <w:rFonts w:ascii="Calibri" w:hAnsi="Calibri"/>
                <w:b w:val="0"/>
                <w:i w:val="0"/>
                <w:color w:val="334E68"/>
                <w:sz w:val="17"/>
              </w:rPr>
              <w:t>“Approximately 1200 ms response time and 40% average database request time.”</w:t>
            </w:r>
          </w:p>
        </w:tc>
        <w:tc>
          <w:tcPr>
            <w:tcW w:type="dxa" w:w="3277"/>
            <w:shd w:val="clear" w:color="auto" w:fill="FAFBFD"/>
          </w:tcPr>
          <w:p>
            <w:pPr>
              <w:spacing w:after="20" w:before="20"/>
            </w:pPr>
            <w:r/>
            <w:r>
              <w:rPr>
                <w:rFonts w:ascii="Calibri" w:hAnsi="Calibri"/>
                <w:b w:val="0"/>
                <w:i w:val="0"/>
                <w:color w:val="334E68"/>
                <w:sz w:val="17"/>
              </w:rPr>
              <w:t>These are discussion values, not standards. Quoting them without qualification risks them being configured as production thresholds.</w:t>
            </w:r>
          </w:p>
        </w:tc>
        <w:tc>
          <w:tcPr>
            <w:tcW w:type="dxa" w:w="3662"/>
            <w:shd w:val="clear" w:color="auto" w:fill="FAFBFD"/>
          </w:tcPr>
          <w:p>
            <w:pPr>
              <w:spacing w:after="20" w:before="20"/>
            </w:pPr>
            <w:r/>
            <w:r>
              <w:rPr>
                <w:rFonts w:ascii="Calibri" w:hAnsi="Calibri"/>
                <w:b w:val="0"/>
                <w:i w:val="0"/>
                <w:color w:val="334E68"/>
                <w:sz w:val="17"/>
              </w:rPr>
              <w:t>Retained verbatim with a prominent caution to validate against the applicable SAP and client baseline. Section 8.4.</w:t>
            </w:r>
          </w:p>
        </w:tc>
      </w:tr>
      <w:tr>
        <w:trPr>
          <w:cantSplit/>
        </w:trPr>
        <w:tc>
          <w:tcPr>
            <w:tcW w:type="dxa" w:w="386"/>
          </w:tcPr>
          <w:p>
            <w:pPr>
              <w:spacing w:after="20" w:before="20"/>
            </w:pPr>
            <w:r/>
            <w:r>
              <w:rPr>
                <w:rFonts w:ascii="Calibri" w:hAnsi="Calibri"/>
                <w:b/>
                <w:i w:val="0"/>
                <w:color w:val="334E68"/>
                <w:sz w:val="17"/>
              </w:rPr>
              <w:t>11</w:t>
            </w:r>
          </w:p>
        </w:tc>
        <w:tc>
          <w:tcPr>
            <w:tcW w:type="dxa" w:w="2313"/>
          </w:tcPr>
          <w:p>
            <w:pPr>
              <w:spacing w:after="20" w:before="20"/>
            </w:pPr>
            <w:r/>
            <w:r>
              <w:rPr>
                <w:rFonts w:ascii="Calibri" w:hAnsi="Calibri"/>
                <w:b w:val="0"/>
                <w:i w:val="0"/>
                <w:color w:val="334E68"/>
                <w:sz w:val="17"/>
              </w:rPr>
              <w:t>“Identify NFS dependencies and determine whether the share is maintained/copied or migrated to AWS EFS.”</w:t>
            </w:r>
          </w:p>
        </w:tc>
        <w:tc>
          <w:tcPr>
            <w:tcW w:type="dxa" w:w="3277"/>
          </w:tcPr>
          <w:p>
            <w:pPr>
              <w:spacing w:after="20" w:before="20"/>
            </w:pPr>
            <w:r/>
            <w:r>
              <w:rPr>
                <w:rFonts w:ascii="Calibri" w:hAnsi="Calibri"/>
                <w:b w:val="0"/>
                <w:i w:val="0"/>
                <w:color w:val="334E68"/>
                <w:sz w:val="17"/>
              </w:rPr>
              <w:t>Correct, but EFS is not always the right target for SAP NFS workloads; performance characteristics and NFS feature requirements may point elsewhere.</w:t>
            </w:r>
          </w:p>
        </w:tc>
        <w:tc>
          <w:tcPr>
            <w:tcW w:type="dxa" w:w="3662"/>
          </w:tcPr>
          <w:p>
            <w:pPr>
              <w:spacing w:after="20" w:before="20"/>
            </w:pPr>
            <w:r/>
            <w:r>
              <w:rPr>
                <w:rFonts w:ascii="Calibri" w:hAnsi="Calibri"/>
                <w:b w:val="0"/>
                <w:i w:val="0"/>
                <w:color w:val="334E68"/>
                <w:sz w:val="17"/>
              </w:rPr>
              <w:t>Added FSx for NetApp ONTAP as an alternative in the glossary and a note to confirm performance requirements per share. Sections 4.3, Appendix C.</w:t>
            </w:r>
          </w:p>
        </w:tc>
      </w:tr>
      <w:tr>
        <w:trPr>
          <w:cantSplit/>
        </w:trPr>
        <w:tc>
          <w:tcPr>
            <w:tcW w:type="dxa" w:w="386"/>
            <w:shd w:val="clear" w:color="auto" w:fill="FAFBFD"/>
          </w:tcPr>
          <w:p>
            <w:pPr>
              <w:spacing w:after="20" w:before="20"/>
            </w:pPr>
            <w:r/>
            <w:r>
              <w:rPr>
                <w:rFonts w:ascii="Calibri" w:hAnsi="Calibri"/>
                <w:b/>
                <w:i w:val="0"/>
                <w:color w:val="334E68"/>
                <w:sz w:val="17"/>
              </w:rPr>
              <w:t>12</w:t>
            </w:r>
          </w:p>
        </w:tc>
        <w:tc>
          <w:tcPr>
            <w:tcW w:type="dxa" w:w="2313"/>
            <w:shd w:val="clear" w:color="auto" w:fill="FAFBFD"/>
          </w:tcPr>
          <w:p>
            <w:pPr>
              <w:spacing w:after="20" w:before="20"/>
            </w:pPr>
            <w:r/>
            <w:r>
              <w:rPr>
                <w:rFonts w:ascii="Calibri" w:hAnsi="Calibri"/>
                <w:b w:val="0"/>
                <w:i w:val="0"/>
                <w:color w:val="334E68"/>
                <w:sz w:val="17"/>
              </w:rPr>
              <w:t>“Provide 15 days of hypercare.”</w:t>
            </w:r>
          </w:p>
        </w:tc>
        <w:tc>
          <w:tcPr>
            <w:tcW w:type="dxa" w:w="3277"/>
            <w:shd w:val="clear" w:color="auto" w:fill="FAFBFD"/>
          </w:tcPr>
          <w:p>
            <w:pPr>
              <w:spacing w:after="20" w:before="20"/>
            </w:pPr>
            <w:r/>
            <w:r>
              <w:rPr>
                <w:rFonts w:ascii="Calibri" w:hAnsi="Calibri"/>
                <w:b w:val="0"/>
                <w:i w:val="0"/>
                <w:color w:val="334E68"/>
                <w:sz w:val="17"/>
              </w:rPr>
              <w:t>Client/programme-specific commitment rather than an industry standard.</w:t>
            </w:r>
          </w:p>
        </w:tc>
        <w:tc>
          <w:tcPr>
            <w:tcW w:type="dxa" w:w="3662"/>
            <w:shd w:val="clear" w:color="auto" w:fill="FAFBFD"/>
          </w:tcPr>
          <w:p>
            <w:pPr>
              <w:spacing w:after="20" w:before="20"/>
            </w:pPr>
            <w:r/>
            <w:r>
              <w:rPr>
                <w:rFonts w:ascii="Calibri" w:hAnsi="Calibri"/>
                <w:b w:val="0"/>
                <w:i w:val="0"/>
                <w:color w:val="334E68"/>
                <w:sz w:val="17"/>
              </w:rPr>
              <w:t>Retained as stated, and labelled explicitly as the period stated in the source training. Sections 10.6, 17 (Q12).</w:t>
            </w:r>
          </w:p>
        </w:tc>
      </w:tr>
    </w:tbl>
    <w:p>
      <w:pPr>
        <w:spacing w:after="40"/>
      </w:pPr>
    </w:p>
    <w:p>
      <w:pPr>
        <w:pStyle w:val="Heading2"/>
        <w:pBdr>
          <w:bottom w:val="single" w:sz="6" w:space="3" w:color="E8EDF3"/>
        </w:pBdr>
      </w:pPr>
      <w:r>
        <w:rPr>
          <w:rFonts w:ascii="Calibri" w:hAnsi="Calibri"/>
          <w:b/>
          <w:color w:val="0F2B4C"/>
          <w:sz w:val="26"/>
        </w:rPr>
        <w:t>D.3  Terms preserved but flagged for confirmation</w:t>
      </w:r>
    </w:p>
    <w:p>
      <w:pPr>
        <w:spacing w:after="60" w:before="160"/>
        <w:keepNext/>
      </w:pPr>
      <w:r>
        <w:rPr>
          <w:rFonts w:ascii="Calibri" w:hAnsi="Calibri"/>
          <w:b/>
          <w:color w:val="5B7288"/>
          <w:sz w:val="15"/>
        </w:rPr>
        <w:t>FLAGGED TERMS</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735"/>
        <w:gridCol w:w="1735"/>
        <w:gridCol w:w="6168"/>
      </w:tblGrid>
      <w:tr>
        <w:trPr>
          <w:tblHeader/>
          <w:cantSplit/>
        </w:trPr>
        <w:tc>
          <w:tcPr>
            <w:tcW w:type="dxa" w:w="1735"/>
            <w:shd w:val="clear" w:color="auto" w:fill="0F2B4C"/>
          </w:tcPr>
          <w:p>
            <w:pPr>
              <w:spacing w:after="20" w:before="20"/>
            </w:pPr>
            <w:r/>
            <w:r>
              <w:rPr>
                <w:rFonts w:ascii="Calibri" w:hAnsi="Calibri"/>
                <w:b/>
                <w:color w:val="FFFFFF"/>
                <w:sz w:val="17"/>
              </w:rPr>
              <w:t>Term</w:t>
            </w:r>
          </w:p>
        </w:tc>
        <w:tc>
          <w:tcPr>
            <w:tcW w:type="dxa" w:w="1735"/>
            <w:shd w:val="clear" w:color="auto" w:fill="0F2B4C"/>
          </w:tcPr>
          <w:p>
            <w:pPr>
              <w:spacing w:after="20" w:before="20"/>
            </w:pPr>
            <w:r/>
            <w:r>
              <w:rPr>
                <w:rFonts w:ascii="Calibri" w:hAnsi="Calibri"/>
                <w:b/>
                <w:color w:val="FFFFFF"/>
                <w:sz w:val="17"/>
              </w:rPr>
              <w:t>Where used</w:t>
            </w:r>
          </w:p>
        </w:tc>
        <w:tc>
          <w:tcPr>
            <w:tcW w:type="dxa" w:w="6168"/>
            <w:shd w:val="clear" w:color="auto" w:fill="0F2B4C"/>
          </w:tcPr>
          <w:p>
            <w:pPr>
              <w:spacing w:after="20" w:before="20"/>
            </w:pPr>
            <w:r/>
            <w:r>
              <w:rPr>
                <w:rFonts w:ascii="Calibri" w:hAnsi="Calibri"/>
                <w:b/>
                <w:color w:val="FFFFFF"/>
                <w:sz w:val="17"/>
              </w:rPr>
              <w:t>Why it is flagged</w:t>
            </w:r>
          </w:p>
        </w:tc>
      </w:tr>
      <w:tr>
        <w:trPr>
          <w:cantSplit/>
        </w:trPr>
        <w:tc>
          <w:tcPr>
            <w:tcW w:type="dxa" w:w="1735"/>
          </w:tcPr>
          <w:p>
            <w:pPr>
              <w:spacing w:after="20" w:before="20"/>
            </w:pPr>
            <w:r/>
            <w:r>
              <w:rPr>
                <w:rFonts w:ascii="Calibri" w:hAnsi="Calibri"/>
                <w:b/>
                <w:i w:val="0"/>
                <w:color w:val="334E68"/>
                <w:sz w:val="17"/>
              </w:rPr>
              <w:t>ADPU</w:t>
            </w:r>
          </w:p>
        </w:tc>
        <w:tc>
          <w:tcPr>
            <w:tcW w:type="dxa" w:w="1735"/>
          </w:tcPr>
          <w:p>
            <w:pPr>
              <w:spacing w:after="20" w:before="20"/>
            </w:pPr>
            <w:r/>
            <w:r>
              <w:rPr>
                <w:rFonts w:ascii="Calibri" w:hAnsi="Calibri"/>
                <w:b w:val="0"/>
                <w:i w:val="0"/>
                <w:color w:val="334E68"/>
                <w:sz w:val="17"/>
              </w:rPr>
              <w:t>Section 10.4</w:t>
            </w:r>
          </w:p>
        </w:tc>
        <w:tc>
          <w:tcPr>
            <w:tcW w:type="dxa" w:w="6168"/>
          </w:tcPr>
          <w:p>
            <w:pPr>
              <w:spacing w:after="20" w:before="20"/>
            </w:pPr>
            <w:r/>
            <w:r>
              <w:rPr>
                <w:rFonts w:ascii="Calibri" w:hAnsi="Calibri"/>
                <w:b w:val="0"/>
                <w:i w:val="0"/>
                <w:color w:val="334E68"/>
                <w:sz w:val="17"/>
              </w:rPr>
              <w:t>Sign-off step named in the source training; the exact expansion and scope are client-specific.</w:t>
            </w:r>
          </w:p>
        </w:tc>
      </w:tr>
      <w:tr>
        <w:trPr>
          <w:cantSplit/>
        </w:trPr>
        <w:tc>
          <w:tcPr>
            <w:tcW w:type="dxa" w:w="1735"/>
            <w:shd w:val="clear" w:color="auto" w:fill="FAFBFD"/>
          </w:tcPr>
          <w:p>
            <w:pPr>
              <w:spacing w:after="20" w:before="20"/>
            </w:pPr>
            <w:r/>
            <w:r>
              <w:rPr>
                <w:rFonts w:ascii="Calibri" w:hAnsi="Calibri"/>
                <w:b/>
                <w:i w:val="0"/>
                <w:color w:val="334E68"/>
                <w:sz w:val="17"/>
              </w:rPr>
              <w:t>MBox</w:t>
            </w:r>
          </w:p>
        </w:tc>
        <w:tc>
          <w:tcPr>
            <w:tcW w:type="dxa" w:w="1735"/>
            <w:shd w:val="clear" w:color="auto" w:fill="FAFBFD"/>
          </w:tcPr>
          <w:p>
            <w:pPr>
              <w:spacing w:after="20" w:before="20"/>
            </w:pPr>
            <w:r/>
            <w:r>
              <w:rPr>
                <w:rFonts w:ascii="Calibri" w:hAnsi="Calibri"/>
                <w:b w:val="0"/>
                <w:i w:val="0"/>
                <w:color w:val="334E68"/>
                <w:sz w:val="17"/>
              </w:rPr>
              <w:t>Section 10.3</w:t>
            </w:r>
          </w:p>
        </w:tc>
        <w:tc>
          <w:tcPr>
            <w:tcW w:type="dxa" w:w="6168"/>
            <w:shd w:val="clear" w:color="auto" w:fill="FAFBFD"/>
          </w:tcPr>
          <w:p>
            <w:pPr>
              <w:spacing w:after="20" w:before="20"/>
            </w:pPr>
            <w:r/>
            <w:r>
              <w:rPr>
                <w:rFonts w:ascii="Calibri" w:hAnsi="Calibri"/>
                <w:b w:val="0"/>
                <w:i w:val="0"/>
                <w:color w:val="334E68"/>
                <w:sz w:val="17"/>
              </w:rPr>
              <w:t>Integration component named in the source; not a generally documented product name in this context.</w:t>
            </w:r>
          </w:p>
        </w:tc>
      </w:tr>
      <w:tr>
        <w:trPr>
          <w:cantSplit/>
        </w:trPr>
        <w:tc>
          <w:tcPr>
            <w:tcW w:type="dxa" w:w="1735"/>
          </w:tcPr>
          <w:p>
            <w:pPr>
              <w:spacing w:after="20" w:before="20"/>
            </w:pPr>
            <w:r/>
            <w:r>
              <w:rPr>
                <w:rFonts w:ascii="Calibri" w:hAnsi="Calibri"/>
                <w:b/>
                <w:i w:val="0"/>
                <w:color w:val="334E68"/>
                <w:sz w:val="17"/>
              </w:rPr>
              <w:t>OEM / OBM</w:t>
            </w:r>
          </w:p>
        </w:tc>
        <w:tc>
          <w:tcPr>
            <w:tcW w:type="dxa" w:w="1735"/>
          </w:tcPr>
          <w:p>
            <w:pPr>
              <w:spacing w:after="20" w:before="20"/>
            </w:pPr>
            <w:r/>
            <w:r>
              <w:rPr>
                <w:rFonts w:ascii="Calibri" w:hAnsi="Calibri"/>
                <w:b w:val="0"/>
                <w:i w:val="0"/>
                <w:color w:val="334E68"/>
                <w:sz w:val="17"/>
              </w:rPr>
              <w:t>Sections 4.3, 9.3</w:t>
            </w:r>
          </w:p>
        </w:tc>
        <w:tc>
          <w:tcPr>
            <w:tcW w:type="dxa" w:w="6168"/>
          </w:tcPr>
          <w:p>
            <w:pPr>
              <w:spacing w:after="20" w:before="20"/>
            </w:pPr>
            <w:r/>
            <w:r>
              <w:rPr>
                <w:rFonts w:ascii="Calibri" w:hAnsi="Calibri"/>
                <w:b w:val="0"/>
                <w:i w:val="0"/>
                <w:color w:val="334E68"/>
                <w:sz w:val="17"/>
              </w:rPr>
              <w:t>Used together in the source for external agents; OEM is most likely Oracle Enterprise Manager, OBM is unclear.</w:t>
            </w:r>
          </w:p>
        </w:tc>
      </w:tr>
      <w:tr>
        <w:trPr>
          <w:cantSplit/>
        </w:trPr>
        <w:tc>
          <w:tcPr>
            <w:tcW w:type="dxa" w:w="1735"/>
            <w:shd w:val="clear" w:color="auto" w:fill="FAFBFD"/>
          </w:tcPr>
          <w:p>
            <w:pPr>
              <w:spacing w:after="20" w:before="20"/>
            </w:pPr>
            <w:r/>
            <w:r>
              <w:rPr>
                <w:rFonts w:ascii="Calibri" w:hAnsi="Calibri"/>
                <w:b/>
                <w:i w:val="0"/>
                <w:color w:val="334E68"/>
                <w:sz w:val="17"/>
              </w:rPr>
              <w:t>EDG</w:t>
            </w:r>
          </w:p>
        </w:tc>
        <w:tc>
          <w:tcPr>
            <w:tcW w:type="dxa" w:w="1735"/>
            <w:shd w:val="clear" w:color="auto" w:fill="FAFBFD"/>
          </w:tcPr>
          <w:p>
            <w:pPr>
              <w:spacing w:after="20" w:before="20"/>
            </w:pPr>
            <w:r/>
            <w:r>
              <w:rPr>
                <w:rFonts w:ascii="Calibri" w:hAnsi="Calibri"/>
                <w:b w:val="0"/>
                <w:i w:val="0"/>
                <w:color w:val="334E68"/>
                <w:sz w:val="17"/>
              </w:rPr>
              <w:t>Section 10.6</w:t>
            </w:r>
          </w:p>
        </w:tc>
        <w:tc>
          <w:tcPr>
            <w:tcW w:type="dxa" w:w="6168"/>
            <w:shd w:val="clear" w:color="auto" w:fill="FAFBFD"/>
          </w:tcPr>
          <w:p>
            <w:pPr>
              <w:spacing w:after="20" w:before="20"/>
            </w:pPr>
            <w:r/>
            <w:r>
              <w:rPr>
                <w:rFonts w:ascii="Calibri" w:hAnsi="Calibri"/>
                <w:b w:val="0"/>
                <w:i w:val="0"/>
                <w:color w:val="334E68"/>
                <w:sz w:val="17"/>
              </w:rPr>
              <w:t>Post-go-live configuration item named in the source; expansion is client-specific.</w:t>
            </w:r>
          </w:p>
        </w:tc>
      </w:tr>
      <w:tr>
        <w:trPr>
          <w:cantSplit/>
        </w:trPr>
        <w:tc>
          <w:tcPr>
            <w:tcW w:type="dxa" w:w="1735"/>
          </w:tcPr>
          <w:p>
            <w:pPr>
              <w:spacing w:after="20" w:before="20"/>
            </w:pPr>
            <w:r/>
            <w:r>
              <w:rPr>
                <w:rFonts w:ascii="Calibri" w:hAnsi="Calibri"/>
                <w:b/>
                <w:i w:val="0"/>
                <w:color w:val="334E68"/>
                <w:sz w:val="17"/>
              </w:rPr>
              <w:t>Type 3 RFC passwords</w:t>
            </w:r>
          </w:p>
        </w:tc>
        <w:tc>
          <w:tcPr>
            <w:tcW w:type="dxa" w:w="1735"/>
          </w:tcPr>
          <w:p>
            <w:pPr>
              <w:spacing w:after="20" w:before="20"/>
            </w:pPr>
            <w:r/>
            <w:r>
              <w:rPr>
                <w:rFonts w:ascii="Calibri" w:hAnsi="Calibri"/>
                <w:b w:val="0"/>
                <w:i w:val="0"/>
                <w:color w:val="334E68"/>
                <w:sz w:val="17"/>
              </w:rPr>
              <w:t>Section 10.3</w:t>
            </w:r>
          </w:p>
        </w:tc>
        <w:tc>
          <w:tcPr>
            <w:tcW w:type="dxa" w:w="6168"/>
          </w:tcPr>
          <w:p>
            <w:pPr>
              <w:spacing w:after="20" w:before="20"/>
            </w:pPr>
            <w:r/>
            <w:r>
              <w:rPr>
                <w:rFonts w:ascii="Calibri" w:hAnsi="Calibri"/>
                <w:b w:val="0"/>
                <w:i w:val="0"/>
                <w:color w:val="334E68"/>
                <w:sz w:val="17"/>
              </w:rPr>
              <w:t>Type 3 is the ABAP-to-ABAP RFC connection type; the password-update requirement depends on the project's credential handling.</w:t>
            </w:r>
          </w:p>
        </w:tc>
      </w:tr>
      <w:tr>
        <w:trPr>
          <w:cantSplit/>
        </w:trPr>
        <w:tc>
          <w:tcPr>
            <w:tcW w:type="dxa" w:w="1735"/>
            <w:shd w:val="clear" w:color="auto" w:fill="FAFBFD"/>
          </w:tcPr>
          <w:p>
            <w:pPr>
              <w:spacing w:after="20" w:before="20"/>
            </w:pPr>
            <w:r/>
            <w:r>
              <w:rPr>
                <w:rFonts w:ascii="Calibri" w:hAnsi="Calibri"/>
                <w:b/>
                <w:i w:val="0"/>
                <w:color w:val="334E68"/>
                <w:sz w:val="17"/>
              </w:rPr>
              <w:t>saproot.sh / Oracle root scripts</w:t>
            </w:r>
          </w:p>
        </w:tc>
        <w:tc>
          <w:tcPr>
            <w:tcW w:type="dxa" w:w="1735"/>
            <w:shd w:val="clear" w:color="auto" w:fill="FAFBFD"/>
          </w:tcPr>
          <w:p>
            <w:pPr>
              <w:spacing w:after="20" w:before="20"/>
            </w:pPr>
            <w:r/>
            <w:r>
              <w:rPr>
                <w:rFonts w:ascii="Calibri" w:hAnsi="Calibri"/>
                <w:b w:val="0"/>
                <w:i w:val="0"/>
                <w:color w:val="334E68"/>
                <w:sz w:val="17"/>
              </w:rPr>
              <w:t>Section 10.2</w:t>
            </w:r>
          </w:p>
        </w:tc>
        <w:tc>
          <w:tcPr>
            <w:tcW w:type="dxa" w:w="6168"/>
            <w:shd w:val="clear" w:color="auto" w:fill="FAFBFD"/>
          </w:tcPr>
          <w:p>
            <w:pPr>
              <w:spacing w:after="20" w:before="20"/>
            </w:pPr>
            <w:r/>
            <w:r>
              <w:rPr>
                <w:rFonts w:ascii="Calibri" w:hAnsi="Calibri"/>
                <w:b w:val="0"/>
                <w:i w:val="0"/>
                <w:color w:val="334E68"/>
                <w:sz w:val="17"/>
              </w:rPr>
              <w:t>Correct in principle; exact script names vary by database, platform and SAP release.</w:t>
            </w:r>
          </w:p>
        </w:tc>
      </w:tr>
      <w:tr>
        <w:trPr>
          <w:cantSplit/>
        </w:trPr>
        <w:tc>
          <w:tcPr>
            <w:tcW w:type="dxa" w:w="1735"/>
          </w:tcPr>
          <w:p>
            <w:pPr>
              <w:spacing w:after="20" w:before="20"/>
            </w:pPr>
            <w:r/>
            <w:r>
              <w:rPr>
                <w:rFonts w:ascii="Calibri" w:hAnsi="Calibri"/>
                <w:b/>
                <w:i w:val="0"/>
                <w:color w:val="334E68"/>
                <w:sz w:val="17"/>
              </w:rPr>
              <w:t>webMethods / MuleSoft</w:t>
            </w:r>
          </w:p>
        </w:tc>
        <w:tc>
          <w:tcPr>
            <w:tcW w:type="dxa" w:w="1735"/>
          </w:tcPr>
          <w:p>
            <w:pPr>
              <w:spacing w:after="20" w:before="20"/>
            </w:pPr>
            <w:r/>
            <w:r>
              <w:rPr>
                <w:rFonts w:ascii="Calibri" w:hAnsi="Calibri"/>
                <w:b w:val="0"/>
                <w:i w:val="0"/>
                <w:color w:val="334E68"/>
                <w:sz w:val="17"/>
              </w:rPr>
              <w:t>Sections 10.3, 13</w:t>
            </w:r>
          </w:p>
        </w:tc>
        <w:tc>
          <w:tcPr>
            <w:tcW w:type="dxa" w:w="6168"/>
          </w:tcPr>
          <w:p>
            <w:pPr>
              <w:spacing w:after="20" w:before="20"/>
            </w:pPr>
            <w:r/>
            <w:r>
              <w:rPr>
                <w:rFonts w:ascii="Calibri" w:hAnsi="Calibri"/>
                <w:b w:val="0"/>
                <w:i w:val="0"/>
                <w:color w:val="334E68"/>
                <w:sz w:val="17"/>
              </w:rPr>
              <w:t>Named middleware in the source landscape; the applicable set is project-specific.</w:t>
            </w:r>
          </w:p>
        </w:tc>
      </w:tr>
      <w:tr>
        <w:trPr>
          <w:cantSplit/>
        </w:trPr>
        <w:tc>
          <w:tcPr>
            <w:tcW w:type="dxa" w:w="1735"/>
            <w:shd w:val="clear" w:color="auto" w:fill="FAFBFD"/>
          </w:tcPr>
          <w:p>
            <w:pPr>
              <w:spacing w:after="20" w:before="20"/>
            </w:pPr>
            <w:r/>
            <w:r>
              <w:rPr>
                <w:rFonts w:ascii="Calibri" w:hAnsi="Calibri"/>
                <w:b/>
                <w:i w:val="0"/>
                <w:color w:val="334E68"/>
                <w:sz w:val="17"/>
              </w:rPr>
              <w:t>Chef</w:t>
            </w:r>
          </w:p>
        </w:tc>
        <w:tc>
          <w:tcPr>
            <w:tcW w:type="dxa" w:w="1735"/>
            <w:shd w:val="clear" w:color="auto" w:fill="FAFBFD"/>
          </w:tcPr>
          <w:p>
            <w:pPr>
              <w:spacing w:after="20" w:before="20"/>
            </w:pPr>
            <w:r/>
            <w:r>
              <w:rPr>
                <w:rFonts w:ascii="Calibri" w:hAnsi="Calibri"/>
                <w:b w:val="0"/>
                <w:i w:val="0"/>
                <w:color w:val="334E68"/>
                <w:sz w:val="17"/>
              </w:rPr>
              <w:t>Sections 5.4, 11.2</w:t>
            </w:r>
          </w:p>
        </w:tc>
        <w:tc>
          <w:tcPr>
            <w:tcW w:type="dxa" w:w="6168"/>
            <w:shd w:val="clear" w:color="auto" w:fill="FAFBFD"/>
          </w:tcPr>
          <w:p>
            <w:pPr>
              <w:spacing w:after="20" w:before="20"/>
            </w:pPr>
            <w:r/>
            <w:r>
              <w:rPr>
                <w:rFonts w:ascii="Calibri" w:hAnsi="Calibri"/>
                <w:b w:val="0"/>
                <w:i w:val="0"/>
                <w:color w:val="334E68"/>
                <w:sz w:val="17"/>
              </w:rPr>
              <w:t>Configuration-management tool named in the source; the automation standard may differ by programme.</w:t>
            </w:r>
          </w:p>
        </w:tc>
      </w:tr>
      <w:tr>
        <w:trPr>
          <w:cantSplit/>
        </w:trPr>
        <w:tc>
          <w:tcPr>
            <w:tcW w:type="dxa" w:w="1735"/>
          </w:tcPr>
          <w:p>
            <w:pPr>
              <w:spacing w:after="20" w:before="20"/>
            </w:pPr>
            <w:r/>
            <w:r>
              <w:rPr>
                <w:rFonts w:ascii="Calibri" w:hAnsi="Calibri"/>
                <w:b/>
                <w:i w:val="0"/>
                <w:color w:val="334E68"/>
                <w:sz w:val="17"/>
              </w:rPr>
              <w:t>≈1200 ms / ≈40% DB time</w:t>
            </w:r>
          </w:p>
        </w:tc>
        <w:tc>
          <w:tcPr>
            <w:tcW w:type="dxa" w:w="1735"/>
          </w:tcPr>
          <w:p>
            <w:pPr>
              <w:spacing w:after="20" w:before="20"/>
            </w:pPr>
            <w:r/>
            <w:r>
              <w:rPr>
                <w:rFonts w:ascii="Calibri" w:hAnsi="Calibri"/>
                <w:b w:val="0"/>
                <w:i w:val="0"/>
                <w:color w:val="334E68"/>
                <w:sz w:val="17"/>
              </w:rPr>
              <w:t>Section 8.4</w:t>
            </w:r>
          </w:p>
        </w:tc>
        <w:tc>
          <w:tcPr>
            <w:tcW w:type="dxa" w:w="6168"/>
          </w:tcPr>
          <w:p>
            <w:pPr>
              <w:spacing w:after="20" w:before="20"/>
            </w:pPr>
            <w:r/>
            <w:r>
              <w:rPr>
                <w:rFonts w:ascii="Calibri" w:hAnsi="Calibri"/>
                <w:b w:val="0"/>
                <w:i w:val="0"/>
                <w:color w:val="334E68"/>
                <w:sz w:val="17"/>
              </w:rPr>
              <w:t>Discussion values from the source training, not validated production thresholds.</w:t>
            </w:r>
          </w:p>
        </w:tc>
      </w:tr>
    </w:tbl>
    <w:p>
      <w:pPr>
        <w:spacing w:after="40"/>
      </w:pPr>
    </w:p>
    <w:p>
      <w:pPr>
        <w:spacing w:before="180" w:after="40"/>
        <w:shd w:val="clear" w:color="auto" w:fill="FFFDF5"/>
        <w:pBdr>
          <w:left w:val="single" w:sz="6" w:space="6" w:color="D9A520"/>
          <w:top w:val="single" w:sz="6" w:space="6" w:color="D9A520"/>
          <w:right w:val="single" w:sz="6" w:space="6" w:color="D9A520"/>
        </w:pBdr>
        <w:keepNext/>
      </w:pPr>
      <w:r>
        <w:rPr>
          <w:rFonts w:ascii="Calibri" w:hAnsi="Calibri"/>
          <w:b/>
          <w:color w:val="D9A520"/>
          <w:sz w:val="16"/>
        </w:rPr>
        <w:t>OPEN ITEMS FOR THE PROGRAMME TO CLOSE</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Confirm the exact meaning of ADPU, MBox, EDG and OBM in the project glossary, then remove the flags.</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Confirm the HANA backup mechanism (Backint agent versus file-based) and record the configuration file set.</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Confirm whether the pre-switchover snapshot must be application-consistent, and record the decision.</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Validate the performance thresholds against the client baseline before they are used for alerting.</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Confirm the NFS target per share (EFS, FSx for NetApp ONTAP, or copy/maintain) against performance requirements.</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Confirm the SAP license reissue path and hardware-key change procedure for each migrated system.</w:t>
      </w:r>
    </w:p>
    <w:p>
      <w:pPr>
        <w:spacing w:after="40"/>
        <w:ind w:left="567" w:hanging="227"/>
        <w:shd w:val="clear" w:color="auto" w:fill="FFFDF5"/>
      </w:pPr>
      <w:r>
        <w:rPr>
          <w:rFonts w:ascii="Calibri" w:hAnsi="Calibri"/>
          <w:b/>
          <w:color w:val="1B4F86"/>
          <w:sz w:val="19"/>
        </w:rPr>
        <w:t xml:space="preserve">▪  </w:t>
      </w:r>
      <w:r>
        <w:rPr>
          <w:rFonts w:ascii="Calibri" w:hAnsi="Calibri"/>
          <w:b w:val="0"/>
          <w:i w:val="0"/>
          <w:color w:val="334E68"/>
          <w:sz w:val="19"/>
        </w:rPr>
        <w:t>Replace the placeholder reviewer and approver names in Section 0.5 before the document is issued externally.</w:t>
      </w:r>
    </w:p>
    <w:p>
      <w:pPr>
        <w:shd w:val="clear" w:color="auto" w:fill="FFFDF5"/>
        <w:pBdr>
          <w:left w:val="single" w:sz="6" w:space="6" w:color="D9A520"/>
          <w:bottom w:val="single" w:sz="6" w:space="6" w:color="D9A520"/>
          <w:right w:val="single" w:sz="6" w:space="6" w:color="D9A520"/>
        </w:pBdr>
        <w:spacing w:after="40"/>
      </w:pPr>
    </w:p>
    <w:p>
      <w:pPr>
        <w:pStyle w:val="Heading2"/>
        <w:pBdr>
          <w:bottom w:val="single" w:sz="6" w:space="3" w:color="E8EDF3"/>
        </w:pBdr>
      </w:pPr>
      <w:r>
        <w:rPr>
          <w:rFonts w:ascii="Calibri" w:hAnsi="Calibri"/>
          <w:b/>
          <w:color w:val="0F2B4C"/>
          <w:sz w:val="26"/>
        </w:rPr>
        <w:t>D.4  Review method</w:t>
      </w:r>
    </w:p>
    <w:p>
      <w:pPr>
        <w:spacing w:after="40"/>
        <w:ind w:left="578" w:hanging="227"/>
      </w:pPr>
      <w:r>
        <w:rPr>
          <w:rFonts w:ascii="Calibri" w:hAnsi="Calibri"/>
          <w:b/>
          <w:color w:val="0F2B4C"/>
          <w:sz w:val="19"/>
        </w:rPr>
        <w:t xml:space="preserve">1.  </w:t>
      </w:r>
      <w:r>
        <w:rPr>
          <w:rFonts w:ascii="Calibri" w:hAnsi="Calibri"/>
          <w:b w:val="0"/>
          <w:i w:val="0"/>
          <w:color w:val="334E68"/>
          <w:sz w:val="19"/>
        </w:rPr>
        <w:t>Structural review: re-sequenced the source material to follow the migration lifecycle and removed duplication across MOM sections.</w:t>
      </w:r>
    </w:p>
    <w:p>
      <w:pPr>
        <w:spacing w:after="40"/>
        <w:ind w:left="578" w:hanging="227"/>
      </w:pPr>
      <w:r>
        <w:rPr>
          <w:rFonts w:ascii="Calibri" w:hAnsi="Calibri"/>
          <w:b/>
          <w:color w:val="0F2B4C"/>
          <w:sz w:val="19"/>
        </w:rPr>
        <w:t xml:space="preserve">2.  </w:t>
      </w:r>
      <w:r>
        <w:rPr>
          <w:rFonts w:ascii="Calibri" w:hAnsi="Calibri"/>
          <w:b w:val="0"/>
          <w:i w:val="0"/>
          <w:color w:val="334E68"/>
          <w:sz w:val="19"/>
        </w:rPr>
        <w:t>Technical review: verified each transaction, command, concept and sequence against standard SAP Basis, HANA, Oracle and AWS practice; recorded findings in D.2.</w:t>
      </w:r>
    </w:p>
    <w:p>
      <w:pPr>
        <w:spacing w:after="40"/>
        <w:ind w:left="578" w:hanging="227"/>
      </w:pPr>
      <w:r>
        <w:rPr>
          <w:rFonts w:ascii="Calibri" w:hAnsi="Calibri"/>
          <w:b/>
          <w:color w:val="0F2B4C"/>
          <w:sz w:val="19"/>
        </w:rPr>
        <w:t xml:space="preserve">3.  </w:t>
      </w:r>
      <w:r>
        <w:rPr>
          <w:rFonts w:ascii="Calibri" w:hAnsi="Calibri"/>
          <w:b w:val="0"/>
          <w:i w:val="0"/>
          <w:color w:val="334E68"/>
          <w:sz w:val="19"/>
        </w:rPr>
        <w:t>Terminology review: preserved source wording, tagged client-specific terms, and added a glossary (Appendix C).</w:t>
      </w:r>
    </w:p>
    <w:p>
      <w:pPr>
        <w:spacing w:after="40"/>
        <w:ind w:left="578" w:hanging="227"/>
      </w:pPr>
      <w:r>
        <w:rPr>
          <w:rFonts w:ascii="Calibri" w:hAnsi="Calibri"/>
          <w:b/>
          <w:color w:val="0F2B4C"/>
          <w:sz w:val="19"/>
        </w:rPr>
        <w:t xml:space="preserve">4.  </w:t>
      </w:r>
      <w:r>
        <w:rPr>
          <w:rFonts w:ascii="Calibri" w:hAnsi="Calibri"/>
          <w:b w:val="0"/>
          <w:i w:val="0"/>
          <w:color w:val="334E68"/>
          <w:sz w:val="19"/>
        </w:rPr>
        <w:t>Consistency review: cross-checked every cross-reference, checklist item, figure and quiz question against the module text.</w:t>
      </w:r>
    </w:p>
    <w:p>
      <w:pPr>
        <w:spacing w:after="40"/>
        <w:ind w:left="578" w:hanging="227"/>
      </w:pPr>
      <w:r>
        <w:rPr>
          <w:rFonts w:ascii="Calibri" w:hAnsi="Calibri"/>
          <w:b/>
          <w:color w:val="0F2B4C"/>
          <w:sz w:val="19"/>
        </w:rPr>
        <w:t xml:space="preserve">5.  </w:t>
      </w:r>
      <w:r>
        <w:rPr>
          <w:rFonts w:ascii="Calibri" w:hAnsi="Calibri"/>
          <w:b w:val="0"/>
          <w:i w:val="0"/>
          <w:color w:val="334E68"/>
          <w:sz w:val="19"/>
        </w:rPr>
        <w:t>Usability review: added entry/exit criteria, role reading paths, expected outputs, a troubleshooting playbook and an escalation model.</w:t>
      </w:r>
    </w:p>
    <w:p>
      <w:pPr>
        <w:spacing w:after="40"/>
        <w:ind w:left="578" w:hanging="227"/>
      </w:pPr>
      <w:r>
        <w:rPr>
          <w:rFonts w:ascii="Calibri" w:hAnsi="Calibri"/>
          <w:b/>
          <w:color w:val="0F2B4C"/>
          <w:sz w:val="19"/>
        </w:rPr>
        <w:t xml:space="preserve">6.  </w:t>
      </w:r>
      <w:r>
        <w:rPr>
          <w:rFonts w:ascii="Calibri" w:hAnsi="Calibri"/>
          <w:b w:val="0"/>
          <w:i w:val="0"/>
          <w:color w:val="334E68"/>
          <w:sz w:val="19"/>
        </w:rPr>
        <w:t>Diagram review: each figure was generated programmatically and checked geometrically for text overflow and container fit before publication.</w:t>
      </w:r>
    </w:p>
    <w:p>
      <w:pPr>
        <w:pStyle w:val="Heading2"/>
        <w:pBdr>
          <w:bottom w:val="single" w:sz="6" w:space="3" w:color="E8EDF3"/>
        </w:pBdr>
      </w:pPr>
      <w:r>
        <w:rPr>
          <w:rFonts w:ascii="Calibri" w:hAnsi="Calibri"/>
          <w:b/>
          <w:color w:val="0F2B4C"/>
          <w:sz w:val="26"/>
        </w:rPr>
        <w:t>D.5  Quality-control results</w:t>
      </w:r>
    </w:p>
    <w:p>
      <w:pPr>
        <w:spacing w:after="60" w:before="160"/>
        <w:keepNext/>
      </w:pPr>
      <w:r>
        <w:rPr>
          <w:rFonts w:ascii="Calibri" w:hAnsi="Calibri"/>
          <w:b/>
          <w:color w:val="5B7288"/>
          <w:sz w:val="15"/>
        </w:rPr>
        <w:t>QC RESULTS FOR THIS RELEASE</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2313"/>
        <w:gridCol w:w="4626"/>
        <w:gridCol w:w="2699"/>
      </w:tblGrid>
      <w:tr>
        <w:trPr>
          <w:tblHeader/>
          <w:cantSplit/>
        </w:trPr>
        <w:tc>
          <w:tcPr>
            <w:tcW w:type="dxa" w:w="2313"/>
            <w:shd w:val="clear" w:color="auto" w:fill="0F2B4C"/>
          </w:tcPr>
          <w:p>
            <w:pPr>
              <w:spacing w:after="20" w:before="20"/>
            </w:pPr>
            <w:r/>
            <w:r>
              <w:rPr>
                <w:rFonts w:ascii="Calibri" w:hAnsi="Calibri"/>
                <w:b/>
                <w:color w:val="FFFFFF"/>
                <w:sz w:val="17"/>
              </w:rPr>
              <w:t>Control</w:t>
            </w:r>
          </w:p>
        </w:tc>
        <w:tc>
          <w:tcPr>
            <w:tcW w:type="dxa" w:w="4626"/>
            <w:shd w:val="clear" w:color="auto" w:fill="0F2B4C"/>
          </w:tcPr>
          <w:p>
            <w:pPr>
              <w:spacing w:after="20" w:before="20"/>
            </w:pPr>
            <w:r/>
            <w:r>
              <w:rPr>
                <w:rFonts w:ascii="Calibri" w:hAnsi="Calibri"/>
                <w:b/>
                <w:color w:val="FFFFFF"/>
                <w:sz w:val="17"/>
              </w:rPr>
              <w:t>Method</w:t>
            </w:r>
          </w:p>
        </w:tc>
        <w:tc>
          <w:tcPr>
            <w:tcW w:type="dxa" w:w="2699"/>
            <w:shd w:val="clear" w:color="auto" w:fill="0F2B4C"/>
          </w:tcPr>
          <w:p>
            <w:pPr>
              <w:spacing w:after="20" w:before="20"/>
            </w:pPr>
            <w:r/>
            <w:r>
              <w:rPr>
                <w:rFonts w:ascii="Calibri" w:hAnsi="Calibri"/>
                <w:b/>
                <w:color w:val="FFFFFF"/>
                <w:sz w:val="17"/>
              </w:rPr>
              <w:t>Result for v1.0</w:t>
            </w:r>
          </w:p>
        </w:tc>
      </w:tr>
      <w:tr>
        <w:trPr>
          <w:cantSplit/>
        </w:trPr>
        <w:tc>
          <w:tcPr>
            <w:tcW w:type="dxa" w:w="2313"/>
          </w:tcPr>
          <w:p>
            <w:pPr>
              <w:spacing w:after="20" w:before="20"/>
            </w:pPr>
            <w:r/>
            <w:r>
              <w:rPr>
                <w:rFonts w:ascii="Calibri" w:hAnsi="Calibri"/>
                <w:b/>
                <w:i w:val="0"/>
                <w:color w:val="334E68"/>
                <w:sz w:val="17"/>
              </w:rPr>
              <w:t>Diagram geometry</w:t>
            </w:r>
          </w:p>
        </w:tc>
        <w:tc>
          <w:tcPr>
            <w:tcW w:type="dxa" w:w="4626"/>
          </w:tcPr>
          <w:p>
            <w:pPr>
              <w:spacing w:after="20" w:before="20"/>
            </w:pPr>
            <w:r/>
            <w:r>
              <w:rPr>
                <w:rFonts w:ascii="Calibri" w:hAnsi="Calibri"/>
                <w:b w:val="0"/>
                <w:i w:val="0"/>
                <w:color w:val="334E68"/>
                <w:sz w:val="17"/>
              </w:rPr>
              <w:t>Every SVG text node measured against its container and the viewBox (</w:t>
            </w:r>
            <w:r>
              <w:rPr>
                <w:rFonts w:ascii="Consolas" w:hAnsi="Consolas"/>
                <w:b w:val="0"/>
                <w:i w:val="0"/>
                <w:color w:val="123A63"/>
                <w:sz w:val="17"/>
                <w:shd w:val="clear" w:color="auto" w:fill="EEF2F7"/>
              </w:rPr>
              <w:t>training/tools/svg_qa.py</w:t>
            </w:r>
            <w:r>
              <w:rPr>
                <w:rFonts w:ascii="Calibri" w:hAnsi="Calibri"/>
                <w:b w:val="0"/>
                <w:i w:val="0"/>
                <w:color w:val="334E68"/>
                <w:sz w:val="17"/>
              </w:rPr>
              <w:t>)</w:t>
            </w:r>
          </w:p>
        </w:tc>
        <w:tc>
          <w:tcPr>
            <w:tcW w:type="dxa" w:w="2699"/>
          </w:tcPr>
          <w:p>
            <w:pPr>
              <w:spacing w:after="20" w:before="20"/>
            </w:pPr>
            <w:r/>
            <w:r>
              <w:rPr>
                <w:rFonts w:ascii="Calibri" w:hAnsi="Calibri"/>
                <w:b w:val="0"/>
                <w:i w:val="0"/>
                <w:color w:val="334E68"/>
                <w:sz w:val="17"/>
              </w:rPr>
              <w:t>0 overflow issues across 8 figures</w:t>
            </w:r>
          </w:p>
        </w:tc>
      </w:tr>
      <w:tr>
        <w:trPr>
          <w:cantSplit/>
        </w:trPr>
        <w:tc>
          <w:tcPr>
            <w:tcW w:type="dxa" w:w="2313"/>
            <w:shd w:val="clear" w:color="auto" w:fill="FAFBFD"/>
          </w:tcPr>
          <w:p>
            <w:pPr>
              <w:spacing w:after="20" w:before="20"/>
            </w:pPr>
            <w:r/>
            <w:r>
              <w:rPr>
                <w:rFonts w:ascii="Calibri" w:hAnsi="Calibri"/>
                <w:b/>
                <w:i w:val="0"/>
                <w:color w:val="334E68"/>
                <w:sz w:val="17"/>
              </w:rPr>
              <w:t>Markup integrity</w:t>
            </w:r>
          </w:p>
        </w:tc>
        <w:tc>
          <w:tcPr>
            <w:tcW w:type="dxa" w:w="4626"/>
            <w:shd w:val="clear" w:color="auto" w:fill="FAFBFD"/>
          </w:tcPr>
          <w:p>
            <w:pPr>
              <w:spacing w:after="20" w:before="20"/>
            </w:pPr>
            <w:r/>
            <w:r>
              <w:rPr>
                <w:rFonts w:ascii="Calibri" w:hAnsi="Calibri"/>
                <w:b w:val="0"/>
                <w:i w:val="0"/>
                <w:color w:val="334E68"/>
                <w:sz w:val="17"/>
              </w:rPr>
              <w:t>HTML parsed and tag balance, duplicate ids and anchors verified at build time (</w:t>
            </w:r>
            <w:r>
              <w:rPr>
                <w:rFonts w:ascii="Consolas" w:hAnsi="Consolas"/>
                <w:b w:val="0"/>
                <w:i w:val="0"/>
                <w:color w:val="123A63"/>
                <w:sz w:val="17"/>
                <w:shd w:val="clear" w:color="auto" w:fill="EEF2F7"/>
              </w:rPr>
              <w:t>build_handbook.py</w:t>
            </w:r>
            <w:r>
              <w:rPr>
                <w:rFonts w:ascii="Calibri" w:hAnsi="Calibri"/>
                <w:b w:val="0"/>
                <w:i w:val="0"/>
                <w:color w:val="334E68"/>
                <w:sz w:val="17"/>
              </w:rPr>
              <w:t xml:space="preserve"> QC pass)</w:t>
            </w:r>
          </w:p>
        </w:tc>
        <w:tc>
          <w:tcPr>
            <w:tcW w:type="dxa" w:w="2699"/>
            <w:shd w:val="clear" w:color="auto" w:fill="FAFBFD"/>
          </w:tcPr>
          <w:p>
            <w:pPr>
              <w:spacing w:after="20" w:before="20"/>
            </w:pPr>
            <w:r/>
            <w:r>
              <w:rPr>
                <w:rFonts w:ascii="Calibri" w:hAnsi="Calibri"/>
                <w:b w:val="0"/>
                <w:i w:val="0"/>
                <w:color w:val="334E68"/>
                <w:sz w:val="17"/>
              </w:rPr>
              <w:t>Clean: 0 broken anchors, 0 duplicate ids</w:t>
            </w:r>
          </w:p>
        </w:tc>
      </w:tr>
      <w:tr>
        <w:trPr>
          <w:cantSplit/>
        </w:trPr>
        <w:tc>
          <w:tcPr>
            <w:tcW w:type="dxa" w:w="2313"/>
          </w:tcPr>
          <w:p>
            <w:pPr>
              <w:spacing w:after="20" w:before="20"/>
            </w:pPr>
            <w:r/>
            <w:r>
              <w:rPr>
                <w:rFonts w:ascii="Calibri" w:hAnsi="Calibri"/>
                <w:b/>
                <w:i w:val="0"/>
                <w:color w:val="334E68"/>
                <w:sz w:val="17"/>
              </w:rPr>
              <w:t>Figure and table cross-references</w:t>
            </w:r>
          </w:p>
        </w:tc>
        <w:tc>
          <w:tcPr>
            <w:tcW w:type="dxa" w:w="4626"/>
          </w:tcPr>
          <w:p>
            <w:pPr>
              <w:spacing w:after="20" w:before="20"/>
            </w:pPr>
            <w:r/>
            <w:r>
              <w:rPr>
                <w:rFonts w:ascii="Calibri" w:hAnsi="Calibri"/>
                <w:b w:val="0"/>
                <w:i w:val="0"/>
                <w:color w:val="334E68"/>
                <w:sz w:val="17"/>
              </w:rPr>
              <w:t xml:space="preserve">All internal </w:t>
            </w:r>
            <w:r>
              <w:rPr>
                <w:rFonts w:ascii="Consolas" w:hAnsi="Consolas"/>
                <w:b w:val="0"/>
                <w:i w:val="0"/>
                <w:color w:val="123A63"/>
                <w:sz w:val="17"/>
                <w:shd w:val="clear" w:color="auto" w:fill="EEF2F7"/>
              </w:rPr>
              <w:t>#</w:t>
            </w:r>
            <w:r>
              <w:rPr>
                <w:rFonts w:ascii="Calibri" w:hAnsi="Calibri"/>
                <w:b w:val="0"/>
                <w:i w:val="0"/>
                <w:color w:val="334E68"/>
                <w:sz w:val="17"/>
              </w:rPr>
              <w:t xml:space="preserve"> anchors resolved programmatically</w:t>
            </w:r>
          </w:p>
        </w:tc>
        <w:tc>
          <w:tcPr>
            <w:tcW w:type="dxa" w:w="2699"/>
          </w:tcPr>
          <w:p>
            <w:pPr>
              <w:spacing w:after="20" w:before="20"/>
            </w:pPr>
            <w:r/>
            <w:r>
              <w:rPr>
                <w:rFonts w:ascii="Calibri" w:hAnsi="Calibri"/>
                <w:b w:val="0"/>
                <w:i w:val="0"/>
                <w:color w:val="334E68"/>
                <w:sz w:val="17"/>
              </w:rPr>
              <w:t>All resolve</w:t>
            </w:r>
          </w:p>
        </w:tc>
      </w:tr>
      <w:tr>
        <w:trPr>
          <w:cantSplit/>
        </w:trPr>
        <w:tc>
          <w:tcPr>
            <w:tcW w:type="dxa" w:w="2313"/>
            <w:shd w:val="clear" w:color="auto" w:fill="FAFBFD"/>
          </w:tcPr>
          <w:p>
            <w:pPr>
              <w:spacing w:after="20" w:before="20"/>
            </w:pPr>
            <w:r/>
            <w:r>
              <w:rPr>
                <w:rFonts w:ascii="Calibri" w:hAnsi="Calibri"/>
                <w:b/>
                <w:i w:val="0"/>
                <w:color w:val="334E68"/>
                <w:sz w:val="17"/>
              </w:rPr>
              <w:t>Checklist integrity</w:t>
            </w:r>
          </w:p>
        </w:tc>
        <w:tc>
          <w:tcPr>
            <w:tcW w:type="dxa" w:w="4626"/>
            <w:shd w:val="clear" w:color="auto" w:fill="FAFBFD"/>
          </w:tcPr>
          <w:p>
            <w:pPr>
              <w:spacing w:after="20" w:before="20"/>
            </w:pPr>
            <w:r/>
            <w:r>
              <w:rPr>
                <w:rFonts w:ascii="Calibri" w:hAnsi="Calibri"/>
                <w:b w:val="0"/>
                <w:i w:val="0"/>
                <w:color w:val="334E68"/>
                <w:sz w:val="17"/>
              </w:rPr>
              <w:t>Unique persisted ids, status capture and progress metering verified in the generated HTML</w:t>
            </w:r>
          </w:p>
        </w:tc>
        <w:tc>
          <w:tcPr>
            <w:tcW w:type="dxa" w:w="2699"/>
            <w:shd w:val="clear" w:color="auto" w:fill="FAFBFD"/>
          </w:tcPr>
          <w:p>
            <w:pPr>
              <w:spacing w:after="20" w:before="20"/>
            </w:pPr>
            <w:r/>
            <w:r>
              <w:rPr>
                <w:rFonts w:ascii="Calibri" w:hAnsi="Calibri"/>
                <w:b w:val="0"/>
                <w:i w:val="0"/>
                <w:color w:val="334E68"/>
                <w:sz w:val="17"/>
              </w:rPr>
              <w:t>15 checklists, 209 items</w:t>
            </w:r>
          </w:p>
        </w:tc>
      </w:tr>
      <w:tr>
        <w:trPr>
          <w:cantSplit/>
        </w:trPr>
        <w:tc>
          <w:tcPr>
            <w:tcW w:type="dxa" w:w="2313"/>
          </w:tcPr>
          <w:p>
            <w:pPr>
              <w:spacing w:after="20" w:before="20"/>
            </w:pPr>
            <w:r/>
            <w:r>
              <w:rPr>
                <w:rFonts w:ascii="Calibri" w:hAnsi="Calibri"/>
                <w:b/>
                <w:i w:val="0"/>
                <w:color w:val="334E68"/>
                <w:sz w:val="17"/>
              </w:rPr>
              <w:t>Source traceability</w:t>
            </w:r>
          </w:p>
        </w:tc>
        <w:tc>
          <w:tcPr>
            <w:tcW w:type="dxa" w:w="4626"/>
          </w:tcPr>
          <w:p>
            <w:pPr>
              <w:spacing w:after="20" w:before="20"/>
            </w:pPr>
            <w:r/>
            <w:r>
              <w:rPr>
                <w:rFonts w:ascii="Calibri" w:hAnsi="Calibri"/>
                <w:b w:val="0"/>
                <w:i w:val="0"/>
                <w:color w:val="334E68"/>
                <w:sz w:val="17"/>
              </w:rPr>
              <w:t>Every source training section mapped to a handbook section (Appendix A)</w:t>
            </w:r>
          </w:p>
        </w:tc>
        <w:tc>
          <w:tcPr>
            <w:tcW w:type="dxa" w:w="2699"/>
          </w:tcPr>
          <w:p>
            <w:pPr>
              <w:spacing w:after="20" w:before="20"/>
            </w:pPr>
            <w:r/>
            <w:r>
              <w:rPr>
                <w:rFonts w:ascii="Calibri" w:hAnsi="Calibri"/>
                <w:b w:val="0"/>
                <w:i w:val="0"/>
                <w:color w:val="334E68"/>
                <w:sz w:val="17"/>
              </w:rPr>
              <w:t>7 of 7 mapped</w:t>
            </w:r>
          </w:p>
        </w:tc>
      </w:tr>
      <w:tr>
        <w:trPr>
          <w:cantSplit/>
        </w:trPr>
        <w:tc>
          <w:tcPr>
            <w:tcW w:type="dxa" w:w="2313"/>
            <w:shd w:val="clear" w:color="auto" w:fill="FAFBFD"/>
          </w:tcPr>
          <w:p>
            <w:pPr>
              <w:spacing w:after="20" w:before="20"/>
            </w:pPr>
            <w:r/>
            <w:r>
              <w:rPr>
                <w:rFonts w:ascii="Calibri" w:hAnsi="Calibri"/>
                <w:b/>
                <w:i w:val="0"/>
                <w:color w:val="334E68"/>
                <w:sz w:val="17"/>
              </w:rPr>
              <w:t>Terminology consistency</w:t>
            </w:r>
          </w:p>
        </w:tc>
        <w:tc>
          <w:tcPr>
            <w:tcW w:type="dxa" w:w="4626"/>
            <w:shd w:val="clear" w:color="auto" w:fill="FAFBFD"/>
          </w:tcPr>
          <w:p>
            <w:pPr>
              <w:spacing w:after="20" w:before="20"/>
            </w:pPr>
            <w:r/>
            <w:r>
              <w:rPr>
                <w:rFonts w:ascii="Calibri" w:hAnsi="Calibri"/>
                <w:b w:val="0"/>
                <w:i w:val="0"/>
                <w:color w:val="334E68"/>
                <w:sz w:val="17"/>
              </w:rPr>
              <w:t>Glossary coverage of the acronyms and terms used in the body (Appendix C)</w:t>
            </w:r>
          </w:p>
        </w:tc>
        <w:tc>
          <w:tcPr>
            <w:tcW w:type="dxa" w:w="2699"/>
            <w:shd w:val="clear" w:color="auto" w:fill="FAFBFD"/>
          </w:tcPr>
          <w:p>
            <w:pPr>
              <w:spacing w:after="20" w:before="20"/>
            </w:pPr>
            <w:r/>
            <w:r>
              <w:rPr>
                <w:rFonts w:ascii="Calibri" w:hAnsi="Calibri"/>
                <w:b w:val="0"/>
                <w:i w:val="0"/>
                <w:color w:val="334E68"/>
                <w:sz w:val="17"/>
              </w:rPr>
              <w:t>53 terms</w:t>
            </w:r>
          </w:p>
        </w:tc>
      </w:tr>
      <w:tr>
        <w:trPr>
          <w:cantSplit/>
        </w:trPr>
        <w:tc>
          <w:tcPr>
            <w:tcW w:type="dxa" w:w="2313"/>
          </w:tcPr>
          <w:p>
            <w:pPr>
              <w:spacing w:after="20" w:before="20"/>
            </w:pPr>
            <w:r/>
            <w:r>
              <w:rPr>
                <w:rFonts w:ascii="Calibri" w:hAnsi="Calibri"/>
                <w:b/>
                <w:i w:val="0"/>
                <w:color w:val="334E68"/>
                <w:sz w:val="17"/>
              </w:rPr>
              <w:t>Knowledge check</w:t>
            </w:r>
          </w:p>
        </w:tc>
        <w:tc>
          <w:tcPr>
            <w:tcW w:type="dxa" w:w="4626"/>
          </w:tcPr>
          <w:p>
            <w:pPr>
              <w:spacing w:after="20" w:before="20"/>
            </w:pPr>
            <w:r/>
            <w:r>
              <w:rPr>
                <w:rFonts w:ascii="Calibri" w:hAnsi="Calibri"/>
                <w:b w:val="0"/>
                <w:i w:val="0"/>
                <w:color w:val="334E68"/>
                <w:sz w:val="17"/>
              </w:rPr>
              <w:t>Questions verified against the module text; four review-pass questions added</w:t>
            </w:r>
          </w:p>
        </w:tc>
        <w:tc>
          <w:tcPr>
            <w:tcW w:type="dxa" w:w="2699"/>
          </w:tcPr>
          <w:p>
            <w:pPr>
              <w:spacing w:after="20" w:before="20"/>
            </w:pPr>
            <w:r/>
            <w:r>
              <w:rPr>
                <w:rFonts w:ascii="Calibri" w:hAnsi="Calibri"/>
                <w:b w:val="0"/>
                <w:i w:val="0"/>
                <w:color w:val="334E68"/>
                <w:sz w:val="17"/>
              </w:rPr>
              <w:t>16 questions</w:t>
            </w:r>
          </w:p>
        </w:tc>
      </w:tr>
      <w:tr>
        <w:trPr>
          <w:cantSplit/>
        </w:trPr>
        <w:tc>
          <w:tcPr>
            <w:tcW w:type="dxa" w:w="2313"/>
            <w:shd w:val="clear" w:color="auto" w:fill="FAFBFD"/>
          </w:tcPr>
          <w:p>
            <w:pPr>
              <w:spacing w:after="20" w:before="20"/>
            </w:pPr>
            <w:r/>
            <w:r>
              <w:rPr>
                <w:rFonts w:ascii="Calibri" w:hAnsi="Calibri"/>
                <w:b/>
                <w:i w:val="0"/>
                <w:color w:val="334E68"/>
                <w:sz w:val="17"/>
              </w:rPr>
              <w:t>Word version parity</w:t>
            </w:r>
          </w:p>
        </w:tc>
        <w:tc>
          <w:tcPr>
            <w:tcW w:type="dxa" w:w="4626"/>
            <w:shd w:val="clear" w:color="auto" w:fill="FAFBFD"/>
          </w:tcPr>
          <w:p>
            <w:pPr>
              <w:spacing w:after="20" w:before="20"/>
            </w:pPr>
            <w:r/>
            <w:r>
              <w:rPr>
                <w:rFonts w:ascii="Calibri" w:hAnsi="Calibri"/>
                <w:b w:val="0"/>
                <w:i w:val="0"/>
                <w:color w:val="334E68"/>
                <w:sz w:val="17"/>
              </w:rPr>
              <w:t>DOCX rendered from the same HTML source; headings, tables, figures and checklists verified present</w:t>
            </w:r>
          </w:p>
        </w:tc>
        <w:tc>
          <w:tcPr>
            <w:tcW w:type="dxa" w:w="2699"/>
            <w:shd w:val="clear" w:color="auto" w:fill="FAFBFD"/>
          </w:tcPr>
          <w:p>
            <w:pPr>
              <w:spacing w:after="20" w:before="20"/>
            </w:pPr>
            <w:r/>
            <w:r>
              <w:rPr>
                <w:rFonts w:ascii="Calibri" w:hAnsi="Calibri"/>
                <w:b w:val="0"/>
                <w:i w:val="0"/>
                <w:color w:val="334E68"/>
                <w:sz w:val="17"/>
              </w:rPr>
              <w:t>26 top-level sections, 91 tables</w:t>
            </w:r>
          </w:p>
        </w:tc>
      </w:tr>
    </w:tbl>
    <w:p>
      <w:pPr>
        <w:spacing w:after="40"/>
      </w:pPr>
    </w:p>
    <w:p>
      <w:r>
        <w:br w:type="page"/>
      </w:r>
    </w:p>
    <w:p>
      <w:pPr>
        <w:spacing w:after="20"/>
      </w:pPr>
      <w:r>
        <w:rPr>
          <w:rFonts w:ascii="Calibri" w:hAnsi="Calibri"/>
          <w:b/>
          <w:color w:val="1B4F86"/>
          <w:sz w:val="16"/>
        </w:rPr>
        <w:t>APPENDIX E</w:t>
      </w:r>
    </w:p>
    <w:p>
      <w:pPr>
        <w:pStyle w:val="Heading1"/>
        <w:pBdr>
          <w:bottom w:val="single" w:sz="12" w:space="5" w:color="1B4F86"/>
        </w:pBdr>
        <w:spacing w:after="160"/>
      </w:pPr>
      <w:r>
        <w:rPr>
          <w:rFonts w:ascii="Calibri Light" w:hAnsi="Calibri Light"/>
          <w:b/>
          <w:color w:val="0F2B4C"/>
          <w:sz w:val="38"/>
        </w:rPr>
        <w:t>E  Appendix E — Version control and change requests</w:t>
      </w:r>
    </w:p>
    <w:p>
      <w:pPr>
        <w:spacing w:after="200"/>
      </w:pPr>
      <w:r>
        <w:rPr>
          <w:rFonts w:ascii="Calibri" w:hAnsi="Calibri"/>
          <w:i/>
          <w:color w:val="5B7288"/>
          <w:sz w:val="21"/>
        </w:rPr>
        <w:t>This handbook is a controlled document. Raise corrections and additions through the change-request record below so the next version reflects what the field actually learned.</w:t>
      </w:r>
    </w:p>
    <w:p>
      <w:pPr>
        <w:sectPr>
          <w:pgSz w:w="11906" w:h="16838"/>
          <w:pgMar w:top="1020" w:right="1134" w:bottom="1020" w:left="1134" w:header="567" w:footer="567" w:gutter="0"/>
          <w:cols w:space="720"/>
          <w:titlePg/>
          <w:docGrid w:linePitch="360"/>
        </w:sectPr>
      </w:pPr>
    </w:p>
    <w:p>
      <w:pPr>
        <w:spacing w:after="60" w:before="160"/>
        <w:keepNext/>
      </w:pPr>
      <w:r>
        <w:rPr>
          <w:rFonts w:ascii="Calibri" w:hAnsi="Calibri"/>
          <w:b/>
          <w:color w:val="5B7288"/>
          <w:sz w:val="15"/>
        </w:rPr>
        <w:t>CHANGE-REQUEST LOG</w:t>
      </w:r>
    </w:p>
    <w:tbl>
      <w:tblPr>
        <w:tblStyle w:val="TableGrid"/>
        <w:tblW w:type="auto" w:w="0"/>
        <w:jc w:val="left"/>
        <w:tblLook w:firstColumn="1" w:firstRow="1" w:lastColumn="0" w:lastRow="0" w:noHBand="0" w:noVBand="1" w:val="04A0"/>
        <w:tblBorders>
          <w:top w:val="single" w:sz="6" w:space="0" w:color="C7D2E0"/>
          <w:left w:val="single" w:sz="6" w:space="0" w:color="C7D2E0"/>
          <w:bottom w:val="single" w:sz="6" w:space="0" w:color="C7D2E0"/>
          <w:right w:val="single" w:sz="6" w:space="0" w:color="C7D2E0"/>
          <w:insideH w:val="single" w:sz="6" w:space="0" w:color="DCE3EC"/>
          <w:insideV w:val="single" w:sz="6" w:space="0" w:color="DCE3EC"/>
        </w:tblBorders>
        <w:tblLayout w:type="fixed"/>
        <w:tblCellMar>
          <w:top w:w="60" w:type="dxa"/>
          <w:left w:w="100" w:type="dxa"/>
          <w:bottom w:w="60" w:type="dxa"/>
          <w:right w:w="100" w:type="dxa"/>
        </w:tblCellMar>
        <w:tblLayout w:type="fixed"/>
      </w:tblPr>
      <w:tblGrid>
        <w:gridCol w:w="1020"/>
        <w:gridCol w:w="1894"/>
        <w:gridCol w:w="1310"/>
        <w:gridCol w:w="2041"/>
        <w:gridCol w:w="5097"/>
        <w:gridCol w:w="1894"/>
        <w:gridCol w:w="1310"/>
      </w:tblGrid>
      <w:tr>
        <w:trPr>
          <w:tblHeader/>
          <w:cantSplit/>
        </w:trPr>
        <w:tc>
          <w:tcPr>
            <w:tcW w:type="dxa" w:w="1020"/>
            <w:shd w:val="clear" w:color="auto" w:fill="0F2B4C"/>
          </w:tcPr>
          <w:p>
            <w:pPr>
              <w:spacing w:after="20" w:before="20"/>
            </w:pPr>
            <w:r/>
            <w:r>
              <w:rPr>
                <w:rFonts w:ascii="Calibri" w:hAnsi="Calibri"/>
                <w:b/>
                <w:color w:val="FFFFFF"/>
                <w:sz w:val="17"/>
              </w:rPr>
              <w:t>CR #</w:t>
            </w:r>
          </w:p>
        </w:tc>
        <w:tc>
          <w:tcPr>
            <w:tcW w:type="dxa" w:w="1894"/>
            <w:shd w:val="clear" w:color="auto" w:fill="0F2B4C"/>
          </w:tcPr>
          <w:p>
            <w:pPr>
              <w:spacing w:after="20" w:before="20"/>
            </w:pPr>
            <w:r/>
            <w:r>
              <w:rPr>
                <w:rFonts w:ascii="Calibri" w:hAnsi="Calibri"/>
                <w:b/>
                <w:color w:val="FFFFFF"/>
                <w:sz w:val="17"/>
              </w:rPr>
              <w:t>Raised by</w:t>
            </w:r>
          </w:p>
        </w:tc>
        <w:tc>
          <w:tcPr>
            <w:tcW w:type="dxa" w:w="1310"/>
            <w:shd w:val="clear" w:color="auto" w:fill="0F2B4C"/>
          </w:tcPr>
          <w:p>
            <w:pPr>
              <w:spacing w:after="20" w:before="20"/>
            </w:pPr>
            <w:r/>
            <w:r>
              <w:rPr>
                <w:rFonts w:ascii="Calibri" w:hAnsi="Calibri"/>
                <w:b/>
                <w:color w:val="FFFFFF"/>
                <w:sz w:val="17"/>
              </w:rPr>
              <w:t>Date</w:t>
            </w:r>
          </w:p>
        </w:tc>
        <w:tc>
          <w:tcPr>
            <w:tcW w:type="dxa" w:w="2041"/>
            <w:shd w:val="clear" w:color="auto" w:fill="0F2B4C"/>
          </w:tcPr>
          <w:p>
            <w:pPr>
              <w:spacing w:after="20" w:before="20"/>
            </w:pPr>
            <w:r/>
            <w:r>
              <w:rPr>
                <w:rFonts w:ascii="Calibri" w:hAnsi="Calibri"/>
                <w:b/>
                <w:color w:val="FFFFFF"/>
                <w:sz w:val="17"/>
              </w:rPr>
              <w:t>Section affected</w:t>
            </w:r>
          </w:p>
        </w:tc>
        <w:tc>
          <w:tcPr>
            <w:tcW w:type="dxa" w:w="5097"/>
            <w:shd w:val="clear" w:color="auto" w:fill="0F2B4C"/>
          </w:tcPr>
          <w:p>
            <w:pPr>
              <w:spacing w:after="20" w:before="20"/>
            </w:pPr>
            <w:r/>
            <w:r>
              <w:rPr>
                <w:rFonts w:ascii="Calibri" w:hAnsi="Calibri"/>
                <w:b/>
                <w:color w:val="FFFFFF"/>
                <w:sz w:val="17"/>
              </w:rPr>
              <w:t>Description of the requested change</w:t>
            </w:r>
          </w:p>
        </w:tc>
        <w:tc>
          <w:tcPr>
            <w:tcW w:type="dxa" w:w="1894"/>
            <w:shd w:val="clear" w:color="auto" w:fill="0F2B4C"/>
          </w:tcPr>
          <w:p>
            <w:pPr>
              <w:spacing w:after="20" w:before="20"/>
            </w:pPr>
            <w:r/>
            <w:r>
              <w:rPr>
                <w:rFonts w:ascii="Calibri" w:hAnsi="Calibri"/>
                <w:b/>
                <w:color w:val="FFFFFF"/>
                <w:sz w:val="17"/>
              </w:rPr>
              <w:t>Disposition</w:t>
            </w:r>
          </w:p>
        </w:tc>
        <w:tc>
          <w:tcPr>
            <w:tcW w:type="dxa" w:w="1310"/>
            <w:shd w:val="clear" w:color="auto" w:fill="0F2B4C"/>
          </w:tcPr>
          <w:p>
            <w:pPr>
              <w:spacing w:after="20" w:before="20"/>
            </w:pPr>
            <w:r/>
            <w:r>
              <w:rPr>
                <w:rFonts w:ascii="Calibri" w:hAnsi="Calibri"/>
                <w:b/>
                <w:color w:val="FFFFFF"/>
                <w:sz w:val="17"/>
              </w:rPr>
              <w:t>Closed in version</w:t>
            </w:r>
          </w:p>
        </w:tc>
      </w:tr>
      <w:tr>
        <w:trPr>
          <w:cantSplit/>
        </w:trPr>
        <w:tc>
          <w:tcPr>
            <w:tcW w:type="dxa" w:w="1020"/>
          </w:tcPr>
          <w:p>
            <w:pPr>
              <w:spacing w:after="20" w:before="20"/>
            </w:pPr>
            <w:r/>
          </w:p>
        </w:tc>
        <w:tc>
          <w:tcPr>
            <w:tcW w:type="dxa" w:w="1894"/>
          </w:tcPr>
          <w:p>
            <w:pPr>
              <w:spacing w:after="20" w:before="20"/>
            </w:pPr>
            <w:r/>
          </w:p>
        </w:tc>
        <w:tc>
          <w:tcPr>
            <w:tcW w:type="dxa" w:w="1310"/>
          </w:tcPr>
          <w:p>
            <w:pPr>
              <w:spacing w:after="20" w:before="20"/>
            </w:pPr>
            <w:r/>
          </w:p>
        </w:tc>
        <w:tc>
          <w:tcPr>
            <w:tcW w:type="dxa" w:w="2041"/>
          </w:tcPr>
          <w:p>
            <w:pPr>
              <w:spacing w:after="20" w:before="20"/>
            </w:pPr>
            <w:r/>
          </w:p>
        </w:tc>
        <w:tc>
          <w:tcPr>
            <w:tcW w:type="dxa" w:w="5097"/>
          </w:tcPr>
          <w:p>
            <w:pPr>
              <w:spacing w:after="20" w:before="20"/>
            </w:pPr>
            <w:r/>
          </w:p>
        </w:tc>
        <w:tc>
          <w:tcPr>
            <w:tcW w:type="dxa" w:w="1894"/>
          </w:tcPr>
          <w:p>
            <w:pPr>
              <w:spacing w:after="20" w:before="20"/>
            </w:pPr>
            <w:r/>
          </w:p>
        </w:tc>
        <w:tc>
          <w:tcPr>
            <w:tcW w:type="dxa" w:w="1310"/>
          </w:tcPr>
          <w:p>
            <w:pPr>
              <w:spacing w:after="20" w:before="20"/>
            </w:pPr>
            <w:r/>
          </w:p>
        </w:tc>
      </w:tr>
      <w:tr>
        <w:trPr>
          <w:cantSplit/>
        </w:trPr>
        <w:tc>
          <w:tcPr>
            <w:tcW w:type="dxa" w:w="1020"/>
            <w:shd w:val="clear" w:color="auto" w:fill="FAFBFD"/>
          </w:tcPr>
          <w:p>
            <w:pPr>
              <w:spacing w:after="20" w:before="20"/>
            </w:pPr>
            <w:r/>
          </w:p>
        </w:tc>
        <w:tc>
          <w:tcPr>
            <w:tcW w:type="dxa" w:w="1894"/>
            <w:shd w:val="clear" w:color="auto" w:fill="FAFBFD"/>
          </w:tcPr>
          <w:p>
            <w:pPr>
              <w:spacing w:after="20" w:before="20"/>
            </w:pPr>
            <w:r/>
          </w:p>
        </w:tc>
        <w:tc>
          <w:tcPr>
            <w:tcW w:type="dxa" w:w="1310"/>
            <w:shd w:val="clear" w:color="auto" w:fill="FAFBFD"/>
          </w:tcPr>
          <w:p>
            <w:pPr>
              <w:spacing w:after="20" w:before="20"/>
            </w:pPr>
            <w:r/>
          </w:p>
        </w:tc>
        <w:tc>
          <w:tcPr>
            <w:tcW w:type="dxa" w:w="2041"/>
            <w:shd w:val="clear" w:color="auto" w:fill="FAFBFD"/>
          </w:tcPr>
          <w:p>
            <w:pPr>
              <w:spacing w:after="20" w:before="20"/>
            </w:pPr>
            <w:r/>
          </w:p>
        </w:tc>
        <w:tc>
          <w:tcPr>
            <w:tcW w:type="dxa" w:w="5097"/>
            <w:shd w:val="clear" w:color="auto" w:fill="FAFBFD"/>
          </w:tcPr>
          <w:p>
            <w:pPr>
              <w:spacing w:after="20" w:before="20"/>
            </w:pPr>
            <w:r/>
          </w:p>
        </w:tc>
        <w:tc>
          <w:tcPr>
            <w:tcW w:type="dxa" w:w="1894"/>
            <w:shd w:val="clear" w:color="auto" w:fill="FAFBFD"/>
          </w:tcPr>
          <w:p>
            <w:pPr>
              <w:spacing w:after="20" w:before="20"/>
            </w:pPr>
            <w:r/>
          </w:p>
        </w:tc>
        <w:tc>
          <w:tcPr>
            <w:tcW w:type="dxa" w:w="1310"/>
            <w:shd w:val="clear" w:color="auto" w:fill="FAFBFD"/>
          </w:tcPr>
          <w:p>
            <w:pPr>
              <w:spacing w:after="20" w:before="20"/>
            </w:pPr>
            <w:r/>
          </w:p>
        </w:tc>
      </w:tr>
      <w:tr>
        <w:trPr>
          <w:cantSplit/>
        </w:trPr>
        <w:tc>
          <w:tcPr>
            <w:tcW w:type="dxa" w:w="1020"/>
          </w:tcPr>
          <w:p>
            <w:pPr>
              <w:spacing w:after="20" w:before="20"/>
            </w:pPr>
            <w:r/>
          </w:p>
        </w:tc>
        <w:tc>
          <w:tcPr>
            <w:tcW w:type="dxa" w:w="1894"/>
          </w:tcPr>
          <w:p>
            <w:pPr>
              <w:spacing w:after="20" w:before="20"/>
            </w:pPr>
            <w:r/>
          </w:p>
        </w:tc>
        <w:tc>
          <w:tcPr>
            <w:tcW w:type="dxa" w:w="1310"/>
          </w:tcPr>
          <w:p>
            <w:pPr>
              <w:spacing w:after="20" w:before="20"/>
            </w:pPr>
            <w:r/>
          </w:p>
        </w:tc>
        <w:tc>
          <w:tcPr>
            <w:tcW w:type="dxa" w:w="2041"/>
          </w:tcPr>
          <w:p>
            <w:pPr>
              <w:spacing w:after="20" w:before="20"/>
            </w:pPr>
            <w:r/>
          </w:p>
        </w:tc>
        <w:tc>
          <w:tcPr>
            <w:tcW w:type="dxa" w:w="5097"/>
          </w:tcPr>
          <w:p>
            <w:pPr>
              <w:spacing w:after="20" w:before="20"/>
            </w:pPr>
            <w:r/>
          </w:p>
        </w:tc>
        <w:tc>
          <w:tcPr>
            <w:tcW w:type="dxa" w:w="1894"/>
          </w:tcPr>
          <w:p>
            <w:pPr>
              <w:spacing w:after="20" w:before="20"/>
            </w:pPr>
            <w:r/>
          </w:p>
        </w:tc>
        <w:tc>
          <w:tcPr>
            <w:tcW w:type="dxa" w:w="1310"/>
          </w:tcPr>
          <w:p>
            <w:pPr>
              <w:spacing w:after="20" w:before="20"/>
            </w:pPr>
            <w:r/>
          </w:p>
        </w:tc>
      </w:tr>
      <w:tr>
        <w:trPr>
          <w:cantSplit/>
        </w:trPr>
        <w:tc>
          <w:tcPr>
            <w:tcW w:type="dxa" w:w="1020"/>
            <w:shd w:val="clear" w:color="auto" w:fill="FAFBFD"/>
          </w:tcPr>
          <w:p>
            <w:pPr>
              <w:spacing w:after="20" w:before="20"/>
            </w:pPr>
            <w:r/>
          </w:p>
        </w:tc>
        <w:tc>
          <w:tcPr>
            <w:tcW w:type="dxa" w:w="1894"/>
            <w:shd w:val="clear" w:color="auto" w:fill="FAFBFD"/>
          </w:tcPr>
          <w:p>
            <w:pPr>
              <w:spacing w:after="20" w:before="20"/>
            </w:pPr>
            <w:r/>
          </w:p>
        </w:tc>
        <w:tc>
          <w:tcPr>
            <w:tcW w:type="dxa" w:w="1310"/>
            <w:shd w:val="clear" w:color="auto" w:fill="FAFBFD"/>
          </w:tcPr>
          <w:p>
            <w:pPr>
              <w:spacing w:after="20" w:before="20"/>
            </w:pPr>
            <w:r/>
          </w:p>
        </w:tc>
        <w:tc>
          <w:tcPr>
            <w:tcW w:type="dxa" w:w="2041"/>
            <w:shd w:val="clear" w:color="auto" w:fill="FAFBFD"/>
          </w:tcPr>
          <w:p>
            <w:pPr>
              <w:spacing w:after="20" w:before="20"/>
            </w:pPr>
            <w:r/>
          </w:p>
        </w:tc>
        <w:tc>
          <w:tcPr>
            <w:tcW w:type="dxa" w:w="5097"/>
            <w:shd w:val="clear" w:color="auto" w:fill="FAFBFD"/>
          </w:tcPr>
          <w:p>
            <w:pPr>
              <w:spacing w:after="20" w:before="20"/>
            </w:pPr>
            <w:r/>
          </w:p>
        </w:tc>
        <w:tc>
          <w:tcPr>
            <w:tcW w:type="dxa" w:w="1894"/>
            <w:shd w:val="clear" w:color="auto" w:fill="FAFBFD"/>
          </w:tcPr>
          <w:p>
            <w:pPr>
              <w:spacing w:after="20" w:before="20"/>
            </w:pPr>
            <w:r/>
          </w:p>
        </w:tc>
        <w:tc>
          <w:tcPr>
            <w:tcW w:type="dxa" w:w="1310"/>
            <w:shd w:val="clear" w:color="auto" w:fill="FAFBFD"/>
          </w:tcPr>
          <w:p>
            <w:pPr>
              <w:spacing w:after="20" w:before="20"/>
            </w:pPr>
            <w:r/>
          </w:p>
        </w:tc>
      </w:tr>
      <w:tr>
        <w:trPr>
          <w:cantSplit/>
        </w:trPr>
        <w:tc>
          <w:tcPr>
            <w:tcW w:type="dxa" w:w="1020"/>
          </w:tcPr>
          <w:p>
            <w:pPr>
              <w:spacing w:after="20" w:before="20"/>
            </w:pPr>
            <w:r/>
          </w:p>
        </w:tc>
        <w:tc>
          <w:tcPr>
            <w:tcW w:type="dxa" w:w="1894"/>
          </w:tcPr>
          <w:p>
            <w:pPr>
              <w:spacing w:after="20" w:before="20"/>
            </w:pPr>
            <w:r/>
          </w:p>
        </w:tc>
        <w:tc>
          <w:tcPr>
            <w:tcW w:type="dxa" w:w="1310"/>
          </w:tcPr>
          <w:p>
            <w:pPr>
              <w:spacing w:after="20" w:before="20"/>
            </w:pPr>
            <w:r/>
          </w:p>
        </w:tc>
        <w:tc>
          <w:tcPr>
            <w:tcW w:type="dxa" w:w="2041"/>
          </w:tcPr>
          <w:p>
            <w:pPr>
              <w:spacing w:after="20" w:before="20"/>
            </w:pPr>
            <w:r/>
          </w:p>
        </w:tc>
        <w:tc>
          <w:tcPr>
            <w:tcW w:type="dxa" w:w="5097"/>
          </w:tcPr>
          <w:p>
            <w:pPr>
              <w:spacing w:after="20" w:before="20"/>
            </w:pPr>
            <w:r/>
          </w:p>
        </w:tc>
        <w:tc>
          <w:tcPr>
            <w:tcW w:type="dxa" w:w="1894"/>
          </w:tcPr>
          <w:p>
            <w:pPr>
              <w:spacing w:after="20" w:before="20"/>
            </w:pPr>
            <w:r/>
          </w:p>
        </w:tc>
        <w:tc>
          <w:tcPr>
            <w:tcW w:type="dxa" w:w="1310"/>
          </w:tcPr>
          <w:p>
            <w:pPr>
              <w:spacing w:after="20" w:before="20"/>
            </w:pPr>
            <w:r/>
          </w:p>
        </w:tc>
      </w:tr>
      <w:tr>
        <w:trPr>
          <w:cantSplit/>
        </w:trPr>
        <w:tc>
          <w:tcPr>
            <w:tcW w:type="dxa" w:w="1020"/>
            <w:shd w:val="clear" w:color="auto" w:fill="FAFBFD"/>
          </w:tcPr>
          <w:p>
            <w:pPr>
              <w:spacing w:after="20" w:before="20"/>
            </w:pPr>
            <w:r/>
          </w:p>
        </w:tc>
        <w:tc>
          <w:tcPr>
            <w:tcW w:type="dxa" w:w="1894"/>
            <w:shd w:val="clear" w:color="auto" w:fill="FAFBFD"/>
          </w:tcPr>
          <w:p>
            <w:pPr>
              <w:spacing w:after="20" w:before="20"/>
            </w:pPr>
            <w:r/>
          </w:p>
        </w:tc>
        <w:tc>
          <w:tcPr>
            <w:tcW w:type="dxa" w:w="1310"/>
            <w:shd w:val="clear" w:color="auto" w:fill="FAFBFD"/>
          </w:tcPr>
          <w:p>
            <w:pPr>
              <w:spacing w:after="20" w:before="20"/>
            </w:pPr>
            <w:r/>
          </w:p>
        </w:tc>
        <w:tc>
          <w:tcPr>
            <w:tcW w:type="dxa" w:w="2041"/>
            <w:shd w:val="clear" w:color="auto" w:fill="FAFBFD"/>
          </w:tcPr>
          <w:p>
            <w:pPr>
              <w:spacing w:after="20" w:before="20"/>
            </w:pPr>
            <w:r/>
          </w:p>
        </w:tc>
        <w:tc>
          <w:tcPr>
            <w:tcW w:type="dxa" w:w="5097"/>
            <w:shd w:val="clear" w:color="auto" w:fill="FAFBFD"/>
          </w:tcPr>
          <w:p>
            <w:pPr>
              <w:spacing w:after="20" w:before="20"/>
            </w:pPr>
            <w:r/>
          </w:p>
        </w:tc>
        <w:tc>
          <w:tcPr>
            <w:tcW w:type="dxa" w:w="1894"/>
            <w:shd w:val="clear" w:color="auto" w:fill="FAFBFD"/>
          </w:tcPr>
          <w:p>
            <w:pPr>
              <w:spacing w:after="20" w:before="20"/>
            </w:pPr>
            <w:r/>
          </w:p>
        </w:tc>
        <w:tc>
          <w:tcPr>
            <w:tcW w:type="dxa" w:w="1310"/>
            <w:shd w:val="clear" w:color="auto" w:fill="FAFBFD"/>
          </w:tcPr>
          <w:p>
            <w:pPr>
              <w:spacing w:after="20" w:before="20"/>
            </w:pPr>
            <w:r/>
          </w:p>
        </w:tc>
      </w:tr>
    </w:tbl>
    <w:p>
      <w:pPr>
        <w:spacing w:after="40"/>
      </w:pPr>
    </w:p>
    <w:p>
      <w:pPr>
        <w:sectPr>
          <w:pgSz w:w="16838" w:h="11906" w:orient="landscape"/>
          <w:pgMar w:top="1020" w:right="1134" w:bottom="1020" w:left="1134" w:header="567" w:footer="567" w:gutter="0"/>
          <w:cols w:space="720"/>
          <w:titlePg/>
          <w:docGrid w:linePitch="360"/>
        </w:sectPr>
      </w:pPr>
    </w:p>
    <w:p>
      <w:pPr>
        <w:pStyle w:val="Heading2"/>
        <w:pBdr>
          <w:bottom w:val="single" w:sz="6" w:space="3" w:color="E8EDF3"/>
        </w:pBdr>
      </w:pPr>
      <w:r>
        <w:rPr>
          <w:rFonts w:ascii="Calibri" w:hAnsi="Calibri"/>
          <w:b/>
          <w:color w:val="0F2B4C"/>
          <w:sz w:val="26"/>
        </w:rPr>
        <w:t>E.1  Review cycle</w:t>
      </w:r>
    </w:p>
    <w:p>
      <w:pPr>
        <w:spacing w:after="40"/>
        <w:ind w:left="351" w:hanging="227"/>
      </w:pPr>
      <w:r>
        <w:rPr>
          <w:rFonts w:ascii="Calibri" w:hAnsi="Calibri"/>
          <w:b/>
          <w:color w:val="1B4F86"/>
          <w:sz w:val="19"/>
        </w:rPr>
        <w:t xml:space="preserve">▪  </w:t>
      </w:r>
      <w:r>
        <w:rPr>
          <w:rFonts w:ascii="Calibri" w:hAnsi="Calibri"/>
          <w:b w:val="0"/>
          <w:i w:val="0"/>
          <w:color w:val="334E68"/>
          <w:sz w:val="19"/>
        </w:rPr>
        <w:t>Review this handbook after every migration wave, and at minimum every six months.</w:t>
      </w:r>
    </w:p>
    <w:p>
      <w:pPr>
        <w:spacing w:after="40"/>
        <w:ind w:left="351" w:hanging="227"/>
      </w:pPr>
      <w:r>
        <w:rPr>
          <w:rFonts w:ascii="Calibri" w:hAnsi="Calibri"/>
          <w:b/>
          <w:color w:val="1B4F86"/>
          <w:sz w:val="19"/>
        </w:rPr>
        <w:t xml:space="preserve">▪  </w:t>
      </w:r>
      <w:r>
        <w:rPr>
          <w:rFonts w:ascii="Calibri" w:hAnsi="Calibri"/>
          <w:b w:val="0"/>
          <w:i w:val="0"/>
          <w:color w:val="334E68"/>
          <w:sz w:val="19"/>
        </w:rPr>
        <w:t>Update it when a project runbook, SAP release, AWS service behaviour or client standard changes the guidance.</w:t>
      </w:r>
    </w:p>
    <w:p>
      <w:pPr>
        <w:spacing w:after="40"/>
        <w:ind w:left="351" w:hanging="227"/>
      </w:pPr>
      <w:r>
        <w:rPr>
          <w:rFonts w:ascii="Calibri" w:hAnsi="Calibri"/>
          <w:b/>
          <w:color w:val="1B4F86"/>
          <w:sz w:val="19"/>
        </w:rPr>
        <w:t xml:space="preserve">▪  </w:t>
      </w:r>
      <w:r>
        <w:rPr>
          <w:rFonts w:ascii="Calibri" w:hAnsi="Calibri"/>
          <w:b w:val="0"/>
          <w:i w:val="0"/>
          <w:color w:val="334E68"/>
          <w:sz w:val="19"/>
        </w:rPr>
        <w:t>Re-run the technical review (Appendix D method) whenever a module is materially changed.</w:t>
      </w:r>
    </w:p>
    <w:p>
      <w:pPr>
        <w:spacing w:after="40"/>
        <w:ind w:left="351" w:hanging="227"/>
      </w:pPr>
      <w:r>
        <w:rPr>
          <w:rFonts w:ascii="Calibri" w:hAnsi="Calibri"/>
          <w:b/>
          <w:color w:val="1B4F86"/>
          <w:sz w:val="19"/>
        </w:rPr>
        <w:t xml:space="preserve">▪  </w:t>
      </w:r>
      <w:r>
        <w:rPr>
          <w:rFonts w:ascii="Calibri" w:hAnsi="Calibri"/>
          <w:b w:val="0"/>
          <w:i w:val="0"/>
          <w:color w:val="334E68"/>
          <w:sz w:val="19"/>
        </w:rPr>
        <w:t>Retire superseded versions to the archive with their evidence packs; do not leave multiple live copies in circulation.</w:t>
      </w:r>
    </w:p>
    <w:p>
      <w:pPr>
        <w:spacing w:after="40"/>
        <w:ind w:left="351" w:hanging="227"/>
      </w:pPr>
      <w:r>
        <w:rPr>
          <w:rFonts w:ascii="Calibri" w:hAnsi="Calibri"/>
          <w:b/>
          <w:color w:val="1B4F86"/>
          <w:sz w:val="19"/>
        </w:rPr>
        <w:t xml:space="preserve">▪  </w:t>
      </w:r>
      <w:r>
        <w:rPr>
          <w:rFonts w:ascii="Calibri" w:hAnsi="Calibri"/>
          <w:b w:val="0"/>
          <w:i w:val="0"/>
          <w:color w:val="334E68"/>
          <w:sz w:val="19"/>
        </w:rPr>
        <w:t>Circulate the finalized material only after confirmation and sign-off, as required by the ownership model in Section 14.</w:t>
      </w:r>
    </w:p>
    <w:p>
      <w:pPr>
        <w:spacing w:before="180" w:after="40"/>
        <w:shd w:val="clear" w:color="auto" w:fill="F8FCF9"/>
        <w:pBdr>
          <w:left w:val="single" w:sz="6" w:space="6" w:color="3D9A5F"/>
          <w:top w:val="single" w:sz="6" w:space="6" w:color="3D9A5F"/>
          <w:right w:val="single" w:sz="6" w:space="6" w:color="3D9A5F"/>
        </w:pBdr>
        <w:keepNext/>
      </w:pPr>
      <w:r>
        <w:rPr>
          <w:rFonts w:ascii="Calibri" w:hAnsi="Calibri"/>
          <w:b/>
          <w:color w:val="3D9A5F"/>
          <w:sz w:val="16"/>
        </w:rPr>
        <w:t>END OF HANDBOOK</w:t>
      </w:r>
    </w:p>
    <w:p>
      <w:pPr>
        <w:spacing w:after="40"/>
        <w:ind w:left="170"/>
        <w:shd w:val="clear" w:color="auto" w:fill="F8FCF9"/>
        <w:pBdr>
          <w:left w:val="single" w:sz="6" w:space="6" w:color="3D9A5F"/>
          <w:bottom w:val="single" w:sz="6" w:space="6" w:color="3D9A5F"/>
          <w:right w:val="single" w:sz="6" w:space="6" w:color="3D9A5F"/>
        </w:pBdr>
      </w:pPr>
      <w:r>
        <w:rPr>
          <w:rFonts w:ascii="Calibri" w:hAnsi="Calibri"/>
          <w:b w:val="0"/>
          <w:i w:val="0"/>
          <w:color w:val="334E68"/>
          <w:sz w:val="18"/>
        </w:rPr>
        <w:t>Consolidated Training Material · 2026 · SAP Migration Training Handbook · Version 1.0 · Internal — training use. Prepared from the consolidated training/MOM source document; primary trainer Amit Prajapati.</w:t>
      </w:r>
    </w:p>
    <w:sectPr w:rsidR="00FC693F" w:rsidRPr="0006063C" w:rsidSect="00034616">
      <w:pgSz w:w="11906" w:h="16838"/>
      <w:pgMar w:top="1020" w:right="1134" w:bottom="1020"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7D2E0"/>
      </w:pBdr>
    </w:pPr>
    <w:r/>
    <w:r>
      <w:rPr>
        <w:color w:val="5B7288"/>
        <w:sz w:val="16"/>
      </w:rPr>
      <w:t xml:space="preserve">Internal — training use   ·   SAP-MIG-TRN-HB-001   ·   v1.0   ·   Page </w:t>
    </w:r>
    <w:r>
      <w:rPr>
        <w:color w:val="5B7288"/>
        <w:sz w:val="16"/>
      </w:rPr>
      <w:fldChar w:fldCharType="begin"/>
    </w:r>
    <w:r>
      <w:rPr>
        <w:color w:val="5B7288"/>
        <w:sz w:val="16"/>
      </w:rPr>
      <w:instrText xml:space="preserve">PAGE</w:instrText>
    </w:r>
    <w:r>
      <w:rPr>
        <w:color w:val="5B7288"/>
        <w:sz w:val="16"/>
      </w:rPr>
      <w:fldChar w:fldCharType="separate"/>
    </w:r>
    <w:r>
      <w:rPr>
        <w:color w:val="5B7288"/>
        <w:sz w:val="16"/>
      </w:rPr>
      <w:t>1</w:t>
    </w:r>
    <w:r>
      <w:rPr>
        <w:color w:val="5B7288"/>
        <w:sz w:val="16"/>
      </w:rPr>
      <w:fldChar w:fldCharType="end"/>
    </w:r>
    <w:r>
      <w:rPr>
        <w:color w:val="5B7288"/>
        <w:sz w:val="16"/>
      </w:rPr>
      <w:t xml:space="preserve"> of </w:t>
    </w:r>
    <w:r>
      <w:rPr>
        <w:color w:val="5B7288"/>
        <w:sz w:val="16"/>
      </w:rPr>
      <w:fldChar w:fldCharType="begin"/>
    </w:r>
    <w:r>
      <w:rPr>
        <w:color w:val="5B7288"/>
        <w:sz w:val="16"/>
      </w:rPr>
      <w:instrText xml:space="preserve">NUMPAGES</w:instrText>
    </w:r>
    <w:r>
      <w:rPr>
        <w:color w:val="5B7288"/>
        <w:sz w:val="16"/>
      </w:rPr>
      <w:fldChar w:fldCharType="separate"/>
    </w:r>
    <w:r>
      <w:rPr>
        <w:color w:val="5B7288"/>
        <w:sz w:val="16"/>
      </w:rPr>
      <w:t>1</w:t>
    </w:r>
    <w:r>
      <w:rPr>
        <w:color w:val="5B72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7D2E0"/>
      </w:pBdr>
    </w:pPr>
    <w:r/>
    <w:r>
      <w:rPr>
        <w:rFonts w:ascii="Calibri" w:hAnsi="Calibri"/>
        <w:color w:val="5B7288"/>
        <w:sz w:val="16"/>
      </w:rPr>
      <w:t>SAP Migration Training Handbook ·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s="Calibri" w:eastAsia="Calibri"/>
      <w:color w:val="334E6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Light" w:hAnsi="Calibri Light" w:cs="Calibri Light"/>
      <w:b/>
      <w:bCs/>
      <w:i w:val="0"/>
      <w:color w:val="0F2B4C"/>
      <w:sz w:val="42"/>
      <w:szCs w:val="28"/>
    </w:rPr>
  </w:style>
  <w:style w:type="paragraph" w:styleId="Heading2">
    <w:name w:val="heading 2"/>
    <w:basedOn w:val="Normal"/>
    <w:next w:val="Normal"/>
    <w:link w:val="Heading2Char"/>
    <w:uiPriority w:val="9"/>
    <w:unhideWhenUsed/>
    <w:qFormat/>
    <w:rsid w:val="00FC693F"/>
    <w:pPr>
      <w:keepNext/>
      <w:keepLines/>
      <w:spacing w:before="400" w:after="140"/>
      <w:outlineLvl w:val="1"/>
    </w:pPr>
    <w:rPr>
      <w:rFonts w:asciiTheme="majorHAnsi" w:eastAsiaTheme="majorEastAsia" w:hAnsiTheme="majorHAnsi" w:cstheme="majorBidi" w:ascii="Calibri Light" w:hAnsi="Calibri Light" w:cs="Calibri Light"/>
      <w:b/>
      <w:bCs/>
      <w:i w:val="0"/>
      <w:color w:val="0F2B4C"/>
      <w:sz w:val="32"/>
      <w:szCs w:val="26"/>
    </w:rPr>
  </w:style>
  <w:style w:type="paragraph" w:styleId="Heading3">
    <w:name w:val="heading 3"/>
    <w:basedOn w:val="Normal"/>
    <w:next w:val="Normal"/>
    <w:link w:val="Heading3Char"/>
    <w:uiPriority w:val="9"/>
    <w:unhideWhenUsed/>
    <w:qFormat/>
    <w:rsid w:val="00FC693F"/>
    <w:pPr>
      <w:keepNext/>
      <w:keepLines/>
      <w:spacing w:before="300" w:after="100"/>
      <w:outlineLvl w:val="2"/>
    </w:pPr>
    <w:rPr>
      <w:rFonts w:asciiTheme="majorHAnsi" w:eastAsiaTheme="majorEastAsia" w:hAnsiTheme="majorHAnsi" w:cstheme="majorBidi" w:ascii="Calibri" w:hAnsi="Calibri" w:cs="Calibri"/>
      <w:b/>
      <w:bCs/>
      <w:i w:val="0"/>
      <w:color w:val="1B4F86"/>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cs="Calibri"/>
      <w:b/>
      <w:bCs/>
      <w:i w:val="0"/>
      <w:iCs/>
      <w:color w:val="173A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Migration Training Handbook</dc:title>
  <dc:subject>SAP → AWS Migration | HANA | Oracle | Basis Validation | Cutover | Hypercare</dc:subject>
  <dc:creator>Amit Prajapati</dc:creator>
  <cp:keywords>SAP, AWS, HANA, Oracle, Data Guard, migration, cutover, hypercare, Basis, validation</cp:keywords>
  <dc:description>Version 1.0 — vetted release. Consolidated from the supplied training/MOM source document. Internal training use; does not replace approved project runbooks.</dc:description>
  <cp:lastModifiedBy/>
  <cp:revision>1</cp:revision>
  <dcterms:created xsi:type="dcterms:W3CDTF">2013-12-23T23:15:00Z</dcterms:created>
  <dcterms:modified xsi:type="dcterms:W3CDTF">2013-12-23T23:15:00Z</dcterms:modified>
  <cp:category>Consolidated Training &amp; Knowledge Transfer Handbook</cp:category>
</cp:coreProperties>
</file>