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left"/>
      </w:pPr>
      <w:r>
        <w:rPr>
          <w:rFonts w:ascii="Calibri" w:hAnsi="Calibri"/>
          <w:b/>
          <w:color w:val="1B4F86"/>
          <w:sz w:val="18"/>
        </w:rPr>
        <w:t>CONSOLIDATED TRAINING MATERIAL · 2026</w:t>
      </w:r>
    </w:p>
    <w:p>
      <w:pPr>
        <w:spacing w:before="200" w:after="40"/>
      </w:pPr>
      <w:r>
        <w:rPr>
          <w:rFonts w:ascii="Calibri Light" w:hAnsi="Calibri Light"/>
          <w:b/>
          <w:color w:val="0F2B4C"/>
          <w:sz w:val="68"/>
        </w:rPr>
        <w:t>SAP Migration</w:t>
      </w:r>
    </w:p>
    <w:p>
      <w:pPr>
        <w:spacing w:after="200"/>
      </w:pPr>
      <w:r>
        <w:rPr>
          <w:rFonts w:ascii="Calibri Light" w:hAnsi="Calibri Light"/>
          <w:b/>
          <w:color w:val="0F2B4C"/>
          <w:sz w:val="68"/>
        </w:rPr>
        <w:t>Training Handbook</w:t>
      </w:r>
    </w:p>
    <w:p>
      <w:pPr>
        <w:spacing w:after="280"/>
        <w:pBdr>
          <w:bottom w:val="single" w:sz="18" w:space="8" w:color="1B4F86"/>
        </w:pBdr>
      </w:pPr>
    </w:p>
    <w:p>
      <w:pPr>
        <w:spacing w:after="320"/>
      </w:pPr>
      <w:r>
        <w:rPr>
          <w:rFonts w:ascii="Calibri" w:hAnsi="Calibri"/>
          <w:color w:val="334E68"/>
          <w:sz w:val="22"/>
        </w:rPr>
        <w:t>A single, evidence-driven reference for engineers executing SAP-to-AWS migrations: preparation and source baselining, target architecture and AWS build validation, SAP HANA MDC backup and recovery, Basis post-migration validation, performance troubleshooting, Oracle Data Guard switchover, cutover, Go/No-Go governance, rollback and hypercare.</w:t>
      </w:r>
    </w:p>
    <w:p>
      <w:pPr>
        <w:spacing w:after="360"/>
      </w:pPr>
      <w:r>
        <w:rPr>
          <w:rFonts w:ascii="Calibri" w:hAnsi="Calibri"/>
          <w:b/>
          <w:color w:val="1B4F86"/>
          <w:sz w:val="18"/>
        </w:rPr>
        <w:t>SAP → AWS Migration</w:t>
      </w:r>
      <w:r>
        <w:rPr>
          <w:color w:val="9EC3EC"/>
          <w:sz w:val="18"/>
        </w:rPr>
        <w:t xml:space="preserve">    ·    </w:t>
      </w:r>
      <w:r>
        <w:rPr>
          <w:rFonts w:ascii="Calibri" w:hAnsi="Calibri"/>
          <w:b/>
          <w:color w:val="1B4F86"/>
          <w:sz w:val="18"/>
        </w:rPr>
        <w:t>SAP HANA MDC</w:t>
      </w:r>
      <w:r>
        <w:rPr>
          <w:color w:val="9EC3EC"/>
          <w:sz w:val="18"/>
        </w:rPr>
        <w:t xml:space="preserve">    ·    </w:t>
      </w:r>
      <w:r>
        <w:rPr>
          <w:rFonts w:ascii="Calibri" w:hAnsi="Calibri"/>
          <w:b/>
          <w:color w:val="1B4F86"/>
          <w:sz w:val="18"/>
        </w:rPr>
        <w:t>Oracle Data Guard</w:t>
      </w:r>
      <w:r>
        <w:rPr>
          <w:color w:val="9EC3EC"/>
          <w:sz w:val="18"/>
        </w:rPr>
        <w:t xml:space="preserve">    ·    </w:t>
      </w:r>
      <w:r>
        <w:rPr>
          <w:rFonts w:ascii="Calibri" w:hAnsi="Calibri"/>
          <w:b/>
          <w:color w:val="1B4F86"/>
          <w:sz w:val="18"/>
        </w:rPr>
        <w:t>Basis Validation</w:t>
      </w:r>
      <w:r>
        <w:rPr>
          <w:color w:val="9EC3EC"/>
          <w:sz w:val="18"/>
        </w:rPr>
        <w:t xml:space="preserve">    ·    </w:t>
      </w:r>
      <w:r>
        <w:rPr>
          <w:rFonts w:ascii="Calibri" w:hAnsi="Calibri"/>
          <w:b/>
          <w:color w:val="1B4F86"/>
          <w:sz w:val="18"/>
        </w:rPr>
        <w:t>Cutover &amp; Go/No-Go</w:t>
      </w:r>
      <w:r>
        <w:rPr>
          <w:color w:val="9EC3EC"/>
          <w:sz w:val="18"/>
        </w:rPr>
        <w:t xml:space="preserve">    ·    </w:t>
      </w:r>
      <w:r>
        <w:rPr>
          <w:rFonts w:ascii="Calibri" w:hAnsi="Calibri"/>
          <w:b/>
          <w:color w:val="1B4F86"/>
          <w:sz w:val="18"/>
        </w:rPr>
        <w:t>Hypercare</w:t>
      </w:r>
      <w:r>
        <w:rPr>
          <w:color w:val="9EC3EC"/>
          <w:sz w:val="18"/>
        </w:rPr>
        <w:t xml:space="preserve">    ·    </w:t>
      </w:r>
      <w:r>
        <w:rPr>
          <w:rFonts w:ascii="Calibri" w:hAnsi="Calibri"/>
          <w:b/>
          <w:color w:val="1B4F86"/>
          <w:sz w:val="18"/>
        </w:rPr>
        <w:t>Evidence Model</w:t>
      </w:r>
    </w:p>
    <w:p>
      <w:pPr>
        <w:spacing w:after="60" w:before="160"/>
        <w:keepNext/>
      </w:pPr>
      <w:r>
        <w:rPr>
          <w:rFonts w:ascii="Calibri" w:hAnsi="Calibri"/>
          <w:b/>
          <w:color w:val="5B7288"/>
          <w:sz w:val="15"/>
        </w:rPr>
        <w:t>DOCUMENT CONTROL</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699"/>
        <w:gridCol w:w="6939"/>
      </w:tblGrid>
      <w:tr>
        <w:trPr>
          <w:tblHeader/>
          <w:cantSplit/>
        </w:trPr>
        <w:tc>
          <w:tcPr>
            <w:tcW w:type="dxa" w:w="2699"/>
            <w:shd w:val="clear" w:color="auto" w:fill="0F2B4C"/>
          </w:tcPr>
          <w:p>
            <w:pPr>
              <w:spacing w:after="20" w:before="20"/>
            </w:pPr>
            <w:r/>
            <w:r>
              <w:rPr>
                <w:rFonts w:ascii="Calibri" w:hAnsi="Calibri"/>
                <w:b/>
                <w:color w:val="FFFFFF"/>
                <w:sz w:val="17"/>
              </w:rPr>
              <w:t>Field</w:t>
            </w:r>
          </w:p>
        </w:tc>
        <w:tc>
          <w:tcPr>
            <w:tcW w:type="dxa" w:w="6939"/>
            <w:shd w:val="clear" w:color="auto" w:fill="0F2B4C"/>
          </w:tcPr>
          <w:p>
            <w:pPr>
              <w:spacing w:after="20" w:before="20"/>
            </w:pPr>
            <w:r/>
            <w:r>
              <w:rPr>
                <w:rFonts w:ascii="Calibri" w:hAnsi="Calibri"/>
                <w:b/>
                <w:color w:val="FFFFFF"/>
                <w:sz w:val="17"/>
              </w:rPr>
              <w:t>Value</w:t>
            </w:r>
          </w:p>
        </w:tc>
      </w:tr>
      <w:tr>
        <w:trPr>
          <w:cantSplit/>
        </w:trPr>
        <w:tc>
          <w:tcPr>
            <w:tcW w:type="dxa" w:w="2699"/>
          </w:tcPr>
          <w:p>
            <w:pPr>
              <w:spacing w:after="20" w:before="20"/>
            </w:pPr>
            <w:r/>
            <w:r>
              <w:rPr>
                <w:rFonts w:ascii="Calibri" w:hAnsi="Calibri"/>
                <w:b/>
                <w:color w:val="0F2B4C"/>
                <w:sz w:val="18"/>
              </w:rPr>
              <w:t>Document title</w:t>
            </w:r>
          </w:p>
        </w:tc>
        <w:tc>
          <w:tcPr>
            <w:tcW w:type="dxa" w:w="6939"/>
          </w:tcPr>
          <w:p>
            <w:pPr>
              <w:spacing w:after="20" w:before="20"/>
            </w:pPr>
            <w:r/>
            <w:r>
              <w:rPr>
                <w:rFonts w:ascii="Calibri" w:hAnsi="Calibri"/>
                <w:b w:val="0"/>
                <w:color w:val="334E68"/>
                <w:sz w:val="18"/>
              </w:rPr>
              <w:t>SAP Migration Training Handbook</w:t>
            </w:r>
          </w:p>
        </w:tc>
      </w:tr>
      <w:tr>
        <w:trPr>
          <w:cantSplit/>
        </w:trPr>
        <w:tc>
          <w:tcPr>
            <w:tcW w:type="dxa" w:w="2699"/>
            <w:shd w:val="clear" w:color="auto" w:fill="FAFBFD"/>
          </w:tcPr>
          <w:p>
            <w:pPr>
              <w:spacing w:after="20" w:before="20"/>
            </w:pPr>
            <w:r/>
            <w:r>
              <w:rPr>
                <w:rFonts w:ascii="Calibri" w:hAnsi="Calibri"/>
                <w:b/>
                <w:color w:val="0F2B4C"/>
                <w:sz w:val="18"/>
              </w:rPr>
              <w:t>Document ID</w:t>
            </w:r>
          </w:p>
        </w:tc>
        <w:tc>
          <w:tcPr>
            <w:tcW w:type="dxa" w:w="6939"/>
            <w:shd w:val="clear" w:color="auto" w:fill="FAFBFD"/>
          </w:tcPr>
          <w:p>
            <w:pPr>
              <w:spacing w:after="20" w:before="20"/>
            </w:pPr>
            <w:r/>
            <w:r>
              <w:rPr>
                <w:rFonts w:ascii="Calibri" w:hAnsi="Calibri"/>
                <w:b w:val="0"/>
                <w:color w:val="334E68"/>
                <w:sz w:val="18"/>
              </w:rPr>
              <w:t>SAP-MIG-TRN-HB-001</w:t>
            </w:r>
          </w:p>
        </w:tc>
      </w:tr>
      <w:tr>
        <w:trPr>
          <w:cantSplit/>
        </w:trPr>
        <w:tc>
          <w:tcPr>
            <w:tcW w:type="dxa" w:w="2699"/>
          </w:tcPr>
          <w:p>
            <w:pPr>
              <w:spacing w:after="20" w:before="20"/>
            </w:pPr>
            <w:r/>
            <w:r>
              <w:rPr>
                <w:rFonts w:ascii="Calibri" w:hAnsi="Calibri"/>
                <w:b/>
                <w:color w:val="0F2B4C"/>
                <w:sz w:val="18"/>
              </w:rPr>
              <w:t>Version</w:t>
            </w:r>
          </w:p>
        </w:tc>
        <w:tc>
          <w:tcPr>
            <w:tcW w:type="dxa" w:w="6939"/>
          </w:tcPr>
          <w:p>
            <w:pPr>
              <w:spacing w:after="20" w:before="20"/>
            </w:pPr>
            <w:r/>
            <w:r>
              <w:rPr>
                <w:rFonts w:ascii="Calibri" w:hAnsi="Calibri"/>
                <w:b w:val="0"/>
                <w:color w:val="334E68"/>
                <w:sz w:val="18"/>
              </w:rPr>
              <w:t>1.0 — vetted release</w:t>
            </w:r>
          </w:p>
        </w:tc>
      </w:tr>
      <w:tr>
        <w:trPr>
          <w:cantSplit/>
        </w:trPr>
        <w:tc>
          <w:tcPr>
            <w:tcW w:type="dxa" w:w="2699"/>
            <w:shd w:val="clear" w:color="auto" w:fill="FAFBFD"/>
          </w:tcPr>
          <w:p>
            <w:pPr>
              <w:spacing w:after="20" w:before="20"/>
            </w:pPr>
            <w:r/>
            <w:r>
              <w:rPr>
                <w:rFonts w:ascii="Calibri" w:hAnsi="Calibri"/>
                <w:b/>
                <w:color w:val="0F2B4C"/>
                <w:sz w:val="18"/>
              </w:rPr>
              <w:t>Status</w:t>
            </w:r>
          </w:p>
        </w:tc>
        <w:tc>
          <w:tcPr>
            <w:tcW w:type="dxa" w:w="6939"/>
            <w:shd w:val="clear" w:color="auto" w:fill="FAFBFD"/>
          </w:tcPr>
          <w:p>
            <w:pPr>
              <w:spacing w:after="20" w:before="20"/>
            </w:pPr>
            <w:r/>
            <w:r>
              <w:rPr>
                <w:rFonts w:ascii="Calibri" w:hAnsi="Calibri"/>
                <w:b w:val="0"/>
                <w:color w:val="334E68"/>
                <w:sz w:val="18"/>
              </w:rPr>
              <w:t>Issued for training delivery</w:t>
            </w:r>
          </w:p>
        </w:tc>
      </w:tr>
      <w:tr>
        <w:trPr>
          <w:cantSplit/>
        </w:trPr>
        <w:tc>
          <w:tcPr>
            <w:tcW w:type="dxa" w:w="2699"/>
          </w:tcPr>
          <w:p>
            <w:pPr>
              <w:spacing w:after="20" w:before="20"/>
            </w:pPr>
            <w:r/>
            <w:r>
              <w:rPr>
                <w:rFonts w:ascii="Calibri" w:hAnsi="Calibri"/>
                <w:b/>
                <w:color w:val="0F2B4C"/>
                <w:sz w:val="18"/>
              </w:rPr>
              <w:t>Document type</w:t>
            </w:r>
          </w:p>
        </w:tc>
        <w:tc>
          <w:tcPr>
            <w:tcW w:type="dxa" w:w="6939"/>
          </w:tcPr>
          <w:p>
            <w:pPr>
              <w:spacing w:after="20" w:before="20"/>
            </w:pPr>
            <w:r/>
            <w:r>
              <w:rPr>
                <w:rFonts w:ascii="Calibri" w:hAnsi="Calibri"/>
                <w:b w:val="0"/>
                <w:color w:val="334E68"/>
                <w:sz w:val="18"/>
              </w:rPr>
              <w:t>Consolidated training &amp; knowledge-transfer handbook</w:t>
            </w:r>
          </w:p>
        </w:tc>
      </w:tr>
      <w:tr>
        <w:trPr>
          <w:cantSplit/>
        </w:trPr>
        <w:tc>
          <w:tcPr>
            <w:tcW w:type="dxa" w:w="2699"/>
            <w:shd w:val="clear" w:color="auto" w:fill="FAFBFD"/>
          </w:tcPr>
          <w:p>
            <w:pPr>
              <w:spacing w:after="20" w:before="20"/>
            </w:pPr>
            <w:r/>
            <w:r>
              <w:rPr>
                <w:rFonts w:ascii="Calibri" w:hAnsi="Calibri"/>
                <w:b/>
                <w:color w:val="0F2B4C"/>
                <w:sz w:val="18"/>
              </w:rPr>
              <w:t>Training scope</w:t>
            </w:r>
          </w:p>
        </w:tc>
        <w:tc>
          <w:tcPr>
            <w:tcW w:type="dxa" w:w="6939"/>
            <w:shd w:val="clear" w:color="auto" w:fill="FAFBFD"/>
          </w:tcPr>
          <w:p>
            <w:pPr>
              <w:spacing w:after="20" w:before="20"/>
            </w:pPr>
            <w:r/>
            <w:r>
              <w:rPr>
                <w:rFonts w:ascii="Calibri" w:hAnsi="Calibri"/>
                <w:b w:val="0"/>
                <w:color w:val="334E68"/>
                <w:sz w:val="18"/>
              </w:rPr>
              <w:t>SAP migration planning, build readiness, validation, troubleshooting, cutover</w:t>
            </w:r>
          </w:p>
        </w:tc>
      </w:tr>
      <w:tr>
        <w:trPr>
          <w:cantSplit/>
        </w:trPr>
        <w:tc>
          <w:tcPr>
            <w:tcW w:type="dxa" w:w="2699"/>
          </w:tcPr>
          <w:p>
            <w:pPr>
              <w:spacing w:after="20" w:before="20"/>
            </w:pPr>
            <w:r/>
            <w:r>
              <w:rPr>
                <w:rFonts w:ascii="Calibri" w:hAnsi="Calibri"/>
                <w:b/>
                <w:color w:val="0F2B4C"/>
                <w:sz w:val="18"/>
              </w:rPr>
              <w:t>Training period</w:t>
            </w:r>
          </w:p>
        </w:tc>
        <w:tc>
          <w:tcPr>
            <w:tcW w:type="dxa" w:w="6939"/>
          </w:tcPr>
          <w:p>
            <w:pPr>
              <w:spacing w:after="20" w:before="20"/>
            </w:pPr>
            <w:r/>
            <w:r>
              <w:rPr>
                <w:rFonts w:ascii="Calibri" w:hAnsi="Calibri"/>
                <w:b w:val="0"/>
                <w:color w:val="334E68"/>
                <w:sz w:val="18"/>
              </w:rPr>
              <w:t>September – October 2026</w:t>
            </w:r>
          </w:p>
        </w:tc>
      </w:tr>
      <w:tr>
        <w:trPr>
          <w:cantSplit/>
        </w:trPr>
        <w:tc>
          <w:tcPr>
            <w:tcW w:type="dxa" w:w="2699"/>
            <w:shd w:val="clear" w:color="auto" w:fill="FAFBFD"/>
          </w:tcPr>
          <w:p>
            <w:pPr>
              <w:spacing w:after="20" w:before="20"/>
            </w:pPr>
            <w:r/>
            <w:r>
              <w:rPr>
                <w:rFonts w:ascii="Calibri" w:hAnsi="Calibri"/>
                <w:b/>
                <w:color w:val="0F2B4C"/>
                <w:sz w:val="18"/>
              </w:rPr>
              <w:t>Primary trainer</w:t>
            </w:r>
          </w:p>
        </w:tc>
        <w:tc>
          <w:tcPr>
            <w:tcW w:type="dxa" w:w="6939"/>
            <w:shd w:val="clear" w:color="auto" w:fill="FAFBFD"/>
          </w:tcPr>
          <w:p>
            <w:pPr>
              <w:spacing w:after="20" w:before="20"/>
            </w:pPr>
            <w:r/>
            <w:r>
              <w:rPr>
                <w:rFonts w:ascii="Calibri" w:hAnsi="Calibri"/>
                <w:b w:val="0"/>
                <w:color w:val="334E68"/>
                <w:sz w:val="18"/>
              </w:rPr>
              <w:t>Amit Prajapati</w:t>
            </w:r>
          </w:p>
        </w:tc>
      </w:tr>
      <w:tr>
        <w:trPr>
          <w:cantSplit/>
        </w:trPr>
        <w:tc>
          <w:tcPr>
            <w:tcW w:type="dxa" w:w="2699"/>
          </w:tcPr>
          <w:p>
            <w:pPr>
              <w:spacing w:after="20" w:before="20"/>
            </w:pPr>
            <w:r/>
            <w:r>
              <w:rPr>
                <w:rFonts w:ascii="Calibri" w:hAnsi="Calibri"/>
                <w:b/>
                <w:color w:val="0F2B4C"/>
                <w:sz w:val="18"/>
              </w:rPr>
              <w:t>Prepared from</w:t>
            </w:r>
          </w:p>
        </w:tc>
        <w:tc>
          <w:tcPr>
            <w:tcW w:type="dxa" w:w="6939"/>
          </w:tcPr>
          <w:p>
            <w:pPr>
              <w:spacing w:after="20" w:before="20"/>
            </w:pPr>
            <w:r/>
            <w:r>
              <w:rPr>
                <w:rFonts w:ascii="Calibri" w:hAnsi="Calibri"/>
                <w:b w:val="0"/>
                <w:color w:val="334E68"/>
                <w:sz w:val="18"/>
              </w:rPr>
              <w:t>Consolidated training / MOM source document</w:t>
            </w:r>
          </w:p>
        </w:tc>
      </w:tr>
      <w:tr>
        <w:trPr>
          <w:cantSplit/>
        </w:trPr>
        <w:tc>
          <w:tcPr>
            <w:tcW w:type="dxa" w:w="2699"/>
            <w:shd w:val="clear" w:color="auto" w:fill="FAFBFD"/>
          </w:tcPr>
          <w:p>
            <w:pPr>
              <w:spacing w:after="20" w:before="20"/>
            </w:pPr>
            <w:r/>
            <w:r>
              <w:rPr>
                <w:rFonts w:ascii="Calibri" w:hAnsi="Calibri"/>
                <w:b/>
                <w:color w:val="0F2B4C"/>
                <w:sz w:val="18"/>
              </w:rPr>
              <w:t>Applies to</w:t>
            </w:r>
          </w:p>
        </w:tc>
        <w:tc>
          <w:tcPr>
            <w:tcW w:type="dxa" w:w="6939"/>
            <w:shd w:val="clear" w:color="auto" w:fill="FAFBFD"/>
          </w:tcPr>
          <w:p>
            <w:pPr>
              <w:spacing w:after="20" w:before="20"/>
            </w:pPr>
            <w:r/>
            <w:r>
              <w:rPr>
                <w:rFonts w:ascii="Calibri" w:hAnsi="Calibri"/>
                <w:b w:val="0"/>
                <w:color w:val="334E68"/>
                <w:sz w:val="18"/>
              </w:rPr>
              <w:t>SAP → AWS migrations on SAP HANA and Oracle, including Basis validation, cutover and hypercare</w:t>
            </w:r>
          </w:p>
        </w:tc>
      </w:tr>
      <w:tr>
        <w:trPr>
          <w:cantSplit/>
        </w:trPr>
        <w:tc>
          <w:tcPr>
            <w:tcW w:type="dxa" w:w="2699"/>
          </w:tcPr>
          <w:p>
            <w:pPr>
              <w:spacing w:after="20" w:before="20"/>
            </w:pPr>
            <w:r/>
            <w:r>
              <w:rPr>
                <w:rFonts w:ascii="Calibri" w:hAnsi="Calibri"/>
                <w:b/>
                <w:color w:val="0F2B4C"/>
                <w:sz w:val="18"/>
              </w:rPr>
              <w:t>Classification</w:t>
            </w:r>
          </w:p>
        </w:tc>
        <w:tc>
          <w:tcPr>
            <w:tcW w:type="dxa" w:w="6939"/>
          </w:tcPr>
          <w:p>
            <w:pPr>
              <w:spacing w:after="20" w:before="20"/>
            </w:pPr>
            <w:r/>
            <w:r>
              <w:rPr>
                <w:rFonts w:ascii="Calibri" w:hAnsi="Calibri"/>
                <w:b w:val="0"/>
                <w:color w:val="334E68"/>
                <w:sz w:val="18"/>
              </w:rPr>
              <w:t>Internal — project and training use</w:t>
            </w:r>
          </w:p>
        </w:tc>
      </w:tr>
      <w:tr>
        <w:trPr>
          <w:cantSplit/>
        </w:trPr>
        <w:tc>
          <w:tcPr>
            <w:tcW w:type="dxa" w:w="2699"/>
            <w:shd w:val="clear" w:color="auto" w:fill="FAFBFD"/>
          </w:tcPr>
          <w:p>
            <w:pPr>
              <w:spacing w:after="20" w:before="20"/>
            </w:pPr>
            <w:r/>
            <w:r>
              <w:rPr>
                <w:rFonts w:ascii="Calibri" w:hAnsi="Calibri"/>
                <w:b/>
                <w:color w:val="0F2B4C"/>
                <w:sz w:val="18"/>
              </w:rPr>
              <w:t>Retention</w:t>
            </w:r>
          </w:p>
        </w:tc>
        <w:tc>
          <w:tcPr>
            <w:tcW w:type="dxa" w:w="6939"/>
            <w:shd w:val="clear" w:color="auto" w:fill="FAFBFD"/>
          </w:tcPr>
          <w:p>
            <w:pPr>
              <w:spacing w:after="20" w:before="20"/>
            </w:pPr>
            <w:r/>
            <w:r>
              <w:rPr>
                <w:rFonts w:ascii="Calibri" w:hAnsi="Calibri"/>
                <w:b w:val="0"/>
                <w:color w:val="334E68"/>
                <w:sz w:val="18"/>
              </w:rPr>
              <w:t>Per programme record-retention standard</w:t>
            </w:r>
          </w:p>
        </w:tc>
      </w:tr>
    </w:tbl>
    <w:p>
      <w:pPr>
        <w:spacing w:after="40"/>
      </w:pPr>
    </w:p>
    <w:p>
      <w:pPr>
        <w:spacing w:before="160"/>
        <w:shd w:val="clear" w:color="auto" w:fill="F4F7FB"/>
        <w:pBdr>
          <w:left w:val="single" w:sz="18" w:space="6" w:color="1B4F86"/>
        </w:pBdr>
      </w:pPr>
      <w:r>
        <w:rPr>
          <w:rFonts w:ascii="Calibri" w:hAnsi="Calibri"/>
          <w:b/>
          <w:i w:val="0"/>
          <w:color w:val="5B7288"/>
          <w:sz w:val="17"/>
        </w:rPr>
        <w:t>Source basis.</w:t>
      </w:r>
      <w:r>
        <w:rPr>
          <w:rFonts w:ascii="Calibri" w:hAnsi="Calibri"/>
          <w:b w:val="0"/>
          <w:i w:val="0"/>
          <w:color w:val="5B7288"/>
          <w:sz w:val="17"/>
        </w:rPr>
        <w:t xml:space="preserve"> This handbook consolidates the supplied training/MOM material. It preserves the source terminology and practical guidance, and it does not replace approved project runbooks, architecture baselines or change-management procedures. Where the source material was ambiguous or client-specific, the item is flagged rather than silently rewritten — see </w:t>
      </w:r>
      <w:r>
        <w:rPr>
          <w:rFonts w:ascii="Calibri" w:hAnsi="Calibri"/>
          <w:b w:val="0"/>
          <w:i w:val="0"/>
          <w:color w:val="1B4F86"/>
          <w:sz w:val="17"/>
        </w:rPr>
        <w:t>Appendix D: Technical review and vetting notes</w:t>
      </w:r>
      <w:r>
        <w:rPr>
          <w:rFonts w:ascii="Calibri" w:hAnsi="Calibri"/>
          <w:b w:val="0"/>
          <w:i w:val="0"/>
          <w:color w:val="5B7288"/>
          <w:sz w:val="17"/>
        </w:rPr>
        <w:t>.</w:t>
      </w:r>
    </w:p>
    <w:p>
      <w:r>
        <w:br w:type="page"/>
      </w:r>
    </w:p>
    <w:p>
      <w:pPr>
        <w:pStyle w:val="Heading1"/>
        <w:pBdr>
          <w:bottom w:val="single" w:sz="12" w:space="5" w:color="1B4F86"/>
        </w:pBdr>
      </w:pPr>
      <w:r>
        <w:t>Table of contents</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578"/>
        <w:gridCol w:w="2891"/>
        <w:gridCol w:w="6168"/>
      </w:tblGrid>
      <w:tr>
        <w:trPr>
          <w:tblHeader/>
          <w:cantSplit/>
        </w:trPr>
        <w:tc>
          <w:tcPr>
            <w:tcW w:type="dxa" w:w="578"/>
            <w:shd w:val="clear" w:color="auto" w:fill="0F2B4C"/>
          </w:tcPr>
          <w:p>
            <w:pPr>
              <w:spacing w:after="20" w:before="20"/>
            </w:pPr>
            <w:r/>
            <w:r>
              <w:rPr>
                <w:rFonts w:ascii="Calibri" w:hAnsi="Calibri"/>
                <w:b/>
                <w:color w:val="FFFFFF"/>
                <w:sz w:val="17"/>
              </w:rPr>
              <w:t>§</w:t>
            </w:r>
          </w:p>
        </w:tc>
        <w:tc>
          <w:tcPr>
            <w:tcW w:type="dxa" w:w="2891"/>
            <w:shd w:val="clear" w:color="auto" w:fill="0F2B4C"/>
          </w:tcPr>
          <w:p>
            <w:pPr>
              <w:spacing w:after="20" w:before="20"/>
            </w:pPr>
            <w:r/>
            <w:r>
              <w:rPr>
                <w:rFonts w:ascii="Calibri" w:hAnsi="Calibri"/>
                <w:b/>
                <w:color w:val="FFFFFF"/>
                <w:sz w:val="17"/>
              </w:rPr>
              <w:t>Section</w:t>
            </w:r>
          </w:p>
        </w:tc>
        <w:tc>
          <w:tcPr>
            <w:tcW w:type="dxa" w:w="6168"/>
            <w:shd w:val="clear" w:color="auto" w:fill="0F2B4C"/>
          </w:tcPr>
          <w:p>
            <w:pPr>
              <w:spacing w:after="20" w:before="20"/>
            </w:pPr>
            <w:r/>
            <w:r>
              <w:rPr>
                <w:rFonts w:ascii="Calibri" w:hAnsi="Calibri"/>
                <w:b/>
                <w:color w:val="FFFFFF"/>
                <w:sz w:val="17"/>
              </w:rPr>
              <w:t>Contents</w:t>
            </w:r>
          </w:p>
        </w:tc>
      </w:tr>
      <w:tr>
        <w:trPr>
          <w:cantSplit/>
        </w:trPr>
        <w:tc>
          <w:tcPr>
            <w:tcW w:type="dxa" w:w="578"/>
          </w:tcPr>
          <w:p>
            <w:pPr>
              <w:spacing w:after="20" w:before="20"/>
            </w:pPr>
            <w:r/>
            <w:r>
              <w:rPr>
                <w:rFonts w:ascii="Calibri" w:hAnsi="Calibri"/>
                <w:b/>
                <w:color w:val="0F2B4C"/>
                <w:sz w:val="17"/>
              </w:rPr>
            </w:r>
          </w:p>
        </w:tc>
        <w:tc>
          <w:tcPr>
            <w:tcW w:type="dxa" w:w="2891"/>
          </w:tcPr>
          <w:p>
            <w:pPr>
              <w:spacing w:after="20" w:before="20"/>
            </w:pPr>
            <w:r/>
            <w:r>
              <w:rPr>
                <w:rFonts w:ascii="Calibri" w:hAnsi="Calibri"/>
                <w:b w:val="0"/>
                <w:color w:val="334E68"/>
                <w:sz w:val="17"/>
              </w:rPr>
              <w:t>How to use this handbook</w:t>
            </w:r>
          </w:p>
        </w:tc>
        <w:tc>
          <w:tcPr>
            <w:tcW w:type="dxa" w:w="6168"/>
          </w:tcPr>
          <w:p>
            <w:pPr>
              <w:spacing w:after="20" w:before="20"/>
            </w:pPr>
            <w:r/>
            <w:r>
              <w:rPr>
                <w:rFonts w:ascii="Calibri" w:hAnsi="Calibri"/>
                <w:b w:val="0"/>
                <w:color w:val="334E68"/>
                <w:sz w:val="17"/>
              </w:rPr>
              <w:t>0.1Reading paths by role; 0.2Conventions used in this handbook; 0.3Checklist behaviour</w:t>
            </w:r>
          </w:p>
        </w:tc>
      </w:tr>
      <w:tr>
        <w:trPr>
          <w:cantSplit/>
        </w:trPr>
        <w:tc>
          <w:tcPr>
            <w:tcW w:type="dxa" w:w="578"/>
            <w:shd w:val="clear" w:color="auto" w:fill="FAFBFD"/>
          </w:tcPr>
          <w:p>
            <w:pPr>
              <w:spacing w:after="20" w:before="20"/>
            </w:pPr>
            <w:r/>
            <w:r>
              <w:rPr>
                <w:rFonts w:ascii="Calibri" w:hAnsi="Calibri"/>
                <w:b/>
                <w:color w:val="0F2B4C"/>
                <w:sz w:val="17"/>
              </w:rPr>
            </w:r>
          </w:p>
        </w:tc>
        <w:tc>
          <w:tcPr>
            <w:tcW w:type="dxa" w:w="2891"/>
            <w:shd w:val="clear" w:color="auto" w:fill="FAFBFD"/>
          </w:tcPr>
          <w:p>
            <w:pPr>
              <w:spacing w:after="20" w:before="20"/>
            </w:pPr>
            <w:r/>
            <w:r>
              <w:rPr>
                <w:rFonts w:ascii="Calibri" w:hAnsi="Calibri"/>
                <w:b w:val="0"/>
                <w:color w:val="334E68"/>
                <w:sz w:val="17"/>
              </w:rPr>
              <w:t>Document control, revision history and approval</w:t>
            </w:r>
          </w:p>
        </w:tc>
        <w:tc>
          <w:tcPr>
            <w:tcW w:type="dxa" w:w="6168"/>
            <w:shd w:val="clear" w:color="auto" w:fill="FAFBFD"/>
          </w:tcPr>
          <w:p>
            <w:pPr>
              <w:spacing w:after="20" w:before="20"/>
            </w:pPr>
            <w:r/>
            <w:r>
              <w:rPr>
                <w:rFonts w:ascii="Calibri" w:hAnsi="Calibri"/>
                <w:b w:val="0"/>
                <w:color w:val="334E68"/>
                <w:sz w:val="17"/>
              </w:rPr>
              <w:t>0.4Revision history; 0.5Approval and distribution</w:t>
            </w:r>
          </w:p>
        </w:tc>
      </w:tr>
      <w:tr>
        <w:trPr>
          <w:cantSplit/>
        </w:trPr>
        <w:tc>
          <w:tcPr>
            <w:tcW w:type="dxa" w:w="578"/>
          </w:tcPr>
          <w:p>
            <w:pPr>
              <w:spacing w:after="20" w:before="20"/>
            </w:pPr>
            <w:r/>
            <w:r>
              <w:rPr>
                <w:rFonts w:ascii="Calibri" w:hAnsi="Calibri"/>
                <w:b/>
                <w:color w:val="0F2B4C"/>
                <w:sz w:val="17"/>
              </w:rPr>
            </w:r>
          </w:p>
        </w:tc>
        <w:tc>
          <w:tcPr>
            <w:tcW w:type="dxa" w:w="2891"/>
          </w:tcPr>
          <w:p>
            <w:pPr>
              <w:spacing w:after="20" w:before="20"/>
            </w:pPr>
            <w:r/>
            <w:r>
              <w:rPr>
                <w:rFonts w:ascii="Calibri" w:hAnsi="Calibri"/>
                <w:b w:val="0"/>
                <w:color w:val="334E68"/>
                <w:sz w:val="17"/>
              </w:rPr>
              <w:t>Contents and figure index</w:t>
            </w:r>
          </w:p>
        </w:tc>
        <w:tc>
          <w:tcPr>
            <w:tcW w:type="dxa" w:w="6168"/>
          </w:tcPr>
          <w:p>
            <w:pPr>
              <w:spacing w:after="20" w:before="20"/>
            </w:pPr>
            <w:r/>
            <w:r>
              <w:rPr>
                <w:rFonts w:ascii="Calibri" w:hAnsi="Calibri"/>
                <w:b w:val="0"/>
                <w:color w:val="334E68"/>
                <w:sz w:val="17"/>
              </w:rPr>
              <w:t>Figures</w:t>
            </w:r>
          </w:p>
        </w:tc>
      </w:tr>
      <w:tr>
        <w:trPr>
          <w:cantSplit/>
        </w:trPr>
        <w:tc>
          <w:tcPr>
            <w:tcW w:type="dxa" w:w="578"/>
            <w:shd w:val="clear" w:color="auto" w:fill="FAFBFD"/>
          </w:tcPr>
          <w:p>
            <w:pPr>
              <w:spacing w:after="20" w:before="20"/>
            </w:pPr>
            <w:r/>
            <w:r>
              <w:rPr>
                <w:rFonts w:ascii="Calibri" w:hAnsi="Calibri"/>
                <w:b/>
                <w:color w:val="0F2B4C"/>
                <w:sz w:val="17"/>
              </w:rPr>
              <w:t>1</w:t>
            </w:r>
          </w:p>
        </w:tc>
        <w:tc>
          <w:tcPr>
            <w:tcW w:type="dxa" w:w="2891"/>
            <w:shd w:val="clear" w:color="auto" w:fill="FAFBFD"/>
          </w:tcPr>
          <w:p>
            <w:pPr>
              <w:spacing w:after="20" w:before="20"/>
            </w:pPr>
            <w:r/>
            <w:r>
              <w:rPr>
                <w:rFonts w:ascii="Calibri" w:hAnsi="Calibri"/>
                <w:b w:val="0"/>
                <w:color w:val="334E68"/>
                <w:sz w:val="17"/>
              </w:rPr>
              <w:t>Executive training overview</w:t>
            </w:r>
          </w:p>
        </w:tc>
        <w:tc>
          <w:tcPr>
            <w:tcW w:type="dxa" w:w="6168"/>
            <w:shd w:val="clear" w:color="auto" w:fill="FAFBFD"/>
          </w:tcPr>
          <w:p>
            <w:pPr>
              <w:spacing w:after="20" w:before="20"/>
            </w:pPr>
            <w:r/>
            <w:r>
              <w:rPr>
                <w:rFonts w:ascii="Calibri" w:hAnsi="Calibri"/>
                <w:b w:val="0"/>
                <w:color w:val="334E68"/>
                <w:sz w:val="17"/>
              </w:rPr>
              <w:t>1.1Training coverage at a glance; 1.2What good looks like at the end of a migration</w:t>
            </w:r>
          </w:p>
        </w:tc>
      </w:tr>
      <w:tr>
        <w:trPr>
          <w:cantSplit/>
        </w:trPr>
        <w:tc>
          <w:tcPr>
            <w:tcW w:type="dxa" w:w="578"/>
          </w:tcPr>
          <w:p>
            <w:pPr>
              <w:spacing w:after="20" w:before="20"/>
            </w:pPr>
            <w:r/>
            <w:r>
              <w:rPr>
                <w:rFonts w:ascii="Calibri" w:hAnsi="Calibri"/>
                <w:b/>
                <w:color w:val="0F2B4C"/>
                <w:sz w:val="17"/>
              </w:rPr>
              <w:t>2</w:t>
            </w:r>
          </w:p>
        </w:tc>
        <w:tc>
          <w:tcPr>
            <w:tcW w:type="dxa" w:w="2891"/>
          </w:tcPr>
          <w:p>
            <w:pPr>
              <w:spacing w:after="20" w:before="20"/>
            </w:pPr>
            <w:r/>
            <w:r>
              <w:rPr>
                <w:rFonts w:ascii="Calibri" w:hAnsi="Calibri"/>
                <w:b w:val="0"/>
                <w:color w:val="334E68"/>
                <w:sz w:val="17"/>
              </w:rPr>
              <w:t>Training objectives and learning outcomes</w:t>
            </w:r>
          </w:p>
        </w:tc>
        <w:tc>
          <w:tcPr>
            <w:tcW w:type="dxa" w:w="6168"/>
          </w:tcPr>
          <w:p>
            <w:pPr>
              <w:spacing w:after="20" w:before="20"/>
            </w:pPr>
            <w:r/>
            <w:r>
              <w:rPr>
                <w:rFonts w:ascii="Calibri" w:hAnsi="Calibri"/>
                <w:b w:val="0"/>
                <w:color w:val="334E68"/>
                <w:sz w:val="17"/>
              </w:rPr>
              <w:t>2.1Prerequisites assumed by this training; 2.2How the modules build on each other</w:t>
            </w:r>
          </w:p>
        </w:tc>
      </w:tr>
      <w:tr>
        <w:trPr>
          <w:cantSplit/>
        </w:trPr>
        <w:tc>
          <w:tcPr>
            <w:tcW w:type="dxa" w:w="578"/>
            <w:shd w:val="clear" w:color="auto" w:fill="FAFBFD"/>
          </w:tcPr>
          <w:p>
            <w:pPr>
              <w:spacing w:after="20" w:before="20"/>
            </w:pPr>
            <w:r/>
            <w:r>
              <w:rPr>
                <w:rFonts w:ascii="Calibri" w:hAnsi="Calibri"/>
                <w:b/>
                <w:color w:val="0F2B4C"/>
                <w:sz w:val="17"/>
              </w:rPr>
              <w:t>3</w:t>
            </w:r>
          </w:p>
        </w:tc>
        <w:tc>
          <w:tcPr>
            <w:tcW w:type="dxa" w:w="2891"/>
            <w:shd w:val="clear" w:color="auto" w:fill="FAFBFD"/>
          </w:tcPr>
          <w:p>
            <w:pPr>
              <w:spacing w:after="20" w:before="20"/>
            </w:pPr>
            <w:r/>
            <w:r>
              <w:rPr>
                <w:rFonts w:ascii="Calibri" w:hAnsi="Calibri"/>
                <w:b w:val="0"/>
                <w:color w:val="334E68"/>
                <w:sz w:val="17"/>
              </w:rPr>
              <w:t>End-to-end SAP-to-AWS migration lifecycle</w:t>
            </w:r>
          </w:p>
        </w:tc>
        <w:tc>
          <w:tcPr>
            <w:tcW w:type="dxa" w:w="6168"/>
            <w:shd w:val="clear" w:color="auto" w:fill="FAFBFD"/>
          </w:tcPr>
          <w:p>
            <w:pPr>
              <w:spacing w:after="20" w:before="20"/>
            </w:pPr>
            <w:r/>
            <w:r>
              <w:rPr>
                <w:rFonts w:ascii="Calibri" w:hAnsi="Calibri"/>
                <w:b w:val="0"/>
                <w:color w:val="334E68"/>
                <w:sz w:val="17"/>
              </w:rPr>
              <w:t>3.1Stage table with entry and exit criteria; 3.2Sequence to remember; 3.3Where each team enters the lifecycle</w:t>
            </w:r>
          </w:p>
        </w:tc>
      </w:tr>
      <w:tr>
        <w:trPr>
          <w:cantSplit/>
        </w:trPr>
        <w:tc>
          <w:tcPr>
            <w:tcW w:type="dxa" w:w="578"/>
          </w:tcPr>
          <w:p>
            <w:pPr>
              <w:spacing w:after="20" w:before="20"/>
            </w:pPr>
            <w:r/>
            <w:r>
              <w:rPr>
                <w:rFonts w:ascii="Calibri" w:hAnsi="Calibri"/>
                <w:b/>
                <w:color w:val="0F2B4C"/>
                <w:sz w:val="17"/>
              </w:rPr>
              <w:t>4</w:t>
            </w:r>
          </w:p>
        </w:tc>
        <w:tc>
          <w:tcPr>
            <w:tcW w:type="dxa" w:w="2891"/>
          </w:tcPr>
          <w:p>
            <w:pPr>
              <w:spacing w:after="20" w:before="20"/>
            </w:pPr>
            <w:r/>
            <w:r>
              <w:rPr>
                <w:rFonts w:ascii="Calibri" w:hAnsi="Calibri"/>
                <w:b w:val="0"/>
                <w:color w:val="334E68"/>
                <w:sz w:val="17"/>
              </w:rPr>
              <w:t>Module 1 — Preparation, discovery and source baseline</w:t>
            </w:r>
          </w:p>
        </w:tc>
        <w:tc>
          <w:tcPr>
            <w:tcW w:type="dxa" w:w="6168"/>
          </w:tcPr>
          <w:p>
            <w:pPr>
              <w:spacing w:after="20" w:before="20"/>
            </w:pPr>
            <w:r/>
            <w:r>
              <w:rPr>
                <w:rFonts w:ascii="Calibri" w:hAnsi="Calibri"/>
                <w:b w:val="0"/>
                <w:color w:val="334E68"/>
                <w:sz w:val="17"/>
              </w:rPr>
              <w:t>4.1Preparation and discovery; 4.2Source sizing and workload; 4.3Inventory and external dependencies; 4.4Interface and connectivity baseline; 4.5Building the source baseline pack; 4</w:t>
            </w:r>
          </w:p>
        </w:tc>
      </w:tr>
      <w:tr>
        <w:trPr>
          <w:cantSplit/>
        </w:trPr>
        <w:tc>
          <w:tcPr>
            <w:tcW w:type="dxa" w:w="578"/>
            <w:shd w:val="clear" w:color="auto" w:fill="FAFBFD"/>
          </w:tcPr>
          <w:p>
            <w:pPr>
              <w:spacing w:after="20" w:before="20"/>
            </w:pPr>
            <w:r/>
            <w:r>
              <w:rPr>
                <w:rFonts w:ascii="Calibri" w:hAnsi="Calibri"/>
                <w:b/>
                <w:color w:val="0F2B4C"/>
                <w:sz w:val="17"/>
              </w:rPr>
              <w:t>5</w:t>
            </w:r>
          </w:p>
        </w:tc>
        <w:tc>
          <w:tcPr>
            <w:tcW w:type="dxa" w:w="2891"/>
            <w:shd w:val="clear" w:color="auto" w:fill="FAFBFD"/>
          </w:tcPr>
          <w:p>
            <w:pPr>
              <w:spacing w:after="20" w:before="20"/>
            </w:pPr>
            <w:r/>
            <w:r>
              <w:rPr>
                <w:rFonts w:ascii="Calibri" w:hAnsi="Calibri"/>
                <w:b w:val="0"/>
                <w:color w:val="334E68"/>
                <w:sz w:val="17"/>
              </w:rPr>
              <w:t>Module 2 — Target architecture, AWS readiness and build</w:t>
            </w:r>
          </w:p>
        </w:tc>
        <w:tc>
          <w:tcPr>
            <w:tcW w:type="dxa" w:w="6168"/>
            <w:shd w:val="clear" w:color="auto" w:fill="FAFBFD"/>
          </w:tcPr>
          <w:p>
            <w:pPr>
              <w:spacing w:after="20" w:before="20"/>
            </w:pPr>
            <w:r/>
            <w:r>
              <w:rPr>
                <w:rFonts w:ascii="Calibri" w:hAnsi="Calibri"/>
                <w:b w:val="0"/>
                <w:color w:val="334E68"/>
                <w:sz w:val="17"/>
              </w:rPr>
              <w:t>5.1Target architecture; 5.2Build sheet; 5.3AWS bootstrapping and infrastructure validation; 5.4Responsibility split; 5.5CMDB validation after build; 5.6Module 2 readiness checklist</w:t>
            </w:r>
          </w:p>
        </w:tc>
      </w:tr>
      <w:tr>
        <w:trPr>
          <w:cantSplit/>
        </w:trPr>
        <w:tc>
          <w:tcPr>
            <w:tcW w:type="dxa" w:w="578"/>
          </w:tcPr>
          <w:p>
            <w:pPr>
              <w:spacing w:after="20" w:before="20"/>
            </w:pPr>
            <w:r/>
            <w:r>
              <w:rPr>
                <w:rFonts w:ascii="Calibri" w:hAnsi="Calibri"/>
                <w:b/>
                <w:color w:val="0F2B4C"/>
                <w:sz w:val="17"/>
              </w:rPr>
              <w:t>6</w:t>
            </w:r>
          </w:p>
        </w:tc>
        <w:tc>
          <w:tcPr>
            <w:tcW w:type="dxa" w:w="2891"/>
          </w:tcPr>
          <w:p>
            <w:pPr>
              <w:spacing w:after="20" w:before="20"/>
            </w:pPr>
            <w:r/>
            <w:r>
              <w:rPr>
                <w:rFonts w:ascii="Calibri" w:hAnsi="Calibri"/>
                <w:b w:val="0"/>
                <w:color w:val="334E68"/>
                <w:sz w:val="17"/>
              </w:rPr>
              <w:t>Module 3 — SAP HANA MDC, backup and recovery</w:t>
            </w:r>
          </w:p>
        </w:tc>
        <w:tc>
          <w:tcPr>
            <w:tcW w:type="dxa" w:w="6168"/>
          </w:tcPr>
          <w:p>
            <w:pPr>
              <w:spacing w:after="20" w:before="20"/>
            </w:pPr>
            <w:r/>
            <w:r>
              <w:rPr>
                <w:rFonts w:ascii="Calibri" w:hAnsi="Calibri"/>
                <w:b w:val="0"/>
                <w:color w:val="334E68"/>
                <w:sz w:val="17"/>
              </w:rPr>
              <w:t>6.1HANA MDC architecture; 6.2HANA pre-checks; 6.3AWS S3 backup backend; 6.4Backup and recovery sequence; 6.5Three-tier application validation; 6.6Module 3 readiness checklist</w:t>
            </w:r>
          </w:p>
        </w:tc>
      </w:tr>
      <w:tr>
        <w:trPr>
          <w:cantSplit/>
        </w:trPr>
        <w:tc>
          <w:tcPr>
            <w:tcW w:type="dxa" w:w="578"/>
            <w:shd w:val="clear" w:color="auto" w:fill="FAFBFD"/>
          </w:tcPr>
          <w:p>
            <w:pPr>
              <w:spacing w:after="20" w:before="20"/>
            </w:pPr>
            <w:r/>
            <w:r>
              <w:rPr>
                <w:rFonts w:ascii="Calibri" w:hAnsi="Calibri"/>
                <w:b/>
                <w:color w:val="0F2B4C"/>
                <w:sz w:val="17"/>
              </w:rPr>
              <w:t>7</w:t>
            </w:r>
          </w:p>
        </w:tc>
        <w:tc>
          <w:tcPr>
            <w:tcW w:type="dxa" w:w="2891"/>
            <w:shd w:val="clear" w:color="auto" w:fill="FAFBFD"/>
          </w:tcPr>
          <w:p>
            <w:pPr>
              <w:spacing w:after="20" w:before="20"/>
            </w:pPr>
            <w:r/>
            <w:r>
              <w:rPr>
                <w:rFonts w:ascii="Calibri" w:hAnsi="Calibri"/>
                <w:b w:val="0"/>
                <w:color w:val="334E68"/>
                <w:sz w:val="17"/>
              </w:rPr>
              <w:t>Module 4 — SAP post-migration validation</w:t>
            </w:r>
          </w:p>
        </w:tc>
        <w:tc>
          <w:tcPr>
            <w:tcW w:type="dxa" w:w="6168"/>
            <w:shd w:val="clear" w:color="auto" w:fill="FAFBFD"/>
          </w:tcPr>
          <w:p>
            <w:pPr>
              <w:spacing w:after="20" w:before="20"/>
            </w:pPr>
            <w:r/>
            <w:r>
              <w:rPr>
                <w:rFonts w:ascii="Calibri" w:hAnsi="Calibri"/>
                <w:b w:val="0"/>
                <w:color w:val="334E68"/>
                <w:sz w:val="17"/>
              </w:rPr>
              <w:t>7.1Auto-start validation; 7.2OS validation; 7.3SAP application validation; 7.4Database validation; 7.5Handling deviations found during validation</w:t>
            </w:r>
          </w:p>
        </w:tc>
      </w:tr>
      <w:tr>
        <w:trPr>
          <w:cantSplit/>
        </w:trPr>
        <w:tc>
          <w:tcPr>
            <w:tcW w:type="dxa" w:w="578"/>
          </w:tcPr>
          <w:p>
            <w:pPr>
              <w:spacing w:after="20" w:before="20"/>
            </w:pPr>
            <w:r/>
            <w:r>
              <w:rPr>
                <w:rFonts w:ascii="Calibri" w:hAnsi="Calibri"/>
                <w:b/>
                <w:color w:val="0F2B4C"/>
                <w:sz w:val="17"/>
              </w:rPr>
              <w:t>8</w:t>
            </w:r>
          </w:p>
        </w:tc>
        <w:tc>
          <w:tcPr>
            <w:tcW w:type="dxa" w:w="2891"/>
          </w:tcPr>
          <w:p>
            <w:pPr>
              <w:spacing w:after="20" w:before="20"/>
            </w:pPr>
            <w:r/>
            <w:r>
              <w:rPr>
                <w:rFonts w:ascii="Calibri" w:hAnsi="Calibri"/>
                <w:b w:val="0"/>
                <w:color w:val="334E68"/>
                <w:sz w:val="17"/>
              </w:rPr>
              <w:t>Module 5 — Performance monitoring and troubleshooting</w:t>
            </w:r>
          </w:p>
        </w:tc>
        <w:tc>
          <w:tcPr>
            <w:tcW w:type="dxa" w:w="6168"/>
          </w:tcPr>
          <w:p>
            <w:pPr>
              <w:spacing w:after="20" w:before="20"/>
            </w:pPr>
            <w:r/>
            <w:r>
              <w:rPr>
                <w:rFonts w:ascii="Calibri" w:hAnsi="Calibri"/>
                <w:b w:val="0"/>
                <w:color w:val="334E68"/>
                <w:sz w:val="17"/>
              </w:rPr>
              <w:t>8.1ST02 — memory monitoring; 8.2RZ10 versus RZ11; 8.3ST03 / ST03N — workload analysis; 8.4STAD — detailed statistical records; 8.5Triage path; 8.6Module 5 readiness checklist</w:t>
            </w:r>
          </w:p>
        </w:tc>
      </w:tr>
      <w:tr>
        <w:trPr>
          <w:cantSplit/>
        </w:trPr>
        <w:tc>
          <w:tcPr>
            <w:tcW w:type="dxa" w:w="578"/>
            <w:shd w:val="clear" w:color="auto" w:fill="FAFBFD"/>
          </w:tcPr>
          <w:p>
            <w:pPr>
              <w:spacing w:after="20" w:before="20"/>
            </w:pPr>
            <w:r/>
            <w:r>
              <w:rPr>
                <w:rFonts w:ascii="Calibri" w:hAnsi="Calibri"/>
                <w:b/>
                <w:color w:val="0F2B4C"/>
                <w:sz w:val="17"/>
              </w:rPr>
              <w:t>9</w:t>
            </w:r>
          </w:p>
        </w:tc>
        <w:tc>
          <w:tcPr>
            <w:tcW w:type="dxa" w:w="2891"/>
            <w:shd w:val="clear" w:color="auto" w:fill="FAFBFD"/>
          </w:tcPr>
          <w:p>
            <w:pPr>
              <w:spacing w:after="20" w:before="20"/>
            </w:pPr>
            <w:r/>
            <w:r>
              <w:rPr>
                <w:rFonts w:ascii="Calibri" w:hAnsi="Calibri"/>
                <w:b w:val="0"/>
                <w:color w:val="334E68"/>
                <w:sz w:val="17"/>
              </w:rPr>
              <w:t>Module 6 — Oracle database migration and switchover</w:t>
            </w:r>
          </w:p>
        </w:tc>
        <w:tc>
          <w:tcPr>
            <w:tcW w:type="dxa" w:w="6168"/>
            <w:shd w:val="clear" w:color="auto" w:fill="FAFBFD"/>
          </w:tcPr>
          <w:p>
            <w:pPr>
              <w:spacing w:after="20" w:before="20"/>
            </w:pPr>
            <w:r/>
            <w:r>
              <w:rPr>
                <w:rFonts w:ascii="Calibri" w:hAnsi="Calibri"/>
                <w:b w:val="0"/>
                <w:color w:val="334E68"/>
                <w:sz w:val="17"/>
              </w:rPr>
              <w:t>9.1Oracle Data Guard in the migration scenario; 9.2Oracle configuration checks; 9.3Switchover sequence; 9.4Backup and rollback protection; 9.5DNS and IPAM after database switchover</w:t>
            </w:r>
          </w:p>
        </w:tc>
      </w:tr>
      <w:tr>
        <w:trPr>
          <w:cantSplit/>
        </w:trPr>
        <w:tc>
          <w:tcPr>
            <w:tcW w:type="dxa" w:w="578"/>
          </w:tcPr>
          <w:p>
            <w:pPr>
              <w:spacing w:after="20" w:before="20"/>
            </w:pPr>
            <w:r/>
            <w:r>
              <w:rPr>
                <w:rFonts w:ascii="Calibri" w:hAnsi="Calibri"/>
                <w:b/>
                <w:color w:val="0F2B4C"/>
                <w:sz w:val="17"/>
              </w:rPr>
              <w:t>10</w:t>
            </w:r>
          </w:p>
        </w:tc>
        <w:tc>
          <w:tcPr>
            <w:tcW w:type="dxa" w:w="2891"/>
          </w:tcPr>
          <w:p>
            <w:pPr>
              <w:spacing w:after="20" w:before="20"/>
            </w:pPr>
            <w:r/>
            <w:r>
              <w:rPr>
                <w:rFonts w:ascii="Calibri" w:hAnsi="Calibri"/>
                <w:b w:val="0"/>
                <w:color w:val="334E68"/>
                <w:sz w:val="17"/>
              </w:rPr>
              <w:t>Module 7 — Cutover, Go/No-Go, rollback and hypercare</w:t>
            </w:r>
          </w:p>
        </w:tc>
        <w:tc>
          <w:tcPr>
            <w:tcW w:type="dxa" w:w="6168"/>
          </w:tcPr>
          <w:p>
            <w:pPr>
              <w:spacing w:after="20" w:before="20"/>
            </w:pPr>
            <w:r/>
            <w:r>
              <w:rPr>
                <w:rFonts w:ascii="Calibri" w:hAnsi="Calibri"/>
                <w:b w:val="0"/>
                <w:color w:val="334E68"/>
                <w:sz w:val="17"/>
              </w:rPr>
              <w:t>10.1Cooldown and cutover preparation; 10.2SAP Basis post-processing; 10.3Application and functional validation; 10.4Go/No-Go gate; 10.5Rollback; 10.6Go-live and hypercare; 10.7Cuto</w:t>
            </w:r>
          </w:p>
        </w:tc>
      </w:tr>
      <w:tr>
        <w:trPr>
          <w:cantSplit/>
        </w:trPr>
        <w:tc>
          <w:tcPr>
            <w:tcW w:type="dxa" w:w="578"/>
            <w:shd w:val="clear" w:color="auto" w:fill="FAFBFD"/>
          </w:tcPr>
          <w:p>
            <w:pPr>
              <w:spacing w:after="20" w:before="20"/>
            </w:pPr>
            <w:r/>
            <w:r>
              <w:rPr>
                <w:rFonts w:ascii="Calibri" w:hAnsi="Calibri"/>
                <w:b/>
                <w:color w:val="0F2B4C"/>
                <w:sz w:val="17"/>
              </w:rPr>
              <w:t>11</w:t>
            </w:r>
          </w:p>
        </w:tc>
        <w:tc>
          <w:tcPr>
            <w:tcW w:type="dxa" w:w="2891"/>
            <w:shd w:val="clear" w:color="auto" w:fill="FAFBFD"/>
          </w:tcPr>
          <w:p>
            <w:pPr>
              <w:spacing w:after="20" w:before="20"/>
            </w:pPr>
            <w:r/>
            <w:r>
              <w:rPr>
                <w:rFonts w:ascii="Calibri" w:hAnsi="Calibri"/>
                <w:b w:val="0"/>
                <w:color w:val="334E68"/>
                <w:sz w:val="17"/>
              </w:rPr>
              <w:t>SAP transaction and technology quick reference</w:t>
            </w:r>
          </w:p>
        </w:tc>
        <w:tc>
          <w:tcPr>
            <w:tcW w:type="dxa" w:w="6168"/>
            <w:shd w:val="clear" w:color="auto" w:fill="FAFBFD"/>
          </w:tcPr>
          <w:p>
            <w:pPr>
              <w:spacing w:after="20" w:before="20"/>
            </w:pPr>
            <w:r/>
            <w:r>
              <w:rPr>
                <w:rFonts w:ascii="Calibri" w:hAnsi="Calibri"/>
                <w:b w:val="0"/>
                <w:color w:val="334E68"/>
                <w:sz w:val="17"/>
              </w:rPr>
              <w:t>11.1SAP transactions; 11.2Database, platform and tooling reference; 11.3OS commands used during validation; 11.4Key files and locations</w:t>
            </w:r>
          </w:p>
        </w:tc>
      </w:tr>
      <w:tr>
        <w:trPr>
          <w:cantSplit/>
        </w:trPr>
        <w:tc>
          <w:tcPr>
            <w:tcW w:type="dxa" w:w="578"/>
          </w:tcPr>
          <w:p>
            <w:pPr>
              <w:spacing w:after="20" w:before="20"/>
            </w:pPr>
            <w:r/>
            <w:r>
              <w:rPr>
                <w:rFonts w:ascii="Calibri" w:hAnsi="Calibri"/>
                <w:b/>
                <w:color w:val="0F2B4C"/>
                <w:sz w:val="17"/>
              </w:rPr>
              <w:t>12</w:t>
            </w:r>
          </w:p>
        </w:tc>
        <w:tc>
          <w:tcPr>
            <w:tcW w:type="dxa" w:w="2891"/>
          </w:tcPr>
          <w:p>
            <w:pPr>
              <w:spacing w:after="20" w:before="20"/>
            </w:pPr>
            <w:r/>
            <w:r>
              <w:rPr>
                <w:rFonts w:ascii="Calibri" w:hAnsi="Calibri"/>
                <w:b w:val="0"/>
                <w:color w:val="334E68"/>
                <w:sz w:val="17"/>
              </w:rPr>
              <w:t>Consolidated validation checklists</w:t>
            </w:r>
          </w:p>
        </w:tc>
        <w:tc>
          <w:tcPr>
            <w:tcW w:type="dxa" w:w="6168"/>
          </w:tcPr>
          <w:p>
            <w:pPr>
              <w:spacing w:after="20" w:before="20"/>
            </w:pPr>
            <w:r/>
            <w:r>
              <w:rPr>
                <w:rFonts w:ascii="Calibri" w:hAnsi="Calibri"/>
                <w:b w:val="0"/>
                <w:color w:val="334E68"/>
                <w:sz w:val="17"/>
              </w:rPr>
              <w:t>12.1OS validation; 12.2SAP validation; 12.3Database validation; 12.4Performance validation; 12.5Cutover readiness; 12.6Sign-off</w:t>
            </w:r>
          </w:p>
        </w:tc>
      </w:tr>
      <w:tr>
        <w:trPr>
          <w:cantSplit/>
        </w:trPr>
        <w:tc>
          <w:tcPr>
            <w:tcW w:type="dxa" w:w="578"/>
            <w:shd w:val="clear" w:color="auto" w:fill="FAFBFD"/>
          </w:tcPr>
          <w:p>
            <w:pPr>
              <w:spacing w:after="20" w:before="20"/>
            </w:pPr>
            <w:r/>
            <w:r>
              <w:rPr>
                <w:rFonts w:ascii="Calibri" w:hAnsi="Calibri"/>
                <w:b/>
                <w:color w:val="0F2B4C"/>
                <w:sz w:val="17"/>
              </w:rPr>
              <w:t>13</w:t>
            </w:r>
          </w:p>
        </w:tc>
        <w:tc>
          <w:tcPr>
            <w:tcW w:type="dxa" w:w="2891"/>
            <w:shd w:val="clear" w:color="auto" w:fill="FAFBFD"/>
          </w:tcPr>
          <w:p>
            <w:pPr>
              <w:spacing w:after="20" w:before="20"/>
            </w:pPr>
            <w:r/>
            <w:r>
              <w:rPr>
                <w:rFonts w:ascii="Calibri" w:hAnsi="Calibri"/>
                <w:b w:val="0"/>
                <w:color w:val="334E68"/>
                <w:sz w:val="17"/>
              </w:rPr>
              <w:t>Evidence and documentation strategy</w:t>
            </w:r>
          </w:p>
        </w:tc>
        <w:tc>
          <w:tcPr>
            <w:tcW w:type="dxa" w:w="6168"/>
            <w:shd w:val="clear" w:color="auto" w:fill="FAFBFD"/>
          </w:tcPr>
          <w:p>
            <w:pPr>
              <w:spacing w:after="20" w:before="20"/>
            </w:pPr>
            <w:r/>
            <w:r>
              <w:rPr>
                <w:rFonts w:ascii="Calibri" w:hAnsi="Calibri"/>
                <w:b w:val="0"/>
                <w:color w:val="334E68"/>
                <w:sz w:val="17"/>
              </w:rPr>
              <w:t>13.1Evidence lifecycle; 13.2Evidence categories; 13.3Recommended evidence record; 13.4Naming and storage convention; 13.5Documentation set produced by a migration</w:t>
            </w:r>
          </w:p>
        </w:tc>
      </w:tr>
      <w:tr>
        <w:trPr>
          <w:cantSplit/>
        </w:trPr>
        <w:tc>
          <w:tcPr>
            <w:tcW w:type="dxa" w:w="578"/>
          </w:tcPr>
          <w:p>
            <w:pPr>
              <w:spacing w:after="20" w:before="20"/>
            </w:pPr>
            <w:r/>
            <w:r>
              <w:rPr>
                <w:rFonts w:ascii="Calibri" w:hAnsi="Calibri"/>
                <w:b/>
                <w:color w:val="0F2B4C"/>
                <w:sz w:val="17"/>
              </w:rPr>
              <w:t>14</w:t>
            </w:r>
          </w:p>
        </w:tc>
        <w:tc>
          <w:tcPr>
            <w:tcW w:type="dxa" w:w="2891"/>
          </w:tcPr>
          <w:p>
            <w:pPr>
              <w:spacing w:after="20" w:before="20"/>
            </w:pPr>
            <w:r/>
            <w:r>
              <w:rPr>
                <w:rFonts w:ascii="Calibri" w:hAnsi="Calibri"/>
                <w:b w:val="0"/>
                <w:color w:val="334E68"/>
                <w:sz w:val="17"/>
              </w:rPr>
              <w:t>Ownership and operating model</w:t>
            </w:r>
          </w:p>
        </w:tc>
        <w:tc>
          <w:tcPr>
            <w:tcW w:type="dxa" w:w="6168"/>
          </w:tcPr>
          <w:p>
            <w:pPr>
              <w:spacing w:after="20" w:before="20"/>
            </w:pPr>
            <w:r/>
            <w:r>
              <w:rPr>
                <w:rFonts w:ascii="Calibri" w:hAnsi="Calibri"/>
                <w:b w:val="0"/>
                <w:color w:val="334E68"/>
                <w:sz w:val="17"/>
              </w:rPr>
              <w:t>14.1Ownership model; 14.2System ownership register; 14.3Typical collaboration model; 14.4Escalation path</w:t>
            </w:r>
          </w:p>
        </w:tc>
      </w:tr>
      <w:tr>
        <w:trPr>
          <w:cantSplit/>
        </w:trPr>
        <w:tc>
          <w:tcPr>
            <w:tcW w:type="dxa" w:w="578"/>
            <w:shd w:val="clear" w:color="auto" w:fill="FAFBFD"/>
          </w:tcPr>
          <w:p>
            <w:pPr>
              <w:spacing w:after="20" w:before="20"/>
            </w:pPr>
            <w:r/>
            <w:r>
              <w:rPr>
                <w:rFonts w:ascii="Calibri" w:hAnsi="Calibri"/>
                <w:b/>
                <w:color w:val="0F2B4C"/>
                <w:sz w:val="17"/>
              </w:rPr>
              <w:t>15</w:t>
            </w:r>
          </w:p>
        </w:tc>
        <w:tc>
          <w:tcPr>
            <w:tcW w:type="dxa" w:w="2891"/>
            <w:shd w:val="clear" w:color="auto" w:fill="FAFBFD"/>
          </w:tcPr>
          <w:p>
            <w:pPr>
              <w:spacing w:after="20" w:before="20"/>
            </w:pPr>
            <w:r/>
            <w:r>
              <w:rPr>
                <w:rFonts w:ascii="Calibri" w:hAnsi="Calibri"/>
                <w:b w:val="0"/>
                <w:color w:val="334E68"/>
                <w:sz w:val="17"/>
              </w:rPr>
              <w:t>Troubleshooting playbook and common failure modes</w:t>
            </w:r>
          </w:p>
        </w:tc>
        <w:tc>
          <w:tcPr>
            <w:tcW w:type="dxa" w:w="6168"/>
            <w:shd w:val="clear" w:color="auto" w:fill="FAFBFD"/>
          </w:tcPr>
          <w:p>
            <w:pPr>
              <w:spacing w:after="20" w:before="20"/>
            </w:pPr>
            <w:r/>
            <w:r>
              <w:rPr>
                <w:rFonts w:ascii="Calibri" w:hAnsi="Calibri"/>
                <w:b w:val="0"/>
                <w:color w:val="334E68"/>
                <w:sz w:val="17"/>
              </w:rPr>
            </w:r>
          </w:p>
        </w:tc>
      </w:tr>
      <w:tr>
        <w:trPr>
          <w:cantSplit/>
        </w:trPr>
        <w:tc>
          <w:tcPr>
            <w:tcW w:type="dxa" w:w="578"/>
          </w:tcPr>
          <w:p>
            <w:pPr>
              <w:spacing w:after="20" w:before="20"/>
            </w:pPr>
            <w:r/>
            <w:r>
              <w:rPr>
                <w:rFonts w:ascii="Calibri" w:hAnsi="Calibri"/>
                <w:b/>
                <w:color w:val="0F2B4C"/>
                <w:sz w:val="17"/>
              </w:rPr>
              <w:t>16</w:t>
            </w:r>
          </w:p>
        </w:tc>
        <w:tc>
          <w:tcPr>
            <w:tcW w:type="dxa" w:w="2891"/>
          </w:tcPr>
          <w:p>
            <w:pPr>
              <w:spacing w:after="20" w:before="20"/>
            </w:pPr>
            <w:r/>
            <w:r>
              <w:rPr>
                <w:rFonts w:ascii="Calibri" w:hAnsi="Calibri"/>
                <w:b w:val="0"/>
                <w:color w:val="334E68"/>
                <w:sz w:val="17"/>
              </w:rPr>
              <w:t>Key lessons and practical guidance</w:t>
            </w:r>
          </w:p>
        </w:tc>
        <w:tc>
          <w:tcPr>
            <w:tcW w:type="dxa" w:w="6168"/>
          </w:tcPr>
          <w:p>
            <w:pPr>
              <w:spacing w:after="20" w:before="20"/>
            </w:pPr>
            <w:r/>
            <w:r>
              <w:rPr>
                <w:rFonts w:ascii="Calibri" w:hAnsi="Calibri"/>
                <w:b w:val="0"/>
                <w:color w:val="334E68"/>
                <w:sz w:val="17"/>
              </w:rPr>
              <w:t>16.1Anti-patterns the training warned against</w:t>
            </w:r>
          </w:p>
        </w:tc>
      </w:tr>
      <w:tr>
        <w:trPr>
          <w:cantSplit/>
        </w:trPr>
        <w:tc>
          <w:tcPr>
            <w:tcW w:type="dxa" w:w="578"/>
            <w:shd w:val="clear" w:color="auto" w:fill="FAFBFD"/>
          </w:tcPr>
          <w:p>
            <w:pPr>
              <w:spacing w:after="20" w:before="20"/>
            </w:pPr>
            <w:r/>
            <w:r>
              <w:rPr>
                <w:rFonts w:ascii="Calibri" w:hAnsi="Calibri"/>
                <w:b/>
                <w:color w:val="0F2B4C"/>
                <w:sz w:val="17"/>
              </w:rPr>
              <w:t>17</w:t>
            </w:r>
          </w:p>
        </w:tc>
        <w:tc>
          <w:tcPr>
            <w:tcW w:type="dxa" w:w="2891"/>
            <w:shd w:val="clear" w:color="auto" w:fill="FAFBFD"/>
          </w:tcPr>
          <w:p>
            <w:pPr>
              <w:spacing w:after="20" w:before="20"/>
            </w:pPr>
            <w:r/>
            <w:r>
              <w:rPr>
                <w:rFonts w:ascii="Calibri" w:hAnsi="Calibri"/>
                <w:b w:val="0"/>
                <w:color w:val="334E68"/>
                <w:sz w:val="17"/>
              </w:rPr>
              <w:t>Final knowledge check</w:t>
            </w:r>
          </w:p>
        </w:tc>
        <w:tc>
          <w:tcPr>
            <w:tcW w:type="dxa" w:w="6168"/>
            <w:shd w:val="clear" w:color="auto" w:fill="FAFBFD"/>
          </w:tcPr>
          <w:p>
            <w:pPr>
              <w:spacing w:after="20" w:before="20"/>
            </w:pPr>
            <w:r/>
            <w:r>
              <w:rPr>
                <w:rFonts w:ascii="Calibri" w:hAnsi="Calibri"/>
                <w:b w:val="0"/>
                <w:color w:val="334E68"/>
                <w:sz w:val="17"/>
              </w:rPr>
              <w:t>17.1Scoring guidance for trainers</w:t>
            </w:r>
          </w:p>
        </w:tc>
      </w:tr>
      <w:tr>
        <w:trPr>
          <w:cantSplit/>
        </w:trPr>
        <w:tc>
          <w:tcPr>
            <w:tcW w:type="dxa" w:w="578"/>
          </w:tcPr>
          <w:p>
            <w:pPr>
              <w:spacing w:after="20" w:before="20"/>
            </w:pPr>
            <w:r/>
            <w:r>
              <w:rPr>
                <w:rFonts w:ascii="Calibri" w:hAnsi="Calibri"/>
                <w:b/>
                <w:color w:val="0F2B4C"/>
                <w:sz w:val="17"/>
              </w:rPr>
              <w:t>A</w:t>
            </w:r>
          </w:p>
        </w:tc>
        <w:tc>
          <w:tcPr>
            <w:tcW w:type="dxa" w:w="2891"/>
          </w:tcPr>
          <w:p>
            <w:pPr>
              <w:spacing w:after="20" w:before="20"/>
            </w:pPr>
            <w:r/>
            <w:r>
              <w:rPr>
                <w:rFonts w:ascii="Calibri" w:hAnsi="Calibri"/>
                <w:b w:val="0"/>
                <w:color w:val="334E68"/>
                <w:sz w:val="17"/>
              </w:rPr>
              <w:t>Appendix A — Source training coverage</w:t>
            </w:r>
          </w:p>
        </w:tc>
        <w:tc>
          <w:tcPr>
            <w:tcW w:type="dxa" w:w="6168"/>
          </w:tcPr>
          <w:p>
            <w:pPr>
              <w:spacing w:after="20" w:before="20"/>
            </w:pPr>
            <w:r/>
            <w:r>
              <w:rPr>
                <w:rFonts w:ascii="Calibri" w:hAnsi="Calibri"/>
                <w:b w:val="0"/>
                <w:color w:val="334E68"/>
                <w:sz w:val="17"/>
              </w:rPr>
            </w:r>
          </w:p>
        </w:tc>
      </w:tr>
      <w:tr>
        <w:trPr>
          <w:cantSplit/>
        </w:trPr>
        <w:tc>
          <w:tcPr>
            <w:tcW w:type="dxa" w:w="578"/>
            <w:shd w:val="clear" w:color="auto" w:fill="FAFBFD"/>
          </w:tcPr>
          <w:p>
            <w:pPr>
              <w:spacing w:after="20" w:before="20"/>
            </w:pPr>
            <w:r/>
            <w:r>
              <w:rPr>
                <w:rFonts w:ascii="Calibri" w:hAnsi="Calibri"/>
                <w:b/>
                <w:color w:val="0F2B4C"/>
                <w:sz w:val="17"/>
              </w:rPr>
              <w:t>B</w:t>
            </w:r>
          </w:p>
        </w:tc>
        <w:tc>
          <w:tcPr>
            <w:tcW w:type="dxa" w:w="2891"/>
            <w:shd w:val="clear" w:color="auto" w:fill="FAFBFD"/>
          </w:tcPr>
          <w:p>
            <w:pPr>
              <w:spacing w:after="20" w:before="20"/>
            </w:pPr>
            <w:r/>
            <w:r>
              <w:rPr>
                <w:rFonts w:ascii="Calibri" w:hAnsi="Calibri"/>
                <w:b w:val="0"/>
                <w:color w:val="334E68"/>
                <w:sz w:val="17"/>
              </w:rPr>
              <w:t>Appendix B — Training completion record</w:t>
            </w:r>
          </w:p>
        </w:tc>
        <w:tc>
          <w:tcPr>
            <w:tcW w:type="dxa" w:w="6168"/>
            <w:shd w:val="clear" w:color="auto" w:fill="FAFBFD"/>
          </w:tcPr>
          <w:p>
            <w:pPr>
              <w:spacing w:after="20" w:before="20"/>
            </w:pPr>
            <w:r/>
            <w:r>
              <w:rPr>
                <w:rFonts w:ascii="Calibri" w:hAnsi="Calibri"/>
                <w:b w:val="0"/>
                <w:color w:val="334E68"/>
                <w:sz w:val="17"/>
              </w:rPr>
              <w:t>B.1Session register; B.2Competency confirmation</w:t>
            </w:r>
          </w:p>
        </w:tc>
      </w:tr>
      <w:tr>
        <w:trPr>
          <w:cantSplit/>
        </w:trPr>
        <w:tc>
          <w:tcPr>
            <w:tcW w:type="dxa" w:w="578"/>
          </w:tcPr>
          <w:p>
            <w:pPr>
              <w:spacing w:after="20" w:before="20"/>
            </w:pPr>
            <w:r/>
            <w:r>
              <w:rPr>
                <w:rFonts w:ascii="Calibri" w:hAnsi="Calibri"/>
                <w:b/>
                <w:color w:val="0F2B4C"/>
                <w:sz w:val="17"/>
              </w:rPr>
              <w:t>C</w:t>
            </w:r>
          </w:p>
        </w:tc>
        <w:tc>
          <w:tcPr>
            <w:tcW w:type="dxa" w:w="2891"/>
          </w:tcPr>
          <w:p>
            <w:pPr>
              <w:spacing w:after="20" w:before="20"/>
            </w:pPr>
            <w:r/>
            <w:r>
              <w:rPr>
                <w:rFonts w:ascii="Calibri" w:hAnsi="Calibri"/>
                <w:b w:val="0"/>
                <w:color w:val="334E68"/>
                <w:sz w:val="17"/>
              </w:rPr>
              <w:t>Appendix C — Glossary and acronyms</w:t>
            </w:r>
          </w:p>
        </w:tc>
        <w:tc>
          <w:tcPr>
            <w:tcW w:type="dxa" w:w="6168"/>
          </w:tcPr>
          <w:p>
            <w:pPr>
              <w:spacing w:after="20" w:before="20"/>
            </w:pPr>
            <w:r/>
            <w:r>
              <w:rPr>
                <w:rFonts w:ascii="Calibri" w:hAnsi="Calibri"/>
                <w:b w:val="0"/>
                <w:color w:val="334E68"/>
                <w:sz w:val="17"/>
              </w:rPr>
            </w:r>
          </w:p>
        </w:tc>
      </w:tr>
      <w:tr>
        <w:trPr>
          <w:cantSplit/>
        </w:trPr>
        <w:tc>
          <w:tcPr>
            <w:tcW w:type="dxa" w:w="578"/>
            <w:shd w:val="clear" w:color="auto" w:fill="FAFBFD"/>
          </w:tcPr>
          <w:p>
            <w:pPr>
              <w:spacing w:after="20" w:before="20"/>
            </w:pPr>
            <w:r/>
            <w:r>
              <w:rPr>
                <w:rFonts w:ascii="Calibri" w:hAnsi="Calibri"/>
                <w:b/>
                <w:color w:val="0F2B4C"/>
                <w:sz w:val="17"/>
              </w:rPr>
              <w:t>D</w:t>
            </w:r>
          </w:p>
        </w:tc>
        <w:tc>
          <w:tcPr>
            <w:tcW w:type="dxa" w:w="2891"/>
            <w:shd w:val="clear" w:color="auto" w:fill="FAFBFD"/>
          </w:tcPr>
          <w:p>
            <w:pPr>
              <w:spacing w:after="20" w:before="20"/>
            </w:pPr>
            <w:r/>
            <w:r>
              <w:rPr>
                <w:rFonts w:ascii="Calibri" w:hAnsi="Calibri"/>
                <w:b w:val="0"/>
                <w:color w:val="334E68"/>
                <w:sz w:val="17"/>
              </w:rPr>
              <w:t>Appendix D — Technical review and vetting notes</w:t>
            </w:r>
          </w:p>
        </w:tc>
        <w:tc>
          <w:tcPr>
            <w:tcW w:type="dxa" w:w="6168"/>
            <w:shd w:val="clear" w:color="auto" w:fill="FAFBFD"/>
          </w:tcPr>
          <w:p>
            <w:pPr>
              <w:spacing w:after="20" w:before="20"/>
            </w:pPr>
            <w:r/>
            <w:r>
              <w:rPr>
                <w:rFonts w:ascii="Calibri" w:hAnsi="Calibri"/>
                <w:b w:val="0"/>
                <w:color w:val="334E68"/>
                <w:sz w:val="17"/>
              </w:rPr>
              <w:t>D.1Vetting summary; D.2Technical corrections and clarifications; D.3Terms preserved but flagged for confirmation; D.4Review method; D.5Quality-control results</w:t>
            </w:r>
          </w:p>
        </w:tc>
      </w:tr>
      <w:tr>
        <w:trPr>
          <w:cantSplit/>
        </w:trPr>
        <w:tc>
          <w:tcPr>
            <w:tcW w:type="dxa" w:w="578"/>
          </w:tcPr>
          <w:p>
            <w:pPr>
              <w:spacing w:after="20" w:before="20"/>
            </w:pPr>
            <w:r/>
            <w:r>
              <w:rPr>
                <w:rFonts w:ascii="Calibri" w:hAnsi="Calibri"/>
                <w:b/>
                <w:color w:val="0F2B4C"/>
                <w:sz w:val="17"/>
              </w:rPr>
              <w:t>E</w:t>
            </w:r>
          </w:p>
        </w:tc>
        <w:tc>
          <w:tcPr>
            <w:tcW w:type="dxa" w:w="2891"/>
          </w:tcPr>
          <w:p>
            <w:pPr>
              <w:spacing w:after="20" w:before="20"/>
            </w:pPr>
            <w:r/>
            <w:r>
              <w:rPr>
                <w:rFonts w:ascii="Calibri" w:hAnsi="Calibri"/>
                <w:b w:val="0"/>
                <w:color w:val="334E68"/>
                <w:sz w:val="17"/>
              </w:rPr>
              <w:t>Appendix E — Version control and change requests</w:t>
            </w:r>
          </w:p>
        </w:tc>
        <w:tc>
          <w:tcPr>
            <w:tcW w:type="dxa" w:w="6168"/>
          </w:tcPr>
          <w:p>
            <w:pPr>
              <w:spacing w:after="20" w:before="20"/>
            </w:pPr>
            <w:r/>
            <w:r>
              <w:rPr>
                <w:rFonts w:ascii="Calibri" w:hAnsi="Calibri"/>
                <w:b w:val="0"/>
                <w:color w:val="334E68"/>
                <w:sz w:val="17"/>
              </w:rPr>
              <w:t>E.1Review cycle</w:t>
            </w:r>
          </w:p>
        </w:tc>
      </w:tr>
    </w:tbl>
    <w:p>
      <w:pPr>
        <w:spacing w:after="40"/>
      </w:pPr>
    </w:p>
    <w:p>
      <w:r>
        <w:rPr>
          <w:rFonts w:ascii="Calibri" w:hAnsi="Calibri"/>
          <w:i/>
          <w:color w:val="5B7288"/>
          <w:sz w:val="16"/>
        </w:rPr>
        <w:t>Tip: in Word, use References → Table of Contents for a live, page-numbered TOC; all headings in this document use Word outline levels.</w:t>
      </w:r>
    </w:p>
    <w:p>
      <w:r>
        <w:br w:type="page"/>
      </w:r>
    </w:p>
    <w:p>
      <w:pPr>
        <w:spacing w:after="20"/>
      </w:pPr>
      <w:r>
        <w:rPr>
          <w:rFonts w:ascii="Calibri" w:hAnsi="Calibri"/>
          <w:b/>
          <w:color w:val="1B4F86"/>
          <w:sz w:val="16"/>
        </w:rPr>
        <w:t>FRONT MATTER</w:t>
      </w:r>
    </w:p>
    <w:p>
      <w:pPr>
        <w:pStyle w:val="Heading1"/>
        <w:pBdr>
          <w:bottom w:val="single" w:sz="12" w:space="5" w:color="1B4F86"/>
        </w:pBdr>
        <w:spacing w:after="160"/>
      </w:pPr>
      <w:r>
        <w:rPr>
          <w:rFonts w:ascii="Calibri Light" w:hAnsi="Calibri Light"/>
          <w:b/>
          <w:color w:val="0F2B4C"/>
          <w:sz w:val="38"/>
        </w:rPr>
        <w:t>How to use this handbook</w:t>
      </w:r>
    </w:p>
    <w:p>
      <w:pPr>
        <w:spacing w:after="200"/>
      </w:pPr>
      <w:r>
        <w:rPr>
          <w:rFonts w:ascii="Calibri" w:hAnsi="Calibri"/>
          <w:i/>
          <w:color w:val="5B7288"/>
          <w:sz w:val="21"/>
        </w:rPr>
        <w:t>This is a working document, not a read-once handout. Use it to prepare for a migration, to run a training session, and as the index that points you to the right project runbook at cutover.</w:t>
      </w:r>
    </w:p>
    <w:p>
      <w:pPr>
        <w:pStyle w:val="Heading2"/>
        <w:pBdr>
          <w:bottom w:val="single" w:sz="6" w:space="3" w:color="E8EDF3"/>
        </w:pBdr>
      </w:pPr>
      <w:r>
        <w:rPr>
          <w:rFonts w:ascii="Calibri" w:hAnsi="Calibri"/>
          <w:b/>
          <w:color w:val="0F2B4C"/>
          <w:sz w:val="26"/>
        </w:rPr>
        <w:t>0.1  Reading paths by role</w:t>
      </w:r>
    </w:p>
    <w:p>
      <w:pPr>
        <w:spacing w:after="60" w:before="160"/>
        <w:keepNext/>
      </w:pPr>
      <w:r>
        <w:rPr>
          <w:rFonts w:ascii="Calibri" w:hAnsi="Calibri"/>
          <w:b/>
          <w:color w:val="5B7288"/>
          <w:sz w:val="15"/>
        </w:rPr>
        <w:t>SUGGESTED READING ORDER</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120"/>
        <w:gridCol w:w="2506"/>
        <w:gridCol w:w="2506"/>
        <w:gridCol w:w="2506"/>
      </w:tblGrid>
      <w:tr>
        <w:trPr>
          <w:tblHeader/>
          <w:cantSplit/>
        </w:trPr>
        <w:tc>
          <w:tcPr>
            <w:tcW w:type="dxa" w:w="2120"/>
            <w:shd w:val="clear" w:color="auto" w:fill="0F2B4C"/>
          </w:tcPr>
          <w:p>
            <w:pPr>
              <w:spacing w:after="20" w:before="20"/>
            </w:pPr>
            <w:r/>
            <w:r>
              <w:rPr>
                <w:rFonts w:ascii="Calibri" w:hAnsi="Calibri"/>
                <w:b/>
                <w:color w:val="FFFFFF"/>
                <w:sz w:val="17"/>
              </w:rPr>
              <w:t>Role</w:t>
            </w:r>
          </w:p>
        </w:tc>
        <w:tc>
          <w:tcPr>
            <w:tcW w:type="dxa" w:w="2506"/>
            <w:shd w:val="clear" w:color="auto" w:fill="0F2B4C"/>
          </w:tcPr>
          <w:p>
            <w:pPr>
              <w:spacing w:after="20" w:before="20"/>
            </w:pPr>
            <w:r/>
            <w:r>
              <w:rPr>
                <w:rFonts w:ascii="Calibri" w:hAnsi="Calibri"/>
                <w:b/>
                <w:color w:val="FFFFFF"/>
                <w:sz w:val="17"/>
              </w:rPr>
              <w:t>Read first</w:t>
            </w:r>
          </w:p>
        </w:tc>
        <w:tc>
          <w:tcPr>
            <w:tcW w:type="dxa" w:w="2506"/>
            <w:shd w:val="clear" w:color="auto" w:fill="0F2B4C"/>
          </w:tcPr>
          <w:p>
            <w:pPr>
              <w:spacing w:after="20" w:before="20"/>
            </w:pPr>
            <w:r/>
            <w:r>
              <w:rPr>
                <w:rFonts w:ascii="Calibri" w:hAnsi="Calibri"/>
                <w:b/>
                <w:color w:val="FFFFFF"/>
                <w:sz w:val="17"/>
              </w:rPr>
              <w:t>Then</w:t>
            </w:r>
          </w:p>
        </w:tc>
        <w:tc>
          <w:tcPr>
            <w:tcW w:type="dxa" w:w="2506"/>
            <w:shd w:val="clear" w:color="auto" w:fill="0F2B4C"/>
          </w:tcPr>
          <w:p>
            <w:pPr>
              <w:spacing w:after="20" w:before="20"/>
            </w:pPr>
            <w:r/>
            <w:r>
              <w:rPr>
                <w:rFonts w:ascii="Calibri" w:hAnsi="Calibri"/>
                <w:b/>
                <w:color w:val="FFFFFF"/>
                <w:sz w:val="17"/>
              </w:rPr>
              <w:t>Use at cutover</w:t>
            </w:r>
          </w:p>
        </w:tc>
      </w:tr>
      <w:tr>
        <w:trPr>
          <w:cantSplit/>
        </w:trPr>
        <w:tc>
          <w:tcPr>
            <w:tcW w:type="dxa" w:w="2120"/>
          </w:tcPr>
          <w:p>
            <w:pPr>
              <w:spacing w:after="20" w:before="20"/>
            </w:pPr>
            <w:r/>
            <w:r>
              <w:rPr>
                <w:rFonts w:ascii="Calibri" w:hAnsi="Calibri"/>
                <w:b/>
                <w:i w:val="0"/>
                <w:color w:val="334E68"/>
                <w:sz w:val="17"/>
              </w:rPr>
              <w:t>Basis / migration engineer</w:t>
            </w:r>
          </w:p>
        </w:tc>
        <w:tc>
          <w:tcPr>
            <w:tcW w:type="dxa" w:w="2506"/>
          </w:tcPr>
          <w:p>
            <w:pPr>
              <w:spacing w:after="20" w:before="20"/>
            </w:pPr>
            <w:r/>
            <w:r>
              <w:rPr>
                <w:rFonts w:ascii="Calibri" w:hAnsi="Calibri"/>
                <w:b w:val="0"/>
                <w:i w:val="0"/>
                <w:color w:val="334E68"/>
                <w:sz w:val="17"/>
              </w:rPr>
              <w:t>Sections 1–3, Modules 1–4</w:t>
            </w:r>
          </w:p>
        </w:tc>
        <w:tc>
          <w:tcPr>
            <w:tcW w:type="dxa" w:w="2506"/>
          </w:tcPr>
          <w:p>
            <w:pPr>
              <w:spacing w:after="20" w:before="20"/>
            </w:pPr>
            <w:r/>
            <w:r>
              <w:rPr>
                <w:rFonts w:ascii="Calibri" w:hAnsi="Calibri"/>
                <w:b w:val="0"/>
                <w:i w:val="0"/>
                <w:color w:val="334E68"/>
                <w:sz w:val="17"/>
              </w:rPr>
              <w:t>Modules 5, 7 and Section 15</w:t>
            </w:r>
          </w:p>
        </w:tc>
        <w:tc>
          <w:tcPr>
            <w:tcW w:type="dxa" w:w="2506"/>
          </w:tcPr>
          <w:p>
            <w:pPr>
              <w:spacing w:after="20" w:before="20"/>
            </w:pPr>
            <w:r/>
            <w:r>
              <w:rPr>
                <w:rFonts w:ascii="Calibri" w:hAnsi="Calibri"/>
                <w:b w:val="0"/>
                <w:i w:val="0"/>
                <w:color w:val="334E68"/>
                <w:sz w:val="17"/>
              </w:rPr>
              <w:t>Sections 10, 12, 16</w:t>
            </w:r>
          </w:p>
        </w:tc>
      </w:tr>
      <w:tr>
        <w:trPr>
          <w:cantSplit/>
        </w:trPr>
        <w:tc>
          <w:tcPr>
            <w:tcW w:type="dxa" w:w="2120"/>
            <w:shd w:val="clear" w:color="auto" w:fill="FAFBFD"/>
          </w:tcPr>
          <w:p>
            <w:pPr>
              <w:spacing w:after="20" w:before="20"/>
            </w:pPr>
            <w:r/>
            <w:r>
              <w:rPr>
                <w:rFonts w:ascii="Calibri" w:hAnsi="Calibri"/>
                <w:b/>
                <w:i w:val="0"/>
                <w:color w:val="334E68"/>
                <w:sz w:val="17"/>
              </w:rPr>
              <w:t>DBA (Oracle / HANA)</w:t>
            </w:r>
          </w:p>
        </w:tc>
        <w:tc>
          <w:tcPr>
            <w:tcW w:type="dxa" w:w="2506"/>
            <w:shd w:val="clear" w:color="auto" w:fill="FAFBFD"/>
          </w:tcPr>
          <w:p>
            <w:pPr>
              <w:spacing w:after="20" w:before="20"/>
            </w:pPr>
            <w:r/>
            <w:r>
              <w:rPr>
                <w:rFonts w:ascii="Calibri" w:hAnsi="Calibri"/>
                <w:b w:val="0"/>
                <w:i w:val="0"/>
                <w:color w:val="334E68"/>
                <w:sz w:val="17"/>
              </w:rPr>
              <w:t>Section 3, Module 3</w:t>
            </w:r>
          </w:p>
        </w:tc>
        <w:tc>
          <w:tcPr>
            <w:tcW w:type="dxa" w:w="2506"/>
            <w:shd w:val="clear" w:color="auto" w:fill="FAFBFD"/>
          </w:tcPr>
          <w:p>
            <w:pPr>
              <w:spacing w:after="20" w:before="20"/>
            </w:pPr>
            <w:r/>
            <w:r>
              <w:rPr>
                <w:rFonts w:ascii="Calibri" w:hAnsi="Calibri"/>
                <w:b w:val="0"/>
                <w:i w:val="0"/>
                <w:color w:val="334E68"/>
                <w:sz w:val="17"/>
              </w:rPr>
              <w:t>Module 6</w:t>
            </w:r>
          </w:p>
        </w:tc>
        <w:tc>
          <w:tcPr>
            <w:tcW w:type="dxa" w:w="2506"/>
            <w:shd w:val="clear" w:color="auto" w:fill="FAFBFD"/>
          </w:tcPr>
          <w:p>
            <w:pPr>
              <w:spacing w:after="20" w:before="20"/>
            </w:pPr>
            <w:r/>
            <w:r>
              <w:rPr>
                <w:rFonts w:ascii="Calibri" w:hAnsi="Calibri"/>
                <w:b w:val="0"/>
                <w:i w:val="0"/>
                <w:color w:val="334E68"/>
                <w:sz w:val="17"/>
              </w:rPr>
              <w:t>Sections 10, 12.3, 12.5</w:t>
            </w:r>
          </w:p>
        </w:tc>
      </w:tr>
      <w:tr>
        <w:trPr>
          <w:cantSplit/>
        </w:trPr>
        <w:tc>
          <w:tcPr>
            <w:tcW w:type="dxa" w:w="2120"/>
          </w:tcPr>
          <w:p>
            <w:pPr>
              <w:spacing w:after="20" w:before="20"/>
            </w:pPr>
            <w:r/>
            <w:r>
              <w:rPr>
                <w:rFonts w:ascii="Calibri" w:hAnsi="Calibri"/>
                <w:b/>
                <w:i w:val="0"/>
                <w:color w:val="334E68"/>
                <w:sz w:val="17"/>
              </w:rPr>
              <w:t>Automation / cloud engineer</w:t>
            </w:r>
          </w:p>
        </w:tc>
        <w:tc>
          <w:tcPr>
            <w:tcW w:type="dxa" w:w="2506"/>
          </w:tcPr>
          <w:p>
            <w:pPr>
              <w:spacing w:after="20" w:before="20"/>
            </w:pPr>
            <w:r/>
            <w:r>
              <w:rPr>
                <w:rFonts w:ascii="Calibri" w:hAnsi="Calibri"/>
                <w:b w:val="0"/>
                <w:i w:val="0"/>
                <w:color w:val="334E68"/>
                <w:sz w:val="17"/>
              </w:rPr>
              <w:t>Section 3, Module 2</w:t>
            </w:r>
          </w:p>
        </w:tc>
        <w:tc>
          <w:tcPr>
            <w:tcW w:type="dxa" w:w="2506"/>
          </w:tcPr>
          <w:p>
            <w:pPr>
              <w:spacing w:after="20" w:before="20"/>
            </w:pPr>
            <w:r/>
            <w:r>
              <w:rPr>
                <w:rFonts w:ascii="Calibri" w:hAnsi="Calibri"/>
                <w:b w:val="0"/>
                <w:i w:val="0"/>
                <w:color w:val="334E68"/>
                <w:sz w:val="17"/>
              </w:rPr>
              <w:t>Section 14</w:t>
            </w:r>
          </w:p>
        </w:tc>
        <w:tc>
          <w:tcPr>
            <w:tcW w:type="dxa" w:w="2506"/>
          </w:tcPr>
          <w:p>
            <w:pPr>
              <w:spacing w:after="20" w:before="20"/>
            </w:pPr>
            <w:r/>
            <w:r>
              <w:rPr>
                <w:rFonts w:ascii="Calibri" w:hAnsi="Calibri"/>
                <w:b w:val="0"/>
                <w:i w:val="0"/>
                <w:color w:val="334E68"/>
                <w:sz w:val="17"/>
              </w:rPr>
              <w:t>Section 10.2</w:t>
            </w:r>
          </w:p>
        </w:tc>
      </w:tr>
      <w:tr>
        <w:trPr>
          <w:cantSplit/>
        </w:trPr>
        <w:tc>
          <w:tcPr>
            <w:tcW w:type="dxa" w:w="2120"/>
            <w:shd w:val="clear" w:color="auto" w:fill="FAFBFD"/>
          </w:tcPr>
          <w:p>
            <w:pPr>
              <w:spacing w:after="20" w:before="20"/>
            </w:pPr>
            <w:r/>
            <w:r>
              <w:rPr>
                <w:rFonts w:ascii="Calibri" w:hAnsi="Calibri"/>
                <w:b/>
                <w:i w:val="0"/>
                <w:color w:val="334E68"/>
                <w:sz w:val="17"/>
              </w:rPr>
              <w:t>Linux / OS engineer</w:t>
            </w:r>
          </w:p>
        </w:tc>
        <w:tc>
          <w:tcPr>
            <w:tcW w:type="dxa" w:w="2506"/>
            <w:shd w:val="clear" w:color="auto" w:fill="FAFBFD"/>
          </w:tcPr>
          <w:p>
            <w:pPr>
              <w:spacing w:after="20" w:before="20"/>
            </w:pPr>
            <w:r/>
            <w:r>
              <w:rPr>
                <w:rFonts w:ascii="Calibri" w:hAnsi="Calibri"/>
                <w:b w:val="0"/>
                <w:i w:val="0"/>
                <w:color w:val="334E68"/>
                <w:sz w:val="17"/>
              </w:rPr>
              <w:t>Module 1, Section 7.2</w:t>
            </w:r>
          </w:p>
        </w:tc>
        <w:tc>
          <w:tcPr>
            <w:tcW w:type="dxa" w:w="2506"/>
            <w:shd w:val="clear" w:color="auto" w:fill="FAFBFD"/>
          </w:tcPr>
          <w:p>
            <w:pPr>
              <w:spacing w:after="20" w:before="20"/>
            </w:pPr>
            <w:r/>
            <w:r>
              <w:rPr>
                <w:rFonts w:ascii="Calibri" w:hAnsi="Calibri"/>
                <w:b w:val="0"/>
                <w:i w:val="0"/>
                <w:color w:val="334E68"/>
                <w:sz w:val="17"/>
              </w:rPr>
              <w:t>Section 14</w:t>
            </w:r>
          </w:p>
        </w:tc>
        <w:tc>
          <w:tcPr>
            <w:tcW w:type="dxa" w:w="2506"/>
            <w:shd w:val="clear" w:color="auto" w:fill="FAFBFD"/>
          </w:tcPr>
          <w:p>
            <w:pPr>
              <w:spacing w:after="20" w:before="20"/>
            </w:pPr>
            <w:r/>
            <w:r>
              <w:rPr>
                <w:rFonts w:ascii="Calibri" w:hAnsi="Calibri"/>
                <w:b w:val="0"/>
                <w:i w:val="0"/>
                <w:color w:val="334E68"/>
                <w:sz w:val="17"/>
              </w:rPr>
              <w:t>Sections 10, 12.1</w:t>
            </w:r>
          </w:p>
        </w:tc>
      </w:tr>
      <w:tr>
        <w:trPr>
          <w:cantSplit/>
        </w:trPr>
        <w:tc>
          <w:tcPr>
            <w:tcW w:type="dxa" w:w="2120"/>
          </w:tcPr>
          <w:p>
            <w:pPr>
              <w:spacing w:after="20" w:before="20"/>
            </w:pPr>
            <w:r/>
            <w:r>
              <w:rPr>
                <w:rFonts w:ascii="Calibri" w:hAnsi="Calibri"/>
                <w:b/>
                <w:i w:val="0"/>
                <w:color w:val="334E68"/>
                <w:sz w:val="17"/>
              </w:rPr>
              <w:t>Network / DNS / IPAM</w:t>
            </w:r>
          </w:p>
        </w:tc>
        <w:tc>
          <w:tcPr>
            <w:tcW w:type="dxa" w:w="2506"/>
          </w:tcPr>
          <w:p>
            <w:pPr>
              <w:spacing w:after="20" w:before="20"/>
            </w:pPr>
            <w:r/>
            <w:r>
              <w:rPr>
                <w:rFonts w:ascii="Calibri" w:hAnsi="Calibri"/>
                <w:b w:val="0"/>
                <w:i w:val="0"/>
                <w:color w:val="334E68"/>
                <w:sz w:val="17"/>
              </w:rPr>
              <w:t>Module 1, Section 9.5</w:t>
            </w:r>
          </w:p>
        </w:tc>
        <w:tc>
          <w:tcPr>
            <w:tcW w:type="dxa" w:w="2506"/>
          </w:tcPr>
          <w:p>
            <w:pPr>
              <w:spacing w:after="20" w:before="20"/>
            </w:pPr>
            <w:r/>
            <w:r>
              <w:rPr>
                <w:rFonts w:ascii="Calibri" w:hAnsi="Calibri"/>
                <w:b w:val="0"/>
                <w:i w:val="0"/>
                <w:color w:val="334E68"/>
                <w:sz w:val="17"/>
              </w:rPr>
              <w:t>Module 2</w:t>
            </w:r>
          </w:p>
        </w:tc>
        <w:tc>
          <w:tcPr>
            <w:tcW w:type="dxa" w:w="2506"/>
          </w:tcPr>
          <w:p>
            <w:pPr>
              <w:spacing w:after="20" w:before="20"/>
            </w:pPr>
            <w:r/>
            <w:r>
              <w:rPr>
                <w:rFonts w:ascii="Calibri" w:hAnsi="Calibri"/>
                <w:b w:val="0"/>
                <w:i w:val="0"/>
                <w:color w:val="334E68"/>
                <w:sz w:val="17"/>
              </w:rPr>
              <w:t>Section 10.2</w:t>
            </w:r>
          </w:p>
        </w:tc>
      </w:tr>
      <w:tr>
        <w:trPr>
          <w:cantSplit/>
        </w:trPr>
        <w:tc>
          <w:tcPr>
            <w:tcW w:type="dxa" w:w="2120"/>
            <w:shd w:val="clear" w:color="auto" w:fill="FAFBFD"/>
          </w:tcPr>
          <w:p>
            <w:pPr>
              <w:spacing w:after="20" w:before="20"/>
            </w:pPr>
            <w:r/>
            <w:r>
              <w:rPr>
                <w:rFonts w:ascii="Calibri" w:hAnsi="Calibri"/>
                <w:b/>
                <w:i w:val="0"/>
                <w:color w:val="334E68"/>
                <w:sz w:val="17"/>
              </w:rPr>
              <w:t>Application / functional lead</w:t>
            </w:r>
          </w:p>
        </w:tc>
        <w:tc>
          <w:tcPr>
            <w:tcW w:type="dxa" w:w="2506"/>
            <w:shd w:val="clear" w:color="auto" w:fill="FAFBFD"/>
          </w:tcPr>
          <w:p>
            <w:pPr>
              <w:spacing w:after="20" w:before="20"/>
            </w:pPr>
            <w:r/>
            <w:r>
              <w:rPr>
                <w:rFonts w:ascii="Calibri" w:hAnsi="Calibri"/>
                <w:b w:val="0"/>
                <w:i w:val="0"/>
                <w:color w:val="334E68"/>
                <w:sz w:val="17"/>
              </w:rPr>
              <w:t>Sections 1–3, Module 7</w:t>
            </w:r>
          </w:p>
        </w:tc>
        <w:tc>
          <w:tcPr>
            <w:tcW w:type="dxa" w:w="2506"/>
            <w:shd w:val="clear" w:color="auto" w:fill="FAFBFD"/>
          </w:tcPr>
          <w:p>
            <w:pPr>
              <w:spacing w:after="20" w:before="20"/>
            </w:pPr>
            <w:r/>
            <w:r>
              <w:rPr>
                <w:rFonts w:ascii="Calibri" w:hAnsi="Calibri"/>
                <w:b w:val="0"/>
                <w:i w:val="0"/>
                <w:color w:val="334E68"/>
                <w:sz w:val="17"/>
              </w:rPr>
              <w:t>Sections 13, 14</w:t>
            </w:r>
          </w:p>
        </w:tc>
        <w:tc>
          <w:tcPr>
            <w:tcW w:type="dxa" w:w="2506"/>
            <w:shd w:val="clear" w:color="auto" w:fill="FAFBFD"/>
          </w:tcPr>
          <w:p>
            <w:pPr>
              <w:spacing w:after="20" w:before="20"/>
            </w:pPr>
            <w:r/>
            <w:r>
              <w:rPr>
                <w:rFonts w:ascii="Calibri" w:hAnsi="Calibri"/>
                <w:b w:val="0"/>
                <w:i w:val="0"/>
                <w:color w:val="334E68"/>
                <w:sz w:val="17"/>
              </w:rPr>
              <w:t>Sections 10.4, 10.6</w:t>
            </w:r>
          </w:p>
        </w:tc>
      </w:tr>
      <w:tr>
        <w:trPr>
          <w:cantSplit/>
        </w:trPr>
        <w:tc>
          <w:tcPr>
            <w:tcW w:type="dxa" w:w="2120"/>
          </w:tcPr>
          <w:p>
            <w:pPr>
              <w:spacing w:after="20" w:before="20"/>
            </w:pPr>
            <w:r/>
            <w:r>
              <w:rPr>
                <w:rFonts w:ascii="Calibri" w:hAnsi="Calibri"/>
                <w:b/>
                <w:i w:val="0"/>
                <w:color w:val="334E68"/>
                <w:sz w:val="17"/>
              </w:rPr>
              <w:t>Project manager / stakeholder</w:t>
            </w:r>
          </w:p>
        </w:tc>
        <w:tc>
          <w:tcPr>
            <w:tcW w:type="dxa" w:w="2506"/>
          </w:tcPr>
          <w:p>
            <w:pPr>
              <w:spacing w:after="20" w:before="20"/>
            </w:pPr>
            <w:r/>
            <w:r>
              <w:rPr>
                <w:rFonts w:ascii="Calibri" w:hAnsi="Calibri"/>
                <w:b w:val="0"/>
                <w:i w:val="0"/>
                <w:color w:val="334E68"/>
                <w:sz w:val="17"/>
              </w:rPr>
              <w:t>Sections 1–3</w:t>
            </w:r>
          </w:p>
        </w:tc>
        <w:tc>
          <w:tcPr>
            <w:tcW w:type="dxa" w:w="2506"/>
          </w:tcPr>
          <w:p>
            <w:pPr>
              <w:spacing w:after="20" w:before="20"/>
            </w:pPr>
            <w:r/>
            <w:r>
              <w:rPr>
                <w:rFonts w:ascii="Calibri" w:hAnsi="Calibri"/>
                <w:b w:val="0"/>
                <w:i w:val="0"/>
                <w:color w:val="334E68"/>
                <w:sz w:val="17"/>
              </w:rPr>
              <w:t>Sections 13, 14, 16</w:t>
            </w:r>
          </w:p>
        </w:tc>
        <w:tc>
          <w:tcPr>
            <w:tcW w:type="dxa" w:w="2506"/>
          </w:tcPr>
          <w:p>
            <w:pPr>
              <w:spacing w:after="20" w:before="20"/>
            </w:pPr>
            <w:r/>
            <w:r>
              <w:rPr>
                <w:rFonts w:ascii="Calibri" w:hAnsi="Calibri"/>
                <w:b w:val="0"/>
                <w:i w:val="0"/>
                <w:color w:val="334E68"/>
                <w:sz w:val="17"/>
              </w:rPr>
              <w:t>Section 10.5</w:t>
            </w:r>
          </w:p>
        </w:tc>
      </w:tr>
    </w:tbl>
    <w:p>
      <w:pPr>
        <w:spacing w:after="40"/>
      </w:pPr>
    </w:p>
    <w:p>
      <w:pPr>
        <w:pStyle w:val="Heading2"/>
        <w:pBdr>
          <w:bottom w:val="single" w:sz="6" w:space="3" w:color="E8EDF3"/>
        </w:pBdr>
      </w:pPr>
      <w:r>
        <w:rPr>
          <w:rFonts w:ascii="Calibri" w:hAnsi="Calibri"/>
          <w:b/>
          <w:color w:val="0F2B4C"/>
          <w:sz w:val="26"/>
        </w:rPr>
        <w:t>0.2  Conventions used in this handbook</w:t>
      </w:r>
    </w:p>
    <w:p>
      <w:pPr>
        <w:spacing w:after="60" w:before="160"/>
        <w:keepNext/>
      </w:pPr>
      <w:r>
        <w:rPr>
          <w:rFonts w:ascii="Calibri" w:hAnsi="Calibri"/>
          <w:b/>
          <w:color w:val="5B7288"/>
          <w:sz w:val="15"/>
        </w:rPr>
        <w:t>LEGEND</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313"/>
        <w:gridCol w:w="7325"/>
      </w:tblGrid>
      <w:tr>
        <w:trPr>
          <w:tblHeader/>
          <w:cantSplit/>
        </w:trPr>
        <w:tc>
          <w:tcPr>
            <w:tcW w:type="dxa" w:w="2313"/>
            <w:shd w:val="clear" w:color="auto" w:fill="0F2B4C"/>
          </w:tcPr>
          <w:p>
            <w:pPr>
              <w:spacing w:after="20" w:before="20"/>
            </w:pPr>
            <w:r/>
            <w:r>
              <w:rPr>
                <w:rFonts w:ascii="Calibri" w:hAnsi="Calibri"/>
                <w:b/>
                <w:color w:val="FFFFFF"/>
                <w:sz w:val="17"/>
              </w:rPr>
              <w:t>Convention</w:t>
            </w:r>
          </w:p>
        </w:tc>
        <w:tc>
          <w:tcPr>
            <w:tcW w:type="dxa" w:w="7325"/>
            <w:shd w:val="clear" w:color="auto" w:fill="0F2B4C"/>
          </w:tcPr>
          <w:p>
            <w:pPr>
              <w:spacing w:after="20" w:before="20"/>
            </w:pPr>
            <w:r/>
            <w:r>
              <w:rPr>
                <w:rFonts w:ascii="Calibri" w:hAnsi="Calibri"/>
                <w:b/>
                <w:color w:val="FFFFFF"/>
                <w:sz w:val="17"/>
              </w:rPr>
              <w:t>Meaning</w:t>
            </w:r>
          </w:p>
        </w:tc>
      </w:tr>
      <w:tr>
        <w:trPr>
          <w:cantSplit/>
        </w:trPr>
        <w:tc>
          <w:tcPr>
            <w:tcW w:type="dxa" w:w="2313"/>
          </w:tcPr>
          <w:p>
            <w:pPr>
              <w:spacing w:after="20" w:before="20"/>
            </w:pPr>
            <w:r/>
            <w:r>
              <w:rPr>
                <w:rFonts w:ascii="Calibri" w:hAnsi="Calibri"/>
                <w:b/>
                <w:i w:val="0"/>
                <w:color w:val="334E68"/>
                <w:sz w:val="17"/>
              </w:rPr>
              <w:t>MUST</w:t>
            </w:r>
            <w:r>
              <w:rPr>
                <w:rFonts w:ascii="Calibri" w:hAnsi="Calibri"/>
              </w:rPr>
              <w:t xml:space="preserve"> </w:t>
            </w:r>
            <w:r>
              <w:rPr>
                <w:rFonts w:ascii="Calibri" w:hAnsi="Calibri"/>
                <w:b/>
                <w:i w:val="0"/>
                <w:color w:val="334E68"/>
                <w:sz w:val="17"/>
              </w:rPr>
              <w:t>Gate</w:t>
            </w:r>
          </w:p>
        </w:tc>
        <w:tc>
          <w:tcPr>
            <w:tcW w:type="dxa" w:w="7325"/>
          </w:tcPr>
          <w:p>
            <w:pPr>
              <w:spacing w:after="20" w:before="20"/>
            </w:pPr>
            <w:r/>
            <w:r>
              <w:rPr>
                <w:rFonts w:ascii="Calibri" w:hAnsi="Calibri"/>
                <w:b w:val="0"/>
                <w:i w:val="0"/>
                <w:color w:val="334E68"/>
                <w:sz w:val="17"/>
              </w:rPr>
              <w:t>Mandatory step or formal gate. Work does not proceed without it and without recorded evidence.</w:t>
            </w:r>
          </w:p>
        </w:tc>
      </w:tr>
      <w:tr>
        <w:trPr>
          <w:cantSplit/>
        </w:trPr>
        <w:tc>
          <w:tcPr>
            <w:tcW w:type="dxa" w:w="2313"/>
            <w:shd w:val="clear" w:color="auto" w:fill="FAFBFD"/>
          </w:tcPr>
          <w:p>
            <w:pPr>
              <w:spacing w:after="20" w:before="20"/>
            </w:pPr>
            <w:r/>
            <w:r>
              <w:rPr>
                <w:rFonts w:ascii="Calibri" w:hAnsi="Calibri"/>
                <w:b/>
                <w:i w:val="0"/>
                <w:color w:val="334E68"/>
                <w:sz w:val="17"/>
              </w:rPr>
              <w:t>SHOULD</w:t>
            </w:r>
          </w:p>
        </w:tc>
        <w:tc>
          <w:tcPr>
            <w:tcW w:type="dxa" w:w="7325"/>
            <w:shd w:val="clear" w:color="auto" w:fill="FAFBFD"/>
          </w:tcPr>
          <w:p>
            <w:pPr>
              <w:spacing w:after="20" w:before="20"/>
            </w:pPr>
            <w:r/>
            <w:r>
              <w:rPr>
                <w:rFonts w:ascii="Calibri" w:hAnsi="Calibri"/>
                <w:b w:val="0"/>
                <w:i w:val="0"/>
                <w:color w:val="334E68"/>
                <w:sz w:val="17"/>
              </w:rPr>
              <w:t>Strongly recommended practice. Deviation needs a recorded reason and the accountable owner's agreement.</w:t>
            </w:r>
          </w:p>
        </w:tc>
      </w:tr>
      <w:tr>
        <w:trPr>
          <w:cantSplit/>
        </w:trPr>
        <w:tc>
          <w:tcPr>
            <w:tcW w:type="dxa" w:w="2313"/>
          </w:tcPr>
          <w:p>
            <w:pPr>
              <w:spacing w:after="20" w:before="20"/>
            </w:pPr>
            <w:r/>
            <w:r>
              <w:rPr>
                <w:rFonts w:ascii="Calibri" w:hAnsi="Calibri"/>
                <w:b/>
                <w:i w:val="0"/>
                <w:color w:val="334E68"/>
                <w:sz w:val="17"/>
              </w:rPr>
              <w:t>MAY</w:t>
            </w:r>
          </w:p>
        </w:tc>
        <w:tc>
          <w:tcPr>
            <w:tcW w:type="dxa" w:w="7325"/>
          </w:tcPr>
          <w:p>
            <w:pPr>
              <w:spacing w:after="20" w:before="20"/>
            </w:pPr>
            <w:r/>
            <w:r>
              <w:rPr>
                <w:rFonts w:ascii="Calibri" w:hAnsi="Calibri"/>
                <w:b w:val="0"/>
                <w:i w:val="0"/>
                <w:color w:val="334E68"/>
                <w:sz w:val="17"/>
              </w:rPr>
              <w:t>Optional, context-dependent, or dependent on the customer's design.</w:t>
            </w:r>
          </w:p>
        </w:tc>
      </w:tr>
      <w:tr>
        <w:trPr>
          <w:cantSplit/>
        </w:trPr>
        <w:tc>
          <w:tcPr>
            <w:tcW w:type="dxa" w:w="2313"/>
            <w:shd w:val="clear" w:color="auto" w:fill="FAFBFD"/>
          </w:tcPr>
          <w:p>
            <w:pPr>
              <w:spacing w:after="20" w:before="20"/>
            </w:pPr>
            <w:r/>
            <w:r>
              <w:rPr>
                <w:rFonts w:ascii="Calibri" w:hAnsi="Calibri"/>
                <w:b/>
                <w:i w:val="0"/>
                <w:color w:val="334E68"/>
                <w:sz w:val="17"/>
              </w:rPr>
              <w:t>Source term</w:t>
            </w:r>
          </w:p>
        </w:tc>
        <w:tc>
          <w:tcPr>
            <w:tcW w:type="dxa" w:w="7325"/>
            <w:shd w:val="clear" w:color="auto" w:fill="FAFBFD"/>
          </w:tcPr>
          <w:p>
            <w:pPr>
              <w:spacing w:after="20" w:before="20"/>
            </w:pPr>
            <w:r/>
            <w:r>
              <w:rPr>
                <w:rFonts w:ascii="Calibri" w:hAnsi="Calibri"/>
                <w:b w:val="0"/>
                <w:i w:val="0"/>
                <w:color w:val="334E68"/>
                <w:sz w:val="17"/>
              </w:rPr>
              <w:t>Terminology taken verbatim from the supplied training/MOM material. It may be client-specific — confirm it against the project standard before use.</w:t>
            </w:r>
          </w:p>
        </w:tc>
      </w:tr>
      <w:tr>
        <w:trPr>
          <w:cantSplit/>
        </w:trPr>
        <w:tc>
          <w:tcPr>
            <w:tcW w:type="dxa" w:w="2313"/>
          </w:tcPr>
          <w:p>
            <w:pPr>
              <w:spacing w:after="20" w:before="20"/>
            </w:pPr>
            <w:r/>
            <w:r>
              <w:rPr>
                <w:rFonts w:ascii="Calibri" w:hAnsi="Calibri"/>
                <w:b/>
                <w:i w:val="0"/>
                <w:color w:val="334E68"/>
                <w:sz w:val="17"/>
              </w:rPr>
              <w:t>Validate</w:t>
            </w:r>
          </w:p>
        </w:tc>
        <w:tc>
          <w:tcPr>
            <w:tcW w:type="dxa" w:w="7325"/>
          </w:tcPr>
          <w:p>
            <w:pPr>
              <w:spacing w:after="20" w:before="20"/>
            </w:pPr>
            <w:r/>
            <w:r>
              <w:rPr>
                <w:rFonts w:ascii="Calibri" w:hAnsi="Calibri"/>
                <w:b w:val="0"/>
                <w:i w:val="0"/>
                <w:color w:val="334E68"/>
                <w:sz w:val="17"/>
              </w:rPr>
              <w:t>Assumption from the source material that must be verified against the applicable SAP, AWS or client baseline before it is relied on.</w:t>
            </w:r>
          </w:p>
        </w:tc>
      </w:tr>
    </w:tbl>
    <w:p>
      <w:pPr>
        <w:spacing w:after="40"/>
      </w:pPr>
    </w:p>
    <w:p>
      <w:pPr>
        <w:pStyle w:val="Heading2"/>
        <w:pBdr>
          <w:bottom w:val="single" w:sz="6" w:space="3" w:color="E8EDF3"/>
        </w:pBdr>
      </w:pPr>
      <w:r>
        <w:rPr>
          <w:rFonts w:ascii="Calibri" w:hAnsi="Calibri"/>
          <w:b/>
          <w:color w:val="0F2B4C"/>
          <w:sz w:val="26"/>
        </w:rPr>
        <w:t>0.3  Checklist behaviour</w:t>
      </w:r>
    </w:p>
    <w:p>
      <w:pPr>
        <w:spacing w:after="40"/>
        <w:ind w:left="351" w:hanging="227"/>
      </w:pPr>
      <w:r>
        <w:rPr>
          <w:rFonts w:ascii="Calibri" w:hAnsi="Calibri"/>
          <w:b/>
          <w:color w:val="1B4F86"/>
          <w:sz w:val="19"/>
        </w:rPr>
        <w:t xml:space="preserve">▪  </w:t>
      </w:r>
      <w:r>
        <w:rPr>
          <w:rFonts w:ascii="Calibri" w:hAnsi="Calibri"/>
          <w:b w:val="0"/>
          <w:i w:val="0"/>
          <w:color w:val="334E68"/>
          <w:sz w:val="19"/>
        </w:rPr>
        <w:t>Every checklist in Section 12 is interactive: tick a check, choose a status and add an evidence reference. Progress is saved in your browser (local storage only — nothing leaves the device).</w:t>
      </w:r>
    </w:p>
    <w:p>
      <w:pPr>
        <w:spacing w:after="40"/>
        <w:ind w:left="351" w:hanging="227"/>
      </w:pPr>
      <w:r>
        <w:rPr>
          <w:rFonts w:ascii="Calibri" w:hAnsi="Calibri"/>
          <w:b/>
          <w:color w:val="1B4F86"/>
          <w:sz w:val="19"/>
        </w:rPr>
        <w:t xml:space="preserve">▪  </w:t>
      </w:r>
      <w:r>
        <w:rPr>
          <w:rFonts w:ascii="Calibri" w:hAnsi="Calibri"/>
          <w:b w:val="0"/>
          <w:i w:val="0"/>
          <w:color w:val="334E68"/>
          <w:sz w:val="19"/>
        </w:rPr>
        <w:t>Checklists are training and readiness aids. The authoritative record is the project's validation workbook or change ticket; transfer your results there before sign-off.</w:t>
      </w:r>
    </w:p>
    <w:p>
      <w:pPr>
        <w:spacing w:after="40"/>
        <w:ind w:left="351" w:hanging="227"/>
      </w:pPr>
      <w:r>
        <w:rPr>
          <w:rFonts w:ascii="Calibri" w:hAnsi="Calibri"/>
          <w:b/>
          <w:color w:val="1B4F86"/>
          <w:sz w:val="19"/>
        </w:rPr>
        <w:t xml:space="preserve">▪  </w:t>
      </w:r>
      <w:r>
        <w:rPr>
          <w:rFonts w:ascii="Calibri" w:hAnsi="Calibri"/>
          <w:b w:val="0"/>
          <w:i w:val="0"/>
          <w:color w:val="334E68"/>
          <w:sz w:val="19"/>
        </w:rPr>
        <w:t xml:space="preserve">Use </w:t>
      </w:r>
      <w:r>
        <w:rPr>
          <w:rFonts w:ascii="Calibri" w:hAnsi="Calibri"/>
          <w:b/>
          <w:i w:val="0"/>
          <w:color w:val="334E68"/>
          <w:sz w:val="19"/>
        </w:rPr>
        <w:t>Print / save as PDF</w:t>
      </w:r>
      <w:r>
        <w:rPr>
          <w:rFonts w:ascii="Calibri" w:hAnsi="Calibri"/>
          <w:b w:val="0"/>
          <w:i w:val="0"/>
          <w:color w:val="334E68"/>
          <w:sz w:val="19"/>
        </w:rPr>
        <w:t xml:space="preserve"> to produce a static copy. Printing expands all knowledge-check answers and renders each section on its own page.</w:t>
      </w:r>
    </w:p>
    <w:p>
      <w:pPr>
        <w:spacing w:after="40"/>
        <w:ind w:left="351" w:hanging="227"/>
      </w:pPr>
      <w:r>
        <w:rPr>
          <w:rFonts w:ascii="Calibri" w:hAnsi="Calibri"/>
          <w:b/>
          <w:color w:val="1B4F86"/>
          <w:sz w:val="19"/>
        </w:rPr>
        <w:t xml:space="preserve">▪  </w:t>
      </w:r>
      <w:r>
        <w:rPr>
          <w:rFonts w:ascii="Calibri" w:hAnsi="Calibri"/>
          <w:b w:val="0"/>
          <w:i w:val="0"/>
          <w:color w:val="334E68"/>
          <w:sz w:val="19"/>
        </w:rPr>
        <w:t xml:space="preserve">Figures are vector diagrams. They can be lifted from </w:t>
      </w:r>
      <w:r>
        <w:rPr>
          <w:rFonts w:ascii="Consolas" w:hAnsi="Consolas"/>
          <w:b w:val="0"/>
          <w:i w:val="0"/>
          <w:color w:val="123A63"/>
          <w:sz w:val="19"/>
          <w:shd w:val="clear" w:color="auto" w:fill="EEF2F7"/>
        </w:rPr>
        <w:t>assets/</w:t>
      </w:r>
      <w:r>
        <w:rPr>
          <w:rFonts w:ascii="Calibri" w:hAnsi="Calibri"/>
          <w:b w:val="0"/>
          <w:i w:val="0"/>
          <w:color w:val="334E68"/>
          <w:sz w:val="19"/>
        </w:rPr>
        <w:t xml:space="preserve"> as standalone SVG files for slides or runbooks.</w:t>
      </w:r>
    </w:p>
    <w:p>
      <w:pPr>
        <w:spacing w:before="180" w:after="40"/>
        <w:shd w:val="clear" w:color="auto" w:fill="FFFDF5"/>
        <w:pBdr>
          <w:left w:val="single" w:sz="6" w:space="6" w:color="D9A520"/>
          <w:top w:val="single" w:sz="6" w:space="6" w:color="D9A520"/>
          <w:right w:val="single" w:sz="6" w:space="6" w:color="D9A520"/>
        </w:pBdr>
        <w:keepNext/>
      </w:pPr>
      <w:r>
        <w:rPr>
          <w:rFonts w:ascii="Calibri" w:hAnsi="Calibri"/>
          <w:b/>
          <w:color w:val="D9A520"/>
          <w:sz w:val="16"/>
        </w:rPr>
        <w:t>SCOPE LIMITATION</w:t>
      </w:r>
    </w:p>
    <w:p>
      <w:pPr>
        <w:spacing w:after="40"/>
        <w:ind w:left="170"/>
        <w:shd w:val="clear" w:color="auto" w:fill="FFFDF5"/>
        <w:pBdr>
          <w:left w:val="single" w:sz="6" w:space="6" w:color="D9A520"/>
          <w:bottom w:val="single" w:sz="6" w:space="6" w:color="D9A520"/>
          <w:right w:val="single" w:sz="6" w:space="6" w:color="D9A520"/>
        </w:pBdr>
      </w:pPr>
      <w:r>
        <w:rPr>
          <w:rFonts w:ascii="Calibri" w:hAnsi="Calibri"/>
          <w:b w:val="0"/>
          <w:i w:val="0"/>
          <w:color w:val="334E68"/>
          <w:sz w:val="18"/>
        </w:rPr>
        <w:t>This handbook teaches the method and the checks. It is not a runbook, not an approved architecture, and not a substitute for the customer's change-management process. Command syntax, parameter names, thresholds and instance types must always be taken from the approved project documentation for the specific system, release and landscape you are working on.</w:t>
      </w:r>
    </w:p>
    <w:p>
      <w:r>
        <w:br w:type="page"/>
      </w:r>
    </w:p>
    <w:p>
      <w:pPr>
        <w:spacing w:after="20"/>
      </w:pPr>
      <w:r>
        <w:rPr>
          <w:rFonts w:ascii="Calibri" w:hAnsi="Calibri"/>
          <w:b/>
          <w:color w:val="1B4F86"/>
          <w:sz w:val="16"/>
        </w:rPr>
        <w:t>FRONT MATTER</w:t>
      </w:r>
    </w:p>
    <w:p>
      <w:pPr>
        <w:pStyle w:val="Heading1"/>
        <w:pBdr>
          <w:bottom w:val="single" w:sz="12" w:space="5" w:color="1B4F86"/>
        </w:pBdr>
        <w:spacing w:after="160"/>
      </w:pPr>
      <w:r>
        <w:rPr>
          <w:rFonts w:ascii="Calibri Light" w:hAnsi="Calibri Light"/>
          <w:b/>
          <w:color w:val="0F2B4C"/>
          <w:sz w:val="38"/>
        </w:rPr>
        <w:t>Document control, revision history and approval</w:t>
      </w:r>
    </w:p>
    <w:p>
      <w:pPr>
        <w:pStyle w:val="Heading2"/>
        <w:pBdr>
          <w:bottom w:val="single" w:sz="6" w:space="3" w:color="E8EDF3"/>
        </w:pBdr>
      </w:pPr>
      <w:r>
        <w:rPr>
          <w:rFonts w:ascii="Calibri" w:hAnsi="Calibri"/>
          <w:b/>
          <w:color w:val="0F2B4C"/>
          <w:sz w:val="26"/>
        </w:rPr>
        <w:t>0.4  Revision history</w:t>
      </w:r>
    </w:p>
    <w:p>
      <w:pPr>
        <w:spacing w:after="60" w:before="160"/>
        <w:keepNext/>
      </w:pPr>
      <w:r>
        <w:rPr>
          <w:rFonts w:ascii="Calibri" w:hAnsi="Calibri"/>
          <w:b/>
          <w:color w:val="5B7288"/>
          <w:sz w:val="15"/>
        </w:rPr>
        <w:t>REVISION HISTORY</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771"/>
        <w:gridCol w:w="964"/>
        <w:gridCol w:w="1638"/>
        <w:gridCol w:w="3951"/>
        <w:gridCol w:w="1253"/>
        <w:gridCol w:w="1060"/>
      </w:tblGrid>
      <w:tr>
        <w:trPr>
          <w:tblHeader/>
          <w:cantSplit/>
        </w:trPr>
        <w:tc>
          <w:tcPr>
            <w:tcW w:type="dxa" w:w="771"/>
            <w:shd w:val="clear" w:color="auto" w:fill="0F2B4C"/>
          </w:tcPr>
          <w:p>
            <w:pPr>
              <w:spacing w:after="20" w:before="20"/>
            </w:pPr>
            <w:r/>
            <w:r>
              <w:rPr>
                <w:rFonts w:ascii="Calibri" w:hAnsi="Calibri"/>
                <w:b/>
                <w:color w:val="FFFFFF"/>
                <w:sz w:val="17"/>
              </w:rPr>
              <w:t>Version</w:t>
            </w:r>
          </w:p>
        </w:tc>
        <w:tc>
          <w:tcPr>
            <w:tcW w:type="dxa" w:w="964"/>
            <w:shd w:val="clear" w:color="auto" w:fill="0F2B4C"/>
          </w:tcPr>
          <w:p>
            <w:pPr>
              <w:spacing w:after="20" w:before="20"/>
            </w:pPr>
            <w:r/>
            <w:r>
              <w:rPr>
                <w:rFonts w:ascii="Calibri" w:hAnsi="Calibri"/>
                <w:b/>
                <w:color w:val="FFFFFF"/>
                <w:sz w:val="17"/>
              </w:rPr>
              <w:t>Date</w:t>
            </w:r>
          </w:p>
        </w:tc>
        <w:tc>
          <w:tcPr>
            <w:tcW w:type="dxa" w:w="1638"/>
            <w:shd w:val="clear" w:color="auto" w:fill="0F2B4C"/>
          </w:tcPr>
          <w:p>
            <w:pPr>
              <w:spacing w:after="20" w:before="20"/>
            </w:pPr>
            <w:r/>
            <w:r>
              <w:rPr>
                <w:rFonts w:ascii="Calibri" w:hAnsi="Calibri"/>
                <w:b/>
                <w:color w:val="FFFFFF"/>
                <w:sz w:val="17"/>
              </w:rPr>
              <w:t>Author / editor</w:t>
            </w:r>
          </w:p>
        </w:tc>
        <w:tc>
          <w:tcPr>
            <w:tcW w:type="dxa" w:w="3951"/>
            <w:shd w:val="clear" w:color="auto" w:fill="0F2B4C"/>
          </w:tcPr>
          <w:p>
            <w:pPr>
              <w:spacing w:after="20" w:before="20"/>
            </w:pPr>
            <w:r/>
            <w:r>
              <w:rPr>
                <w:rFonts w:ascii="Calibri" w:hAnsi="Calibri"/>
                <w:b/>
                <w:color w:val="FFFFFF"/>
                <w:sz w:val="17"/>
              </w:rPr>
              <w:t>Description of change</w:t>
            </w:r>
          </w:p>
        </w:tc>
        <w:tc>
          <w:tcPr>
            <w:tcW w:type="dxa" w:w="1253"/>
            <w:shd w:val="clear" w:color="auto" w:fill="0F2B4C"/>
          </w:tcPr>
          <w:p>
            <w:pPr>
              <w:spacing w:after="20" w:before="20"/>
            </w:pPr>
            <w:r/>
            <w:r>
              <w:rPr>
                <w:rFonts w:ascii="Calibri" w:hAnsi="Calibri"/>
                <w:b/>
                <w:color w:val="FFFFFF"/>
                <w:sz w:val="17"/>
              </w:rPr>
              <w:t>Reviewed by</w:t>
            </w:r>
          </w:p>
        </w:tc>
        <w:tc>
          <w:tcPr>
            <w:tcW w:type="dxa" w:w="1060"/>
            <w:shd w:val="clear" w:color="auto" w:fill="0F2B4C"/>
          </w:tcPr>
          <w:p>
            <w:pPr>
              <w:spacing w:after="20" w:before="20"/>
            </w:pPr>
            <w:r/>
            <w:r>
              <w:rPr>
                <w:rFonts w:ascii="Calibri" w:hAnsi="Calibri"/>
                <w:b/>
                <w:color w:val="FFFFFF"/>
                <w:sz w:val="17"/>
              </w:rPr>
              <w:t>Status</w:t>
            </w:r>
          </w:p>
        </w:tc>
      </w:tr>
      <w:tr>
        <w:trPr>
          <w:cantSplit/>
        </w:trPr>
        <w:tc>
          <w:tcPr>
            <w:tcW w:type="dxa" w:w="771"/>
          </w:tcPr>
          <w:p>
            <w:pPr>
              <w:spacing w:after="20" w:before="20"/>
            </w:pPr>
            <w:r/>
            <w:r>
              <w:rPr>
                <w:rFonts w:ascii="Calibri" w:hAnsi="Calibri"/>
                <w:b/>
                <w:i w:val="0"/>
                <w:color w:val="334E68"/>
                <w:sz w:val="17"/>
              </w:rPr>
              <w:t>0.1</w:t>
            </w:r>
          </w:p>
        </w:tc>
        <w:tc>
          <w:tcPr>
            <w:tcW w:type="dxa" w:w="964"/>
          </w:tcPr>
          <w:p>
            <w:pPr>
              <w:spacing w:after="20" w:before="20"/>
            </w:pPr>
            <w:r/>
            <w:r>
              <w:rPr>
                <w:rFonts w:ascii="Calibri" w:hAnsi="Calibri"/>
                <w:b w:val="0"/>
                <w:i w:val="0"/>
                <w:color w:val="334E68"/>
                <w:sz w:val="17"/>
              </w:rPr>
              <w:t>Sep 2026</w:t>
            </w:r>
          </w:p>
        </w:tc>
        <w:tc>
          <w:tcPr>
            <w:tcW w:type="dxa" w:w="1638"/>
          </w:tcPr>
          <w:p>
            <w:pPr>
              <w:spacing w:after="20" w:before="20"/>
            </w:pPr>
            <w:r/>
            <w:r>
              <w:rPr>
                <w:rFonts w:ascii="Calibri" w:hAnsi="Calibri"/>
                <w:b w:val="0"/>
                <w:i w:val="0"/>
                <w:color w:val="334E68"/>
                <w:sz w:val="17"/>
              </w:rPr>
              <w:t>Amit Prajapati</w:t>
            </w:r>
          </w:p>
        </w:tc>
        <w:tc>
          <w:tcPr>
            <w:tcW w:type="dxa" w:w="3951"/>
          </w:tcPr>
          <w:p>
            <w:pPr>
              <w:spacing w:after="20" w:before="20"/>
            </w:pPr>
            <w:r/>
            <w:r>
              <w:rPr>
                <w:rFonts w:ascii="Calibri" w:hAnsi="Calibri"/>
                <w:b w:val="0"/>
                <w:i w:val="0"/>
                <w:color w:val="334E68"/>
                <w:sz w:val="17"/>
              </w:rPr>
              <w:t>Initial consolidation of training sessions and MOM notes into a single draft.</w:t>
            </w:r>
          </w:p>
        </w:tc>
        <w:tc>
          <w:tcPr>
            <w:tcW w:type="dxa" w:w="1253"/>
          </w:tcPr>
          <w:p>
            <w:pPr>
              <w:spacing w:after="20" w:before="20"/>
            </w:pPr>
            <w:r/>
            <w:r>
              <w:rPr>
                <w:rFonts w:ascii="Calibri" w:hAnsi="Calibri"/>
                <w:b w:val="0"/>
                <w:i w:val="0"/>
                <w:color w:val="334E68"/>
                <w:sz w:val="17"/>
              </w:rPr>
              <w:t>—</w:t>
            </w:r>
          </w:p>
        </w:tc>
        <w:tc>
          <w:tcPr>
            <w:tcW w:type="dxa" w:w="1060"/>
          </w:tcPr>
          <w:p>
            <w:pPr>
              <w:spacing w:after="20" w:before="20"/>
            </w:pPr>
            <w:r/>
            <w:r>
              <w:rPr>
                <w:rFonts w:ascii="Calibri" w:hAnsi="Calibri"/>
                <w:b w:val="0"/>
                <w:i w:val="0"/>
                <w:color w:val="334E68"/>
                <w:sz w:val="17"/>
              </w:rPr>
              <w:t>Draft</w:t>
            </w:r>
          </w:p>
        </w:tc>
      </w:tr>
      <w:tr>
        <w:trPr>
          <w:cantSplit/>
        </w:trPr>
        <w:tc>
          <w:tcPr>
            <w:tcW w:type="dxa" w:w="771"/>
            <w:shd w:val="clear" w:color="auto" w:fill="FAFBFD"/>
          </w:tcPr>
          <w:p>
            <w:pPr>
              <w:spacing w:after="20" w:before="20"/>
            </w:pPr>
            <w:r/>
            <w:r>
              <w:rPr>
                <w:rFonts w:ascii="Calibri" w:hAnsi="Calibri"/>
                <w:b/>
                <w:i w:val="0"/>
                <w:color w:val="334E68"/>
                <w:sz w:val="17"/>
              </w:rPr>
              <w:t>0.2</w:t>
            </w:r>
          </w:p>
        </w:tc>
        <w:tc>
          <w:tcPr>
            <w:tcW w:type="dxa" w:w="964"/>
            <w:shd w:val="clear" w:color="auto" w:fill="FAFBFD"/>
          </w:tcPr>
          <w:p>
            <w:pPr>
              <w:spacing w:after="20" w:before="20"/>
            </w:pPr>
            <w:r/>
            <w:r>
              <w:rPr>
                <w:rFonts w:ascii="Calibri" w:hAnsi="Calibri"/>
                <w:b w:val="0"/>
                <w:i w:val="0"/>
                <w:color w:val="334E68"/>
                <w:sz w:val="17"/>
              </w:rPr>
              <w:t>Sep 2026</w:t>
            </w:r>
          </w:p>
        </w:tc>
        <w:tc>
          <w:tcPr>
            <w:tcW w:type="dxa" w:w="1638"/>
            <w:shd w:val="clear" w:color="auto" w:fill="FAFBFD"/>
          </w:tcPr>
          <w:p>
            <w:pPr>
              <w:spacing w:after="20" w:before="20"/>
            </w:pPr>
            <w:r/>
            <w:r>
              <w:rPr>
                <w:rFonts w:ascii="Calibri" w:hAnsi="Calibri"/>
                <w:b w:val="0"/>
                <w:i w:val="0"/>
                <w:color w:val="334E68"/>
                <w:sz w:val="17"/>
              </w:rPr>
              <w:t>Amit Prajapati</w:t>
            </w:r>
          </w:p>
        </w:tc>
        <w:tc>
          <w:tcPr>
            <w:tcW w:type="dxa" w:w="3951"/>
            <w:shd w:val="clear" w:color="auto" w:fill="FAFBFD"/>
          </w:tcPr>
          <w:p>
            <w:pPr>
              <w:spacing w:after="20" w:before="20"/>
            </w:pPr>
            <w:r/>
            <w:r>
              <w:rPr>
                <w:rFonts w:ascii="Calibri" w:hAnsi="Calibri"/>
                <w:b w:val="0"/>
                <w:i w:val="0"/>
                <w:color w:val="334E68"/>
                <w:sz w:val="17"/>
              </w:rPr>
              <w:t>Modules reorganised into the migration lifecycle; checklists and evidence model added.</w:t>
            </w:r>
          </w:p>
        </w:tc>
        <w:tc>
          <w:tcPr>
            <w:tcW w:type="dxa" w:w="1253"/>
            <w:shd w:val="clear" w:color="auto" w:fill="FAFBFD"/>
          </w:tcPr>
          <w:p>
            <w:pPr>
              <w:spacing w:after="20" w:before="20"/>
            </w:pPr>
            <w:r/>
            <w:r>
              <w:rPr>
                <w:rFonts w:ascii="Calibri" w:hAnsi="Calibri"/>
                <w:b w:val="0"/>
                <w:i w:val="0"/>
                <w:color w:val="334E68"/>
                <w:sz w:val="17"/>
              </w:rPr>
              <w:t>Delivery team</w:t>
            </w:r>
          </w:p>
        </w:tc>
        <w:tc>
          <w:tcPr>
            <w:tcW w:type="dxa" w:w="1060"/>
            <w:shd w:val="clear" w:color="auto" w:fill="FAFBFD"/>
          </w:tcPr>
          <w:p>
            <w:pPr>
              <w:spacing w:after="20" w:before="20"/>
            </w:pPr>
            <w:r/>
            <w:r>
              <w:rPr>
                <w:rFonts w:ascii="Calibri" w:hAnsi="Calibri"/>
                <w:b w:val="0"/>
                <w:i w:val="0"/>
                <w:color w:val="334E68"/>
                <w:sz w:val="17"/>
              </w:rPr>
              <w:t>Draft</w:t>
            </w:r>
          </w:p>
        </w:tc>
      </w:tr>
      <w:tr>
        <w:trPr>
          <w:cantSplit/>
        </w:trPr>
        <w:tc>
          <w:tcPr>
            <w:tcW w:type="dxa" w:w="771"/>
          </w:tcPr>
          <w:p>
            <w:pPr>
              <w:spacing w:after="20" w:before="20"/>
            </w:pPr>
            <w:r/>
            <w:r>
              <w:rPr>
                <w:rFonts w:ascii="Calibri" w:hAnsi="Calibri"/>
                <w:b/>
                <w:i w:val="0"/>
                <w:color w:val="334E68"/>
                <w:sz w:val="17"/>
              </w:rPr>
              <w:t>0.9</w:t>
            </w:r>
          </w:p>
        </w:tc>
        <w:tc>
          <w:tcPr>
            <w:tcW w:type="dxa" w:w="964"/>
          </w:tcPr>
          <w:p>
            <w:pPr>
              <w:spacing w:after="20" w:before="20"/>
            </w:pPr>
            <w:r/>
            <w:r>
              <w:rPr>
                <w:rFonts w:ascii="Calibri" w:hAnsi="Calibri"/>
                <w:b w:val="0"/>
                <w:i w:val="0"/>
                <w:color w:val="334E68"/>
                <w:sz w:val="17"/>
              </w:rPr>
              <w:t>Oct 2026</w:t>
            </w:r>
          </w:p>
        </w:tc>
        <w:tc>
          <w:tcPr>
            <w:tcW w:type="dxa" w:w="1638"/>
          </w:tcPr>
          <w:p>
            <w:pPr>
              <w:spacing w:after="20" w:before="20"/>
            </w:pPr>
            <w:r/>
            <w:r>
              <w:rPr>
                <w:rFonts w:ascii="Calibri" w:hAnsi="Calibri"/>
                <w:b w:val="0"/>
                <w:i w:val="0"/>
                <w:color w:val="334E68"/>
                <w:sz w:val="17"/>
              </w:rPr>
              <w:t>Amit Prajapati</w:t>
            </w:r>
          </w:p>
        </w:tc>
        <w:tc>
          <w:tcPr>
            <w:tcW w:type="dxa" w:w="3951"/>
          </w:tcPr>
          <w:p>
            <w:pPr>
              <w:spacing w:after="20" w:before="20"/>
            </w:pPr>
            <w:r/>
            <w:r>
              <w:rPr>
                <w:rFonts w:ascii="Calibri" w:hAnsi="Calibri"/>
                <w:b w:val="0"/>
                <w:i w:val="0"/>
                <w:color w:val="334E68"/>
                <w:sz w:val="17"/>
              </w:rPr>
              <w:t>Figures 1–8 added; source terminology cross-checked; open items flagged.</w:t>
            </w:r>
          </w:p>
        </w:tc>
        <w:tc>
          <w:tcPr>
            <w:tcW w:type="dxa" w:w="1253"/>
          </w:tcPr>
          <w:p>
            <w:pPr>
              <w:spacing w:after="20" w:before="20"/>
            </w:pPr>
            <w:r/>
            <w:r>
              <w:rPr>
                <w:rFonts w:ascii="Calibri" w:hAnsi="Calibri"/>
                <w:b w:val="0"/>
                <w:i w:val="0"/>
                <w:color w:val="334E68"/>
                <w:sz w:val="17"/>
              </w:rPr>
              <w:t>Basis + DBA leads</w:t>
            </w:r>
          </w:p>
        </w:tc>
        <w:tc>
          <w:tcPr>
            <w:tcW w:type="dxa" w:w="1060"/>
          </w:tcPr>
          <w:p>
            <w:pPr>
              <w:spacing w:after="20" w:before="20"/>
            </w:pPr>
            <w:r/>
            <w:r>
              <w:rPr>
                <w:rFonts w:ascii="Calibri" w:hAnsi="Calibri"/>
                <w:b w:val="0"/>
                <w:i w:val="0"/>
                <w:color w:val="334E68"/>
                <w:sz w:val="17"/>
              </w:rPr>
              <w:t>In review</w:t>
            </w:r>
          </w:p>
        </w:tc>
      </w:tr>
      <w:tr>
        <w:trPr>
          <w:cantSplit/>
        </w:trPr>
        <w:tc>
          <w:tcPr>
            <w:tcW w:type="dxa" w:w="771"/>
            <w:shd w:val="clear" w:color="auto" w:fill="FAFBFD"/>
          </w:tcPr>
          <w:p>
            <w:pPr>
              <w:spacing w:after="20" w:before="20"/>
            </w:pPr>
            <w:r/>
            <w:r>
              <w:rPr>
                <w:rFonts w:ascii="Calibri" w:hAnsi="Calibri"/>
                <w:b/>
                <w:i w:val="0"/>
                <w:color w:val="334E68"/>
                <w:sz w:val="17"/>
              </w:rPr>
              <w:t>1.0</w:t>
            </w:r>
          </w:p>
        </w:tc>
        <w:tc>
          <w:tcPr>
            <w:tcW w:type="dxa" w:w="964"/>
            <w:shd w:val="clear" w:color="auto" w:fill="FAFBFD"/>
          </w:tcPr>
          <w:p>
            <w:pPr>
              <w:spacing w:after="20" w:before="20"/>
            </w:pPr>
            <w:r/>
            <w:r>
              <w:rPr>
                <w:rFonts w:ascii="Calibri" w:hAnsi="Calibri"/>
                <w:b w:val="0"/>
                <w:i w:val="0"/>
                <w:color w:val="334E68"/>
                <w:sz w:val="17"/>
              </w:rPr>
              <w:t>Oct 2026</w:t>
            </w:r>
          </w:p>
        </w:tc>
        <w:tc>
          <w:tcPr>
            <w:tcW w:type="dxa" w:w="1638"/>
            <w:shd w:val="clear" w:color="auto" w:fill="FAFBFD"/>
          </w:tcPr>
          <w:p>
            <w:pPr>
              <w:spacing w:after="20" w:before="20"/>
            </w:pPr>
            <w:r/>
            <w:r>
              <w:rPr>
                <w:rFonts w:ascii="Calibri" w:hAnsi="Calibri"/>
                <w:b w:val="0"/>
                <w:i w:val="0"/>
                <w:color w:val="334E68"/>
                <w:sz w:val="17"/>
              </w:rPr>
              <w:t>Amit Prajapati</w:t>
            </w:r>
          </w:p>
        </w:tc>
        <w:tc>
          <w:tcPr>
            <w:tcW w:type="dxa" w:w="3951"/>
            <w:shd w:val="clear" w:color="auto" w:fill="FAFBFD"/>
          </w:tcPr>
          <w:p>
            <w:pPr>
              <w:spacing w:after="20" w:before="20"/>
            </w:pPr>
            <w:r/>
            <w:r>
              <w:rPr>
                <w:rFonts w:ascii="Calibri" w:hAnsi="Calibri"/>
                <w:b w:val="0"/>
                <w:i w:val="0"/>
                <w:color w:val="334E68"/>
                <w:sz w:val="17"/>
              </w:rPr>
              <w:t>Professional review and vetting pass: technical corrections, glossary, troubleshooting playbook, Appendix D review notes.</w:t>
            </w:r>
          </w:p>
        </w:tc>
        <w:tc>
          <w:tcPr>
            <w:tcW w:type="dxa" w:w="1253"/>
            <w:shd w:val="clear" w:color="auto" w:fill="FAFBFD"/>
          </w:tcPr>
          <w:p>
            <w:pPr>
              <w:spacing w:after="20" w:before="20"/>
            </w:pPr>
            <w:r/>
            <w:r>
              <w:rPr>
                <w:rFonts w:ascii="Calibri" w:hAnsi="Calibri"/>
                <w:b w:val="0"/>
                <w:i w:val="0"/>
                <w:color w:val="334E68"/>
                <w:sz w:val="17"/>
              </w:rPr>
              <w:t>Programme lead</w:t>
            </w:r>
          </w:p>
        </w:tc>
        <w:tc>
          <w:tcPr>
            <w:tcW w:type="dxa" w:w="1060"/>
            <w:shd w:val="clear" w:color="auto" w:fill="FAFBFD"/>
          </w:tcPr>
          <w:p>
            <w:pPr>
              <w:spacing w:after="20" w:before="20"/>
            </w:pPr>
            <w:r/>
            <w:r>
              <w:rPr>
                <w:rFonts w:ascii="Calibri" w:hAnsi="Calibri"/>
                <w:b w:val="0"/>
                <w:i w:val="0"/>
                <w:color w:val="334E68"/>
                <w:sz w:val="17"/>
              </w:rPr>
              <w:t>Issued</w:t>
            </w:r>
          </w:p>
        </w:tc>
      </w:tr>
    </w:tbl>
    <w:p>
      <w:pPr>
        <w:spacing w:after="40"/>
      </w:pPr>
    </w:p>
    <w:p>
      <w:pPr>
        <w:pStyle w:val="Heading2"/>
        <w:pBdr>
          <w:bottom w:val="single" w:sz="6" w:space="3" w:color="E8EDF3"/>
        </w:pBdr>
      </w:pPr>
      <w:r>
        <w:rPr>
          <w:rFonts w:ascii="Calibri" w:hAnsi="Calibri"/>
          <w:b/>
          <w:color w:val="0F2B4C"/>
          <w:sz w:val="26"/>
        </w:rPr>
        <w:t>0.5  Approval and distribution</w:t>
      </w:r>
    </w:p>
    <w:p>
      <w:pPr>
        <w:spacing w:after="60" w:before="160"/>
        <w:keepNext/>
      </w:pPr>
      <w:r>
        <w:rPr>
          <w:rFonts w:ascii="Calibri" w:hAnsi="Calibri"/>
          <w:b/>
          <w:color w:val="5B7288"/>
          <w:sz w:val="15"/>
        </w:rPr>
        <w:t>APPROVAL RECORD</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120"/>
        <w:gridCol w:w="1542"/>
        <w:gridCol w:w="3662"/>
        <w:gridCol w:w="1349"/>
        <w:gridCol w:w="964"/>
      </w:tblGrid>
      <w:tr>
        <w:trPr>
          <w:tblHeader/>
          <w:cantSplit/>
        </w:trPr>
        <w:tc>
          <w:tcPr>
            <w:tcW w:type="dxa" w:w="2120"/>
            <w:shd w:val="clear" w:color="auto" w:fill="0F2B4C"/>
          </w:tcPr>
          <w:p>
            <w:pPr>
              <w:spacing w:after="20" w:before="20"/>
            </w:pPr>
            <w:r/>
            <w:r>
              <w:rPr>
                <w:rFonts w:ascii="Calibri" w:hAnsi="Calibri"/>
                <w:b/>
                <w:color w:val="FFFFFF"/>
                <w:sz w:val="17"/>
              </w:rPr>
              <w:t>Role</w:t>
            </w:r>
          </w:p>
        </w:tc>
        <w:tc>
          <w:tcPr>
            <w:tcW w:type="dxa" w:w="1542"/>
            <w:shd w:val="clear" w:color="auto" w:fill="0F2B4C"/>
          </w:tcPr>
          <w:p>
            <w:pPr>
              <w:spacing w:after="20" w:before="20"/>
            </w:pPr>
            <w:r/>
            <w:r>
              <w:rPr>
                <w:rFonts w:ascii="Calibri" w:hAnsi="Calibri"/>
                <w:b/>
                <w:color w:val="FFFFFF"/>
                <w:sz w:val="17"/>
              </w:rPr>
              <w:t>Name</w:t>
            </w:r>
          </w:p>
        </w:tc>
        <w:tc>
          <w:tcPr>
            <w:tcW w:type="dxa" w:w="3662"/>
            <w:shd w:val="clear" w:color="auto" w:fill="0F2B4C"/>
          </w:tcPr>
          <w:p>
            <w:pPr>
              <w:spacing w:after="20" w:before="20"/>
            </w:pPr>
            <w:r/>
            <w:r>
              <w:rPr>
                <w:rFonts w:ascii="Calibri" w:hAnsi="Calibri"/>
                <w:b/>
                <w:color w:val="FFFFFF"/>
                <w:sz w:val="17"/>
              </w:rPr>
              <w:t>Responsibility for this document</w:t>
            </w:r>
          </w:p>
        </w:tc>
        <w:tc>
          <w:tcPr>
            <w:tcW w:type="dxa" w:w="1349"/>
            <w:shd w:val="clear" w:color="auto" w:fill="0F2B4C"/>
          </w:tcPr>
          <w:p>
            <w:pPr>
              <w:spacing w:after="20" w:before="20"/>
            </w:pPr>
            <w:r/>
            <w:r>
              <w:rPr>
                <w:rFonts w:ascii="Calibri" w:hAnsi="Calibri"/>
                <w:b/>
                <w:color w:val="FFFFFF"/>
                <w:sz w:val="17"/>
              </w:rPr>
              <w:t>Signature</w:t>
            </w:r>
          </w:p>
        </w:tc>
        <w:tc>
          <w:tcPr>
            <w:tcW w:type="dxa" w:w="964"/>
            <w:shd w:val="clear" w:color="auto" w:fill="0F2B4C"/>
          </w:tcPr>
          <w:p>
            <w:pPr>
              <w:spacing w:after="20" w:before="20"/>
            </w:pPr>
            <w:r/>
            <w:r>
              <w:rPr>
                <w:rFonts w:ascii="Calibri" w:hAnsi="Calibri"/>
                <w:b/>
                <w:color w:val="FFFFFF"/>
                <w:sz w:val="17"/>
              </w:rPr>
              <w:t>Date</w:t>
            </w:r>
          </w:p>
        </w:tc>
      </w:tr>
      <w:tr>
        <w:trPr>
          <w:cantSplit/>
        </w:trPr>
        <w:tc>
          <w:tcPr>
            <w:tcW w:type="dxa" w:w="2120"/>
          </w:tcPr>
          <w:p>
            <w:pPr>
              <w:spacing w:after="20" w:before="20"/>
            </w:pPr>
            <w:r/>
            <w:r>
              <w:rPr>
                <w:rFonts w:ascii="Calibri" w:hAnsi="Calibri"/>
                <w:b/>
                <w:i w:val="0"/>
                <w:color w:val="334E68"/>
                <w:sz w:val="17"/>
              </w:rPr>
              <w:t>Primary trainer / author</w:t>
            </w:r>
          </w:p>
        </w:tc>
        <w:tc>
          <w:tcPr>
            <w:tcW w:type="dxa" w:w="1542"/>
          </w:tcPr>
          <w:p>
            <w:pPr>
              <w:spacing w:after="20" w:before="20"/>
            </w:pPr>
            <w:r/>
            <w:r>
              <w:rPr>
                <w:rFonts w:ascii="Calibri" w:hAnsi="Calibri"/>
                <w:b w:val="0"/>
                <w:i w:val="0"/>
                <w:color w:val="334E68"/>
                <w:sz w:val="17"/>
              </w:rPr>
              <w:t>Amit Prajapati</w:t>
            </w:r>
          </w:p>
        </w:tc>
        <w:tc>
          <w:tcPr>
            <w:tcW w:type="dxa" w:w="3662"/>
          </w:tcPr>
          <w:p>
            <w:pPr>
              <w:spacing w:after="20" w:before="20"/>
            </w:pPr>
            <w:r/>
            <w:r>
              <w:rPr>
                <w:rFonts w:ascii="Calibri" w:hAnsi="Calibri"/>
                <w:b w:val="0"/>
                <w:i w:val="0"/>
                <w:color w:val="334E68"/>
                <w:sz w:val="17"/>
              </w:rPr>
              <w:t>Content accuracy, delivery, consolidation of MOM material</w:t>
            </w:r>
          </w:p>
        </w:tc>
        <w:tc>
          <w:tcPr>
            <w:tcW w:type="dxa" w:w="1349"/>
          </w:tcPr>
          <w:p>
            <w:pPr>
              <w:spacing w:after="20" w:before="20"/>
            </w:pPr>
            <w:r/>
          </w:p>
        </w:tc>
        <w:tc>
          <w:tcPr>
            <w:tcW w:type="dxa" w:w="964"/>
          </w:tcPr>
          <w:p>
            <w:pPr>
              <w:spacing w:after="20" w:before="20"/>
            </w:pPr>
            <w:r/>
          </w:p>
        </w:tc>
      </w:tr>
      <w:tr>
        <w:trPr>
          <w:cantSplit/>
        </w:trPr>
        <w:tc>
          <w:tcPr>
            <w:tcW w:type="dxa" w:w="2120"/>
            <w:shd w:val="clear" w:color="auto" w:fill="FAFBFD"/>
          </w:tcPr>
          <w:p>
            <w:pPr>
              <w:spacing w:after="20" w:before="20"/>
            </w:pPr>
            <w:r/>
            <w:r>
              <w:rPr>
                <w:rFonts w:ascii="Calibri" w:hAnsi="Calibri"/>
                <w:b/>
                <w:i w:val="0"/>
                <w:color w:val="334E68"/>
                <w:sz w:val="17"/>
              </w:rPr>
              <w:t>Technical reviewer — Basis</w:t>
            </w:r>
          </w:p>
        </w:tc>
        <w:tc>
          <w:tcPr>
            <w:tcW w:type="dxa" w:w="1542"/>
            <w:shd w:val="clear" w:color="auto" w:fill="FAFBFD"/>
          </w:tcPr>
          <w:p>
            <w:pPr>
              <w:spacing w:after="20" w:before="20"/>
            </w:pPr>
            <w:r/>
          </w:p>
        </w:tc>
        <w:tc>
          <w:tcPr>
            <w:tcW w:type="dxa" w:w="3662"/>
            <w:shd w:val="clear" w:color="auto" w:fill="FAFBFD"/>
          </w:tcPr>
          <w:p>
            <w:pPr>
              <w:spacing w:after="20" w:before="20"/>
            </w:pPr>
            <w:r/>
            <w:r>
              <w:rPr>
                <w:rFonts w:ascii="Calibri" w:hAnsi="Calibri"/>
                <w:b w:val="0"/>
                <w:i w:val="0"/>
                <w:color w:val="334E68"/>
                <w:sz w:val="17"/>
              </w:rPr>
              <w:t>SAP validation, monitoring and cutover content</w:t>
            </w:r>
          </w:p>
        </w:tc>
        <w:tc>
          <w:tcPr>
            <w:tcW w:type="dxa" w:w="1349"/>
            <w:shd w:val="clear" w:color="auto" w:fill="FAFBFD"/>
          </w:tcPr>
          <w:p>
            <w:pPr>
              <w:spacing w:after="20" w:before="20"/>
            </w:pPr>
            <w:r/>
          </w:p>
        </w:tc>
        <w:tc>
          <w:tcPr>
            <w:tcW w:type="dxa" w:w="964"/>
            <w:shd w:val="clear" w:color="auto" w:fill="FAFBFD"/>
          </w:tcPr>
          <w:p>
            <w:pPr>
              <w:spacing w:after="20" w:before="20"/>
            </w:pPr>
            <w:r/>
          </w:p>
        </w:tc>
      </w:tr>
      <w:tr>
        <w:trPr>
          <w:cantSplit/>
        </w:trPr>
        <w:tc>
          <w:tcPr>
            <w:tcW w:type="dxa" w:w="2120"/>
          </w:tcPr>
          <w:p>
            <w:pPr>
              <w:spacing w:after="20" w:before="20"/>
            </w:pPr>
            <w:r/>
            <w:r>
              <w:rPr>
                <w:rFonts w:ascii="Calibri" w:hAnsi="Calibri"/>
                <w:b/>
                <w:i w:val="0"/>
                <w:color w:val="334E68"/>
                <w:sz w:val="17"/>
              </w:rPr>
              <w:t>Technical reviewer — DBA</w:t>
            </w:r>
          </w:p>
        </w:tc>
        <w:tc>
          <w:tcPr>
            <w:tcW w:type="dxa" w:w="1542"/>
          </w:tcPr>
          <w:p>
            <w:pPr>
              <w:spacing w:after="20" w:before="20"/>
            </w:pPr>
            <w:r/>
          </w:p>
        </w:tc>
        <w:tc>
          <w:tcPr>
            <w:tcW w:type="dxa" w:w="3662"/>
          </w:tcPr>
          <w:p>
            <w:pPr>
              <w:spacing w:after="20" w:before="20"/>
            </w:pPr>
            <w:r/>
            <w:r>
              <w:rPr>
                <w:rFonts w:ascii="Calibri" w:hAnsi="Calibri"/>
                <w:b w:val="0"/>
                <w:i w:val="0"/>
                <w:color w:val="334E68"/>
                <w:sz w:val="17"/>
              </w:rPr>
              <w:t>Oracle Data Guard and HANA backup/recovery content</w:t>
            </w:r>
          </w:p>
        </w:tc>
        <w:tc>
          <w:tcPr>
            <w:tcW w:type="dxa" w:w="1349"/>
          </w:tcPr>
          <w:p>
            <w:pPr>
              <w:spacing w:after="20" w:before="20"/>
            </w:pPr>
            <w:r/>
          </w:p>
        </w:tc>
        <w:tc>
          <w:tcPr>
            <w:tcW w:type="dxa" w:w="964"/>
          </w:tcPr>
          <w:p>
            <w:pPr>
              <w:spacing w:after="20" w:before="20"/>
            </w:pPr>
            <w:r/>
          </w:p>
        </w:tc>
      </w:tr>
      <w:tr>
        <w:trPr>
          <w:cantSplit/>
        </w:trPr>
        <w:tc>
          <w:tcPr>
            <w:tcW w:type="dxa" w:w="2120"/>
            <w:shd w:val="clear" w:color="auto" w:fill="FAFBFD"/>
          </w:tcPr>
          <w:p>
            <w:pPr>
              <w:spacing w:after="20" w:before="20"/>
            </w:pPr>
            <w:r/>
            <w:r>
              <w:rPr>
                <w:rFonts w:ascii="Calibri" w:hAnsi="Calibri"/>
                <w:b/>
                <w:i w:val="0"/>
                <w:color w:val="334E68"/>
                <w:sz w:val="17"/>
              </w:rPr>
              <w:t>Programme / project manager</w:t>
            </w:r>
          </w:p>
        </w:tc>
        <w:tc>
          <w:tcPr>
            <w:tcW w:type="dxa" w:w="1542"/>
            <w:shd w:val="clear" w:color="auto" w:fill="FAFBFD"/>
          </w:tcPr>
          <w:p>
            <w:pPr>
              <w:spacing w:after="20" w:before="20"/>
            </w:pPr>
            <w:r/>
          </w:p>
        </w:tc>
        <w:tc>
          <w:tcPr>
            <w:tcW w:type="dxa" w:w="3662"/>
            <w:shd w:val="clear" w:color="auto" w:fill="FAFBFD"/>
          </w:tcPr>
          <w:p>
            <w:pPr>
              <w:spacing w:after="20" w:before="20"/>
            </w:pPr>
            <w:r/>
            <w:r>
              <w:rPr>
                <w:rFonts w:ascii="Calibri" w:hAnsi="Calibri"/>
                <w:b w:val="0"/>
                <w:i w:val="0"/>
                <w:color w:val="334E68"/>
                <w:sz w:val="17"/>
              </w:rPr>
              <w:t>Approval, distribution list, version control</w:t>
            </w:r>
          </w:p>
        </w:tc>
        <w:tc>
          <w:tcPr>
            <w:tcW w:type="dxa" w:w="1349"/>
            <w:shd w:val="clear" w:color="auto" w:fill="FAFBFD"/>
          </w:tcPr>
          <w:p>
            <w:pPr>
              <w:spacing w:after="20" w:before="20"/>
            </w:pPr>
            <w:r/>
          </w:p>
        </w:tc>
        <w:tc>
          <w:tcPr>
            <w:tcW w:type="dxa" w:w="964"/>
            <w:shd w:val="clear" w:color="auto" w:fill="FAFBFD"/>
          </w:tcPr>
          <w:p>
            <w:pPr>
              <w:spacing w:after="20" w:before="20"/>
            </w:pPr>
            <w:r/>
          </w:p>
        </w:tc>
      </w:tr>
      <w:tr>
        <w:trPr>
          <w:cantSplit/>
        </w:trPr>
        <w:tc>
          <w:tcPr>
            <w:tcW w:type="dxa" w:w="2120"/>
          </w:tcPr>
          <w:p>
            <w:pPr>
              <w:spacing w:after="20" w:before="20"/>
            </w:pPr>
            <w:r/>
            <w:r>
              <w:rPr>
                <w:rFonts w:ascii="Calibri" w:hAnsi="Calibri"/>
                <w:b/>
                <w:i w:val="0"/>
                <w:color w:val="334E68"/>
                <w:sz w:val="17"/>
              </w:rPr>
              <w:t>Client system owner (per SID)</w:t>
            </w:r>
          </w:p>
        </w:tc>
        <w:tc>
          <w:tcPr>
            <w:tcW w:type="dxa" w:w="1542"/>
          </w:tcPr>
          <w:p>
            <w:pPr>
              <w:spacing w:after="20" w:before="20"/>
            </w:pPr>
            <w:r/>
          </w:p>
        </w:tc>
        <w:tc>
          <w:tcPr>
            <w:tcW w:type="dxa" w:w="3662"/>
          </w:tcPr>
          <w:p>
            <w:pPr>
              <w:spacing w:after="20" w:before="20"/>
            </w:pPr>
            <w:r/>
            <w:r>
              <w:rPr>
                <w:rFonts w:ascii="Calibri" w:hAnsi="Calibri"/>
                <w:b w:val="0"/>
                <w:i w:val="0"/>
                <w:color w:val="334E68"/>
                <w:sz w:val="17"/>
              </w:rPr>
              <w:t>Confirmation that the material matches the approved landscape</w:t>
            </w:r>
          </w:p>
        </w:tc>
        <w:tc>
          <w:tcPr>
            <w:tcW w:type="dxa" w:w="1349"/>
          </w:tcPr>
          <w:p>
            <w:pPr>
              <w:spacing w:after="20" w:before="20"/>
            </w:pPr>
            <w:r/>
          </w:p>
        </w:tc>
        <w:tc>
          <w:tcPr>
            <w:tcW w:type="dxa" w:w="964"/>
          </w:tcPr>
          <w:p>
            <w:pPr>
              <w:spacing w:after="20" w:before="20"/>
            </w:pPr>
            <w:r/>
          </w:p>
        </w:tc>
      </w:tr>
    </w:tbl>
    <w:p>
      <w:pPr>
        <w:spacing w:after="40"/>
      </w:pPr>
    </w:p>
    <w:p>
      <w:pPr>
        <w:spacing w:after="60" w:before="160"/>
        <w:keepNext/>
      </w:pPr>
      <w:r>
        <w:rPr>
          <w:rFonts w:ascii="Calibri" w:hAnsi="Calibri"/>
          <w:b/>
          <w:color w:val="5B7288"/>
          <w:sz w:val="15"/>
        </w:rPr>
        <w:t>INTENDED DISTRIBUTION</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048"/>
        <w:gridCol w:w="5590"/>
      </w:tblGrid>
      <w:tr>
        <w:trPr>
          <w:tblHeader/>
          <w:cantSplit/>
        </w:trPr>
        <w:tc>
          <w:tcPr>
            <w:tcW w:type="dxa" w:w="4048"/>
            <w:shd w:val="clear" w:color="auto" w:fill="0F2B4C"/>
          </w:tcPr>
          <w:p>
            <w:pPr>
              <w:spacing w:after="20" w:before="20"/>
            </w:pPr>
            <w:r/>
            <w:r>
              <w:rPr>
                <w:rFonts w:ascii="Calibri" w:hAnsi="Calibri"/>
                <w:b/>
                <w:color w:val="FFFFFF"/>
                <w:sz w:val="17"/>
              </w:rPr>
              <w:t>Distribution</w:t>
            </w:r>
          </w:p>
        </w:tc>
        <w:tc>
          <w:tcPr>
            <w:tcW w:type="dxa" w:w="5590"/>
            <w:shd w:val="clear" w:color="auto" w:fill="0F2B4C"/>
          </w:tcPr>
          <w:p>
            <w:pPr>
              <w:spacing w:after="20" w:before="20"/>
            </w:pPr>
            <w:r/>
            <w:r>
              <w:rPr>
                <w:rFonts w:ascii="Calibri" w:hAnsi="Calibri"/>
                <w:b/>
                <w:color w:val="FFFFFF"/>
                <w:sz w:val="17"/>
              </w:rPr>
              <w:t>Purpose</w:t>
            </w:r>
          </w:p>
        </w:tc>
      </w:tr>
      <w:tr>
        <w:trPr>
          <w:cantSplit/>
        </w:trPr>
        <w:tc>
          <w:tcPr>
            <w:tcW w:type="dxa" w:w="4048"/>
          </w:tcPr>
          <w:p>
            <w:pPr>
              <w:spacing w:after="20" w:before="20"/>
            </w:pPr>
            <w:r/>
            <w:r>
              <w:rPr>
                <w:rFonts w:ascii="Calibri" w:hAnsi="Calibri"/>
                <w:b/>
                <w:i w:val="0"/>
                <w:color w:val="334E68"/>
                <w:sz w:val="17"/>
              </w:rPr>
              <w:t>Migration / Basis delivery team</w:t>
            </w:r>
          </w:p>
        </w:tc>
        <w:tc>
          <w:tcPr>
            <w:tcW w:type="dxa" w:w="5590"/>
          </w:tcPr>
          <w:p>
            <w:pPr>
              <w:spacing w:after="20" w:before="20"/>
            </w:pPr>
            <w:r/>
            <w:r>
              <w:rPr>
                <w:rFonts w:ascii="Calibri" w:hAnsi="Calibri"/>
                <w:b w:val="0"/>
                <w:i w:val="0"/>
                <w:color w:val="334E68"/>
                <w:sz w:val="17"/>
              </w:rPr>
              <w:t>Primary audience — training and execution reference</w:t>
            </w:r>
          </w:p>
        </w:tc>
      </w:tr>
      <w:tr>
        <w:trPr>
          <w:cantSplit/>
        </w:trPr>
        <w:tc>
          <w:tcPr>
            <w:tcW w:type="dxa" w:w="4048"/>
            <w:shd w:val="clear" w:color="auto" w:fill="FAFBFD"/>
          </w:tcPr>
          <w:p>
            <w:pPr>
              <w:spacing w:after="20" w:before="20"/>
            </w:pPr>
            <w:r/>
            <w:r>
              <w:rPr>
                <w:rFonts w:ascii="Calibri" w:hAnsi="Calibri"/>
                <w:b/>
                <w:i w:val="0"/>
                <w:color w:val="334E68"/>
                <w:sz w:val="17"/>
              </w:rPr>
              <w:t>DBA, Linux, network, security and automation teams</w:t>
            </w:r>
          </w:p>
        </w:tc>
        <w:tc>
          <w:tcPr>
            <w:tcW w:type="dxa" w:w="5590"/>
            <w:shd w:val="clear" w:color="auto" w:fill="FAFBFD"/>
          </w:tcPr>
          <w:p>
            <w:pPr>
              <w:spacing w:after="20" w:before="20"/>
            </w:pPr>
            <w:r/>
            <w:r>
              <w:rPr>
                <w:rFonts w:ascii="Calibri" w:hAnsi="Calibri"/>
                <w:b w:val="0"/>
                <w:i w:val="0"/>
                <w:color w:val="334E68"/>
                <w:sz w:val="17"/>
              </w:rPr>
              <w:t>Interface and responsibility clarity</w:t>
            </w:r>
          </w:p>
        </w:tc>
      </w:tr>
      <w:tr>
        <w:trPr>
          <w:cantSplit/>
        </w:trPr>
        <w:tc>
          <w:tcPr>
            <w:tcW w:type="dxa" w:w="4048"/>
          </w:tcPr>
          <w:p>
            <w:pPr>
              <w:spacing w:after="20" w:before="20"/>
            </w:pPr>
            <w:r/>
            <w:r>
              <w:rPr>
                <w:rFonts w:ascii="Calibri" w:hAnsi="Calibri"/>
                <w:b/>
                <w:i w:val="0"/>
                <w:color w:val="334E68"/>
                <w:sz w:val="17"/>
              </w:rPr>
              <w:t>Application / functional leads</w:t>
            </w:r>
          </w:p>
        </w:tc>
        <w:tc>
          <w:tcPr>
            <w:tcW w:type="dxa" w:w="5590"/>
          </w:tcPr>
          <w:p>
            <w:pPr>
              <w:spacing w:after="20" w:before="20"/>
            </w:pPr>
            <w:r/>
            <w:r>
              <w:rPr>
                <w:rFonts w:ascii="Calibri" w:hAnsi="Calibri"/>
                <w:b w:val="0"/>
                <w:i w:val="0"/>
                <w:color w:val="334E68"/>
                <w:sz w:val="17"/>
              </w:rPr>
              <w:t>Validation and Go/No-Go participation</w:t>
            </w:r>
          </w:p>
        </w:tc>
      </w:tr>
      <w:tr>
        <w:trPr>
          <w:cantSplit/>
        </w:trPr>
        <w:tc>
          <w:tcPr>
            <w:tcW w:type="dxa" w:w="4048"/>
            <w:shd w:val="clear" w:color="auto" w:fill="FAFBFD"/>
          </w:tcPr>
          <w:p>
            <w:pPr>
              <w:spacing w:after="20" w:before="20"/>
            </w:pPr>
            <w:r/>
            <w:r>
              <w:rPr>
                <w:rFonts w:ascii="Calibri" w:hAnsi="Calibri"/>
                <w:b/>
                <w:i w:val="0"/>
                <w:color w:val="334E68"/>
                <w:sz w:val="17"/>
              </w:rPr>
              <w:t>PMO and stakeholders</w:t>
            </w:r>
          </w:p>
        </w:tc>
        <w:tc>
          <w:tcPr>
            <w:tcW w:type="dxa" w:w="5590"/>
            <w:shd w:val="clear" w:color="auto" w:fill="FAFBFD"/>
          </w:tcPr>
          <w:p>
            <w:pPr>
              <w:spacing w:after="20" w:before="20"/>
            </w:pPr>
            <w:r/>
            <w:r>
              <w:rPr>
                <w:rFonts w:ascii="Calibri" w:hAnsi="Calibri"/>
                <w:b w:val="0"/>
                <w:i w:val="0"/>
                <w:color w:val="334E68"/>
                <w:sz w:val="17"/>
              </w:rPr>
              <w:t>Governance, approvals and hypercare oversight</w:t>
            </w:r>
          </w:p>
        </w:tc>
      </w:tr>
      <w:tr>
        <w:trPr>
          <w:cantSplit/>
        </w:trPr>
        <w:tc>
          <w:tcPr>
            <w:tcW w:type="dxa" w:w="4048"/>
          </w:tcPr>
          <w:p>
            <w:pPr>
              <w:spacing w:after="20" w:before="20"/>
            </w:pPr>
            <w:r/>
            <w:r>
              <w:rPr>
                <w:rFonts w:ascii="Calibri" w:hAnsi="Calibri"/>
                <w:b/>
                <w:i w:val="0"/>
                <w:color w:val="334E68"/>
                <w:sz w:val="17"/>
              </w:rPr>
              <w:t>New joiners to the programme</w:t>
            </w:r>
          </w:p>
        </w:tc>
        <w:tc>
          <w:tcPr>
            <w:tcW w:type="dxa" w:w="5590"/>
          </w:tcPr>
          <w:p>
            <w:pPr>
              <w:spacing w:after="20" w:before="20"/>
            </w:pPr>
            <w:r/>
            <w:r>
              <w:rPr>
                <w:rFonts w:ascii="Calibri" w:hAnsi="Calibri"/>
                <w:b w:val="0"/>
                <w:i w:val="0"/>
                <w:color w:val="334E68"/>
                <w:sz w:val="17"/>
              </w:rPr>
              <w:t>Onboarding and knowledge transfer</w:t>
            </w:r>
          </w:p>
        </w:tc>
      </w:tr>
    </w:tbl>
    <w:p>
      <w:pPr>
        <w:spacing w:after="40"/>
      </w:pP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DISCLAIMER</w:t>
      </w:r>
    </w:p>
    <w:p>
      <w:pPr>
        <w:spacing w:after="120"/>
        <w:ind w:left="170"/>
        <w:shd w:val="clear" w:color="auto" w:fill="F4F7FB"/>
        <w:pBdr>
          <w:left w:val="single" w:sz="6" w:space="6" w:color="0F2B4C"/>
          <w:right w:val="single" w:sz="6" w:space="6" w:color="0F2B4C"/>
        </w:pBdr>
      </w:pPr>
      <w:r>
        <w:rPr>
          <w:rFonts w:ascii="Calibri" w:hAnsi="Calibri"/>
          <w:b w:val="0"/>
          <w:i w:val="0"/>
          <w:color w:val="334E68"/>
          <w:sz w:val="18"/>
        </w:rPr>
        <w:t>SAP, SAP HANA, ABAP, NetWeaver and the transaction codes referenced here are trademarks of SAP SE. AWS, Amazon S3, Amazon EFS, Route 53 and EC2 are trademarks of Amazon.com, Inc. or its affiliates. Oracle is a trademark of Oracle Corporation. Other product names (Control-M, NetBackup, Chef, ServiceNow, webMethods, MuleSoft) belong to their respective owners.</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This handbook is internal training material. It carries no warranty for production use, and every technical value it quotes must be validated against the applicable vendor documentation, SAP Note, and the customer's approved design before being applied to a live system.</w:t>
      </w:r>
    </w:p>
    <w:p>
      <w:r>
        <w:br w:type="page"/>
      </w:r>
    </w:p>
    <w:p>
      <w:pPr>
        <w:spacing w:after="20"/>
      </w:pPr>
      <w:r>
        <w:rPr>
          <w:rFonts w:ascii="Calibri" w:hAnsi="Calibri"/>
          <w:b/>
          <w:color w:val="1B4F86"/>
          <w:sz w:val="16"/>
        </w:rPr>
        <w:t>FRONT MATTER</w:t>
      </w:r>
    </w:p>
    <w:p>
      <w:pPr>
        <w:pStyle w:val="Heading1"/>
        <w:pBdr>
          <w:bottom w:val="single" w:sz="12" w:space="5" w:color="1B4F86"/>
        </w:pBdr>
        <w:spacing w:after="160"/>
      </w:pPr>
      <w:r>
        <w:rPr>
          <w:rFonts w:ascii="Calibri Light" w:hAnsi="Calibri Light"/>
          <w:b/>
          <w:color w:val="0F2B4C"/>
          <w:sz w:val="38"/>
        </w:rPr>
        <w:t>Contents and figure index</w:t>
      </w:r>
    </w:p>
    <w:p>
      <w:pPr>
        <w:pStyle w:val="Heading2"/>
        <w:pBdr>
          <w:bottom w:val="single" w:sz="6" w:space="3" w:color="E8EDF3"/>
        </w:pBdr>
      </w:pPr>
      <w:r>
        <w:rPr>
          <w:rFonts w:ascii="Calibri" w:hAnsi="Calibri"/>
          <w:b/>
          <w:color w:val="0F2B4C"/>
          <w:sz w:val="26"/>
        </w:rPr>
        <w:t>Figures</w:t>
      </w:r>
    </w:p>
    <w:p>
      <w:pPr>
        <w:spacing w:after="60" w:before="160"/>
        <w:keepNext/>
      </w:pPr>
      <w:r>
        <w:rPr>
          <w:rFonts w:ascii="Calibri" w:hAnsi="Calibri"/>
          <w:b/>
          <w:color w:val="5B7288"/>
          <w:sz w:val="15"/>
        </w:rPr>
        <w:t>FIGURE INDEX</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578"/>
        <w:gridCol w:w="7132"/>
        <w:gridCol w:w="1928"/>
      </w:tblGrid>
      <w:tr>
        <w:trPr>
          <w:tblHeader/>
          <w:cantSplit/>
        </w:trPr>
        <w:tc>
          <w:tcPr>
            <w:tcW w:type="dxa" w:w="578"/>
            <w:shd w:val="clear" w:color="auto" w:fill="0F2B4C"/>
          </w:tcPr>
          <w:p>
            <w:pPr>
              <w:spacing w:after="20" w:before="20"/>
            </w:pPr>
            <w:r/>
            <w:r>
              <w:rPr>
                <w:rFonts w:ascii="Calibri" w:hAnsi="Calibri"/>
                <w:b/>
                <w:color w:val="FFFFFF"/>
                <w:sz w:val="17"/>
              </w:rPr>
              <w:t>#</w:t>
            </w:r>
          </w:p>
        </w:tc>
        <w:tc>
          <w:tcPr>
            <w:tcW w:type="dxa" w:w="7132"/>
            <w:shd w:val="clear" w:color="auto" w:fill="0F2B4C"/>
          </w:tcPr>
          <w:p>
            <w:pPr>
              <w:spacing w:after="20" w:before="20"/>
            </w:pPr>
            <w:r/>
            <w:r>
              <w:rPr>
                <w:rFonts w:ascii="Calibri" w:hAnsi="Calibri"/>
                <w:b/>
                <w:color w:val="FFFFFF"/>
                <w:sz w:val="17"/>
              </w:rPr>
              <w:t>Figure</w:t>
            </w:r>
          </w:p>
        </w:tc>
        <w:tc>
          <w:tcPr>
            <w:tcW w:type="dxa" w:w="1928"/>
            <w:shd w:val="clear" w:color="auto" w:fill="0F2B4C"/>
          </w:tcPr>
          <w:p>
            <w:pPr>
              <w:spacing w:after="20" w:before="20"/>
            </w:pPr>
            <w:r/>
            <w:r>
              <w:rPr>
                <w:rFonts w:ascii="Calibri" w:hAnsi="Calibri"/>
                <w:b/>
                <w:color w:val="FFFFFF"/>
                <w:sz w:val="17"/>
              </w:rPr>
              <w:t>Section</w:t>
            </w:r>
          </w:p>
        </w:tc>
      </w:tr>
      <w:tr>
        <w:trPr>
          <w:cantSplit/>
        </w:trPr>
        <w:tc>
          <w:tcPr>
            <w:tcW w:type="dxa" w:w="578"/>
          </w:tcPr>
          <w:p>
            <w:pPr>
              <w:spacing w:after="20" w:before="20"/>
            </w:pPr>
            <w:r/>
            <w:r>
              <w:rPr>
                <w:rFonts w:ascii="Calibri" w:hAnsi="Calibri"/>
                <w:b/>
                <w:i w:val="0"/>
                <w:color w:val="334E68"/>
                <w:sz w:val="17"/>
              </w:rPr>
              <w:t>1</w:t>
            </w:r>
          </w:p>
        </w:tc>
        <w:tc>
          <w:tcPr>
            <w:tcW w:type="dxa" w:w="7132"/>
          </w:tcPr>
          <w:p>
            <w:pPr>
              <w:spacing w:after="20" w:before="20"/>
            </w:pPr>
            <w:r/>
            <w:r>
              <w:rPr>
                <w:rFonts w:ascii="Calibri" w:hAnsi="Calibri"/>
                <w:b w:val="0"/>
                <w:i w:val="0"/>
                <w:color w:val="1B4F86"/>
                <w:sz w:val="17"/>
              </w:rPr>
              <w:t>End-to-end SAP-to-AWS migration lifecycle</w:t>
            </w:r>
          </w:p>
        </w:tc>
        <w:tc>
          <w:tcPr>
            <w:tcW w:type="dxa" w:w="1928"/>
          </w:tcPr>
          <w:p>
            <w:pPr>
              <w:spacing w:after="20" w:before="20"/>
            </w:pPr>
            <w:r/>
            <w:r>
              <w:rPr>
                <w:rFonts w:ascii="Calibri" w:hAnsi="Calibri"/>
                <w:b w:val="0"/>
                <w:i w:val="0"/>
                <w:color w:val="334E68"/>
                <w:sz w:val="17"/>
              </w:rPr>
              <w:t>3</w:t>
            </w:r>
          </w:p>
        </w:tc>
      </w:tr>
      <w:tr>
        <w:trPr>
          <w:cantSplit/>
        </w:trPr>
        <w:tc>
          <w:tcPr>
            <w:tcW w:type="dxa" w:w="578"/>
            <w:shd w:val="clear" w:color="auto" w:fill="FAFBFD"/>
          </w:tcPr>
          <w:p>
            <w:pPr>
              <w:spacing w:after="20" w:before="20"/>
            </w:pPr>
            <w:r/>
            <w:r>
              <w:rPr>
                <w:rFonts w:ascii="Calibri" w:hAnsi="Calibri"/>
                <w:b/>
                <w:i w:val="0"/>
                <w:color w:val="334E68"/>
                <w:sz w:val="17"/>
              </w:rPr>
              <w:t>2</w:t>
            </w:r>
          </w:p>
        </w:tc>
        <w:tc>
          <w:tcPr>
            <w:tcW w:type="dxa" w:w="7132"/>
            <w:shd w:val="clear" w:color="auto" w:fill="FAFBFD"/>
          </w:tcPr>
          <w:p>
            <w:pPr>
              <w:spacing w:after="20" w:before="20"/>
            </w:pPr>
            <w:r/>
            <w:r>
              <w:rPr>
                <w:rFonts w:ascii="Calibri" w:hAnsi="Calibri"/>
                <w:b w:val="0"/>
                <w:i w:val="0"/>
                <w:color w:val="1B4F86"/>
                <w:sz w:val="17"/>
              </w:rPr>
              <w:t>Responsibility split across the migration lifecycle</w:t>
            </w:r>
          </w:p>
        </w:tc>
        <w:tc>
          <w:tcPr>
            <w:tcW w:type="dxa" w:w="1928"/>
            <w:shd w:val="clear" w:color="auto" w:fill="FAFBFD"/>
          </w:tcPr>
          <w:p>
            <w:pPr>
              <w:spacing w:after="20" w:before="20"/>
            </w:pPr>
            <w:r/>
            <w:r>
              <w:rPr>
                <w:rFonts w:ascii="Calibri" w:hAnsi="Calibri"/>
                <w:b w:val="0"/>
                <w:i w:val="0"/>
                <w:color w:val="334E68"/>
                <w:sz w:val="17"/>
              </w:rPr>
              <w:t>5.4</w:t>
            </w:r>
          </w:p>
        </w:tc>
      </w:tr>
      <w:tr>
        <w:trPr>
          <w:cantSplit/>
        </w:trPr>
        <w:tc>
          <w:tcPr>
            <w:tcW w:type="dxa" w:w="578"/>
          </w:tcPr>
          <w:p>
            <w:pPr>
              <w:spacing w:after="20" w:before="20"/>
            </w:pPr>
            <w:r/>
            <w:r>
              <w:rPr>
                <w:rFonts w:ascii="Calibri" w:hAnsi="Calibri"/>
                <w:b/>
                <w:i w:val="0"/>
                <w:color w:val="334E68"/>
                <w:sz w:val="17"/>
              </w:rPr>
              <w:t>3</w:t>
            </w:r>
          </w:p>
        </w:tc>
        <w:tc>
          <w:tcPr>
            <w:tcW w:type="dxa" w:w="7132"/>
          </w:tcPr>
          <w:p>
            <w:pPr>
              <w:spacing w:after="20" w:before="20"/>
            </w:pPr>
            <w:r/>
            <w:r>
              <w:rPr>
                <w:rFonts w:ascii="Calibri" w:hAnsi="Calibri"/>
                <w:b w:val="0"/>
                <w:i w:val="0"/>
                <w:color w:val="1B4F86"/>
                <w:sz w:val="17"/>
              </w:rPr>
              <w:t>Target AWS reference architecture</w:t>
            </w:r>
          </w:p>
        </w:tc>
        <w:tc>
          <w:tcPr>
            <w:tcW w:type="dxa" w:w="1928"/>
          </w:tcPr>
          <w:p>
            <w:pPr>
              <w:spacing w:after="20" w:before="20"/>
            </w:pPr>
            <w:r/>
            <w:r>
              <w:rPr>
                <w:rFonts w:ascii="Calibri" w:hAnsi="Calibri"/>
                <w:b w:val="0"/>
                <w:i w:val="0"/>
                <w:color w:val="334E68"/>
                <w:sz w:val="17"/>
              </w:rPr>
              <w:t>5.1</w:t>
            </w:r>
          </w:p>
        </w:tc>
      </w:tr>
      <w:tr>
        <w:trPr>
          <w:cantSplit/>
        </w:trPr>
        <w:tc>
          <w:tcPr>
            <w:tcW w:type="dxa" w:w="578"/>
            <w:shd w:val="clear" w:color="auto" w:fill="FAFBFD"/>
          </w:tcPr>
          <w:p>
            <w:pPr>
              <w:spacing w:after="20" w:before="20"/>
            </w:pPr>
            <w:r/>
            <w:r>
              <w:rPr>
                <w:rFonts w:ascii="Calibri" w:hAnsi="Calibri"/>
                <w:b/>
                <w:i w:val="0"/>
                <w:color w:val="334E68"/>
                <w:sz w:val="17"/>
              </w:rPr>
              <w:t>4</w:t>
            </w:r>
          </w:p>
        </w:tc>
        <w:tc>
          <w:tcPr>
            <w:tcW w:type="dxa" w:w="7132"/>
            <w:shd w:val="clear" w:color="auto" w:fill="FAFBFD"/>
          </w:tcPr>
          <w:p>
            <w:pPr>
              <w:spacing w:after="20" w:before="20"/>
            </w:pPr>
            <w:r/>
            <w:r>
              <w:rPr>
                <w:rFonts w:ascii="Calibri" w:hAnsi="Calibri"/>
                <w:b w:val="0"/>
                <w:i w:val="0"/>
                <w:color w:val="1B4F86"/>
                <w:sz w:val="17"/>
              </w:rPr>
              <w:t>HANA MDC architecture, S3 backup backend and recovery flow</w:t>
            </w:r>
          </w:p>
        </w:tc>
        <w:tc>
          <w:tcPr>
            <w:tcW w:type="dxa" w:w="1928"/>
            <w:shd w:val="clear" w:color="auto" w:fill="FAFBFD"/>
          </w:tcPr>
          <w:p>
            <w:pPr>
              <w:spacing w:after="20" w:before="20"/>
            </w:pPr>
            <w:r/>
            <w:r>
              <w:rPr>
                <w:rFonts w:ascii="Calibri" w:hAnsi="Calibri"/>
                <w:b w:val="0"/>
                <w:i w:val="0"/>
                <w:color w:val="334E68"/>
                <w:sz w:val="17"/>
              </w:rPr>
              <w:t>6</w:t>
            </w:r>
          </w:p>
        </w:tc>
      </w:tr>
      <w:tr>
        <w:trPr>
          <w:cantSplit/>
        </w:trPr>
        <w:tc>
          <w:tcPr>
            <w:tcW w:type="dxa" w:w="578"/>
          </w:tcPr>
          <w:p>
            <w:pPr>
              <w:spacing w:after="20" w:before="20"/>
            </w:pPr>
            <w:r/>
            <w:r>
              <w:rPr>
                <w:rFonts w:ascii="Calibri" w:hAnsi="Calibri"/>
                <w:b/>
                <w:i w:val="0"/>
                <w:color w:val="334E68"/>
                <w:sz w:val="17"/>
              </w:rPr>
              <w:t>5</w:t>
            </w:r>
          </w:p>
        </w:tc>
        <w:tc>
          <w:tcPr>
            <w:tcW w:type="dxa" w:w="7132"/>
          </w:tcPr>
          <w:p>
            <w:pPr>
              <w:spacing w:after="20" w:before="20"/>
            </w:pPr>
            <w:r/>
            <w:r>
              <w:rPr>
                <w:rFonts w:ascii="Calibri" w:hAnsi="Calibri"/>
                <w:b w:val="0"/>
                <w:i w:val="0"/>
                <w:color w:val="1B4F86"/>
                <w:sz w:val="17"/>
              </w:rPr>
              <w:t>Oracle Data Guard switchover, SCN synchronisation and rollback</w:t>
            </w:r>
          </w:p>
        </w:tc>
        <w:tc>
          <w:tcPr>
            <w:tcW w:type="dxa" w:w="1928"/>
          </w:tcPr>
          <w:p>
            <w:pPr>
              <w:spacing w:after="20" w:before="20"/>
            </w:pPr>
            <w:r/>
            <w:r>
              <w:rPr>
                <w:rFonts w:ascii="Calibri" w:hAnsi="Calibri"/>
                <w:b w:val="0"/>
                <w:i w:val="0"/>
                <w:color w:val="334E68"/>
                <w:sz w:val="17"/>
              </w:rPr>
              <w:t>9</w:t>
            </w:r>
          </w:p>
        </w:tc>
      </w:tr>
      <w:tr>
        <w:trPr>
          <w:cantSplit/>
        </w:trPr>
        <w:tc>
          <w:tcPr>
            <w:tcW w:type="dxa" w:w="578"/>
            <w:shd w:val="clear" w:color="auto" w:fill="FAFBFD"/>
          </w:tcPr>
          <w:p>
            <w:pPr>
              <w:spacing w:after="20" w:before="20"/>
            </w:pPr>
            <w:r/>
            <w:r>
              <w:rPr>
                <w:rFonts w:ascii="Calibri" w:hAnsi="Calibri"/>
                <w:b/>
                <w:i w:val="0"/>
                <w:color w:val="334E68"/>
                <w:sz w:val="17"/>
              </w:rPr>
              <w:t>6</w:t>
            </w:r>
          </w:p>
        </w:tc>
        <w:tc>
          <w:tcPr>
            <w:tcW w:type="dxa" w:w="7132"/>
            <w:shd w:val="clear" w:color="auto" w:fill="FAFBFD"/>
          </w:tcPr>
          <w:p>
            <w:pPr>
              <w:spacing w:after="20" w:before="20"/>
            </w:pPr>
            <w:r/>
            <w:r>
              <w:rPr>
                <w:rFonts w:ascii="Calibri" w:hAnsi="Calibri"/>
                <w:b w:val="0"/>
                <w:i w:val="0"/>
                <w:color w:val="1B4F86"/>
                <w:sz w:val="17"/>
              </w:rPr>
              <w:t>Cutover execution sequence with Go/No-Go and rollback</w:t>
            </w:r>
          </w:p>
        </w:tc>
        <w:tc>
          <w:tcPr>
            <w:tcW w:type="dxa" w:w="1928"/>
            <w:shd w:val="clear" w:color="auto" w:fill="FAFBFD"/>
          </w:tcPr>
          <w:p>
            <w:pPr>
              <w:spacing w:after="20" w:before="20"/>
            </w:pPr>
            <w:r/>
            <w:r>
              <w:rPr>
                <w:rFonts w:ascii="Calibri" w:hAnsi="Calibri"/>
                <w:b w:val="0"/>
                <w:i w:val="0"/>
                <w:color w:val="334E68"/>
                <w:sz w:val="17"/>
              </w:rPr>
              <w:t>10</w:t>
            </w:r>
          </w:p>
        </w:tc>
      </w:tr>
      <w:tr>
        <w:trPr>
          <w:cantSplit/>
        </w:trPr>
        <w:tc>
          <w:tcPr>
            <w:tcW w:type="dxa" w:w="578"/>
          </w:tcPr>
          <w:p>
            <w:pPr>
              <w:spacing w:after="20" w:before="20"/>
            </w:pPr>
            <w:r/>
            <w:r>
              <w:rPr>
                <w:rFonts w:ascii="Calibri" w:hAnsi="Calibri"/>
                <w:b/>
                <w:i w:val="0"/>
                <w:color w:val="334E68"/>
                <w:sz w:val="17"/>
              </w:rPr>
              <w:t>7</w:t>
            </w:r>
          </w:p>
        </w:tc>
        <w:tc>
          <w:tcPr>
            <w:tcW w:type="dxa" w:w="7132"/>
          </w:tcPr>
          <w:p>
            <w:pPr>
              <w:spacing w:after="20" w:before="20"/>
            </w:pPr>
            <w:r/>
            <w:r>
              <w:rPr>
                <w:rFonts w:ascii="Calibri" w:hAnsi="Calibri"/>
                <w:b w:val="0"/>
                <w:i w:val="0"/>
                <w:color w:val="1B4F86"/>
                <w:sz w:val="17"/>
              </w:rPr>
              <w:t>Performance monitoring, memory escalation and troubleshooting path</w:t>
            </w:r>
          </w:p>
        </w:tc>
        <w:tc>
          <w:tcPr>
            <w:tcW w:type="dxa" w:w="1928"/>
          </w:tcPr>
          <w:p>
            <w:pPr>
              <w:spacing w:after="20" w:before="20"/>
            </w:pPr>
            <w:r/>
            <w:r>
              <w:rPr>
                <w:rFonts w:ascii="Calibri" w:hAnsi="Calibri"/>
                <w:b w:val="0"/>
                <w:i w:val="0"/>
                <w:color w:val="334E68"/>
                <w:sz w:val="17"/>
              </w:rPr>
              <w:t>8</w:t>
            </w:r>
          </w:p>
        </w:tc>
      </w:tr>
      <w:tr>
        <w:trPr>
          <w:cantSplit/>
        </w:trPr>
        <w:tc>
          <w:tcPr>
            <w:tcW w:type="dxa" w:w="578"/>
            <w:shd w:val="clear" w:color="auto" w:fill="FAFBFD"/>
          </w:tcPr>
          <w:p>
            <w:pPr>
              <w:spacing w:after="20" w:before="20"/>
            </w:pPr>
            <w:r/>
            <w:r>
              <w:rPr>
                <w:rFonts w:ascii="Calibri" w:hAnsi="Calibri"/>
                <w:b/>
                <w:i w:val="0"/>
                <w:color w:val="334E68"/>
                <w:sz w:val="17"/>
              </w:rPr>
              <w:t>8</w:t>
            </w:r>
          </w:p>
        </w:tc>
        <w:tc>
          <w:tcPr>
            <w:tcW w:type="dxa" w:w="7132"/>
            <w:shd w:val="clear" w:color="auto" w:fill="FAFBFD"/>
          </w:tcPr>
          <w:p>
            <w:pPr>
              <w:spacing w:after="20" w:before="20"/>
            </w:pPr>
            <w:r/>
            <w:r>
              <w:rPr>
                <w:rFonts w:ascii="Calibri" w:hAnsi="Calibri"/>
                <w:b w:val="0"/>
                <w:i w:val="0"/>
                <w:color w:val="1B4F86"/>
                <w:sz w:val="17"/>
              </w:rPr>
              <w:t>Evidence lifecycle</w:t>
            </w:r>
          </w:p>
        </w:tc>
        <w:tc>
          <w:tcPr>
            <w:tcW w:type="dxa" w:w="1928"/>
            <w:shd w:val="clear" w:color="auto" w:fill="FAFBFD"/>
          </w:tcPr>
          <w:p>
            <w:pPr>
              <w:spacing w:after="20" w:before="20"/>
            </w:pPr>
            <w:r/>
            <w:r>
              <w:rPr>
                <w:rFonts w:ascii="Calibri" w:hAnsi="Calibri"/>
                <w:b w:val="0"/>
                <w:i w:val="0"/>
                <w:color w:val="334E68"/>
                <w:sz w:val="17"/>
              </w:rPr>
              <w:t>13</w:t>
            </w:r>
          </w:p>
        </w:tc>
      </w:tr>
    </w:tbl>
    <w:p>
      <w:pPr>
        <w:spacing w:after="40"/>
      </w:pPr>
    </w:p>
    <w:p>
      <w:r>
        <w:br w:type="page"/>
      </w:r>
    </w:p>
    <w:p>
      <w:pPr>
        <w:spacing w:after="20"/>
      </w:pPr>
      <w:r>
        <w:rPr>
          <w:rFonts w:ascii="Calibri" w:hAnsi="Calibri"/>
          <w:b/>
          <w:color w:val="1B4F86"/>
          <w:sz w:val="16"/>
        </w:rPr>
        <w:t>SECTION 1</w:t>
      </w:r>
    </w:p>
    <w:p>
      <w:pPr>
        <w:pStyle w:val="Heading1"/>
        <w:pBdr>
          <w:bottom w:val="single" w:sz="12" w:space="5" w:color="1B4F86"/>
        </w:pBdr>
        <w:spacing w:after="160"/>
      </w:pPr>
      <w:r>
        <w:rPr>
          <w:rFonts w:ascii="Calibri Light" w:hAnsi="Calibri Light"/>
          <w:b/>
          <w:color w:val="0F2B4C"/>
          <w:sz w:val="38"/>
        </w:rPr>
        <w:t>1  Executive training overview</w:t>
      </w:r>
    </w:p>
    <w:p>
      <w:pPr>
        <w:spacing w:after="200"/>
      </w:pPr>
      <w:r>
        <w:rPr>
          <w:rFonts w:ascii="Calibri" w:hAnsi="Calibri"/>
          <w:i/>
          <w:color w:val="5B7288"/>
          <w:sz w:val="21"/>
        </w:rPr>
        <w:t>The consolidated training focused on the practical execution of SAP migration activities, with emphasis on moving SAP workloads to AWS and validating the target environment. Sessions covered discovery, source baselining, sizing, architecture, AWS infrastructure readiness, SAP/HANA and Oracle considerations, post-migration validation, monitoring, troubleshooting, cutover, rollback, go-live and hypercare.</w:t>
      </w:r>
    </w:p>
    <w:p>
      <w:pPr>
        <w:spacing w:before="100" w:after="20"/>
        <w:shd w:val="clear" w:color="auto" w:fill="F4F7FB"/>
        <w:pBdr>
          <w:left w:val="single" w:sz="18" w:space="6" w:color="1B4F86"/>
        </w:pBdr>
      </w:pPr>
      <w:r>
        <w:rPr>
          <w:rFonts w:ascii="Calibri" w:hAnsi="Calibri"/>
          <w:b/>
          <w:color w:val="0F2B4C"/>
          <w:sz w:val="26"/>
        </w:rPr>
        <w:t>lifecycle stages</w:t>
      </w:r>
      <w:r>
        <w:rPr>
          <w:rFonts w:ascii="Calibri" w:hAnsi="Calibri"/>
          <w:b/>
          <w:color w:val="5B7288"/>
          <w:sz w:val="16"/>
        </w:rPr>
        <w:t xml:space="preserve">   10</w:t>
      </w:r>
    </w:p>
    <w:p>
      <w:pPr>
        <w:shd w:val="clear" w:color="auto" w:fill="F4F7FB"/>
        <w:pBdr>
          <w:left w:val="single" w:sz="18" w:space="6" w:color="1B4F86"/>
        </w:pBdr>
        <w:spacing w:after="80"/>
      </w:pPr>
      <w:r>
        <w:rPr>
          <w:rFonts w:ascii="Calibri" w:hAnsi="Calibri"/>
          <w:color w:val="5B7288"/>
          <w:sz w:val="17"/>
        </w:rPr>
        <w:t>Scope through to hypercare, each with entry and exit criteria</w:t>
      </w:r>
    </w:p>
    <w:p>
      <w:pPr>
        <w:spacing w:before="100" w:after="20"/>
        <w:shd w:val="clear" w:color="auto" w:fill="F4F7FB"/>
        <w:pBdr>
          <w:left w:val="single" w:sz="18" w:space="6" w:color="1B4F86"/>
        </w:pBdr>
      </w:pPr>
      <w:r>
        <w:rPr>
          <w:rFonts w:ascii="Calibri" w:hAnsi="Calibri"/>
          <w:b/>
          <w:color w:val="0F2B4C"/>
          <w:sz w:val="26"/>
        </w:rPr>
        <w:t>vector figures</w:t>
      </w:r>
      <w:r>
        <w:rPr>
          <w:rFonts w:ascii="Calibri" w:hAnsi="Calibri"/>
          <w:b/>
          <w:color w:val="5B7288"/>
          <w:sz w:val="16"/>
        </w:rPr>
        <w:t xml:space="preserve">   8</w:t>
      </w:r>
    </w:p>
    <w:p>
      <w:pPr>
        <w:shd w:val="clear" w:color="auto" w:fill="F4F7FB"/>
        <w:pBdr>
          <w:left w:val="single" w:sz="18" w:space="6" w:color="1B4F86"/>
        </w:pBdr>
        <w:spacing w:after="80"/>
      </w:pPr>
      <w:r>
        <w:rPr>
          <w:rFonts w:ascii="Calibri" w:hAnsi="Calibri"/>
          <w:color w:val="5B7288"/>
          <w:sz w:val="17"/>
        </w:rPr>
        <w:t>Architecture, flows, decision gates and troubleshooting paths</w:t>
      </w:r>
    </w:p>
    <w:p>
      <w:pPr>
        <w:spacing w:before="100" w:after="20"/>
        <w:shd w:val="clear" w:color="auto" w:fill="F4F7FB"/>
        <w:pBdr>
          <w:left w:val="single" w:sz="18" w:space="6" w:color="1B4F86"/>
        </w:pBdr>
      </w:pPr>
      <w:r>
        <w:rPr>
          <w:rFonts w:ascii="Calibri" w:hAnsi="Calibri"/>
          <w:b/>
          <w:color w:val="0F2B4C"/>
          <w:sz w:val="26"/>
        </w:rPr>
        <w:t>live checklists</w:t>
      </w:r>
      <w:r>
        <w:rPr>
          <w:rFonts w:ascii="Calibri" w:hAnsi="Calibri"/>
          <w:b/>
          <w:color w:val="5B7288"/>
          <w:sz w:val="16"/>
        </w:rPr>
        <w:t xml:space="preserve">   5</w:t>
      </w:r>
    </w:p>
    <w:p>
      <w:pPr>
        <w:shd w:val="clear" w:color="auto" w:fill="F4F7FB"/>
        <w:pBdr>
          <w:left w:val="single" w:sz="18" w:space="6" w:color="1B4F86"/>
        </w:pBdr>
        <w:spacing w:after="80"/>
      </w:pPr>
      <w:r>
        <w:rPr>
          <w:rFonts w:ascii="Calibri" w:hAnsi="Calibri"/>
          <w:color w:val="5B7288"/>
          <w:sz w:val="17"/>
        </w:rPr>
        <w:t>OS, SAP, database, performance and cutover readiness</w:t>
      </w:r>
    </w:p>
    <w:p>
      <w:pPr>
        <w:spacing w:before="100" w:after="20"/>
        <w:shd w:val="clear" w:color="auto" w:fill="F4F7FB"/>
        <w:pBdr>
          <w:left w:val="single" w:sz="18" w:space="6" w:color="1B4F86"/>
        </w:pBdr>
      </w:pPr>
      <w:r>
        <w:rPr>
          <w:rFonts w:ascii="Calibri" w:hAnsi="Calibri"/>
          <w:b/>
          <w:color w:val="0F2B4C"/>
          <w:sz w:val="26"/>
        </w:rPr>
        <w:t>days of hypercare</w:t>
      </w:r>
      <w:r>
        <w:rPr>
          <w:rFonts w:ascii="Calibri" w:hAnsi="Calibri"/>
          <w:b/>
          <w:color w:val="5B7288"/>
          <w:sz w:val="16"/>
        </w:rPr>
        <w:t xml:space="preserve">   15</w:t>
      </w:r>
    </w:p>
    <w:p>
      <w:pPr>
        <w:shd w:val="clear" w:color="auto" w:fill="F4F7FB"/>
        <w:pBdr>
          <w:left w:val="single" w:sz="18" w:space="6" w:color="1B4F86"/>
        </w:pBdr>
        <w:spacing w:after="80"/>
      </w:pPr>
      <w:r>
        <w:rPr>
          <w:rFonts w:ascii="Calibri" w:hAnsi="Calibri"/>
          <w:color w:val="5B7288"/>
          <w:sz w:val="17"/>
        </w:rPr>
        <w:t>Stated post-go-live support period in the source training</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CORE OPERATING PRINCIPLE</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A migration is not simply a technical copy. The process begins with scope, discovery, inventory and dependency analysis, followed by sizing, architecture, build, validation, migration and controlled handover. Every stage produces evidence that the next stage consumes.</w:t>
      </w:r>
    </w:p>
    <w:p>
      <w:pPr>
        <w:spacing w:before="180" w:after="40"/>
        <w:shd w:val="clear" w:color="auto" w:fill="F8FCF9"/>
        <w:pBdr>
          <w:left w:val="single" w:sz="6" w:space="6" w:color="3D9A5F"/>
          <w:top w:val="single" w:sz="6" w:space="6" w:color="3D9A5F"/>
          <w:right w:val="single" w:sz="6" w:space="6" w:color="3D9A5F"/>
        </w:pBdr>
        <w:keepNext/>
      </w:pPr>
      <w:r>
        <w:rPr>
          <w:rFonts w:ascii="Calibri" w:hAnsi="Calibri"/>
          <w:b/>
          <w:color w:val="3D9A5F"/>
          <w:sz w:val="16"/>
        </w:rPr>
        <w:t>BASELINE PRINCIPLE</w:t>
      </w:r>
    </w:p>
    <w:p>
      <w:pPr>
        <w:spacing w:after="40"/>
        <w:ind w:left="170"/>
        <w:shd w:val="clear" w:color="auto" w:fill="F8FCF9"/>
        <w:pBdr>
          <w:left w:val="single" w:sz="6" w:space="6" w:color="3D9A5F"/>
          <w:bottom w:val="single" w:sz="6" w:space="6" w:color="3D9A5F"/>
          <w:right w:val="single" w:sz="6" w:space="6" w:color="3D9A5F"/>
        </w:pBdr>
      </w:pPr>
      <w:r>
        <w:rPr>
          <w:rFonts w:ascii="Calibri" w:hAnsi="Calibri"/>
          <w:b/>
          <w:i w:val="0"/>
          <w:color w:val="334E68"/>
          <w:sz w:val="18"/>
        </w:rPr>
        <w:t>Working before migration should work after migration.</w:t>
      </w:r>
      <w:r>
        <w:rPr>
          <w:rFonts w:ascii="Calibri" w:hAnsi="Calibri"/>
          <w:b w:val="0"/>
          <w:i w:val="0"/>
          <w:color w:val="334E68"/>
          <w:sz w:val="18"/>
        </w:rPr>
        <w:t xml:space="preserve"> If something was already failing before migration, it is documented as a pre-existing condition — not absorbed as a migration defect, and not quietly fixed without a record.</w:t>
      </w:r>
    </w:p>
    <w:p>
      <w:pPr>
        <w:pStyle w:val="Heading2"/>
        <w:pBdr>
          <w:bottom w:val="single" w:sz="6" w:space="3" w:color="E8EDF3"/>
        </w:pBdr>
      </w:pPr>
      <w:r>
        <w:rPr>
          <w:rFonts w:ascii="Calibri" w:hAnsi="Calibri"/>
          <w:b/>
          <w:color w:val="0F2B4C"/>
          <w:sz w:val="26"/>
        </w:rPr>
        <w:t>1.1  Training coverage at a glance</w:t>
      </w:r>
    </w:p>
    <w:p>
      <w:pPr>
        <w:spacing w:after="60" w:before="160"/>
        <w:keepNext/>
      </w:pPr>
      <w:r>
        <w:rPr>
          <w:rFonts w:ascii="Calibri" w:hAnsi="Calibri"/>
          <w:b/>
          <w:color w:val="5B7288"/>
          <w:sz w:val="15"/>
        </w:rPr>
        <w:t>COVERAGE MAP</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1735"/>
        <w:gridCol w:w="5012"/>
        <w:gridCol w:w="2891"/>
      </w:tblGrid>
      <w:tr>
        <w:trPr>
          <w:tblHeader/>
          <w:cantSplit/>
        </w:trPr>
        <w:tc>
          <w:tcPr>
            <w:tcW w:type="dxa" w:w="1735"/>
            <w:shd w:val="clear" w:color="auto" w:fill="0F2B4C"/>
          </w:tcPr>
          <w:p>
            <w:pPr>
              <w:spacing w:after="20" w:before="20"/>
            </w:pPr>
            <w:r/>
            <w:r>
              <w:rPr>
                <w:rFonts w:ascii="Calibri" w:hAnsi="Calibri"/>
                <w:b/>
                <w:color w:val="FFFFFF"/>
                <w:sz w:val="17"/>
              </w:rPr>
              <w:t>Area</w:t>
            </w:r>
          </w:p>
        </w:tc>
        <w:tc>
          <w:tcPr>
            <w:tcW w:type="dxa" w:w="5012"/>
            <w:shd w:val="clear" w:color="auto" w:fill="0F2B4C"/>
          </w:tcPr>
          <w:p>
            <w:pPr>
              <w:spacing w:after="20" w:before="20"/>
            </w:pPr>
            <w:r/>
            <w:r>
              <w:rPr>
                <w:rFonts w:ascii="Calibri" w:hAnsi="Calibri"/>
                <w:b/>
                <w:color w:val="FFFFFF"/>
                <w:sz w:val="17"/>
              </w:rPr>
              <w:t>Training focus</w:t>
            </w:r>
          </w:p>
        </w:tc>
        <w:tc>
          <w:tcPr>
            <w:tcW w:type="dxa" w:w="2891"/>
            <w:shd w:val="clear" w:color="auto" w:fill="0F2B4C"/>
          </w:tcPr>
          <w:p>
            <w:pPr>
              <w:spacing w:after="20" w:before="20"/>
            </w:pPr>
            <w:r/>
            <w:r>
              <w:rPr>
                <w:rFonts w:ascii="Calibri" w:hAnsi="Calibri"/>
                <w:b/>
                <w:color w:val="FFFFFF"/>
                <w:sz w:val="17"/>
              </w:rPr>
              <w:t>Where it is covered</w:t>
            </w:r>
          </w:p>
        </w:tc>
      </w:tr>
      <w:tr>
        <w:trPr>
          <w:cantSplit/>
        </w:trPr>
        <w:tc>
          <w:tcPr>
            <w:tcW w:type="dxa" w:w="1735"/>
          </w:tcPr>
          <w:p>
            <w:pPr>
              <w:spacing w:after="20" w:before="20"/>
            </w:pPr>
            <w:r/>
            <w:r>
              <w:rPr>
                <w:rFonts w:ascii="Calibri" w:hAnsi="Calibri"/>
                <w:b/>
                <w:i w:val="0"/>
                <w:color w:val="334E68"/>
                <w:sz w:val="17"/>
              </w:rPr>
              <w:t>Preparation</w:t>
            </w:r>
          </w:p>
        </w:tc>
        <w:tc>
          <w:tcPr>
            <w:tcW w:type="dxa" w:w="5012"/>
          </w:tcPr>
          <w:p>
            <w:pPr>
              <w:spacing w:after="20" w:before="20"/>
            </w:pPr>
            <w:r/>
            <w:r>
              <w:rPr>
                <w:rFonts w:ascii="Calibri" w:hAnsi="Calibri"/>
                <w:b w:val="0"/>
                <w:i w:val="0"/>
                <w:color w:val="334E68"/>
                <w:sz w:val="17"/>
              </w:rPr>
              <w:t>Scope, access, CMDB, IP analysis, source parameters</w:t>
            </w:r>
          </w:p>
        </w:tc>
        <w:tc>
          <w:tcPr>
            <w:tcW w:type="dxa" w:w="2891"/>
          </w:tcPr>
          <w:p>
            <w:pPr>
              <w:spacing w:after="20" w:before="20"/>
            </w:pPr>
            <w:r/>
            <w:r>
              <w:rPr>
                <w:rFonts w:ascii="Calibri" w:hAnsi="Calibri"/>
                <w:b w:val="0"/>
                <w:i w:val="0"/>
                <w:color w:val="334E68"/>
                <w:sz w:val="17"/>
              </w:rPr>
              <w:t>Module 1 (Section 4)</w:t>
            </w:r>
          </w:p>
        </w:tc>
      </w:tr>
      <w:tr>
        <w:trPr>
          <w:cantSplit/>
        </w:trPr>
        <w:tc>
          <w:tcPr>
            <w:tcW w:type="dxa" w:w="1735"/>
            <w:shd w:val="clear" w:color="auto" w:fill="FAFBFD"/>
          </w:tcPr>
          <w:p>
            <w:pPr>
              <w:spacing w:after="20" w:before="20"/>
            </w:pPr>
            <w:r/>
            <w:r>
              <w:rPr>
                <w:rFonts w:ascii="Calibri" w:hAnsi="Calibri"/>
                <w:b/>
                <w:i w:val="0"/>
                <w:color w:val="334E68"/>
                <w:sz w:val="17"/>
              </w:rPr>
              <w:t>Discovery</w:t>
            </w:r>
          </w:p>
        </w:tc>
        <w:tc>
          <w:tcPr>
            <w:tcW w:type="dxa" w:w="5012"/>
            <w:shd w:val="clear" w:color="auto" w:fill="FAFBFD"/>
          </w:tcPr>
          <w:p>
            <w:pPr>
              <w:spacing w:after="20" w:before="20"/>
            </w:pPr>
            <w:r/>
            <w:r>
              <w:rPr>
                <w:rFonts w:ascii="Calibri" w:hAnsi="Calibri"/>
                <w:b w:val="0"/>
                <w:i w:val="0"/>
                <w:color w:val="334E68"/>
                <w:sz w:val="17"/>
              </w:rPr>
              <w:t>Sizing, workload, interfaces, external agents, NFS, AL11</w:t>
            </w:r>
          </w:p>
        </w:tc>
        <w:tc>
          <w:tcPr>
            <w:tcW w:type="dxa" w:w="2891"/>
            <w:shd w:val="clear" w:color="auto" w:fill="FAFBFD"/>
          </w:tcPr>
          <w:p>
            <w:pPr>
              <w:spacing w:after="20" w:before="20"/>
            </w:pPr>
            <w:r/>
            <w:r>
              <w:rPr>
                <w:rFonts w:ascii="Calibri" w:hAnsi="Calibri"/>
                <w:b w:val="0"/>
                <w:i w:val="0"/>
                <w:color w:val="334E68"/>
                <w:sz w:val="17"/>
              </w:rPr>
              <w:t>Module 1 (Section 4)</w:t>
            </w:r>
          </w:p>
        </w:tc>
      </w:tr>
      <w:tr>
        <w:trPr>
          <w:cantSplit/>
        </w:trPr>
        <w:tc>
          <w:tcPr>
            <w:tcW w:type="dxa" w:w="1735"/>
          </w:tcPr>
          <w:p>
            <w:pPr>
              <w:spacing w:after="20" w:before="20"/>
            </w:pPr>
            <w:r/>
            <w:r>
              <w:rPr>
                <w:rFonts w:ascii="Calibri" w:hAnsi="Calibri"/>
                <w:b/>
                <w:i w:val="0"/>
                <w:color w:val="334E68"/>
                <w:sz w:val="17"/>
              </w:rPr>
              <w:t>Target readiness</w:t>
            </w:r>
          </w:p>
        </w:tc>
        <w:tc>
          <w:tcPr>
            <w:tcW w:type="dxa" w:w="5012"/>
          </w:tcPr>
          <w:p>
            <w:pPr>
              <w:spacing w:after="20" w:before="20"/>
            </w:pPr>
            <w:r/>
            <w:r>
              <w:rPr>
                <w:rFonts w:ascii="Calibri" w:hAnsi="Calibri"/>
                <w:b w:val="0"/>
                <w:i w:val="0"/>
                <w:color w:val="334E68"/>
                <w:sz w:val="17"/>
              </w:rPr>
              <w:t>AWS account, VPC, subnets, DNS, S3, build sheet</w:t>
            </w:r>
          </w:p>
        </w:tc>
        <w:tc>
          <w:tcPr>
            <w:tcW w:type="dxa" w:w="2891"/>
          </w:tcPr>
          <w:p>
            <w:pPr>
              <w:spacing w:after="20" w:before="20"/>
            </w:pPr>
            <w:r/>
            <w:r>
              <w:rPr>
                <w:rFonts w:ascii="Calibri" w:hAnsi="Calibri"/>
                <w:b w:val="0"/>
                <w:i w:val="0"/>
                <w:color w:val="334E68"/>
                <w:sz w:val="17"/>
              </w:rPr>
              <w:t>Module 2 (Section 5)</w:t>
            </w:r>
          </w:p>
        </w:tc>
      </w:tr>
      <w:tr>
        <w:trPr>
          <w:cantSplit/>
        </w:trPr>
        <w:tc>
          <w:tcPr>
            <w:tcW w:type="dxa" w:w="1735"/>
            <w:shd w:val="clear" w:color="auto" w:fill="FAFBFD"/>
          </w:tcPr>
          <w:p>
            <w:pPr>
              <w:spacing w:after="20" w:before="20"/>
            </w:pPr>
            <w:r/>
            <w:r>
              <w:rPr>
                <w:rFonts w:ascii="Calibri" w:hAnsi="Calibri"/>
                <w:b/>
                <w:i w:val="0"/>
                <w:color w:val="334E68"/>
                <w:sz w:val="17"/>
              </w:rPr>
              <w:t>SAP / HANA</w:t>
            </w:r>
          </w:p>
        </w:tc>
        <w:tc>
          <w:tcPr>
            <w:tcW w:type="dxa" w:w="5012"/>
            <w:shd w:val="clear" w:color="auto" w:fill="FAFBFD"/>
          </w:tcPr>
          <w:p>
            <w:pPr>
              <w:spacing w:after="20" w:before="20"/>
            </w:pPr>
            <w:r/>
            <w:r>
              <w:rPr>
                <w:rFonts w:ascii="Calibri" w:hAnsi="Calibri"/>
                <w:b w:val="0"/>
                <w:i w:val="0"/>
                <w:color w:val="334E68"/>
                <w:sz w:val="17"/>
              </w:rPr>
              <w:t>MDC, SystemDB/TenantDB, backup, recovery, HA</w:t>
            </w:r>
          </w:p>
        </w:tc>
        <w:tc>
          <w:tcPr>
            <w:tcW w:type="dxa" w:w="2891"/>
            <w:shd w:val="clear" w:color="auto" w:fill="FAFBFD"/>
          </w:tcPr>
          <w:p>
            <w:pPr>
              <w:spacing w:after="20" w:before="20"/>
            </w:pPr>
            <w:r/>
            <w:r>
              <w:rPr>
                <w:rFonts w:ascii="Calibri" w:hAnsi="Calibri"/>
                <w:b w:val="0"/>
                <w:i w:val="0"/>
                <w:color w:val="334E68"/>
                <w:sz w:val="17"/>
              </w:rPr>
              <w:t>Module 3 (Section 6)</w:t>
            </w:r>
          </w:p>
        </w:tc>
      </w:tr>
      <w:tr>
        <w:trPr>
          <w:cantSplit/>
        </w:trPr>
        <w:tc>
          <w:tcPr>
            <w:tcW w:type="dxa" w:w="1735"/>
          </w:tcPr>
          <w:p>
            <w:pPr>
              <w:spacing w:after="20" w:before="20"/>
            </w:pPr>
            <w:r/>
            <w:r>
              <w:rPr>
                <w:rFonts w:ascii="Calibri" w:hAnsi="Calibri"/>
                <w:b/>
                <w:i w:val="0"/>
                <w:color w:val="334E68"/>
                <w:sz w:val="17"/>
              </w:rPr>
              <w:t>SAP validation</w:t>
            </w:r>
          </w:p>
        </w:tc>
        <w:tc>
          <w:tcPr>
            <w:tcW w:type="dxa" w:w="5012"/>
          </w:tcPr>
          <w:p>
            <w:pPr>
              <w:spacing w:after="20" w:before="20"/>
            </w:pPr>
            <w:r/>
            <w:r>
              <w:rPr>
                <w:rFonts w:ascii="Calibri" w:hAnsi="Calibri"/>
                <w:b w:val="0"/>
                <w:i w:val="0"/>
                <w:color w:val="334E68"/>
                <w:sz w:val="17"/>
              </w:rPr>
              <w:t>OS, services, STMS, RFC, Gateway, SNC, certificates</w:t>
            </w:r>
          </w:p>
        </w:tc>
        <w:tc>
          <w:tcPr>
            <w:tcW w:type="dxa" w:w="2891"/>
          </w:tcPr>
          <w:p>
            <w:pPr>
              <w:spacing w:after="20" w:before="20"/>
            </w:pPr>
            <w:r/>
            <w:r>
              <w:rPr>
                <w:rFonts w:ascii="Calibri" w:hAnsi="Calibri"/>
                <w:b w:val="0"/>
                <w:i w:val="0"/>
                <w:color w:val="334E68"/>
                <w:sz w:val="17"/>
              </w:rPr>
              <w:t>Module 4 (Section 7)</w:t>
            </w:r>
          </w:p>
        </w:tc>
      </w:tr>
      <w:tr>
        <w:trPr>
          <w:cantSplit/>
        </w:trPr>
        <w:tc>
          <w:tcPr>
            <w:tcW w:type="dxa" w:w="1735"/>
            <w:shd w:val="clear" w:color="auto" w:fill="FAFBFD"/>
          </w:tcPr>
          <w:p>
            <w:pPr>
              <w:spacing w:after="20" w:before="20"/>
            </w:pPr>
            <w:r/>
            <w:r>
              <w:rPr>
                <w:rFonts w:ascii="Calibri" w:hAnsi="Calibri"/>
                <w:b/>
                <w:i w:val="0"/>
                <w:color w:val="334E68"/>
                <w:sz w:val="17"/>
              </w:rPr>
              <w:t>Performance</w:t>
            </w:r>
          </w:p>
        </w:tc>
        <w:tc>
          <w:tcPr>
            <w:tcW w:type="dxa" w:w="5012"/>
            <w:shd w:val="clear" w:color="auto" w:fill="FAFBFD"/>
          </w:tcPr>
          <w:p>
            <w:pPr>
              <w:spacing w:after="20" w:before="20"/>
            </w:pPr>
            <w:r/>
            <w:r>
              <w:rPr>
                <w:rFonts w:ascii="Calibri" w:hAnsi="Calibri"/>
                <w:b w:val="0"/>
                <w:i w:val="0"/>
                <w:color w:val="334E68"/>
                <w:sz w:val="17"/>
              </w:rPr>
              <w:t>ST02, ST03/ST03N, STAD, response-time analysis</w:t>
            </w:r>
          </w:p>
        </w:tc>
        <w:tc>
          <w:tcPr>
            <w:tcW w:type="dxa" w:w="2891"/>
            <w:shd w:val="clear" w:color="auto" w:fill="FAFBFD"/>
          </w:tcPr>
          <w:p>
            <w:pPr>
              <w:spacing w:after="20" w:before="20"/>
            </w:pPr>
            <w:r/>
            <w:r>
              <w:rPr>
                <w:rFonts w:ascii="Calibri" w:hAnsi="Calibri"/>
                <w:b w:val="0"/>
                <w:i w:val="0"/>
                <w:color w:val="334E68"/>
                <w:sz w:val="17"/>
              </w:rPr>
              <w:t>Module 5 (Section 8)</w:t>
            </w:r>
          </w:p>
        </w:tc>
      </w:tr>
      <w:tr>
        <w:trPr>
          <w:cantSplit/>
        </w:trPr>
        <w:tc>
          <w:tcPr>
            <w:tcW w:type="dxa" w:w="1735"/>
          </w:tcPr>
          <w:p>
            <w:pPr>
              <w:spacing w:after="20" w:before="20"/>
            </w:pPr>
            <w:r/>
            <w:r>
              <w:rPr>
                <w:rFonts w:ascii="Calibri" w:hAnsi="Calibri"/>
                <w:b/>
                <w:i w:val="0"/>
                <w:color w:val="334E68"/>
                <w:sz w:val="17"/>
              </w:rPr>
              <w:t>Oracle</w:t>
            </w:r>
          </w:p>
        </w:tc>
        <w:tc>
          <w:tcPr>
            <w:tcW w:type="dxa" w:w="5012"/>
          </w:tcPr>
          <w:p>
            <w:pPr>
              <w:spacing w:after="20" w:before="20"/>
            </w:pPr>
            <w:r/>
            <w:r>
              <w:rPr>
                <w:rFonts w:ascii="Calibri" w:hAnsi="Calibri"/>
                <w:b w:val="0"/>
                <w:i w:val="0"/>
                <w:color w:val="334E68"/>
                <w:sz w:val="17"/>
              </w:rPr>
              <w:t>Data Guard, SCN, snapshots, DBVERIFY, RMAN</w:t>
            </w:r>
          </w:p>
        </w:tc>
        <w:tc>
          <w:tcPr>
            <w:tcW w:type="dxa" w:w="2891"/>
          </w:tcPr>
          <w:p>
            <w:pPr>
              <w:spacing w:after="20" w:before="20"/>
            </w:pPr>
            <w:r/>
            <w:r>
              <w:rPr>
                <w:rFonts w:ascii="Calibri" w:hAnsi="Calibri"/>
                <w:b w:val="0"/>
                <w:i w:val="0"/>
                <w:color w:val="334E68"/>
                <w:sz w:val="17"/>
              </w:rPr>
              <w:t>Module 6 (Section 9)</w:t>
            </w:r>
          </w:p>
        </w:tc>
      </w:tr>
      <w:tr>
        <w:trPr>
          <w:cantSplit/>
        </w:trPr>
        <w:tc>
          <w:tcPr>
            <w:tcW w:type="dxa" w:w="1735"/>
            <w:shd w:val="clear" w:color="auto" w:fill="FAFBFD"/>
          </w:tcPr>
          <w:p>
            <w:pPr>
              <w:spacing w:after="20" w:before="20"/>
            </w:pPr>
            <w:r/>
            <w:r>
              <w:rPr>
                <w:rFonts w:ascii="Calibri" w:hAnsi="Calibri"/>
                <w:b/>
                <w:i w:val="0"/>
                <w:color w:val="334E68"/>
                <w:sz w:val="17"/>
              </w:rPr>
              <w:t>Cutover</w:t>
            </w:r>
          </w:p>
        </w:tc>
        <w:tc>
          <w:tcPr>
            <w:tcW w:type="dxa" w:w="5012"/>
            <w:shd w:val="clear" w:color="auto" w:fill="FAFBFD"/>
          </w:tcPr>
          <w:p>
            <w:pPr>
              <w:spacing w:after="20" w:before="20"/>
            </w:pPr>
            <w:r/>
            <w:r>
              <w:rPr>
                <w:rFonts w:ascii="Calibri" w:hAnsi="Calibri"/>
                <w:b w:val="0"/>
                <w:i w:val="0"/>
                <w:color w:val="334E68"/>
                <w:sz w:val="17"/>
              </w:rPr>
              <w:t>Shutdown, switchover/recovery, validation, Go/No-Go</w:t>
            </w:r>
          </w:p>
        </w:tc>
        <w:tc>
          <w:tcPr>
            <w:tcW w:type="dxa" w:w="2891"/>
            <w:shd w:val="clear" w:color="auto" w:fill="FAFBFD"/>
          </w:tcPr>
          <w:p>
            <w:pPr>
              <w:spacing w:after="20" w:before="20"/>
            </w:pPr>
            <w:r/>
            <w:r>
              <w:rPr>
                <w:rFonts w:ascii="Calibri" w:hAnsi="Calibri"/>
                <w:b w:val="0"/>
                <w:i w:val="0"/>
                <w:color w:val="334E68"/>
                <w:sz w:val="17"/>
              </w:rPr>
              <w:t>Module 7 (Section 10)</w:t>
            </w:r>
          </w:p>
        </w:tc>
      </w:tr>
      <w:tr>
        <w:trPr>
          <w:cantSplit/>
        </w:trPr>
        <w:tc>
          <w:tcPr>
            <w:tcW w:type="dxa" w:w="1735"/>
          </w:tcPr>
          <w:p>
            <w:pPr>
              <w:spacing w:after="20" w:before="20"/>
            </w:pPr>
            <w:r/>
            <w:r>
              <w:rPr>
                <w:rFonts w:ascii="Calibri" w:hAnsi="Calibri"/>
                <w:b/>
                <w:i w:val="0"/>
                <w:color w:val="334E68"/>
                <w:sz w:val="17"/>
              </w:rPr>
              <w:t>After go-live</w:t>
            </w:r>
          </w:p>
        </w:tc>
        <w:tc>
          <w:tcPr>
            <w:tcW w:type="dxa" w:w="5012"/>
          </w:tcPr>
          <w:p>
            <w:pPr>
              <w:spacing w:after="20" w:before="20"/>
            </w:pPr>
            <w:r/>
            <w:r>
              <w:rPr>
                <w:rFonts w:ascii="Calibri" w:hAnsi="Calibri"/>
                <w:b w:val="0"/>
                <w:i w:val="0"/>
                <w:color w:val="334E68"/>
                <w:sz w:val="17"/>
              </w:rPr>
              <w:t>Hypercare, evidence, issue classification and support</w:t>
            </w:r>
          </w:p>
        </w:tc>
        <w:tc>
          <w:tcPr>
            <w:tcW w:type="dxa" w:w="2891"/>
          </w:tcPr>
          <w:p>
            <w:pPr>
              <w:spacing w:after="20" w:before="20"/>
            </w:pPr>
            <w:r/>
            <w:r>
              <w:rPr>
                <w:rFonts w:ascii="Calibri" w:hAnsi="Calibri"/>
                <w:b w:val="0"/>
                <w:i w:val="0"/>
                <w:color w:val="334E68"/>
                <w:sz w:val="17"/>
              </w:rPr>
              <w:t>Module 7 (Section 10)</w:t>
            </w:r>
          </w:p>
        </w:tc>
      </w:tr>
    </w:tbl>
    <w:p>
      <w:pPr>
        <w:spacing w:after="40"/>
      </w:pPr>
    </w:p>
    <w:p>
      <w:pPr>
        <w:pStyle w:val="Heading2"/>
        <w:pBdr>
          <w:bottom w:val="single" w:sz="6" w:space="3" w:color="E8EDF3"/>
        </w:pBdr>
      </w:pPr>
      <w:r>
        <w:rPr>
          <w:rFonts w:ascii="Calibri" w:hAnsi="Calibri"/>
          <w:b/>
          <w:color w:val="0F2B4C"/>
          <w:sz w:val="26"/>
        </w:rPr>
        <w:t>1.2  What good looks like at the end of a migration</w:t>
      </w:r>
    </w:p>
    <w:p>
      <w:pPr>
        <w:spacing w:before="100" w:after="20"/>
        <w:shd w:val="clear" w:color="auto" w:fill="F7F9FC"/>
        <w:pBdr>
          <w:left w:val="single" w:sz="18" w:space="6" w:color="9EC3EC"/>
        </w:pBdr>
      </w:pPr>
      <w:r>
        <w:rPr>
          <w:rFonts w:ascii="Calibri" w:hAnsi="Calibri"/>
          <w:b/>
          <w:color w:val="0F2B4C"/>
          <w:sz w:val="19"/>
        </w:rPr>
        <w:t>Technically identical where it matters</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OS, SAP and database parameters, UIDs/GIDs, directories, interfaces and certificates match the approved target design — and every difference from source is explained, not discovered later.</w:t>
      </w:r>
    </w:p>
    <w:p>
      <w:pPr>
        <w:spacing w:before="100" w:after="20"/>
        <w:shd w:val="clear" w:color="auto" w:fill="F7F9FC"/>
        <w:pBdr>
          <w:left w:val="single" w:sz="18" w:space="6" w:color="9EC3EC"/>
        </w:pBdr>
      </w:pPr>
      <w:r>
        <w:rPr>
          <w:rFonts w:ascii="Calibri" w:hAnsi="Calibri"/>
          <w:b/>
          <w:color w:val="0F2B4C"/>
          <w:sz w:val="19"/>
        </w:rPr>
        <w:t>Provably working</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Auto-start has been proven through a real reboot, backup and recovery have been tested, and RFC, Gateway, STMS, spool and SNC connectivity have each been exercised, not assumed.</w:t>
      </w:r>
    </w:p>
    <w:p>
      <w:pPr>
        <w:spacing w:before="100" w:after="20"/>
        <w:shd w:val="clear" w:color="auto" w:fill="F7F9FC"/>
        <w:pBdr>
          <w:left w:val="single" w:sz="18" w:space="6" w:color="9EC3EC"/>
        </w:pBdr>
      </w:pPr>
      <w:r>
        <w:rPr>
          <w:rFonts w:ascii="Calibri" w:hAnsi="Calibri"/>
          <w:b/>
          <w:color w:val="0F2B4C"/>
          <w:sz w:val="19"/>
        </w:rPr>
        <w:t>Evidence at every gate</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Source and target evidence is captured, compared and attached to the change record before the next gate opens.</w:t>
      </w:r>
    </w:p>
    <w:p>
      <w:pPr>
        <w:spacing w:before="100" w:after="20"/>
        <w:shd w:val="clear" w:color="auto" w:fill="F7F9FC"/>
        <w:pBdr>
          <w:left w:val="single" w:sz="18" w:space="6" w:color="9EC3EC"/>
        </w:pBdr>
      </w:pPr>
      <w:r>
        <w:rPr>
          <w:rFonts w:ascii="Calibri" w:hAnsi="Calibri"/>
          <w:b/>
          <w:color w:val="0F2B4C"/>
          <w:sz w:val="19"/>
        </w:rPr>
        <w:t>Clear accountability</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One owner per system, one guide per owner, and no uncoordinated parallel changes to the same SID.</w:t>
      </w:r>
    </w:p>
    <w:p>
      <w:pPr>
        <w:spacing w:before="100" w:after="20"/>
        <w:shd w:val="clear" w:color="auto" w:fill="F7F9FC"/>
        <w:pBdr>
          <w:left w:val="single" w:sz="18" w:space="6" w:color="9EC3EC"/>
        </w:pBdr>
      </w:pPr>
      <w:r>
        <w:rPr>
          <w:rFonts w:ascii="Calibri" w:hAnsi="Calibri"/>
          <w:b/>
          <w:color w:val="0F2B4C"/>
          <w:sz w:val="19"/>
        </w:rPr>
        <w:t>Controlled handover</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Users unlocked, jobs and Control-M resumed with the owning teams, hypercare running, and issues classified against the pre-migration baseline.</w:t>
      </w:r>
    </w:p>
    <w:p>
      <w:pPr>
        <w:spacing w:before="100" w:after="20"/>
        <w:shd w:val="clear" w:color="auto" w:fill="F7F9FC"/>
        <w:pBdr>
          <w:left w:val="single" w:sz="18" w:space="6" w:color="9EC3EC"/>
        </w:pBdr>
      </w:pPr>
      <w:r>
        <w:rPr>
          <w:rFonts w:ascii="Calibri" w:hAnsi="Calibri"/>
          <w:b/>
          <w:color w:val="0F2B4C"/>
          <w:sz w:val="19"/>
        </w:rPr>
        <w:t>Rollback still possible</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Until the migration is declared safe, the snapshot, source system and DNS rollback path remain available and tested.</w:t>
      </w:r>
    </w:p>
    <w:p>
      <w:r>
        <w:br w:type="page"/>
      </w:r>
    </w:p>
    <w:p>
      <w:pPr>
        <w:spacing w:after="20"/>
      </w:pPr>
      <w:r>
        <w:rPr>
          <w:rFonts w:ascii="Calibri" w:hAnsi="Calibri"/>
          <w:b/>
          <w:color w:val="1B4F86"/>
          <w:sz w:val="16"/>
        </w:rPr>
        <w:t>SECTION 2</w:t>
      </w:r>
    </w:p>
    <w:p>
      <w:pPr>
        <w:pStyle w:val="Heading1"/>
        <w:pBdr>
          <w:bottom w:val="single" w:sz="12" w:space="5" w:color="1B4F86"/>
        </w:pBdr>
        <w:spacing w:after="160"/>
      </w:pPr>
      <w:r>
        <w:rPr>
          <w:rFonts w:ascii="Calibri Light" w:hAnsi="Calibri Light"/>
          <w:b/>
          <w:color w:val="0F2B4C"/>
          <w:sz w:val="38"/>
        </w:rPr>
        <w:t>2  Training objectives and learning outcomes</w:t>
      </w:r>
    </w:p>
    <w:p>
      <w:pPr>
        <w:spacing w:after="200"/>
      </w:pPr>
      <w:r>
        <w:rPr>
          <w:rFonts w:ascii="Calibri" w:hAnsi="Calibri"/>
          <w:i/>
          <w:color w:val="5B7288"/>
          <w:sz w:val="21"/>
        </w:rPr>
        <w:t>Ten objectives define what a trained engineer must be able to do. Each one maps to a module and to the evidence that proves the skill in practice.</w:t>
      </w:r>
    </w:p>
    <w:p>
      <w:pPr>
        <w:spacing w:after="60" w:before="160"/>
        <w:keepNext/>
      </w:pPr>
      <w:r>
        <w:rPr>
          <w:rFonts w:ascii="Calibri" w:hAnsi="Calibri"/>
          <w:b/>
          <w:color w:val="5B7288"/>
          <w:sz w:val="15"/>
        </w:rPr>
        <w:t>TRAINING OBJECTIVES</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433"/>
        <w:gridCol w:w="867"/>
        <w:gridCol w:w="3855"/>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433"/>
            <w:shd w:val="clear" w:color="auto" w:fill="0F2B4C"/>
          </w:tcPr>
          <w:p>
            <w:pPr>
              <w:spacing w:after="20" w:before="20"/>
            </w:pPr>
            <w:r/>
            <w:r>
              <w:rPr>
                <w:rFonts w:ascii="Calibri" w:hAnsi="Calibri"/>
                <w:b/>
                <w:color w:val="FFFFFF"/>
                <w:sz w:val="17"/>
              </w:rPr>
              <w:t>Learning objective</w:t>
            </w:r>
          </w:p>
        </w:tc>
        <w:tc>
          <w:tcPr>
            <w:tcW w:type="dxa" w:w="867"/>
            <w:shd w:val="clear" w:color="auto" w:fill="0F2B4C"/>
          </w:tcPr>
          <w:p>
            <w:pPr>
              <w:spacing w:after="20" w:before="20"/>
            </w:pPr>
            <w:r/>
            <w:r>
              <w:rPr>
                <w:rFonts w:ascii="Calibri" w:hAnsi="Calibri"/>
                <w:b/>
                <w:color w:val="FFFFFF"/>
                <w:sz w:val="17"/>
              </w:rPr>
              <w:t>Module</w:t>
            </w:r>
          </w:p>
        </w:tc>
        <w:tc>
          <w:tcPr>
            <w:tcW w:type="dxa" w:w="3855"/>
            <w:shd w:val="clear" w:color="auto" w:fill="0F2B4C"/>
          </w:tcPr>
          <w:p>
            <w:pPr>
              <w:spacing w:after="20" w:before="20"/>
            </w:pPr>
            <w:r/>
            <w:r>
              <w:rPr>
                <w:rFonts w:ascii="Calibri" w:hAnsi="Calibri"/>
                <w:b/>
                <w:color w:val="FFFFFF"/>
                <w:sz w:val="17"/>
              </w:rPr>
              <w:t>Observable evidence of competence</w:t>
            </w:r>
          </w:p>
        </w:tc>
      </w:tr>
      <w:tr>
        <w:trPr>
          <w:cantSplit/>
        </w:trPr>
        <w:tc>
          <w:tcPr>
            <w:tcW w:type="dxa" w:w="482"/>
          </w:tcPr>
          <w:p>
            <w:pPr>
              <w:spacing w:after="20" w:before="20"/>
            </w:pPr>
            <w:r/>
            <w:r>
              <w:rPr>
                <w:rFonts w:ascii="Calibri" w:hAnsi="Calibri"/>
                <w:b/>
                <w:i w:val="0"/>
                <w:color w:val="334E68"/>
                <w:sz w:val="17"/>
              </w:rPr>
              <w:t>1</w:t>
            </w:r>
          </w:p>
        </w:tc>
        <w:tc>
          <w:tcPr>
            <w:tcW w:type="dxa" w:w="4433"/>
          </w:tcPr>
          <w:p>
            <w:pPr>
              <w:spacing w:after="20" w:before="20"/>
            </w:pPr>
            <w:r/>
            <w:r>
              <w:rPr>
                <w:rFonts w:ascii="Calibri" w:hAnsi="Calibri"/>
                <w:b w:val="0"/>
                <w:i w:val="0"/>
                <w:color w:val="334E68"/>
                <w:sz w:val="17"/>
              </w:rPr>
              <w:t>Understand the end-to-end migration lifecycle and the dependency between phases.</w:t>
            </w:r>
          </w:p>
        </w:tc>
        <w:tc>
          <w:tcPr>
            <w:tcW w:type="dxa" w:w="867"/>
          </w:tcPr>
          <w:p>
            <w:pPr>
              <w:spacing w:after="20" w:before="20"/>
            </w:pPr>
            <w:r/>
            <w:r>
              <w:rPr>
                <w:rFonts w:ascii="Calibri" w:hAnsi="Calibri"/>
                <w:b w:val="0"/>
                <w:i w:val="0"/>
                <w:color w:val="334E68"/>
                <w:sz w:val="17"/>
              </w:rPr>
              <w:t>3</w:t>
            </w:r>
          </w:p>
        </w:tc>
        <w:tc>
          <w:tcPr>
            <w:tcW w:type="dxa" w:w="3855"/>
          </w:tcPr>
          <w:p>
            <w:pPr>
              <w:spacing w:after="20" w:before="20"/>
            </w:pPr>
            <w:r/>
            <w:r>
              <w:rPr>
                <w:rFonts w:ascii="Calibri" w:hAnsi="Calibri"/>
                <w:b w:val="0"/>
                <w:i w:val="0"/>
                <w:color w:val="334E68"/>
                <w:sz w:val="17"/>
              </w:rPr>
              <w:t>Can explain why sizing precedes build, and why validation precedes cutover.</w:t>
            </w:r>
          </w:p>
        </w:tc>
      </w:tr>
      <w:tr>
        <w:trPr>
          <w:cantSplit/>
        </w:trPr>
        <w:tc>
          <w:tcPr>
            <w:tcW w:type="dxa" w:w="482"/>
            <w:shd w:val="clear" w:color="auto" w:fill="FAFBFD"/>
          </w:tcPr>
          <w:p>
            <w:pPr>
              <w:spacing w:after="20" w:before="20"/>
            </w:pPr>
            <w:r/>
            <w:r>
              <w:rPr>
                <w:rFonts w:ascii="Calibri" w:hAnsi="Calibri"/>
                <w:b/>
                <w:i w:val="0"/>
                <w:color w:val="334E68"/>
                <w:sz w:val="17"/>
              </w:rPr>
              <w:t>2</w:t>
            </w:r>
          </w:p>
        </w:tc>
        <w:tc>
          <w:tcPr>
            <w:tcW w:type="dxa" w:w="4433"/>
            <w:shd w:val="clear" w:color="auto" w:fill="FAFBFD"/>
          </w:tcPr>
          <w:p>
            <w:pPr>
              <w:spacing w:after="20" w:before="20"/>
            </w:pPr>
            <w:r/>
            <w:r>
              <w:rPr>
                <w:rFonts w:ascii="Calibri" w:hAnsi="Calibri"/>
                <w:b w:val="0"/>
                <w:i w:val="0"/>
                <w:color w:val="334E68"/>
                <w:sz w:val="17"/>
              </w:rPr>
              <w:t>Build a reliable source baseline before migration so target validation is evidence-based.</w:t>
            </w:r>
          </w:p>
        </w:tc>
        <w:tc>
          <w:tcPr>
            <w:tcW w:type="dxa" w:w="867"/>
            <w:shd w:val="clear" w:color="auto" w:fill="FAFBFD"/>
          </w:tcPr>
          <w:p>
            <w:pPr>
              <w:spacing w:after="20" w:before="20"/>
            </w:pPr>
            <w:r/>
            <w:r>
              <w:rPr>
                <w:rFonts w:ascii="Calibri" w:hAnsi="Calibri"/>
                <w:b w:val="0"/>
                <w:i w:val="0"/>
                <w:color w:val="334E68"/>
                <w:sz w:val="17"/>
              </w:rPr>
              <w:t>4</w:t>
            </w:r>
          </w:p>
        </w:tc>
        <w:tc>
          <w:tcPr>
            <w:tcW w:type="dxa" w:w="3855"/>
            <w:shd w:val="clear" w:color="auto" w:fill="FAFBFD"/>
          </w:tcPr>
          <w:p>
            <w:pPr>
              <w:spacing w:after="20" w:before="20"/>
            </w:pPr>
            <w:r/>
            <w:r>
              <w:rPr>
                <w:rFonts w:ascii="Calibri" w:hAnsi="Calibri"/>
                <w:b w:val="0"/>
                <w:i w:val="0"/>
                <w:color w:val="334E68"/>
                <w:sz w:val="17"/>
              </w:rPr>
              <w:t>Produces a source evidence pack with interfaces, directories and known failures recorded.</w:t>
            </w:r>
          </w:p>
        </w:tc>
      </w:tr>
      <w:tr>
        <w:trPr>
          <w:cantSplit/>
        </w:trPr>
        <w:tc>
          <w:tcPr>
            <w:tcW w:type="dxa" w:w="482"/>
          </w:tcPr>
          <w:p>
            <w:pPr>
              <w:spacing w:after="20" w:before="20"/>
            </w:pPr>
            <w:r/>
            <w:r>
              <w:rPr>
                <w:rFonts w:ascii="Calibri" w:hAnsi="Calibri"/>
                <w:b/>
                <w:i w:val="0"/>
                <w:color w:val="334E68"/>
                <w:sz w:val="17"/>
              </w:rPr>
              <w:t>3</w:t>
            </w:r>
          </w:p>
        </w:tc>
        <w:tc>
          <w:tcPr>
            <w:tcW w:type="dxa" w:w="4433"/>
          </w:tcPr>
          <w:p>
            <w:pPr>
              <w:spacing w:after="20" w:before="20"/>
            </w:pPr>
            <w:r/>
            <w:r>
              <w:rPr>
                <w:rFonts w:ascii="Calibri" w:hAnsi="Calibri"/>
                <w:b w:val="0"/>
                <w:i w:val="0"/>
                <w:color w:val="334E68"/>
                <w:sz w:val="17"/>
              </w:rPr>
              <w:t>Understand the role of the approved build sheet and CMDB in target provisioning.</w:t>
            </w:r>
          </w:p>
        </w:tc>
        <w:tc>
          <w:tcPr>
            <w:tcW w:type="dxa" w:w="867"/>
          </w:tcPr>
          <w:p>
            <w:pPr>
              <w:spacing w:after="20" w:before="20"/>
            </w:pPr>
            <w:r/>
            <w:r>
              <w:rPr>
                <w:rFonts w:ascii="Calibri" w:hAnsi="Calibri"/>
                <w:b w:val="0"/>
                <w:i w:val="0"/>
                <w:color w:val="334E68"/>
                <w:sz w:val="17"/>
              </w:rPr>
              <w:t>5</w:t>
            </w:r>
          </w:p>
        </w:tc>
        <w:tc>
          <w:tcPr>
            <w:tcW w:type="dxa" w:w="3855"/>
          </w:tcPr>
          <w:p>
            <w:pPr>
              <w:spacing w:after="20" w:before="20"/>
            </w:pPr>
            <w:r/>
            <w:r>
              <w:rPr>
                <w:rFonts w:ascii="Calibri" w:hAnsi="Calibri"/>
                <w:b w:val="0"/>
                <w:i w:val="0"/>
                <w:color w:val="334E68"/>
                <w:sz w:val="17"/>
              </w:rPr>
              <w:t>Reviews a build sheet, completes peer review, and validates the build against it.</w:t>
            </w:r>
          </w:p>
        </w:tc>
      </w:tr>
      <w:tr>
        <w:trPr>
          <w:cantSplit/>
        </w:trPr>
        <w:tc>
          <w:tcPr>
            <w:tcW w:type="dxa" w:w="482"/>
            <w:shd w:val="clear" w:color="auto" w:fill="FAFBFD"/>
          </w:tcPr>
          <w:p>
            <w:pPr>
              <w:spacing w:after="20" w:before="20"/>
            </w:pPr>
            <w:r/>
            <w:r>
              <w:rPr>
                <w:rFonts w:ascii="Calibri" w:hAnsi="Calibri"/>
                <w:b/>
                <w:i w:val="0"/>
                <w:color w:val="334E68"/>
                <w:sz w:val="17"/>
              </w:rPr>
              <w:t>4</w:t>
            </w:r>
          </w:p>
        </w:tc>
        <w:tc>
          <w:tcPr>
            <w:tcW w:type="dxa" w:w="4433"/>
            <w:shd w:val="clear" w:color="auto" w:fill="FAFBFD"/>
          </w:tcPr>
          <w:p>
            <w:pPr>
              <w:spacing w:after="20" w:before="20"/>
            </w:pPr>
            <w:r/>
            <w:r>
              <w:rPr>
                <w:rFonts w:ascii="Calibri" w:hAnsi="Calibri"/>
                <w:b w:val="0"/>
                <w:i w:val="0"/>
                <w:color w:val="334E68"/>
                <w:sz w:val="17"/>
              </w:rPr>
              <w:t>Validate AWS infrastructure delivered by the automation team against approved requirements.</w:t>
            </w:r>
          </w:p>
        </w:tc>
        <w:tc>
          <w:tcPr>
            <w:tcW w:type="dxa" w:w="867"/>
            <w:shd w:val="clear" w:color="auto" w:fill="FAFBFD"/>
          </w:tcPr>
          <w:p>
            <w:pPr>
              <w:spacing w:after="20" w:before="20"/>
            </w:pPr>
            <w:r/>
            <w:r>
              <w:rPr>
                <w:rFonts w:ascii="Calibri" w:hAnsi="Calibri"/>
                <w:b w:val="0"/>
                <w:i w:val="0"/>
                <w:color w:val="334E68"/>
                <w:sz w:val="17"/>
              </w:rPr>
              <w:t>5</w:t>
            </w:r>
          </w:p>
        </w:tc>
        <w:tc>
          <w:tcPr>
            <w:tcW w:type="dxa" w:w="3855"/>
            <w:shd w:val="clear" w:color="auto" w:fill="FAFBFD"/>
          </w:tcPr>
          <w:p>
            <w:pPr>
              <w:spacing w:after="20" w:before="20"/>
            </w:pPr>
            <w:r/>
            <w:r>
              <w:rPr>
                <w:rFonts w:ascii="Calibri" w:hAnsi="Calibri"/>
                <w:b w:val="0"/>
                <w:i w:val="0"/>
                <w:color w:val="334E68"/>
                <w:sz w:val="17"/>
              </w:rPr>
              <w:t>Checks VPC, subnets, IPs, DNS, S3 and permissions rather than accepting the automation output.</w:t>
            </w:r>
          </w:p>
        </w:tc>
      </w:tr>
      <w:tr>
        <w:trPr>
          <w:cantSplit/>
        </w:trPr>
        <w:tc>
          <w:tcPr>
            <w:tcW w:type="dxa" w:w="482"/>
          </w:tcPr>
          <w:p>
            <w:pPr>
              <w:spacing w:after="20" w:before="20"/>
            </w:pPr>
            <w:r/>
            <w:r>
              <w:rPr>
                <w:rFonts w:ascii="Calibri" w:hAnsi="Calibri"/>
                <w:b/>
                <w:i w:val="0"/>
                <w:color w:val="334E68"/>
                <w:sz w:val="17"/>
              </w:rPr>
              <w:t>5</w:t>
            </w:r>
          </w:p>
        </w:tc>
        <w:tc>
          <w:tcPr>
            <w:tcW w:type="dxa" w:w="4433"/>
          </w:tcPr>
          <w:p>
            <w:pPr>
              <w:spacing w:after="20" w:before="20"/>
            </w:pPr>
            <w:r/>
            <w:r>
              <w:rPr>
                <w:rFonts w:ascii="Calibri" w:hAnsi="Calibri"/>
                <w:b w:val="0"/>
                <w:i w:val="0"/>
                <w:color w:val="334E68"/>
                <w:sz w:val="17"/>
              </w:rPr>
              <w:t>Understand HANA SystemDB/TenantDB architecture and the backup/recovery sequence.</w:t>
            </w:r>
          </w:p>
        </w:tc>
        <w:tc>
          <w:tcPr>
            <w:tcW w:type="dxa" w:w="867"/>
          </w:tcPr>
          <w:p>
            <w:pPr>
              <w:spacing w:after="20" w:before="20"/>
            </w:pPr>
            <w:r/>
            <w:r>
              <w:rPr>
                <w:rFonts w:ascii="Calibri" w:hAnsi="Calibri"/>
                <w:b w:val="0"/>
                <w:i w:val="0"/>
                <w:color w:val="334E68"/>
                <w:sz w:val="17"/>
              </w:rPr>
              <w:t>6</w:t>
            </w:r>
          </w:p>
        </w:tc>
        <w:tc>
          <w:tcPr>
            <w:tcW w:type="dxa" w:w="3855"/>
          </w:tcPr>
          <w:p>
            <w:pPr>
              <w:spacing w:after="20" w:before="20"/>
            </w:pPr>
            <w:r/>
            <w:r>
              <w:rPr>
                <w:rFonts w:ascii="Calibri" w:hAnsi="Calibri"/>
                <w:b w:val="0"/>
                <w:i w:val="0"/>
                <w:color w:val="334E68"/>
                <w:sz w:val="17"/>
              </w:rPr>
              <w:t>Explains the container model, configures the backup destination and tests recovery.</w:t>
            </w:r>
          </w:p>
        </w:tc>
      </w:tr>
      <w:tr>
        <w:trPr>
          <w:cantSplit/>
        </w:trPr>
        <w:tc>
          <w:tcPr>
            <w:tcW w:type="dxa" w:w="482"/>
            <w:shd w:val="clear" w:color="auto" w:fill="FAFBFD"/>
          </w:tcPr>
          <w:p>
            <w:pPr>
              <w:spacing w:after="20" w:before="20"/>
            </w:pPr>
            <w:r/>
            <w:r>
              <w:rPr>
                <w:rFonts w:ascii="Calibri" w:hAnsi="Calibri"/>
                <w:b/>
                <w:i w:val="0"/>
                <w:color w:val="334E68"/>
                <w:sz w:val="17"/>
              </w:rPr>
              <w:t>6</w:t>
            </w:r>
          </w:p>
        </w:tc>
        <w:tc>
          <w:tcPr>
            <w:tcW w:type="dxa" w:w="4433"/>
            <w:shd w:val="clear" w:color="auto" w:fill="FAFBFD"/>
          </w:tcPr>
          <w:p>
            <w:pPr>
              <w:spacing w:after="20" w:before="20"/>
            </w:pPr>
            <w:r/>
            <w:r>
              <w:rPr>
                <w:rFonts w:ascii="Calibri" w:hAnsi="Calibri"/>
                <w:b w:val="0"/>
                <w:i w:val="0"/>
                <w:color w:val="334E68"/>
                <w:sz w:val="17"/>
              </w:rPr>
              <w:t>Perform SAP Basis post-migration validation across OS, SAP, database, interfaces and security.</w:t>
            </w:r>
          </w:p>
        </w:tc>
        <w:tc>
          <w:tcPr>
            <w:tcW w:type="dxa" w:w="867"/>
            <w:shd w:val="clear" w:color="auto" w:fill="FAFBFD"/>
          </w:tcPr>
          <w:p>
            <w:pPr>
              <w:spacing w:after="20" w:before="20"/>
            </w:pPr>
            <w:r/>
            <w:r>
              <w:rPr>
                <w:rFonts w:ascii="Calibri" w:hAnsi="Calibri"/>
                <w:b w:val="0"/>
                <w:i w:val="0"/>
                <w:color w:val="334E68"/>
                <w:sz w:val="17"/>
              </w:rPr>
              <w:t>7</w:t>
            </w:r>
          </w:p>
        </w:tc>
        <w:tc>
          <w:tcPr>
            <w:tcW w:type="dxa" w:w="3855"/>
            <w:shd w:val="clear" w:color="auto" w:fill="FAFBFD"/>
          </w:tcPr>
          <w:p>
            <w:pPr>
              <w:spacing w:after="20" w:before="20"/>
            </w:pPr>
            <w:r/>
            <w:r>
              <w:rPr>
                <w:rFonts w:ascii="Calibri" w:hAnsi="Calibri"/>
                <w:b w:val="0"/>
                <w:i w:val="0"/>
                <w:color w:val="334E68"/>
                <w:sz w:val="17"/>
              </w:rPr>
              <w:t>Completes all four validation domains and records deviations with owners.</w:t>
            </w:r>
          </w:p>
        </w:tc>
      </w:tr>
      <w:tr>
        <w:trPr>
          <w:cantSplit/>
        </w:trPr>
        <w:tc>
          <w:tcPr>
            <w:tcW w:type="dxa" w:w="482"/>
          </w:tcPr>
          <w:p>
            <w:pPr>
              <w:spacing w:after="20" w:before="20"/>
            </w:pPr>
            <w:r/>
            <w:r>
              <w:rPr>
                <w:rFonts w:ascii="Calibri" w:hAnsi="Calibri"/>
                <w:b/>
                <w:i w:val="0"/>
                <w:color w:val="334E68"/>
                <w:sz w:val="17"/>
              </w:rPr>
              <w:t>7</w:t>
            </w:r>
          </w:p>
        </w:tc>
        <w:tc>
          <w:tcPr>
            <w:tcW w:type="dxa" w:w="4433"/>
          </w:tcPr>
          <w:p>
            <w:pPr>
              <w:spacing w:after="20" w:before="20"/>
            </w:pPr>
            <w:r/>
            <w:r>
              <w:rPr>
                <w:rFonts w:ascii="Calibri" w:hAnsi="Calibri"/>
                <w:b w:val="0"/>
                <w:i w:val="0"/>
                <w:color w:val="334E68"/>
                <w:sz w:val="17"/>
              </w:rPr>
              <w:t>Use core SAP transactions for structured validation and troubleshooting.</w:t>
            </w:r>
          </w:p>
        </w:tc>
        <w:tc>
          <w:tcPr>
            <w:tcW w:type="dxa" w:w="867"/>
          </w:tcPr>
          <w:p>
            <w:pPr>
              <w:spacing w:after="20" w:before="20"/>
            </w:pPr>
            <w:r/>
            <w:r>
              <w:rPr>
                <w:rFonts w:ascii="Calibri" w:hAnsi="Calibri"/>
                <w:b w:val="0"/>
                <w:i w:val="0"/>
                <w:color w:val="334E68"/>
                <w:sz w:val="17"/>
              </w:rPr>
              <w:t>8, 11</w:t>
            </w:r>
          </w:p>
        </w:tc>
        <w:tc>
          <w:tcPr>
            <w:tcW w:type="dxa" w:w="3855"/>
          </w:tcPr>
          <w:p>
            <w:pPr>
              <w:spacing w:after="20" w:before="20"/>
            </w:pPr>
            <w:r/>
            <w:r>
              <w:rPr>
                <w:rFonts w:ascii="Calibri" w:hAnsi="Calibri"/>
                <w:b w:val="0"/>
                <w:i w:val="0"/>
                <w:color w:val="334E68"/>
                <w:sz w:val="17"/>
              </w:rPr>
              <w:t>Navigates ST02, ST03N, STAD, SM51, SM59, SMGW, SMICM, STMS, DB02, AL11, SPAD, RZ10/RZ11.</w:t>
            </w:r>
          </w:p>
        </w:tc>
      </w:tr>
      <w:tr>
        <w:trPr>
          <w:cantSplit/>
        </w:trPr>
        <w:tc>
          <w:tcPr>
            <w:tcW w:type="dxa" w:w="482"/>
            <w:shd w:val="clear" w:color="auto" w:fill="FAFBFD"/>
          </w:tcPr>
          <w:p>
            <w:pPr>
              <w:spacing w:after="20" w:before="20"/>
            </w:pPr>
            <w:r/>
            <w:r>
              <w:rPr>
                <w:rFonts w:ascii="Calibri" w:hAnsi="Calibri"/>
                <w:b/>
                <w:i w:val="0"/>
                <w:color w:val="334E68"/>
                <w:sz w:val="17"/>
              </w:rPr>
              <w:t>8</w:t>
            </w:r>
          </w:p>
        </w:tc>
        <w:tc>
          <w:tcPr>
            <w:tcW w:type="dxa" w:w="4433"/>
            <w:shd w:val="clear" w:color="auto" w:fill="FAFBFD"/>
          </w:tcPr>
          <w:p>
            <w:pPr>
              <w:spacing w:after="20" w:before="20"/>
            </w:pPr>
            <w:r/>
            <w:r>
              <w:rPr>
                <w:rFonts w:ascii="Calibri" w:hAnsi="Calibri"/>
                <w:b w:val="0"/>
                <w:i w:val="0"/>
                <w:color w:val="334E68"/>
                <w:sz w:val="17"/>
              </w:rPr>
              <w:t>Understand Oracle Data Guard switchover, SCN synchronization, snapshot and rollback concepts.</w:t>
            </w:r>
          </w:p>
        </w:tc>
        <w:tc>
          <w:tcPr>
            <w:tcW w:type="dxa" w:w="867"/>
            <w:shd w:val="clear" w:color="auto" w:fill="FAFBFD"/>
          </w:tcPr>
          <w:p>
            <w:pPr>
              <w:spacing w:after="20" w:before="20"/>
            </w:pPr>
            <w:r/>
            <w:r>
              <w:rPr>
                <w:rFonts w:ascii="Calibri" w:hAnsi="Calibri"/>
                <w:b w:val="0"/>
                <w:i w:val="0"/>
                <w:color w:val="334E68"/>
                <w:sz w:val="17"/>
              </w:rPr>
              <w:t>9</w:t>
            </w:r>
          </w:p>
        </w:tc>
        <w:tc>
          <w:tcPr>
            <w:tcW w:type="dxa" w:w="3855"/>
            <w:shd w:val="clear" w:color="auto" w:fill="FAFBFD"/>
          </w:tcPr>
          <w:p>
            <w:pPr>
              <w:spacing w:after="20" w:before="20"/>
            </w:pPr>
            <w:r/>
            <w:r>
              <w:rPr>
                <w:rFonts w:ascii="Calibri" w:hAnsi="Calibri"/>
                <w:b w:val="0"/>
                <w:i w:val="0"/>
                <w:color w:val="334E68"/>
                <w:sz w:val="17"/>
              </w:rPr>
              <w:t>Verifies synchronisation, confirms the rollback point, validates the new primary.</w:t>
            </w:r>
          </w:p>
        </w:tc>
      </w:tr>
      <w:tr>
        <w:trPr>
          <w:cantSplit/>
        </w:trPr>
        <w:tc>
          <w:tcPr>
            <w:tcW w:type="dxa" w:w="482"/>
          </w:tcPr>
          <w:p>
            <w:pPr>
              <w:spacing w:after="20" w:before="20"/>
            </w:pPr>
            <w:r/>
            <w:r>
              <w:rPr>
                <w:rFonts w:ascii="Calibri" w:hAnsi="Calibri"/>
                <w:b/>
                <w:i w:val="0"/>
                <w:color w:val="334E68"/>
                <w:sz w:val="17"/>
              </w:rPr>
              <w:t>9</w:t>
            </w:r>
          </w:p>
        </w:tc>
        <w:tc>
          <w:tcPr>
            <w:tcW w:type="dxa" w:w="4433"/>
          </w:tcPr>
          <w:p>
            <w:pPr>
              <w:spacing w:after="20" w:before="20"/>
            </w:pPr>
            <w:r/>
            <w:r>
              <w:rPr>
                <w:rFonts w:ascii="Calibri" w:hAnsi="Calibri"/>
                <w:b w:val="0"/>
                <w:i w:val="0"/>
                <w:color w:val="334E68"/>
                <w:sz w:val="17"/>
              </w:rPr>
              <w:t>Execute a controlled cutover with evidence, approvals and Go/No-Go gates.</w:t>
            </w:r>
          </w:p>
        </w:tc>
        <w:tc>
          <w:tcPr>
            <w:tcW w:type="dxa" w:w="867"/>
          </w:tcPr>
          <w:p>
            <w:pPr>
              <w:spacing w:after="20" w:before="20"/>
            </w:pPr>
            <w:r/>
            <w:r>
              <w:rPr>
                <w:rFonts w:ascii="Calibri" w:hAnsi="Calibri"/>
                <w:b w:val="0"/>
                <w:i w:val="0"/>
                <w:color w:val="334E68"/>
                <w:sz w:val="17"/>
              </w:rPr>
              <w:t>10</w:t>
            </w:r>
          </w:p>
        </w:tc>
        <w:tc>
          <w:tcPr>
            <w:tcW w:type="dxa" w:w="3855"/>
          </w:tcPr>
          <w:p>
            <w:pPr>
              <w:spacing w:after="20" w:before="20"/>
            </w:pPr>
            <w:r/>
            <w:r>
              <w:rPr>
                <w:rFonts w:ascii="Calibri" w:hAnsi="Calibri"/>
                <w:b w:val="0"/>
                <w:i w:val="0"/>
                <w:color w:val="334E68"/>
                <w:sz w:val="17"/>
              </w:rPr>
              <w:t>Runs the lane sequence, presents evidence at the gate, respects the decision.</w:t>
            </w:r>
          </w:p>
        </w:tc>
      </w:tr>
      <w:tr>
        <w:trPr>
          <w:cantSplit/>
        </w:trPr>
        <w:tc>
          <w:tcPr>
            <w:tcW w:type="dxa" w:w="482"/>
            <w:shd w:val="clear" w:color="auto" w:fill="FAFBFD"/>
          </w:tcPr>
          <w:p>
            <w:pPr>
              <w:spacing w:after="20" w:before="20"/>
            </w:pPr>
            <w:r/>
            <w:r>
              <w:rPr>
                <w:rFonts w:ascii="Calibri" w:hAnsi="Calibri"/>
                <w:b/>
                <w:i w:val="0"/>
                <w:color w:val="334E68"/>
                <w:sz w:val="17"/>
              </w:rPr>
              <w:t>10</w:t>
            </w:r>
          </w:p>
        </w:tc>
        <w:tc>
          <w:tcPr>
            <w:tcW w:type="dxa" w:w="4433"/>
            <w:shd w:val="clear" w:color="auto" w:fill="FAFBFD"/>
          </w:tcPr>
          <w:p>
            <w:pPr>
              <w:spacing w:after="20" w:before="20"/>
            </w:pPr>
            <w:r/>
            <w:r>
              <w:rPr>
                <w:rFonts w:ascii="Calibri" w:hAnsi="Calibri"/>
                <w:b w:val="0"/>
                <w:i w:val="0"/>
                <w:color w:val="334E68"/>
                <w:sz w:val="17"/>
              </w:rPr>
              <w:t>Support post-go-live hypercare and distinguish migration-related issues from pre-existing issues.</w:t>
            </w:r>
          </w:p>
        </w:tc>
        <w:tc>
          <w:tcPr>
            <w:tcW w:type="dxa" w:w="867"/>
            <w:shd w:val="clear" w:color="auto" w:fill="FAFBFD"/>
          </w:tcPr>
          <w:p>
            <w:pPr>
              <w:spacing w:after="20" w:before="20"/>
            </w:pPr>
            <w:r/>
            <w:r>
              <w:rPr>
                <w:rFonts w:ascii="Calibri" w:hAnsi="Calibri"/>
                <w:b w:val="0"/>
                <w:i w:val="0"/>
                <w:color w:val="334E68"/>
                <w:sz w:val="17"/>
              </w:rPr>
              <w:t>10, 13</w:t>
            </w:r>
          </w:p>
        </w:tc>
        <w:tc>
          <w:tcPr>
            <w:tcW w:type="dxa" w:w="3855"/>
            <w:shd w:val="clear" w:color="auto" w:fill="FAFBFD"/>
          </w:tcPr>
          <w:p>
            <w:pPr>
              <w:spacing w:after="20" w:before="20"/>
            </w:pPr>
            <w:r/>
            <w:r>
              <w:rPr>
                <w:rFonts w:ascii="Calibri" w:hAnsi="Calibri"/>
                <w:b w:val="0"/>
                <w:i w:val="0"/>
                <w:color w:val="334E68"/>
                <w:sz w:val="17"/>
              </w:rPr>
              <w:t>Classifies each ticket against the baseline and routes it to the owning team.</w:t>
            </w:r>
          </w:p>
        </w:tc>
      </w:tr>
    </w:tbl>
    <w:p>
      <w:pPr>
        <w:spacing w:after="40"/>
      </w:pP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EXPECTED CAPABILITY AFTER TRAINING</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A trained migration/Basis engineer should be able to take an approved migration package, understand the source baseline, validate the target build, execute the defined technical checks, capture evidence, identify deviations, coordinate with specialist teams, and support cutover and hypercare — without bypassing the approved change and ownership model.</w:t>
      </w:r>
    </w:p>
    <w:p>
      <w:pPr>
        <w:pStyle w:val="Heading2"/>
        <w:pBdr>
          <w:bottom w:val="single" w:sz="6" w:space="3" w:color="E8EDF3"/>
        </w:pBdr>
      </w:pPr>
      <w:r>
        <w:rPr>
          <w:rFonts w:ascii="Calibri" w:hAnsi="Calibri"/>
          <w:b/>
          <w:color w:val="0F2B4C"/>
          <w:sz w:val="26"/>
        </w:rPr>
        <w:t>2.1  Prerequisites assumed by this training</w:t>
      </w:r>
    </w:p>
    <w:p>
      <w:pPr>
        <w:spacing w:after="40"/>
        <w:ind w:left="351" w:hanging="227"/>
      </w:pPr>
      <w:r>
        <w:rPr>
          <w:rFonts w:ascii="Calibri" w:hAnsi="Calibri"/>
          <w:b/>
          <w:color w:val="1B4F86"/>
          <w:sz w:val="19"/>
        </w:rPr>
        <w:t xml:space="preserve">▪  </w:t>
      </w:r>
      <w:r>
        <w:rPr>
          <w:rFonts w:ascii="Calibri" w:hAnsi="Calibri"/>
          <w:b w:val="0"/>
          <w:i w:val="0"/>
          <w:color w:val="334E68"/>
          <w:sz w:val="19"/>
        </w:rPr>
        <w:t>Working knowledge of SAP Basis administration in at least one landscape (start/stop, profiles, transports, monitoring).</w:t>
      </w:r>
    </w:p>
    <w:p>
      <w:pPr>
        <w:spacing w:after="40"/>
        <w:ind w:left="351" w:hanging="227"/>
      </w:pPr>
      <w:r>
        <w:rPr>
          <w:rFonts w:ascii="Calibri" w:hAnsi="Calibri"/>
          <w:b/>
          <w:color w:val="1B4F86"/>
          <w:sz w:val="19"/>
        </w:rPr>
        <w:t xml:space="preserve">▪  </w:t>
      </w:r>
      <w:r>
        <w:rPr>
          <w:rFonts w:ascii="Calibri" w:hAnsi="Calibri"/>
          <w:b w:val="0"/>
          <w:i w:val="0"/>
          <w:color w:val="334E68"/>
          <w:sz w:val="19"/>
        </w:rPr>
        <w:t>Basic Linux/Unix administration: file systems, permissions, services, users and groups, log inspection.</w:t>
      </w:r>
    </w:p>
    <w:p>
      <w:pPr>
        <w:spacing w:after="40"/>
        <w:ind w:left="351" w:hanging="227"/>
      </w:pPr>
      <w:r>
        <w:rPr>
          <w:rFonts w:ascii="Calibri" w:hAnsi="Calibri"/>
          <w:b/>
          <w:color w:val="1B4F86"/>
          <w:sz w:val="19"/>
        </w:rPr>
        <w:t xml:space="preserve">▪  </w:t>
      </w:r>
      <w:r>
        <w:rPr>
          <w:rFonts w:ascii="Calibri" w:hAnsi="Calibri"/>
          <w:b w:val="0"/>
          <w:i w:val="0"/>
          <w:color w:val="334E68"/>
          <w:sz w:val="19"/>
        </w:rPr>
        <w:t>Basic relational database concepts and, for Module 6, exposure to Oracle administration.</w:t>
      </w:r>
    </w:p>
    <w:p>
      <w:pPr>
        <w:spacing w:after="40"/>
        <w:ind w:left="351" w:hanging="227"/>
      </w:pPr>
      <w:r>
        <w:rPr>
          <w:rFonts w:ascii="Calibri" w:hAnsi="Calibri"/>
          <w:b/>
          <w:color w:val="1B4F86"/>
          <w:sz w:val="19"/>
        </w:rPr>
        <w:t xml:space="preserve">▪  </w:t>
      </w:r>
      <w:r>
        <w:rPr>
          <w:rFonts w:ascii="Calibri" w:hAnsi="Calibri"/>
          <w:b w:val="0"/>
          <w:i w:val="0"/>
          <w:color w:val="334E68"/>
          <w:sz w:val="19"/>
        </w:rPr>
        <w:t>Familiarity with cloud infrastructure concepts: accounts, networks, subnets, DNS, object and file storage.</w:t>
      </w:r>
    </w:p>
    <w:p>
      <w:pPr>
        <w:spacing w:after="40"/>
        <w:ind w:left="351" w:hanging="227"/>
      </w:pPr>
      <w:r>
        <w:rPr>
          <w:rFonts w:ascii="Calibri" w:hAnsi="Calibri"/>
          <w:b/>
          <w:color w:val="1B4F86"/>
          <w:sz w:val="19"/>
        </w:rPr>
        <w:t xml:space="preserve">▪  </w:t>
      </w:r>
      <w:r>
        <w:rPr>
          <w:rFonts w:ascii="Calibri" w:hAnsi="Calibri"/>
          <w:b w:val="0"/>
          <w:i w:val="0"/>
          <w:color w:val="334E68"/>
          <w:sz w:val="19"/>
        </w:rPr>
        <w:t>Ability to read a change record and work inside an approval and evidence process.</w:t>
      </w:r>
    </w:p>
    <w:p>
      <w:pPr>
        <w:pStyle w:val="Heading2"/>
        <w:pBdr>
          <w:bottom w:val="single" w:sz="6" w:space="3" w:color="E8EDF3"/>
        </w:pBdr>
      </w:pPr>
      <w:r>
        <w:rPr>
          <w:rFonts w:ascii="Calibri" w:hAnsi="Calibri"/>
          <w:b/>
          <w:color w:val="0F2B4C"/>
          <w:sz w:val="26"/>
        </w:rPr>
        <w:t>2.2  How the modules build on each other</w:t>
      </w:r>
    </w:p>
    <w:p>
      <w:pPr>
        <w:spacing w:before="120" w:after="160"/>
        <w:shd w:val="clear" w:color="auto" w:fill="F4F7FB"/>
        <w:pBdr>
          <w:left w:val="single" w:sz="18" w:space="6" w:color="1B4F86"/>
        </w:pBdr>
      </w:pPr>
      <w:r>
        <w:rPr>
          <w:rFonts w:ascii="Calibri" w:hAnsi="Calibri"/>
          <w:b/>
          <w:color w:val="0F2B4C"/>
          <w:sz w:val="18"/>
        </w:rPr>
        <w:t>Module 1 baseline</w:t>
      </w:r>
      <w:r>
        <w:rPr>
          <w:b/>
          <w:color w:val="9EC3EC"/>
          <w:sz w:val="18"/>
        </w:rPr>
        <w:t xml:space="preserve">  →  </w:t>
      </w:r>
      <w:r>
        <w:rPr>
          <w:rFonts w:ascii="Calibri" w:hAnsi="Calibri"/>
          <w:b/>
          <w:color w:val="0F2B4C"/>
          <w:sz w:val="18"/>
        </w:rPr>
        <w:t>Module 2 target build</w:t>
      </w:r>
      <w:r>
        <w:rPr>
          <w:b/>
          <w:color w:val="9EC3EC"/>
          <w:sz w:val="18"/>
        </w:rPr>
        <w:t xml:space="preserve">  →  </w:t>
      </w:r>
      <w:r>
        <w:rPr>
          <w:rFonts w:ascii="Calibri" w:hAnsi="Calibri"/>
          <w:b/>
          <w:color w:val="0F2B4C"/>
          <w:sz w:val="18"/>
        </w:rPr>
        <w:t>Module 3 HANA data</w:t>
      </w:r>
      <w:r>
        <w:rPr>
          <w:b/>
          <w:color w:val="9EC3EC"/>
          <w:sz w:val="18"/>
        </w:rPr>
        <w:t xml:space="preserve">  →  </w:t>
      </w:r>
      <w:r>
        <w:rPr>
          <w:rFonts w:ascii="Calibri" w:hAnsi="Calibri"/>
          <w:b/>
          <w:color w:val="0F2B4C"/>
          <w:sz w:val="18"/>
        </w:rPr>
        <w:t>Module 4 SAP validation</w:t>
      </w:r>
      <w:r>
        <w:rPr>
          <w:b/>
          <w:color w:val="9EC3EC"/>
          <w:sz w:val="18"/>
        </w:rPr>
        <w:t xml:space="preserve">  →  </w:t>
      </w:r>
      <w:r>
        <w:rPr>
          <w:rFonts w:ascii="Calibri" w:hAnsi="Calibri"/>
          <w:b/>
          <w:color w:val="0F2B4C"/>
          <w:sz w:val="18"/>
        </w:rPr>
        <w:t>Module 5 performance</w:t>
      </w:r>
      <w:r>
        <w:rPr>
          <w:b/>
          <w:color w:val="9EC3EC"/>
          <w:sz w:val="18"/>
        </w:rPr>
        <w:t xml:space="preserve">  →  </w:t>
      </w:r>
      <w:r>
        <w:rPr>
          <w:rFonts w:ascii="Calibri" w:hAnsi="Calibri"/>
          <w:b/>
          <w:color w:val="0F2B4C"/>
          <w:sz w:val="18"/>
        </w:rPr>
        <w:t>Module 6 Oracle switchover</w:t>
      </w:r>
      <w:r>
        <w:rPr>
          <w:b/>
          <w:color w:val="9EC3EC"/>
          <w:sz w:val="18"/>
        </w:rPr>
        <w:t xml:space="preserve">  →  </w:t>
      </w:r>
      <w:r>
        <w:rPr>
          <w:rFonts w:ascii="Calibri" w:hAnsi="Calibri"/>
          <w:b/>
          <w:color w:val="0F2B4C"/>
          <w:sz w:val="18"/>
        </w:rPr>
        <w:t>Module 7 cutover + hypercare</w:t>
      </w:r>
    </w:p>
    <w:p>
      <w:r>
        <w:rPr>
          <w:rFonts w:ascii="Calibri" w:hAnsi="Calibri"/>
          <w:b w:val="0"/>
          <w:i w:val="0"/>
          <w:color w:val="334E68"/>
          <w:sz w:val="20"/>
        </w:rPr>
        <w:t>Modules 1 and 2 create the conditions for everything else: without a source baseline and a validated target, the validation modules have nothing to compare against. Modules 3 to 6 are the technical depth, and Module 7 is where that depth is exercised under time pressure with a decision gate at the end.</w:t>
      </w:r>
    </w:p>
    <w:p>
      <w:r>
        <w:br w:type="page"/>
      </w:r>
    </w:p>
    <w:p>
      <w:pPr>
        <w:spacing w:after="20"/>
      </w:pPr>
      <w:r>
        <w:rPr>
          <w:rFonts w:ascii="Calibri" w:hAnsi="Calibri"/>
          <w:b/>
          <w:color w:val="1B4F86"/>
          <w:sz w:val="16"/>
        </w:rPr>
        <w:t>SECTION 3</w:t>
      </w:r>
    </w:p>
    <w:p>
      <w:pPr>
        <w:pStyle w:val="Heading1"/>
        <w:pBdr>
          <w:bottom w:val="single" w:sz="12" w:space="5" w:color="1B4F86"/>
        </w:pBdr>
        <w:spacing w:after="160"/>
      </w:pPr>
      <w:r>
        <w:rPr>
          <w:rFonts w:ascii="Calibri Light" w:hAnsi="Calibri Light"/>
          <w:b/>
          <w:color w:val="0F2B4C"/>
          <w:sz w:val="38"/>
        </w:rPr>
        <w:t>3  End-to-end SAP-to-AWS migration lifecycle</w:t>
      </w:r>
    </w:p>
    <w:p>
      <w:pPr>
        <w:spacing w:after="200"/>
      </w:pPr>
      <w:r>
        <w:rPr>
          <w:rFonts w:ascii="Calibri" w:hAnsi="Calibri"/>
          <w:i/>
          <w:color w:val="5B7288"/>
          <w:sz w:val="21"/>
        </w:rPr>
        <w:t>Ten stages, three formal gates. The lifecycle is sequential by design: each stage consumes the evidence produced by the one before it, and skipping a stage converts a planned risk into an unplanned incident.</w:t>
      </w:r>
    </w:p>
    <w:p>
      <w:pPr>
        <w:spacing w:before="160" w:after="80"/>
        <w:jc w:val="center"/>
        <w:keepNext/>
      </w:pPr>
      <w:r>
        <w:drawing>
          <wp:inline xmlns:a="http://schemas.openxmlformats.org/drawingml/2006/main" xmlns:pic="http://schemas.openxmlformats.org/drawingml/2006/picture">
            <wp:extent cx="6083999" cy="3439149"/>
            <wp:docPr id="1" name="Picture 1"/>
            <wp:cNvGraphicFramePr>
              <a:graphicFrameLocks noChangeAspect="1"/>
            </wp:cNvGraphicFramePr>
            <a:graphic>
              <a:graphicData uri="http://schemas.openxmlformats.org/drawingml/2006/picture">
                <pic:pic>
                  <pic:nvPicPr>
                    <pic:cNvPr id="0" name="d1-lifecycle.png"/>
                    <pic:cNvPicPr/>
                  </pic:nvPicPr>
                  <pic:blipFill>
                    <a:blip r:embed="rId11"/>
                    <a:stretch>
                      <a:fillRect/>
                    </a:stretch>
                  </pic:blipFill>
                  <pic:spPr>
                    <a:xfrm>
                      <a:off x="0" y="0"/>
                      <a:ext cx="6083999" cy="3439149"/>
                    </a:xfrm>
                    <a:prstGeom prst="rect"/>
                  </pic:spPr>
                </pic:pic>
              </a:graphicData>
            </a:graphic>
          </wp:inline>
        </w:drawing>
      </w:r>
    </w:p>
    <w:p>
      <w:pPr>
        <w:spacing w:after="240"/>
      </w:pPr>
      <w:r>
        <w:rPr>
          <w:rFonts w:ascii="Calibri" w:hAnsi="Calibri"/>
          <w:i/>
          <w:color w:val="5B7288"/>
          <w:sz w:val="17"/>
        </w:rPr>
        <w:t>Figure 1. The migration lifecycle from scope to hypercare. Amber and red stages are decision gates — stage 7 (pre-cutover validation), stage 9 (Go/No-Go) and stage 10 (release to hypercare). A gate does not open on assertion; it opens on evidence and named approval.</w:t>
      </w:r>
    </w:p>
    <w:p>
      <w:pPr>
        <w:pStyle w:val="Heading2"/>
        <w:pBdr>
          <w:bottom w:val="single" w:sz="6" w:space="3" w:color="E8EDF3"/>
        </w:pBdr>
      </w:pPr>
      <w:r>
        <w:rPr>
          <w:rFonts w:ascii="Calibri" w:hAnsi="Calibri"/>
          <w:b/>
          <w:color w:val="0F2B4C"/>
          <w:sz w:val="26"/>
        </w:rPr>
        <w:t>3.1  Stage table with entry and exit criteria</w:t>
      </w:r>
    </w:p>
    <w:p>
      <w:pPr>
        <w:spacing w:after="60" w:before="160"/>
        <w:keepNext/>
      </w:pPr>
      <w:r>
        <w:rPr>
          <w:rFonts w:ascii="Calibri" w:hAnsi="Calibri"/>
          <w:b/>
          <w:color w:val="5B7288"/>
          <w:sz w:val="15"/>
        </w:rPr>
        <w:t>LIFECYCLE STAGE TABLE</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386"/>
        <w:gridCol w:w="1735"/>
        <w:gridCol w:w="2891"/>
        <w:gridCol w:w="1928"/>
        <w:gridCol w:w="2699"/>
      </w:tblGrid>
      <w:tr>
        <w:trPr>
          <w:tblHeader/>
          <w:cantSplit/>
        </w:trPr>
        <w:tc>
          <w:tcPr>
            <w:tcW w:type="dxa" w:w="386"/>
            <w:shd w:val="clear" w:color="auto" w:fill="0F2B4C"/>
          </w:tcPr>
          <w:p>
            <w:pPr>
              <w:spacing w:after="20" w:before="20"/>
            </w:pPr>
            <w:r/>
            <w:r>
              <w:rPr>
                <w:rFonts w:ascii="Calibri" w:hAnsi="Calibri"/>
                <w:b/>
                <w:color w:val="FFFFFF"/>
                <w:sz w:val="17"/>
              </w:rPr>
              <w:t>#</w:t>
            </w:r>
          </w:p>
        </w:tc>
        <w:tc>
          <w:tcPr>
            <w:tcW w:type="dxa" w:w="1735"/>
            <w:shd w:val="clear" w:color="auto" w:fill="0F2B4C"/>
          </w:tcPr>
          <w:p>
            <w:pPr>
              <w:spacing w:after="20" w:before="20"/>
            </w:pPr>
            <w:r/>
            <w:r>
              <w:rPr>
                <w:rFonts w:ascii="Calibri" w:hAnsi="Calibri"/>
                <w:b/>
                <w:color w:val="FFFFFF"/>
                <w:sz w:val="17"/>
              </w:rPr>
              <w:t>Stage</w:t>
            </w:r>
          </w:p>
        </w:tc>
        <w:tc>
          <w:tcPr>
            <w:tcW w:type="dxa" w:w="2891"/>
            <w:shd w:val="clear" w:color="auto" w:fill="0F2B4C"/>
          </w:tcPr>
          <w:p>
            <w:pPr>
              <w:spacing w:after="20" w:before="20"/>
            </w:pPr>
            <w:r/>
            <w:r>
              <w:rPr>
                <w:rFonts w:ascii="Calibri" w:hAnsi="Calibri"/>
                <w:b/>
                <w:color w:val="FFFFFF"/>
                <w:sz w:val="17"/>
              </w:rPr>
              <w:t>Purpose</w:t>
            </w:r>
          </w:p>
        </w:tc>
        <w:tc>
          <w:tcPr>
            <w:tcW w:type="dxa" w:w="1928"/>
            <w:shd w:val="clear" w:color="auto" w:fill="0F2B4C"/>
          </w:tcPr>
          <w:p>
            <w:pPr>
              <w:spacing w:after="20" w:before="20"/>
            </w:pPr>
            <w:r/>
            <w:r>
              <w:rPr>
                <w:rFonts w:ascii="Calibri" w:hAnsi="Calibri"/>
                <w:b/>
                <w:color w:val="FFFFFF"/>
                <w:sz w:val="17"/>
              </w:rPr>
              <w:t>Entry criteria</w:t>
            </w:r>
          </w:p>
        </w:tc>
        <w:tc>
          <w:tcPr>
            <w:tcW w:type="dxa" w:w="2699"/>
            <w:shd w:val="clear" w:color="auto" w:fill="0F2B4C"/>
          </w:tcPr>
          <w:p>
            <w:pPr>
              <w:spacing w:after="20" w:before="20"/>
            </w:pPr>
            <w:r/>
            <w:r>
              <w:rPr>
                <w:rFonts w:ascii="Calibri" w:hAnsi="Calibri"/>
                <w:b/>
                <w:color w:val="FFFFFF"/>
                <w:sz w:val="17"/>
              </w:rPr>
              <w:t>Exit criteria / evidence</w:t>
            </w:r>
          </w:p>
        </w:tc>
      </w:tr>
      <w:tr>
        <w:trPr>
          <w:cantSplit/>
        </w:trPr>
        <w:tc>
          <w:tcPr>
            <w:tcW w:type="dxa" w:w="386"/>
          </w:tcPr>
          <w:p>
            <w:pPr>
              <w:spacing w:after="20" w:before="20"/>
            </w:pPr>
            <w:r/>
            <w:r>
              <w:rPr>
                <w:rFonts w:ascii="Calibri" w:hAnsi="Calibri"/>
                <w:b/>
                <w:i w:val="0"/>
                <w:color w:val="334E68"/>
                <w:sz w:val="17"/>
              </w:rPr>
              <w:t>1</w:t>
            </w:r>
          </w:p>
        </w:tc>
        <w:tc>
          <w:tcPr>
            <w:tcW w:type="dxa" w:w="1735"/>
          </w:tcPr>
          <w:p>
            <w:pPr>
              <w:spacing w:after="20" w:before="20"/>
            </w:pPr>
            <w:r/>
            <w:r>
              <w:rPr>
                <w:rFonts w:ascii="Calibri" w:hAnsi="Calibri"/>
                <w:b w:val="0"/>
                <w:i w:val="0"/>
                <w:color w:val="334E68"/>
                <w:sz w:val="17"/>
              </w:rPr>
              <w:t>Scope &amp;amp; Preparation</w:t>
            </w:r>
          </w:p>
        </w:tc>
        <w:tc>
          <w:tcPr>
            <w:tcW w:type="dxa" w:w="2891"/>
          </w:tcPr>
          <w:p>
            <w:pPr>
              <w:spacing w:after="20" w:before="20"/>
            </w:pPr>
            <w:r/>
            <w:r>
              <w:rPr>
                <w:rFonts w:ascii="Calibri" w:hAnsi="Calibri"/>
                <w:b w:val="0"/>
                <w:i w:val="0"/>
                <w:color w:val="334E68"/>
                <w:sz w:val="17"/>
              </w:rPr>
              <w:t>Confirm scope, systems, access, AWS account and customer expectations.</w:t>
            </w:r>
          </w:p>
        </w:tc>
        <w:tc>
          <w:tcPr>
            <w:tcW w:type="dxa" w:w="1928"/>
          </w:tcPr>
          <w:p>
            <w:pPr>
              <w:spacing w:after="20" w:before="20"/>
            </w:pPr>
            <w:r/>
            <w:r>
              <w:rPr>
                <w:rFonts w:ascii="Calibri" w:hAnsi="Calibri"/>
                <w:b w:val="0"/>
                <w:i w:val="0"/>
                <w:color w:val="334E68"/>
                <w:sz w:val="17"/>
              </w:rPr>
              <w:t>Customer request and system list</w:t>
            </w:r>
          </w:p>
        </w:tc>
        <w:tc>
          <w:tcPr>
            <w:tcW w:type="dxa" w:w="2699"/>
          </w:tcPr>
          <w:p>
            <w:pPr>
              <w:spacing w:after="20" w:before="20"/>
            </w:pPr>
            <w:r/>
            <w:r>
              <w:rPr>
                <w:rFonts w:ascii="Calibri" w:hAnsi="Calibri"/>
                <w:b w:val="0"/>
                <w:i w:val="0"/>
                <w:color w:val="334E68"/>
                <w:sz w:val="17"/>
              </w:rPr>
              <w:t>Signed scope, named systems, access granted, AWS account verified</w:t>
            </w:r>
          </w:p>
        </w:tc>
      </w:tr>
      <w:tr>
        <w:trPr>
          <w:cantSplit/>
        </w:trPr>
        <w:tc>
          <w:tcPr>
            <w:tcW w:type="dxa" w:w="386"/>
            <w:shd w:val="clear" w:color="auto" w:fill="FAFBFD"/>
          </w:tcPr>
          <w:p>
            <w:pPr>
              <w:spacing w:after="20" w:before="20"/>
            </w:pPr>
            <w:r/>
            <w:r>
              <w:rPr>
                <w:rFonts w:ascii="Calibri" w:hAnsi="Calibri"/>
                <w:b/>
                <w:i w:val="0"/>
                <w:color w:val="334E68"/>
                <w:sz w:val="17"/>
              </w:rPr>
              <w:t>2</w:t>
            </w:r>
          </w:p>
        </w:tc>
        <w:tc>
          <w:tcPr>
            <w:tcW w:type="dxa" w:w="1735"/>
            <w:shd w:val="clear" w:color="auto" w:fill="FAFBFD"/>
          </w:tcPr>
          <w:p>
            <w:pPr>
              <w:spacing w:after="20" w:before="20"/>
            </w:pPr>
            <w:r/>
            <w:r>
              <w:rPr>
                <w:rFonts w:ascii="Calibri" w:hAnsi="Calibri"/>
                <w:b w:val="0"/>
                <w:i w:val="0"/>
                <w:color w:val="334E68"/>
                <w:sz w:val="17"/>
              </w:rPr>
              <w:t>Discovery &amp;amp; Baseline</w:t>
            </w:r>
          </w:p>
        </w:tc>
        <w:tc>
          <w:tcPr>
            <w:tcW w:type="dxa" w:w="2891"/>
            <w:shd w:val="clear" w:color="auto" w:fill="FAFBFD"/>
          </w:tcPr>
          <w:p>
            <w:pPr>
              <w:spacing w:after="20" w:before="20"/>
            </w:pPr>
            <w:r/>
            <w:r>
              <w:rPr>
                <w:rFonts w:ascii="Calibri" w:hAnsi="Calibri"/>
                <w:b w:val="0"/>
                <w:i w:val="0"/>
                <w:color w:val="334E68"/>
                <w:sz w:val="17"/>
              </w:rPr>
              <w:t>Collect source configuration, interfaces, workload, dependencies, inventory and evidence.</w:t>
            </w:r>
          </w:p>
        </w:tc>
        <w:tc>
          <w:tcPr>
            <w:tcW w:type="dxa" w:w="1928"/>
            <w:shd w:val="clear" w:color="auto" w:fill="FAFBFD"/>
          </w:tcPr>
          <w:p>
            <w:pPr>
              <w:spacing w:after="20" w:before="20"/>
            </w:pPr>
            <w:r/>
            <w:r>
              <w:rPr>
                <w:rFonts w:ascii="Calibri" w:hAnsi="Calibri"/>
                <w:b w:val="0"/>
                <w:i w:val="0"/>
                <w:color w:val="334E68"/>
                <w:sz w:val="17"/>
              </w:rPr>
              <w:t>Scope and access</w:t>
            </w:r>
          </w:p>
        </w:tc>
        <w:tc>
          <w:tcPr>
            <w:tcW w:type="dxa" w:w="2699"/>
            <w:shd w:val="clear" w:color="auto" w:fill="FAFBFD"/>
          </w:tcPr>
          <w:p>
            <w:pPr>
              <w:spacing w:after="20" w:before="20"/>
            </w:pPr>
            <w:r/>
            <w:r>
              <w:rPr>
                <w:rFonts w:ascii="Calibri" w:hAnsi="Calibri"/>
                <w:b w:val="0"/>
                <w:i w:val="0"/>
                <w:color w:val="334E68"/>
                <w:sz w:val="17"/>
              </w:rPr>
              <w:t>Source baseline pack: parameters, interfaces, NFS, AL11, known failures</w:t>
            </w:r>
          </w:p>
        </w:tc>
      </w:tr>
      <w:tr>
        <w:trPr>
          <w:cantSplit/>
        </w:trPr>
        <w:tc>
          <w:tcPr>
            <w:tcW w:type="dxa" w:w="386"/>
          </w:tcPr>
          <w:p>
            <w:pPr>
              <w:spacing w:after="20" w:before="20"/>
            </w:pPr>
            <w:r/>
            <w:r>
              <w:rPr>
                <w:rFonts w:ascii="Calibri" w:hAnsi="Calibri"/>
                <w:b/>
                <w:i w:val="0"/>
                <w:color w:val="334E68"/>
                <w:sz w:val="17"/>
              </w:rPr>
              <w:t>3</w:t>
            </w:r>
          </w:p>
        </w:tc>
        <w:tc>
          <w:tcPr>
            <w:tcW w:type="dxa" w:w="1735"/>
          </w:tcPr>
          <w:p>
            <w:pPr>
              <w:spacing w:after="20" w:before="20"/>
            </w:pPr>
            <w:r/>
            <w:r>
              <w:rPr>
                <w:rFonts w:ascii="Calibri" w:hAnsi="Calibri"/>
                <w:b w:val="0"/>
                <w:i w:val="0"/>
                <w:color w:val="334E68"/>
                <w:sz w:val="17"/>
              </w:rPr>
              <w:t>Sizing &amp;amp; Architecture</w:t>
            </w:r>
          </w:p>
        </w:tc>
        <w:tc>
          <w:tcPr>
            <w:tcW w:type="dxa" w:w="2891"/>
          </w:tcPr>
          <w:p>
            <w:pPr>
              <w:spacing w:after="20" w:before="20"/>
            </w:pPr>
            <w:r/>
            <w:r>
              <w:rPr>
                <w:rFonts w:ascii="Calibri" w:hAnsi="Calibri"/>
                <w:b w:val="0"/>
                <w:i w:val="0"/>
                <w:color w:val="334E68"/>
                <w:sz w:val="17"/>
              </w:rPr>
              <w:t>Consume approved sizing; confirm target AWS architecture, HA/DR and connectivity.</w:t>
            </w:r>
          </w:p>
        </w:tc>
        <w:tc>
          <w:tcPr>
            <w:tcW w:type="dxa" w:w="1928"/>
          </w:tcPr>
          <w:p>
            <w:pPr>
              <w:spacing w:after="20" w:before="20"/>
            </w:pPr>
            <w:r/>
            <w:r>
              <w:rPr>
                <w:rFonts w:ascii="Calibri" w:hAnsi="Calibri"/>
                <w:b w:val="0"/>
                <w:i w:val="0"/>
                <w:color w:val="334E68"/>
                <w:sz w:val="17"/>
              </w:rPr>
              <w:t>Source baseline</w:t>
            </w:r>
          </w:p>
        </w:tc>
        <w:tc>
          <w:tcPr>
            <w:tcW w:type="dxa" w:w="2699"/>
          </w:tcPr>
          <w:p>
            <w:pPr>
              <w:spacing w:after="20" w:before="20"/>
            </w:pPr>
            <w:r/>
            <w:r>
              <w:rPr>
                <w:rFonts w:ascii="Calibri" w:hAnsi="Calibri"/>
                <w:b w:val="0"/>
                <w:i w:val="0"/>
                <w:color w:val="334E68"/>
                <w:sz w:val="17"/>
              </w:rPr>
              <w:t>Approved sizing report and target architecture agreed with the customer</w:t>
            </w:r>
          </w:p>
        </w:tc>
      </w:tr>
      <w:tr>
        <w:trPr>
          <w:cantSplit/>
        </w:trPr>
        <w:tc>
          <w:tcPr>
            <w:tcW w:type="dxa" w:w="386"/>
            <w:shd w:val="clear" w:color="auto" w:fill="FAFBFD"/>
          </w:tcPr>
          <w:p>
            <w:pPr>
              <w:spacing w:after="20" w:before="20"/>
            </w:pPr>
            <w:r/>
            <w:r>
              <w:rPr>
                <w:rFonts w:ascii="Calibri" w:hAnsi="Calibri"/>
                <w:b/>
                <w:i w:val="0"/>
                <w:color w:val="334E68"/>
                <w:sz w:val="17"/>
              </w:rPr>
              <w:t>4</w:t>
            </w:r>
          </w:p>
        </w:tc>
        <w:tc>
          <w:tcPr>
            <w:tcW w:type="dxa" w:w="1735"/>
            <w:shd w:val="clear" w:color="auto" w:fill="FAFBFD"/>
          </w:tcPr>
          <w:p>
            <w:pPr>
              <w:spacing w:after="20" w:before="20"/>
            </w:pPr>
            <w:r/>
            <w:r>
              <w:rPr>
                <w:rFonts w:ascii="Calibri" w:hAnsi="Calibri"/>
                <w:b w:val="0"/>
                <w:i w:val="0"/>
                <w:color w:val="334E68"/>
                <w:sz w:val="17"/>
              </w:rPr>
              <w:t>Build Sheet</w:t>
            </w:r>
          </w:p>
        </w:tc>
        <w:tc>
          <w:tcPr>
            <w:tcW w:type="dxa" w:w="2891"/>
            <w:shd w:val="clear" w:color="auto" w:fill="FAFBFD"/>
          </w:tcPr>
          <w:p>
            <w:pPr>
              <w:spacing w:after="20" w:before="20"/>
            </w:pPr>
            <w:r/>
            <w:r>
              <w:rPr>
                <w:rFonts w:ascii="Calibri" w:hAnsi="Calibri"/>
                <w:b w:val="0"/>
                <w:i w:val="0"/>
                <w:color w:val="334E68"/>
                <w:sz w:val="17"/>
              </w:rPr>
              <w:t>Finalise the technical input used for provisioning and customer review.</w:t>
            </w:r>
          </w:p>
        </w:tc>
        <w:tc>
          <w:tcPr>
            <w:tcW w:type="dxa" w:w="1928"/>
            <w:shd w:val="clear" w:color="auto" w:fill="FAFBFD"/>
          </w:tcPr>
          <w:p>
            <w:pPr>
              <w:spacing w:after="20" w:before="20"/>
            </w:pPr>
            <w:r/>
            <w:r>
              <w:rPr>
                <w:rFonts w:ascii="Calibri" w:hAnsi="Calibri"/>
                <w:b w:val="0"/>
                <w:i w:val="0"/>
                <w:color w:val="334E68"/>
                <w:sz w:val="17"/>
              </w:rPr>
              <w:t>Architecture agreement</w:t>
            </w:r>
          </w:p>
        </w:tc>
        <w:tc>
          <w:tcPr>
            <w:tcW w:type="dxa" w:w="2699"/>
            <w:shd w:val="clear" w:color="auto" w:fill="FAFBFD"/>
          </w:tcPr>
          <w:p>
            <w:pPr>
              <w:spacing w:after="20" w:before="20"/>
            </w:pPr>
            <w:r/>
            <w:r>
              <w:rPr>
                <w:rFonts w:ascii="Calibri" w:hAnsi="Calibri"/>
                <w:b w:val="0"/>
                <w:i w:val="0"/>
                <w:color w:val="334E68"/>
                <w:sz w:val="17"/>
              </w:rPr>
              <w:t>Peer-reviewed build sheet finalised with the customer</w:t>
            </w:r>
          </w:p>
        </w:tc>
      </w:tr>
      <w:tr>
        <w:trPr>
          <w:cantSplit/>
        </w:trPr>
        <w:tc>
          <w:tcPr>
            <w:tcW w:type="dxa" w:w="386"/>
          </w:tcPr>
          <w:p>
            <w:pPr>
              <w:spacing w:after="20" w:before="20"/>
            </w:pPr>
            <w:r/>
            <w:r>
              <w:rPr>
                <w:rFonts w:ascii="Calibri" w:hAnsi="Calibri"/>
                <w:b/>
                <w:i w:val="0"/>
                <w:color w:val="334E68"/>
                <w:sz w:val="17"/>
              </w:rPr>
              <w:t>5</w:t>
            </w:r>
          </w:p>
        </w:tc>
        <w:tc>
          <w:tcPr>
            <w:tcW w:type="dxa" w:w="1735"/>
          </w:tcPr>
          <w:p>
            <w:pPr>
              <w:spacing w:after="20" w:before="20"/>
            </w:pPr>
            <w:r/>
            <w:r>
              <w:rPr>
                <w:rFonts w:ascii="Calibri" w:hAnsi="Calibri"/>
                <w:b w:val="0"/>
                <w:i w:val="0"/>
                <w:color w:val="334E68"/>
                <w:sz w:val="17"/>
              </w:rPr>
              <w:t>AWS Build</w:t>
            </w:r>
          </w:p>
        </w:tc>
        <w:tc>
          <w:tcPr>
            <w:tcW w:type="dxa" w:w="2891"/>
          </w:tcPr>
          <w:p>
            <w:pPr>
              <w:spacing w:after="20" w:before="20"/>
            </w:pPr>
            <w:r/>
            <w:r>
              <w:rPr>
                <w:rFonts w:ascii="Calibri" w:hAnsi="Calibri"/>
                <w:b w:val="0"/>
                <w:i w:val="0"/>
                <w:color w:val="334E68"/>
                <w:sz w:val="17"/>
              </w:rPr>
              <w:t>Provision infrastructure through automation; validate VPC, subnets, DNS, storage and resources.</w:t>
            </w:r>
          </w:p>
        </w:tc>
        <w:tc>
          <w:tcPr>
            <w:tcW w:type="dxa" w:w="1928"/>
          </w:tcPr>
          <w:p>
            <w:pPr>
              <w:spacing w:after="20" w:before="20"/>
            </w:pPr>
            <w:r/>
            <w:r>
              <w:rPr>
                <w:rFonts w:ascii="Calibri" w:hAnsi="Calibri"/>
                <w:b w:val="0"/>
                <w:i w:val="0"/>
                <w:color w:val="334E68"/>
                <w:sz w:val="17"/>
              </w:rPr>
              <w:t>Approved build sheet</w:t>
            </w:r>
          </w:p>
        </w:tc>
        <w:tc>
          <w:tcPr>
            <w:tcW w:type="dxa" w:w="2699"/>
          </w:tcPr>
          <w:p>
            <w:pPr>
              <w:spacing w:after="20" w:before="20"/>
            </w:pPr>
            <w:r/>
            <w:r>
              <w:rPr>
                <w:rFonts w:ascii="Calibri" w:hAnsi="Calibri"/>
                <w:b w:val="0"/>
                <w:i w:val="0"/>
                <w:color w:val="334E68"/>
                <w:sz w:val="17"/>
              </w:rPr>
              <w:t>Validated infrastructure, CMDB CIs deployed and matching the inventory</w:t>
            </w:r>
          </w:p>
        </w:tc>
      </w:tr>
      <w:tr>
        <w:trPr>
          <w:cantSplit/>
        </w:trPr>
        <w:tc>
          <w:tcPr>
            <w:tcW w:type="dxa" w:w="386"/>
            <w:shd w:val="clear" w:color="auto" w:fill="FAFBFD"/>
          </w:tcPr>
          <w:p>
            <w:pPr>
              <w:spacing w:after="20" w:before="20"/>
            </w:pPr>
            <w:r/>
            <w:r>
              <w:rPr>
                <w:rFonts w:ascii="Calibri" w:hAnsi="Calibri"/>
                <w:b/>
                <w:i w:val="0"/>
                <w:color w:val="334E68"/>
                <w:sz w:val="17"/>
              </w:rPr>
              <w:t>6</w:t>
            </w:r>
          </w:p>
        </w:tc>
        <w:tc>
          <w:tcPr>
            <w:tcW w:type="dxa" w:w="1735"/>
            <w:shd w:val="clear" w:color="auto" w:fill="FAFBFD"/>
          </w:tcPr>
          <w:p>
            <w:pPr>
              <w:spacing w:after="20" w:before="20"/>
            </w:pPr>
            <w:r/>
            <w:r>
              <w:rPr>
                <w:rFonts w:ascii="Calibri" w:hAnsi="Calibri"/>
                <w:b w:val="0"/>
                <w:i w:val="0"/>
                <w:color w:val="334E68"/>
                <w:sz w:val="17"/>
              </w:rPr>
              <w:t>SAP / DB Build</w:t>
            </w:r>
          </w:p>
        </w:tc>
        <w:tc>
          <w:tcPr>
            <w:tcW w:type="dxa" w:w="2891"/>
            <w:shd w:val="clear" w:color="auto" w:fill="FAFBFD"/>
          </w:tcPr>
          <w:p>
            <w:pPr>
              <w:spacing w:after="20" w:before="20"/>
            </w:pPr>
            <w:r/>
            <w:r>
              <w:rPr>
                <w:rFonts w:ascii="Calibri" w:hAnsi="Calibri"/>
                <w:b w:val="0"/>
                <w:i w:val="0"/>
                <w:color w:val="334E68"/>
                <w:sz w:val="17"/>
              </w:rPr>
              <w:t>Install and configure SAP and database components; validate target readiness.</w:t>
            </w:r>
          </w:p>
        </w:tc>
        <w:tc>
          <w:tcPr>
            <w:tcW w:type="dxa" w:w="1928"/>
            <w:shd w:val="clear" w:color="auto" w:fill="FAFBFD"/>
          </w:tcPr>
          <w:p>
            <w:pPr>
              <w:spacing w:after="20" w:before="20"/>
            </w:pPr>
            <w:r/>
            <w:r>
              <w:rPr>
                <w:rFonts w:ascii="Calibri" w:hAnsi="Calibri"/>
                <w:b w:val="0"/>
                <w:i w:val="0"/>
                <w:color w:val="334E68"/>
                <w:sz w:val="17"/>
              </w:rPr>
              <w:t>Validated infrastructure</w:t>
            </w:r>
          </w:p>
        </w:tc>
        <w:tc>
          <w:tcPr>
            <w:tcW w:type="dxa" w:w="2699"/>
            <w:shd w:val="clear" w:color="auto" w:fill="FAFBFD"/>
          </w:tcPr>
          <w:p>
            <w:pPr>
              <w:spacing w:after="20" w:before="20"/>
            </w:pPr>
            <w:r/>
            <w:r>
              <w:rPr>
                <w:rFonts w:ascii="Calibri" w:hAnsi="Calibri"/>
                <w:b w:val="0"/>
                <w:i w:val="0"/>
                <w:color w:val="334E68"/>
                <w:sz w:val="17"/>
              </w:rPr>
              <w:t>SAP and database installed, configured and reachable; pre-checks passed</w:t>
            </w:r>
          </w:p>
        </w:tc>
      </w:tr>
      <w:tr>
        <w:trPr>
          <w:cantSplit/>
        </w:trPr>
        <w:tc>
          <w:tcPr>
            <w:tcW w:type="dxa" w:w="386"/>
          </w:tcPr>
          <w:p>
            <w:pPr>
              <w:spacing w:after="20" w:before="20"/>
            </w:pPr>
            <w:r/>
            <w:r>
              <w:rPr>
                <w:rFonts w:ascii="Calibri" w:hAnsi="Calibri"/>
                <w:b/>
                <w:i w:val="0"/>
                <w:color w:val="334E68"/>
                <w:sz w:val="17"/>
              </w:rPr>
              <w:t>7</w:t>
            </w:r>
          </w:p>
        </w:tc>
        <w:tc>
          <w:tcPr>
            <w:tcW w:type="dxa" w:w="1735"/>
          </w:tcPr>
          <w:p>
            <w:pPr>
              <w:spacing w:after="20" w:before="20"/>
            </w:pPr>
            <w:r/>
            <w:r>
              <w:rPr>
                <w:rFonts w:ascii="Calibri" w:hAnsi="Calibri"/>
                <w:b w:val="0"/>
                <w:i w:val="0"/>
                <w:color w:val="334E68"/>
                <w:sz w:val="17"/>
              </w:rPr>
              <w:t xml:space="preserve">Pre-Cutover Validation </w:t>
            </w:r>
            <w:r>
              <w:rPr>
                <w:rFonts w:ascii="Calibri" w:hAnsi="Calibri"/>
                <w:b w:val="0"/>
                <w:i w:val="0"/>
                <w:color w:val="334E68"/>
                <w:sz w:val="17"/>
              </w:rPr>
              <w:t>GATE 1</w:t>
            </w:r>
          </w:p>
        </w:tc>
        <w:tc>
          <w:tcPr>
            <w:tcW w:type="dxa" w:w="2891"/>
          </w:tcPr>
          <w:p>
            <w:pPr>
              <w:spacing w:after="20" w:before="20"/>
            </w:pPr>
            <w:r/>
            <w:r>
              <w:rPr>
                <w:rFonts w:ascii="Calibri" w:hAnsi="Calibri"/>
                <w:b w:val="0"/>
                <w:i w:val="0"/>
                <w:color w:val="334E68"/>
                <w:sz w:val="17"/>
              </w:rPr>
              <w:t>Complete source/target comparisons, backup/recovery testing and readiness checks.</w:t>
            </w:r>
          </w:p>
        </w:tc>
        <w:tc>
          <w:tcPr>
            <w:tcW w:type="dxa" w:w="1928"/>
          </w:tcPr>
          <w:p>
            <w:pPr>
              <w:spacing w:after="20" w:before="20"/>
            </w:pPr>
            <w:r/>
            <w:r>
              <w:rPr>
                <w:rFonts w:ascii="Calibri" w:hAnsi="Calibri"/>
                <w:b w:val="0"/>
                <w:i w:val="0"/>
                <w:color w:val="334E68"/>
                <w:sz w:val="17"/>
              </w:rPr>
              <w:t>Target build complete</w:t>
            </w:r>
          </w:p>
        </w:tc>
        <w:tc>
          <w:tcPr>
            <w:tcW w:type="dxa" w:w="2699"/>
          </w:tcPr>
          <w:p>
            <w:pPr>
              <w:spacing w:after="20" w:before="20"/>
            </w:pPr>
            <w:r/>
            <w:r>
              <w:rPr>
                <w:rFonts w:ascii="Calibri" w:hAnsi="Calibri"/>
                <w:b w:val="0"/>
                <w:i w:val="0"/>
                <w:color w:val="334E68"/>
                <w:sz w:val="17"/>
              </w:rPr>
              <w:t>All checklist items closed or formally deferred with an owner and a date</w:t>
            </w:r>
          </w:p>
        </w:tc>
      </w:tr>
      <w:tr>
        <w:trPr>
          <w:cantSplit/>
        </w:trPr>
        <w:tc>
          <w:tcPr>
            <w:tcW w:type="dxa" w:w="386"/>
            <w:shd w:val="clear" w:color="auto" w:fill="FAFBFD"/>
          </w:tcPr>
          <w:p>
            <w:pPr>
              <w:spacing w:after="20" w:before="20"/>
            </w:pPr>
            <w:r/>
            <w:r>
              <w:rPr>
                <w:rFonts w:ascii="Calibri" w:hAnsi="Calibri"/>
                <w:b/>
                <w:i w:val="0"/>
                <w:color w:val="334E68"/>
                <w:sz w:val="17"/>
              </w:rPr>
              <w:t>8</w:t>
            </w:r>
          </w:p>
        </w:tc>
        <w:tc>
          <w:tcPr>
            <w:tcW w:type="dxa" w:w="1735"/>
            <w:shd w:val="clear" w:color="auto" w:fill="FAFBFD"/>
          </w:tcPr>
          <w:p>
            <w:pPr>
              <w:spacing w:after="20" w:before="20"/>
            </w:pPr>
            <w:r/>
            <w:r>
              <w:rPr>
                <w:rFonts w:ascii="Calibri" w:hAnsi="Calibri"/>
                <w:b w:val="0"/>
                <w:i w:val="0"/>
                <w:color w:val="334E68"/>
                <w:sz w:val="17"/>
              </w:rPr>
              <w:t>Cutover</w:t>
            </w:r>
          </w:p>
        </w:tc>
        <w:tc>
          <w:tcPr>
            <w:tcW w:type="dxa" w:w="2891"/>
            <w:shd w:val="clear" w:color="auto" w:fill="FAFBFD"/>
          </w:tcPr>
          <w:p>
            <w:pPr>
              <w:spacing w:after="20" w:before="20"/>
            </w:pPr>
            <w:r/>
            <w:r>
              <w:rPr>
                <w:rFonts w:ascii="Calibri" w:hAnsi="Calibri"/>
                <w:b w:val="0"/>
                <w:i w:val="0"/>
                <w:color w:val="334E68"/>
                <w:sz w:val="17"/>
              </w:rPr>
              <w:t>Execute shutdown, database migration/switchover or recovery, network updates and technical validation.</w:t>
            </w:r>
          </w:p>
        </w:tc>
        <w:tc>
          <w:tcPr>
            <w:tcW w:type="dxa" w:w="1928"/>
            <w:shd w:val="clear" w:color="auto" w:fill="FAFBFD"/>
          </w:tcPr>
          <w:p>
            <w:pPr>
              <w:spacing w:after="20" w:before="20"/>
            </w:pPr>
            <w:r/>
            <w:r>
              <w:rPr>
                <w:rFonts w:ascii="Calibri" w:hAnsi="Calibri"/>
                <w:b w:val="0"/>
                <w:i w:val="0"/>
                <w:color w:val="334E68"/>
                <w:sz w:val="17"/>
              </w:rPr>
              <w:t>Gate 1 approval and a booked window</w:t>
            </w:r>
          </w:p>
        </w:tc>
        <w:tc>
          <w:tcPr>
            <w:tcW w:type="dxa" w:w="2699"/>
            <w:shd w:val="clear" w:color="auto" w:fill="FAFBFD"/>
          </w:tcPr>
          <w:p>
            <w:pPr>
              <w:spacing w:after="20" w:before="20"/>
            </w:pPr>
            <w:r/>
            <w:r>
              <w:rPr>
                <w:rFonts w:ascii="Calibri" w:hAnsi="Calibri"/>
                <w:b w:val="0"/>
                <w:i w:val="0"/>
                <w:color w:val="334E68"/>
                <w:sz w:val="17"/>
              </w:rPr>
              <w:t>Target system technically validated; R3TRANS -d returns 0000; SAP started</w:t>
            </w:r>
          </w:p>
        </w:tc>
      </w:tr>
      <w:tr>
        <w:trPr>
          <w:cantSplit/>
        </w:trPr>
        <w:tc>
          <w:tcPr>
            <w:tcW w:type="dxa" w:w="386"/>
          </w:tcPr>
          <w:p>
            <w:pPr>
              <w:spacing w:after="20" w:before="20"/>
            </w:pPr>
            <w:r/>
            <w:r>
              <w:rPr>
                <w:rFonts w:ascii="Calibri" w:hAnsi="Calibri"/>
                <w:b/>
                <w:i w:val="0"/>
                <w:color w:val="334E68"/>
                <w:sz w:val="17"/>
              </w:rPr>
              <w:t>9</w:t>
            </w:r>
          </w:p>
        </w:tc>
        <w:tc>
          <w:tcPr>
            <w:tcW w:type="dxa" w:w="1735"/>
          </w:tcPr>
          <w:p>
            <w:pPr>
              <w:spacing w:after="20" w:before="20"/>
            </w:pPr>
            <w:r/>
            <w:r>
              <w:rPr>
                <w:rFonts w:ascii="Calibri" w:hAnsi="Calibri"/>
                <w:b w:val="0"/>
                <w:i w:val="0"/>
                <w:color w:val="334E68"/>
                <w:sz w:val="17"/>
              </w:rPr>
              <w:t xml:space="preserve">Go / No-Go </w:t>
            </w:r>
            <w:r>
              <w:rPr>
                <w:rFonts w:ascii="Calibri" w:hAnsi="Calibri"/>
                <w:b w:val="0"/>
                <w:i w:val="0"/>
                <w:color w:val="334E68"/>
                <w:sz w:val="17"/>
              </w:rPr>
              <w:t>GATE 2</w:t>
            </w:r>
          </w:p>
        </w:tc>
        <w:tc>
          <w:tcPr>
            <w:tcW w:type="dxa" w:w="2891"/>
          </w:tcPr>
          <w:p>
            <w:pPr>
              <w:spacing w:after="20" w:before="20"/>
            </w:pPr>
            <w:r/>
            <w:r>
              <w:rPr>
                <w:rFonts w:ascii="Calibri" w:hAnsi="Calibri"/>
                <w:b w:val="0"/>
                <w:i w:val="0"/>
                <w:color w:val="334E68"/>
                <w:sz w:val="17"/>
              </w:rPr>
              <w:t>Review evidence, approvals, functional results and rollback readiness.</w:t>
            </w:r>
          </w:p>
        </w:tc>
        <w:tc>
          <w:tcPr>
            <w:tcW w:type="dxa" w:w="1928"/>
          </w:tcPr>
          <w:p>
            <w:pPr>
              <w:spacing w:after="20" w:before="20"/>
            </w:pPr>
            <w:r/>
            <w:r>
              <w:rPr>
                <w:rFonts w:ascii="Calibri" w:hAnsi="Calibri"/>
                <w:b w:val="0"/>
                <w:i w:val="0"/>
                <w:color w:val="334E68"/>
                <w:sz w:val="17"/>
              </w:rPr>
              <w:t>Technical and functional evidence</w:t>
            </w:r>
          </w:p>
        </w:tc>
        <w:tc>
          <w:tcPr>
            <w:tcW w:type="dxa" w:w="2699"/>
          </w:tcPr>
          <w:p>
            <w:pPr>
              <w:spacing w:after="20" w:before="20"/>
            </w:pPr>
            <w:r/>
            <w:r>
              <w:rPr>
                <w:rFonts w:ascii="Calibri" w:hAnsi="Calibri"/>
                <w:b w:val="0"/>
                <w:i w:val="0"/>
                <w:color w:val="334E68"/>
                <w:sz w:val="17"/>
              </w:rPr>
              <w:t>Recorded Go or No-Go decision with named approvers</w:t>
            </w:r>
          </w:p>
        </w:tc>
      </w:tr>
      <w:tr>
        <w:trPr>
          <w:cantSplit/>
        </w:trPr>
        <w:tc>
          <w:tcPr>
            <w:tcW w:type="dxa" w:w="386"/>
            <w:shd w:val="clear" w:color="auto" w:fill="FAFBFD"/>
          </w:tcPr>
          <w:p>
            <w:pPr>
              <w:spacing w:after="20" w:before="20"/>
            </w:pPr>
            <w:r/>
            <w:r>
              <w:rPr>
                <w:rFonts w:ascii="Calibri" w:hAnsi="Calibri"/>
                <w:b/>
                <w:i w:val="0"/>
                <w:color w:val="334E68"/>
                <w:sz w:val="17"/>
              </w:rPr>
              <w:t>10</w:t>
            </w:r>
          </w:p>
        </w:tc>
        <w:tc>
          <w:tcPr>
            <w:tcW w:type="dxa" w:w="1735"/>
            <w:shd w:val="clear" w:color="auto" w:fill="FAFBFD"/>
          </w:tcPr>
          <w:p>
            <w:pPr>
              <w:spacing w:after="20" w:before="20"/>
            </w:pPr>
            <w:r/>
            <w:r>
              <w:rPr>
                <w:rFonts w:ascii="Calibri" w:hAnsi="Calibri"/>
                <w:b w:val="0"/>
                <w:i w:val="0"/>
                <w:color w:val="334E68"/>
                <w:sz w:val="17"/>
              </w:rPr>
              <w:t xml:space="preserve">Go-Live &amp; Hypercare </w:t>
            </w:r>
            <w:r>
              <w:rPr>
                <w:rFonts w:ascii="Calibri" w:hAnsi="Calibri"/>
                <w:b w:val="0"/>
                <w:i w:val="0"/>
                <w:color w:val="334E68"/>
                <w:sz w:val="17"/>
              </w:rPr>
              <w:t>GATE 3</w:t>
            </w:r>
          </w:p>
        </w:tc>
        <w:tc>
          <w:tcPr>
            <w:tcW w:type="dxa" w:w="2891"/>
            <w:shd w:val="clear" w:color="auto" w:fill="FAFBFD"/>
          </w:tcPr>
          <w:p>
            <w:pPr>
              <w:spacing w:after="20" w:before="20"/>
            </w:pPr>
            <w:r/>
            <w:r>
              <w:rPr>
                <w:rFonts w:ascii="Calibri" w:hAnsi="Calibri"/>
                <w:b w:val="0"/>
                <w:i w:val="0"/>
                <w:color w:val="334E68"/>
                <w:sz w:val="17"/>
              </w:rPr>
              <w:t>Unlock users, resume jobs, monitor the system and resolve migration-related issues.</w:t>
            </w:r>
          </w:p>
        </w:tc>
        <w:tc>
          <w:tcPr>
            <w:tcW w:type="dxa" w:w="1928"/>
            <w:shd w:val="clear" w:color="auto" w:fill="FAFBFD"/>
          </w:tcPr>
          <w:p>
            <w:pPr>
              <w:spacing w:after="20" w:before="20"/>
            </w:pPr>
            <w:r/>
            <w:r>
              <w:rPr>
                <w:rFonts w:ascii="Calibri" w:hAnsi="Calibri"/>
                <w:b w:val="0"/>
                <w:i w:val="0"/>
                <w:color w:val="334E68"/>
                <w:sz w:val="17"/>
              </w:rPr>
              <w:t>Go decision</w:t>
            </w:r>
          </w:p>
        </w:tc>
        <w:tc>
          <w:tcPr>
            <w:tcW w:type="dxa" w:w="2699"/>
            <w:shd w:val="clear" w:color="auto" w:fill="FAFBFD"/>
          </w:tcPr>
          <w:p>
            <w:pPr>
              <w:spacing w:after="20" w:before="20"/>
            </w:pPr>
            <w:r/>
            <w:r>
              <w:rPr>
                <w:rFonts w:ascii="Calibri" w:hAnsi="Calibri"/>
                <w:b w:val="0"/>
                <w:i w:val="0"/>
                <w:color w:val="334E68"/>
                <w:sz w:val="17"/>
              </w:rPr>
              <w:t>System released, jobs resumed, hypercare running for 15 days, handover complete</w:t>
            </w:r>
          </w:p>
        </w:tc>
      </w:tr>
    </w:tbl>
    <w:p>
      <w:pPr>
        <w:spacing w:after="40"/>
      </w:pPr>
    </w:p>
    <w:p>
      <w:pPr>
        <w:spacing w:before="180" w:after="40"/>
        <w:shd w:val="clear" w:color="auto" w:fill="FFFDF5"/>
        <w:pBdr>
          <w:left w:val="single" w:sz="6" w:space="6" w:color="D9A520"/>
          <w:top w:val="single" w:sz="6" w:space="6" w:color="D9A520"/>
          <w:right w:val="single" w:sz="6" w:space="6" w:color="D9A520"/>
        </w:pBdr>
        <w:keepNext/>
      </w:pPr>
      <w:r>
        <w:rPr>
          <w:rFonts w:ascii="Calibri" w:hAnsi="Calibri"/>
          <w:b/>
          <w:color w:val="D9A520"/>
          <w:sz w:val="16"/>
        </w:rPr>
        <w:t>THE THREE GATES</w:t>
      </w:r>
    </w:p>
    <w:p>
      <w:pPr>
        <w:spacing w:after="40"/>
        <w:ind w:left="567" w:hanging="227"/>
        <w:shd w:val="clear" w:color="auto" w:fill="FFFDF5"/>
      </w:pPr>
      <w:r>
        <w:rPr>
          <w:rFonts w:ascii="Calibri" w:hAnsi="Calibri"/>
          <w:b/>
          <w:color w:val="1B4F86"/>
          <w:sz w:val="19"/>
        </w:rPr>
        <w:t xml:space="preserve">▪  </w:t>
      </w:r>
      <w:r>
        <w:rPr>
          <w:rFonts w:ascii="Calibri" w:hAnsi="Calibri"/>
          <w:b/>
          <w:i w:val="0"/>
          <w:color w:val="334E68"/>
          <w:sz w:val="19"/>
        </w:rPr>
        <w:t>Gate 1 — Pre-cutover validation.</w:t>
      </w:r>
      <w:r>
        <w:rPr>
          <w:rFonts w:ascii="Calibri" w:hAnsi="Calibri"/>
          <w:b w:val="0"/>
          <w:i w:val="0"/>
          <w:color w:val="334E68"/>
          <w:sz w:val="19"/>
        </w:rPr>
        <w:t xml:space="preserve"> Nothing enters a cutover window with an untested backup/recovery path or an open critical checklist item.</w:t>
      </w:r>
    </w:p>
    <w:p>
      <w:pPr>
        <w:spacing w:after="40"/>
        <w:ind w:left="567" w:hanging="227"/>
        <w:shd w:val="clear" w:color="auto" w:fill="FFFDF5"/>
      </w:pPr>
      <w:r>
        <w:rPr>
          <w:rFonts w:ascii="Calibri" w:hAnsi="Calibri"/>
          <w:b/>
          <w:color w:val="1B4F86"/>
          <w:sz w:val="19"/>
        </w:rPr>
        <w:t xml:space="preserve">▪  </w:t>
      </w:r>
      <w:r>
        <w:rPr>
          <w:rFonts w:ascii="Calibri" w:hAnsi="Calibri"/>
          <w:b/>
          <w:i w:val="0"/>
          <w:color w:val="334E68"/>
          <w:sz w:val="19"/>
        </w:rPr>
        <w:t>Gate 2 — Go/No-Go.</w:t>
      </w:r>
      <w:r>
        <w:rPr>
          <w:rFonts w:ascii="Calibri" w:hAnsi="Calibri"/>
          <w:b w:val="0"/>
          <w:i w:val="0"/>
          <w:color w:val="334E68"/>
          <w:sz w:val="19"/>
        </w:rPr>
        <w:t xml:space="preserve"> Technical, functional and system-owner sign-off plus confirmed rollback readiness. A No-Go is a successful outcome of this gate when the evidence does not support release.</w:t>
      </w:r>
    </w:p>
    <w:p>
      <w:pPr>
        <w:spacing w:after="40"/>
        <w:ind w:left="567" w:hanging="227"/>
        <w:shd w:val="clear" w:color="auto" w:fill="FFFDF5"/>
      </w:pPr>
      <w:r>
        <w:rPr>
          <w:rFonts w:ascii="Calibri" w:hAnsi="Calibri"/>
          <w:b/>
          <w:color w:val="1B4F86"/>
          <w:sz w:val="19"/>
        </w:rPr>
        <w:t xml:space="preserve">▪  </w:t>
      </w:r>
      <w:r>
        <w:rPr>
          <w:rFonts w:ascii="Calibri" w:hAnsi="Calibri"/>
          <w:b/>
          <w:i w:val="0"/>
          <w:color w:val="334E68"/>
          <w:sz w:val="19"/>
        </w:rPr>
        <w:t>Gate 3 — Release to hypercare.</w:t>
      </w:r>
      <w:r>
        <w:rPr>
          <w:rFonts w:ascii="Calibri" w:hAnsi="Calibri"/>
          <w:b w:val="0"/>
          <w:i w:val="0"/>
          <w:color w:val="334E68"/>
          <w:sz w:val="19"/>
        </w:rPr>
        <w:t xml:space="preserve"> Users unlocked and jobs resumed only after the Go decision is recorded, with the hypercare roster and escalation path live.</w:t>
      </w:r>
    </w:p>
    <w:p>
      <w:pPr>
        <w:shd w:val="clear" w:color="auto" w:fill="FFFDF5"/>
        <w:pBdr>
          <w:left w:val="single" w:sz="6" w:space="6" w:color="D9A520"/>
          <w:bottom w:val="single" w:sz="6" w:space="6" w:color="D9A520"/>
          <w:right w:val="single" w:sz="6" w:space="6" w:color="D9A520"/>
        </w:pBdr>
        <w:spacing w:after="40"/>
      </w:pPr>
    </w:p>
    <w:p>
      <w:pPr>
        <w:pStyle w:val="Heading2"/>
        <w:pBdr>
          <w:bottom w:val="single" w:sz="6" w:space="3" w:color="E8EDF3"/>
        </w:pBdr>
      </w:pPr>
      <w:r>
        <w:rPr>
          <w:rFonts w:ascii="Calibri" w:hAnsi="Calibri"/>
          <w:b/>
          <w:color w:val="0F2B4C"/>
          <w:sz w:val="26"/>
        </w:rPr>
        <w:t>3.2  Sequence to remember</w:t>
      </w:r>
    </w:p>
    <w:p>
      <w:pPr>
        <w:spacing w:before="120" w:after="160"/>
        <w:shd w:val="clear" w:color="auto" w:fill="F4F7FB"/>
        <w:pBdr>
          <w:left w:val="single" w:sz="18" w:space="6" w:color="1B4F86"/>
        </w:pBdr>
      </w:pPr>
      <w:r>
        <w:rPr>
          <w:rFonts w:ascii="Calibri" w:hAnsi="Calibri"/>
          <w:b/>
          <w:color w:val="0F2B4C"/>
          <w:sz w:val="18"/>
        </w:rPr>
        <w:t>Scope</w:t>
      </w:r>
      <w:r>
        <w:rPr>
          <w:b/>
          <w:color w:val="9EC3EC"/>
          <w:sz w:val="18"/>
        </w:rPr>
        <w:t xml:space="preserve">  →  </w:t>
      </w:r>
      <w:r>
        <w:rPr>
          <w:rFonts w:ascii="Calibri" w:hAnsi="Calibri"/>
          <w:b/>
          <w:color w:val="0F2B4C"/>
          <w:sz w:val="18"/>
        </w:rPr>
        <w:t>Discovery</w:t>
      </w:r>
      <w:r>
        <w:rPr>
          <w:b/>
          <w:color w:val="9EC3EC"/>
          <w:sz w:val="18"/>
        </w:rPr>
        <w:t xml:space="preserve">  →  </w:t>
      </w:r>
      <w:r>
        <w:rPr>
          <w:rFonts w:ascii="Calibri" w:hAnsi="Calibri"/>
          <w:b/>
          <w:color w:val="0F2B4C"/>
          <w:sz w:val="18"/>
        </w:rPr>
        <w:t>Inventory</w:t>
      </w:r>
      <w:r>
        <w:rPr>
          <w:b/>
          <w:color w:val="9EC3EC"/>
          <w:sz w:val="18"/>
        </w:rPr>
        <w:t xml:space="preserve">  →  </w:t>
      </w:r>
      <w:r>
        <w:rPr>
          <w:rFonts w:ascii="Calibri" w:hAnsi="Calibri"/>
          <w:b/>
          <w:color w:val="0F2B4C"/>
          <w:sz w:val="18"/>
        </w:rPr>
        <w:t>Dependencies</w:t>
      </w:r>
      <w:r>
        <w:rPr>
          <w:b/>
          <w:color w:val="9EC3EC"/>
          <w:sz w:val="18"/>
        </w:rPr>
        <w:t xml:space="preserve">  →  </w:t>
      </w:r>
      <w:r>
        <w:rPr>
          <w:rFonts w:ascii="Calibri" w:hAnsi="Calibri"/>
          <w:b/>
          <w:color w:val="0F2B4C"/>
          <w:sz w:val="18"/>
        </w:rPr>
        <w:t>Sizing</w:t>
      </w:r>
      <w:r>
        <w:rPr>
          <w:b/>
          <w:color w:val="9EC3EC"/>
          <w:sz w:val="18"/>
        </w:rPr>
        <w:t xml:space="preserve">  →  </w:t>
      </w:r>
      <w:r>
        <w:rPr>
          <w:rFonts w:ascii="Calibri" w:hAnsi="Calibri"/>
          <w:b/>
          <w:color w:val="0F2B4C"/>
          <w:sz w:val="18"/>
        </w:rPr>
        <w:t>Architecture</w:t>
      </w:r>
      <w:r>
        <w:rPr>
          <w:b/>
          <w:color w:val="9EC3EC"/>
          <w:sz w:val="18"/>
        </w:rPr>
        <w:t xml:space="preserve">  →  </w:t>
      </w:r>
      <w:r>
        <w:rPr>
          <w:rFonts w:ascii="Calibri" w:hAnsi="Calibri"/>
          <w:b/>
          <w:color w:val="0F2B4C"/>
          <w:sz w:val="18"/>
        </w:rPr>
        <w:t>Build</w:t>
      </w:r>
      <w:r>
        <w:rPr>
          <w:b/>
          <w:color w:val="9EC3EC"/>
          <w:sz w:val="18"/>
        </w:rPr>
        <w:t xml:space="preserve">  →  </w:t>
      </w:r>
      <w:r>
        <w:rPr>
          <w:rFonts w:ascii="Calibri" w:hAnsi="Calibri"/>
          <w:b/>
          <w:color w:val="0F2B4C"/>
          <w:sz w:val="18"/>
        </w:rPr>
        <w:t>Validation</w:t>
      </w:r>
      <w:r>
        <w:rPr>
          <w:b/>
          <w:color w:val="9EC3EC"/>
          <w:sz w:val="18"/>
        </w:rPr>
        <w:t xml:space="preserve">  →  </w:t>
      </w:r>
      <w:r>
        <w:rPr>
          <w:rFonts w:ascii="Calibri" w:hAnsi="Calibri"/>
          <w:b/>
          <w:color w:val="0F2B4C"/>
          <w:sz w:val="18"/>
        </w:rPr>
        <w:t>Migration</w:t>
      </w:r>
      <w:r>
        <w:rPr>
          <w:b/>
          <w:color w:val="9EC3EC"/>
          <w:sz w:val="18"/>
        </w:rPr>
        <w:t xml:space="preserve">  →  </w:t>
      </w:r>
      <w:r>
        <w:rPr>
          <w:rFonts w:ascii="Calibri" w:hAnsi="Calibri"/>
          <w:b/>
          <w:color w:val="0F2B4C"/>
          <w:sz w:val="18"/>
        </w:rPr>
        <w:t>Handover</w:t>
      </w:r>
    </w:p>
    <w:p>
      <w:r>
        <w:rPr>
          <w:rFonts w:ascii="Calibri" w:hAnsi="Calibri"/>
          <w:b w:val="0"/>
          <w:i w:val="0"/>
          <w:color w:val="334E68"/>
          <w:sz w:val="20"/>
        </w:rPr>
        <w:t>If a project is in trouble, it is almost always because one of these was skipped or compressed: discovery (unknown interfaces and agents surface at cutover), dependencies (third-party credentials arrive late), or validation (the target is assumed correct because automation produced it).</w:t>
      </w:r>
    </w:p>
    <w:p>
      <w:pPr>
        <w:pStyle w:val="Heading2"/>
        <w:pBdr>
          <w:bottom w:val="single" w:sz="6" w:space="3" w:color="E8EDF3"/>
        </w:pBdr>
      </w:pPr>
      <w:r>
        <w:rPr>
          <w:rFonts w:ascii="Calibri" w:hAnsi="Calibri"/>
          <w:b/>
          <w:color w:val="0F2B4C"/>
          <w:sz w:val="26"/>
        </w:rPr>
        <w:t>3.3  Where each team enters the lifecycle</w:t>
      </w:r>
    </w:p>
    <w:p>
      <w:pPr>
        <w:spacing w:before="160" w:after="80"/>
        <w:jc w:val="center"/>
        <w:keepNext/>
      </w:pPr>
      <w:r>
        <w:drawing>
          <wp:inline xmlns:a="http://schemas.openxmlformats.org/drawingml/2006/main" xmlns:pic="http://schemas.openxmlformats.org/drawingml/2006/picture">
            <wp:extent cx="6083999" cy="3295499"/>
            <wp:docPr id="2" name="Picture 2"/>
            <wp:cNvGraphicFramePr>
              <a:graphicFrameLocks noChangeAspect="1"/>
            </wp:cNvGraphicFramePr>
            <a:graphic>
              <a:graphicData uri="http://schemas.openxmlformats.org/drawingml/2006/picture">
                <pic:pic>
                  <pic:nvPicPr>
                    <pic:cNvPr id="0" name="d2-responsibility.png"/>
                    <pic:cNvPicPr/>
                  </pic:nvPicPr>
                  <pic:blipFill>
                    <a:blip r:embed="rId12"/>
                    <a:stretch>
                      <a:fillRect/>
                    </a:stretch>
                  </pic:blipFill>
                  <pic:spPr>
                    <a:xfrm>
                      <a:off x="0" y="0"/>
                      <a:ext cx="6083999" cy="3295499"/>
                    </a:xfrm>
                    <a:prstGeom prst="rect"/>
                  </pic:spPr>
                </pic:pic>
              </a:graphicData>
            </a:graphic>
          </wp:inline>
        </w:drawing>
      </w:r>
    </w:p>
    <w:p>
      <w:pPr>
        <w:spacing w:after="240"/>
      </w:pPr>
      <w:r>
        <w:rPr>
          <w:rFonts w:ascii="Calibri" w:hAnsi="Calibri"/>
          <w:i/>
          <w:color w:val="5B7288"/>
          <w:sz w:val="17"/>
        </w:rPr>
        <w:t>Figure 2. Responsibility split. Read the matrix by row when you need to know what your team owns, and by column when you need to know who to call at a given stage. Two teams can share work (A · R), but only one can be accountable.</w:t>
      </w:r>
    </w:p>
    <w:p>
      <w:r>
        <w:br w:type="page"/>
      </w:r>
    </w:p>
    <w:p>
      <w:pPr>
        <w:spacing w:after="20"/>
      </w:pPr>
      <w:r>
        <w:rPr>
          <w:rFonts w:ascii="Calibri" w:hAnsi="Calibri"/>
          <w:b/>
          <w:color w:val="1B4F86"/>
          <w:sz w:val="16"/>
        </w:rPr>
        <w:t>MODULE 1 · SECTION 4</w:t>
      </w:r>
    </w:p>
    <w:p>
      <w:pPr>
        <w:pStyle w:val="Heading1"/>
        <w:pBdr>
          <w:bottom w:val="single" w:sz="12" w:space="5" w:color="1B4F86"/>
        </w:pBdr>
        <w:spacing w:after="160"/>
      </w:pPr>
      <w:r>
        <w:rPr>
          <w:rFonts w:ascii="Calibri Light" w:hAnsi="Calibri Light"/>
          <w:b/>
          <w:color w:val="0F2B4C"/>
          <w:sz w:val="38"/>
        </w:rPr>
        <w:t>4  Module 1 — Preparation, discovery and source baseline</w:t>
      </w:r>
    </w:p>
    <w:p>
      <w:pPr>
        <w:spacing w:after="200"/>
      </w:pPr>
      <w:r>
        <w:rPr>
          <w:rFonts w:ascii="Calibri" w:hAnsi="Calibri"/>
          <w:i/>
          <w:color w:val="5B7288"/>
          <w:sz w:val="21"/>
        </w:rPr>
        <w:t>Everything validated later is validated against what is recorded here. A weak baseline produces a cutover full of unanswerable questions; a strong baseline turns every deviation into a five-minute lookup.</w:t>
      </w:r>
    </w:p>
    <w:p>
      <w:pPr>
        <w:pStyle w:val="Heading2"/>
        <w:pBdr>
          <w:bottom w:val="single" w:sz="6" w:space="3" w:color="E8EDF3"/>
        </w:pBdr>
      </w:pPr>
      <w:r>
        <w:rPr>
          <w:rFonts w:ascii="Calibri" w:hAnsi="Calibri"/>
          <w:b/>
          <w:color w:val="0F2B4C"/>
          <w:sz w:val="26"/>
        </w:rPr>
        <w:t>4.1  Preparation and discovery</w:t>
      </w:r>
    </w:p>
    <w:p>
      <w:pPr>
        <w:spacing w:after="40"/>
        <w:ind w:left="578" w:hanging="227"/>
      </w:pPr>
      <w:r>
        <w:rPr>
          <w:rFonts w:ascii="Calibri" w:hAnsi="Calibri"/>
          <w:b/>
          <w:color w:val="0F2B4C"/>
          <w:sz w:val="19"/>
        </w:rPr>
        <w:t xml:space="preserve">1.  </w:t>
      </w:r>
      <w:r>
        <w:rPr>
          <w:rFonts w:ascii="Calibri" w:hAnsi="Calibri"/>
          <w:b w:val="0"/>
          <w:i w:val="0"/>
          <w:color w:val="334E68"/>
          <w:sz w:val="19"/>
        </w:rPr>
        <w:t>Finalise the migration scope with the customer, in writing.</w:t>
      </w:r>
    </w:p>
    <w:p>
      <w:pPr>
        <w:spacing w:after="40"/>
        <w:ind w:left="578" w:hanging="227"/>
      </w:pPr>
      <w:r>
        <w:rPr>
          <w:rFonts w:ascii="Calibri" w:hAnsi="Calibri"/>
          <w:b/>
          <w:color w:val="0F2B4C"/>
          <w:sz w:val="19"/>
        </w:rPr>
        <w:t xml:space="preserve">2.  </w:t>
      </w:r>
      <w:r>
        <w:rPr>
          <w:rFonts w:ascii="Calibri" w:hAnsi="Calibri"/>
          <w:b w:val="0"/>
          <w:i w:val="0"/>
          <w:color w:val="334E68"/>
          <w:sz w:val="19"/>
        </w:rPr>
        <w:t>Identify the systems included in the migration (SIDs, landscape role, environment).</w:t>
      </w:r>
    </w:p>
    <w:p>
      <w:pPr>
        <w:spacing w:after="40"/>
        <w:ind w:left="578" w:hanging="227"/>
      </w:pPr>
      <w:r>
        <w:rPr>
          <w:rFonts w:ascii="Calibri" w:hAnsi="Calibri"/>
          <w:b/>
          <w:color w:val="0F2B4C"/>
          <w:sz w:val="19"/>
        </w:rPr>
        <w:t xml:space="preserve">3.  </w:t>
      </w:r>
      <w:r>
        <w:rPr>
          <w:rFonts w:ascii="Calibri" w:hAnsi="Calibri"/>
          <w:b w:val="0"/>
          <w:i w:val="0"/>
          <w:color w:val="334E68"/>
          <w:sz w:val="19"/>
        </w:rPr>
        <w:t>Verify AWS account availability and the target region.</w:t>
      </w:r>
    </w:p>
    <w:p>
      <w:pPr>
        <w:spacing w:after="40"/>
        <w:ind w:left="578" w:hanging="227"/>
      </w:pPr>
      <w:r>
        <w:rPr>
          <w:rFonts w:ascii="Calibri" w:hAnsi="Calibri"/>
          <w:b/>
          <w:color w:val="0F2B4C"/>
          <w:sz w:val="19"/>
        </w:rPr>
        <w:t xml:space="preserve">4.  </w:t>
      </w:r>
      <w:r>
        <w:rPr>
          <w:rFonts w:ascii="Calibri" w:hAnsi="Calibri"/>
          <w:b w:val="0"/>
          <w:i w:val="0"/>
          <w:color w:val="334E68"/>
          <w:sz w:val="19"/>
        </w:rPr>
        <w:t>Create or validate ServiceNow CMDB configuration items for each system.</w:t>
      </w:r>
    </w:p>
    <w:p>
      <w:pPr>
        <w:spacing w:after="40"/>
        <w:ind w:left="578" w:hanging="227"/>
      </w:pPr>
      <w:r>
        <w:rPr>
          <w:rFonts w:ascii="Calibri" w:hAnsi="Calibri"/>
          <w:b/>
          <w:color w:val="0F2B4C"/>
          <w:sz w:val="19"/>
        </w:rPr>
        <w:t xml:space="preserve">5.  </w:t>
      </w:r>
      <w:r>
        <w:rPr>
          <w:rFonts w:ascii="Calibri" w:hAnsi="Calibri"/>
          <w:b w:val="0"/>
          <w:i w:val="0"/>
          <w:color w:val="334E68"/>
          <w:sz w:val="19"/>
        </w:rPr>
        <w:t>Perform IP address analysis: current addressing, subnets, overlaps, static entries, host-file records.</w:t>
      </w:r>
    </w:p>
    <w:p>
      <w:pPr>
        <w:spacing w:after="40"/>
        <w:ind w:left="578" w:hanging="227"/>
      </w:pPr>
      <w:r>
        <w:rPr>
          <w:rFonts w:ascii="Calibri" w:hAnsi="Calibri"/>
          <w:b/>
          <w:color w:val="0F2B4C"/>
          <w:sz w:val="19"/>
        </w:rPr>
        <w:t xml:space="preserve">6.  </w:t>
      </w:r>
      <w:r>
        <w:rPr>
          <w:rFonts w:ascii="Calibri" w:hAnsi="Calibri"/>
          <w:b w:val="0"/>
          <w:i w:val="0"/>
          <w:color w:val="334E68"/>
          <w:sz w:val="19"/>
        </w:rPr>
        <w:t>Confirm SAP, OS/DB and AWS access for every engineer who will execute work — including privileged and third-party access.</w:t>
      </w:r>
    </w:p>
    <w:p>
      <w:pPr>
        <w:spacing w:after="40"/>
        <w:ind w:left="578" w:hanging="227"/>
      </w:pPr>
      <w:r>
        <w:rPr>
          <w:rFonts w:ascii="Calibri" w:hAnsi="Calibri"/>
          <w:b/>
          <w:color w:val="0F2B4C"/>
          <w:sz w:val="19"/>
        </w:rPr>
        <w:t xml:space="preserve">7.  </w:t>
      </w:r>
      <w:r>
        <w:rPr>
          <w:rFonts w:ascii="Calibri" w:hAnsi="Calibri"/>
          <w:b w:val="0"/>
          <w:i w:val="0"/>
          <w:color w:val="334E68"/>
          <w:sz w:val="19"/>
        </w:rPr>
        <w:t>Collect source system and database parameters.</w:t>
      </w:r>
    </w:p>
    <w:p>
      <w:pPr>
        <w:spacing w:before="180" w:after="40"/>
        <w:shd w:val="clear" w:color="auto" w:fill="FFFDF5"/>
        <w:pBdr>
          <w:left w:val="single" w:sz="6" w:space="6" w:color="D9A520"/>
          <w:top w:val="single" w:sz="6" w:space="6" w:color="D9A520"/>
          <w:right w:val="single" w:sz="6" w:space="6" w:color="D9A520"/>
        </w:pBdr>
        <w:keepNext/>
      </w:pPr>
      <w:r>
        <w:rPr>
          <w:rFonts w:ascii="Calibri" w:hAnsi="Calibri"/>
          <w:b/>
          <w:color w:val="D9A520"/>
          <w:sz w:val="16"/>
        </w:rPr>
        <w:t>ACCESS IS THE MOST COMMON SILENT DELAY</w:t>
      </w:r>
    </w:p>
    <w:p>
      <w:pPr>
        <w:spacing w:after="40"/>
        <w:ind w:left="170"/>
        <w:shd w:val="clear" w:color="auto" w:fill="FFFDF5"/>
        <w:pBdr>
          <w:left w:val="single" w:sz="6" w:space="6" w:color="D9A520"/>
          <w:bottom w:val="single" w:sz="6" w:space="6" w:color="D9A520"/>
          <w:right w:val="single" w:sz="6" w:space="6" w:color="D9A520"/>
        </w:pBdr>
      </w:pPr>
      <w:r>
        <w:rPr>
          <w:rFonts w:ascii="Calibri" w:hAnsi="Calibri"/>
          <w:b w:val="0"/>
          <w:i w:val="0"/>
          <w:color w:val="334E68"/>
          <w:sz w:val="18"/>
        </w:rPr>
        <w:t>Access requests that are raised in the cutover week arrive after the window. Raise SAP, OS, database, AWS, middleware and third-party interface credentials during preparation, and confirm each one by actually logging in — not by receiving a ticket closure.</w:t>
      </w:r>
    </w:p>
    <w:p>
      <w:pPr>
        <w:pStyle w:val="Heading2"/>
        <w:pBdr>
          <w:bottom w:val="single" w:sz="6" w:space="3" w:color="E8EDF3"/>
        </w:pBdr>
      </w:pPr>
      <w:r>
        <w:rPr>
          <w:rFonts w:ascii="Calibri" w:hAnsi="Calibri"/>
          <w:b/>
          <w:color w:val="0F2B4C"/>
          <w:sz w:val="26"/>
        </w:rPr>
        <w:t>4.2  Source sizing and workload</w:t>
      </w:r>
    </w:p>
    <w:p>
      <w:pPr>
        <w:spacing w:after="40"/>
        <w:ind w:left="351" w:hanging="227"/>
      </w:pPr>
      <w:r>
        <w:rPr>
          <w:rFonts w:ascii="Calibri" w:hAnsi="Calibri"/>
          <w:b/>
          <w:color w:val="1B4F86"/>
          <w:sz w:val="19"/>
        </w:rPr>
        <w:t xml:space="preserve">▪  </w:t>
      </w:r>
      <w:r>
        <w:rPr>
          <w:rFonts w:ascii="Calibri" w:hAnsi="Calibri"/>
          <w:b w:val="0"/>
          <w:i w:val="0"/>
          <w:color w:val="334E68"/>
          <w:sz w:val="19"/>
        </w:rPr>
        <w:t>Sizing considers CPU, memory, server configuration, instance type and source-to-target mapping.</w:t>
      </w:r>
    </w:p>
    <w:p>
      <w:pPr>
        <w:spacing w:after="40"/>
        <w:ind w:left="351" w:hanging="227"/>
      </w:pPr>
      <w:r>
        <w:rPr>
          <w:rFonts w:ascii="Calibri" w:hAnsi="Calibri"/>
          <w:b/>
          <w:color w:val="1B4F86"/>
          <w:sz w:val="19"/>
        </w:rPr>
        <w:t xml:space="preserve">▪  </w:t>
      </w:r>
      <w:r>
        <w:rPr>
          <w:rFonts w:ascii="Calibri" w:hAnsi="Calibri"/>
          <w:b w:val="0"/>
          <w:i w:val="0"/>
          <w:color w:val="334E68"/>
          <w:sz w:val="19"/>
        </w:rPr>
        <w:t xml:space="preserve">The migration team </w:t>
      </w:r>
      <w:r>
        <w:rPr>
          <w:rFonts w:ascii="Calibri" w:hAnsi="Calibri"/>
          <w:b/>
          <w:i w:val="0"/>
          <w:color w:val="334E68"/>
          <w:sz w:val="19"/>
        </w:rPr>
        <w:t>consumes</w:t>
      </w:r>
      <w:r>
        <w:rPr>
          <w:rFonts w:ascii="Calibri" w:hAnsi="Calibri"/>
          <w:b w:val="0"/>
          <w:i w:val="0"/>
          <w:color w:val="334E68"/>
          <w:sz w:val="19"/>
        </w:rPr>
        <w:t xml:space="preserve"> the approved sizing report for target planning and validation — it does not create or re-derive it.</w:t>
      </w:r>
    </w:p>
    <w:p>
      <w:pPr>
        <w:spacing w:after="40"/>
        <w:ind w:left="351" w:hanging="227"/>
      </w:pPr>
      <w:r>
        <w:rPr>
          <w:rFonts w:ascii="Calibri" w:hAnsi="Calibri"/>
          <w:b/>
          <w:color w:val="1B4F86"/>
          <w:sz w:val="19"/>
        </w:rPr>
        <w:t xml:space="preserve">▪  </w:t>
      </w:r>
      <w:r>
        <w:rPr>
          <w:rFonts w:ascii="Consolas" w:hAnsi="Consolas"/>
          <w:b w:val="0"/>
          <w:i w:val="0"/>
          <w:color w:val="123A63"/>
          <w:sz w:val="19"/>
          <w:shd w:val="clear" w:color="auto" w:fill="EEF2F7"/>
        </w:rPr>
        <w:t>ST03</w:t>
      </w:r>
      <w:r>
        <w:rPr>
          <w:rFonts w:ascii="Calibri" w:hAnsi="Calibri"/>
          <w:b w:val="0"/>
          <w:i w:val="0"/>
          <w:color w:val="334E68"/>
          <w:sz w:val="19"/>
        </w:rPr>
        <w:t xml:space="preserve"> / </w:t>
      </w:r>
      <w:r>
        <w:rPr>
          <w:rFonts w:ascii="Consolas" w:hAnsi="Consolas"/>
          <w:b w:val="0"/>
          <w:i w:val="0"/>
          <w:color w:val="123A63"/>
          <w:sz w:val="19"/>
          <w:shd w:val="clear" w:color="auto" w:fill="EEF2F7"/>
        </w:rPr>
        <w:t>ST03N</w:t>
      </w:r>
      <w:r>
        <w:rPr>
          <w:rFonts w:ascii="Calibri" w:hAnsi="Calibri"/>
          <w:b w:val="0"/>
          <w:i w:val="0"/>
          <w:color w:val="334E68"/>
          <w:sz w:val="19"/>
        </w:rPr>
        <w:t xml:space="preserve"> is used for workload analysis, particularly for production systems.</w:t>
      </w:r>
    </w:p>
    <w:p>
      <w:pPr>
        <w:spacing w:after="40"/>
        <w:ind w:left="351" w:hanging="227"/>
      </w:pPr>
      <w:r>
        <w:rPr>
          <w:rFonts w:ascii="Calibri" w:hAnsi="Calibri"/>
          <w:b/>
          <w:color w:val="1B4F86"/>
          <w:sz w:val="19"/>
        </w:rPr>
        <w:t xml:space="preserve">▪  </w:t>
      </w:r>
      <w:r>
        <w:rPr>
          <w:rFonts w:ascii="Calibri" w:hAnsi="Calibri"/>
          <w:b w:val="0"/>
          <w:i w:val="0"/>
          <w:color w:val="334E68"/>
          <w:sz w:val="19"/>
        </w:rPr>
        <w:t>Workload information provides the context for post-migration performance comparison: without it, “the system feels slower” cannot be resolved.</w:t>
      </w:r>
    </w:p>
    <w:p>
      <w:pPr>
        <w:spacing w:after="60" w:before="160"/>
        <w:keepNext/>
      </w:pPr>
      <w:r>
        <w:rPr>
          <w:rFonts w:ascii="Calibri" w:hAnsi="Calibri"/>
          <w:b/>
          <w:color w:val="5B7288"/>
          <w:sz w:val="15"/>
        </w:rPr>
        <w:t>SIZING INPUTS CONSUMED BY THE MIGRATION TEAM</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120"/>
        <w:gridCol w:w="3855"/>
        <w:gridCol w:w="3662"/>
      </w:tblGrid>
      <w:tr>
        <w:trPr>
          <w:tblHeader/>
          <w:cantSplit/>
        </w:trPr>
        <w:tc>
          <w:tcPr>
            <w:tcW w:type="dxa" w:w="2120"/>
            <w:shd w:val="clear" w:color="auto" w:fill="0F2B4C"/>
          </w:tcPr>
          <w:p>
            <w:pPr>
              <w:spacing w:after="20" w:before="20"/>
            </w:pPr>
            <w:r/>
            <w:r>
              <w:rPr>
                <w:rFonts w:ascii="Calibri" w:hAnsi="Calibri"/>
                <w:b/>
                <w:color w:val="FFFFFF"/>
                <w:sz w:val="17"/>
              </w:rPr>
              <w:t>Sizing input</w:t>
            </w:r>
          </w:p>
        </w:tc>
        <w:tc>
          <w:tcPr>
            <w:tcW w:type="dxa" w:w="3855"/>
            <w:shd w:val="clear" w:color="auto" w:fill="0F2B4C"/>
          </w:tcPr>
          <w:p>
            <w:pPr>
              <w:spacing w:after="20" w:before="20"/>
            </w:pPr>
            <w:r/>
            <w:r>
              <w:rPr>
                <w:rFonts w:ascii="Calibri" w:hAnsi="Calibri"/>
                <w:b/>
                <w:color w:val="FFFFFF"/>
                <w:sz w:val="17"/>
              </w:rPr>
              <w:t>What to capture</w:t>
            </w:r>
          </w:p>
        </w:tc>
        <w:tc>
          <w:tcPr>
            <w:tcW w:type="dxa" w:w="3662"/>
            <w:shd w:val="clear" w:color="auto" w:fill="0F2B4C"/>
          </w:tcPr>
          <w:p>
            <w:pPr>
              <w:spacing w:after="20" w:before="20"/>
            </w:pPr>
            <w:r/>
            <w:r>
              <w:rPr>
                <w:rFonts w:ascii="Calibri" w:hAnsi="Calibri"/>
                <w:b/>
                <w:color w:val="FFFFFF"/>
                <w:sz w:val="17"/>
              </w:rPr>
              <w:t>Why it matters later</w:t>
            </w:r>
          </w:p>
        </w:tc>
      </w:tr>
      <w:tr>
        <w:trPr>
          <w:cantSplit/>
        </w:trPr>
        <w:tc>
          <w:tcPr>
            <w:tcW w:type="dxa" w:w="2120"/>
          </w:tcPr>
          <w:p>
            <w:pPr>
              <w:spacing w:after="20" w:before="20"/>
            </w:pPr>
            <w:r/>
            <w:r>
              <w:rPr>
                <w:rFonts w:ascii="Calibri" w:hAnsi="Calibri"/>
                <w:b/>
                <w:i w:val="0"/>
                <w:color w:val="334E68"/>
                <w:sz w:val="17"/>
              </w:rPr>
              <w:t>CPU and memory</w:t>
            </w:r>
          </w:p>
        </w:tc>
        <w:tc>
          <w:tcPr>
            <w:tcW w:type="dxa" w:w="3855"/>
          </w:tcPr>
          <w:p>
            <w:pPr>
              <w:spacing w:after="20" w:before="20"/>
            </w:pPr>
            <w:r/>
            <w:r>
              <w:rPr>
                <w:rFonts w:ascii="Calibri" w:hAnsi="Calibri"/>
                <w:b w:val="0"/>
                <w:i w:val="0"/>
                <w:color w:val="334E68"/>
                <w:sz w:val="17"/>
              </w:rPr>
              <w:t>Current configuration, peak and average utilisation</w:t>
            </w:r>
          </w:p>
        </w:tc>
        <w:tc>
          <w:tcPr>
            <w:tcW w:type="dxa" w:w="3662"/>
          </w:tcPr>
          <w:p>
            <w:pPr>
              <w:spacing w:after="20" w:before="20"/>
            </w:pPr>
            <w:r/>
            <w:r>
              <w:rPr>
                <w:rFonts w:ascii="Calibri" w:hAnsi="Calibri"/>
                <w:b w:val="0"/>
                <w:i w:val="0"/>
                <w:color w:val="334E68"/>
                <w:sz w:val="17"/>
              </w:rPr>
              <w:t>Confirms the target instance type is not undersized</w:t>
            </w:r>
          </w:p>
        </w:tc>
      </w:tr>
      <w:tr>
        <w:trPr>
          <w:cantSplit/>
        </w:trPr>
        <w:tc>
          <w:tcPr>
            <w:tcW w:type="dxa" w:w="2120"/>
            <w:shd w:val="clear" w:color="auto" w:fill="FAFBFD"/>
          </w:tcPr>
          <w:p>
            <w:pPr>
              <w:spacing w:after="20" w:before="20"/>
            </w:pPr>
            <w:r/>
            <w:r>
              <w:rPr>
                <w:rFonts w:ascii="Calibri" w:hAnsi="Calibri"/>
                <w:b/>
                <w:i w:val="0"/>
                <w:color w:val="334E68"/>
                <w:sz w:val="17"/>
              </w:rPr>
              <w:t>Server configuration</w:t>
            </w:r>
          </w:p>
        </w:tc>
        <w:tc>
          <w:tcPr>
            <w:tcW w:type="dxa" w:w="3855"/>
            <w:shd w:val="clear" w:color="auto" w:fill="FAFBFD"/>
          </w:tcPr>
          <w:p>
            <w:pPr>
              <w:spacing w:after="20" w:before="20"/>
            </w:pPr>
            <w:r/>
            <w:r>
              <w:rPr>
                <w:rFonts w:ascii="Calibri" w:hAnsi="Calibri"/>
                <w:b w:val="0"/>
                <w:i w:val="0"/>
                <w:color w:val="334E68"/>
                <w:sz w:val="17"/>
              </w:rPr>
              <w:t>Host type, physical or virtual, cluster membership</w:t>
            </w:r>
          </w:p>
        </w:tc>
        <w:tc>
          <w:tcPr>
            <w:tcW w:type="dxa" w:w="3662"/>
            <w:shd w:val="clear" w:color="auto" w:fill="FAFBFD"/>
          </w:tcPr>
          <w:p>
            <w:pPr>
              <w:spacing w:after="20" w:before="20"/>
            </w:pPr>
            <w:r/>
            <w:r>
              <w:rPr>
                <w:rFonts w:ascii="Calibri" w:hAnsi="Calibri"/>
                <w:b w:val="0"/>
                <w:i w:val="0"/>
                <w:color w:val="334E68"/>
                <w:sz w:val="17"/>
              </w:rPr>
              <w:t>Drives HA design and licensing implications</w:t>
            </w:r>
          </w:p>
        </w:tc>
      </w:tr>
      <w:tr>
        <w:trPr>
          <w:cantSplit/>
        </w:trPr>
        <w:tc>
          <w:tcPr>
            <w:tcW w:type="dxa" w:w="2120"/>
          </w:tcPr>
          <w:p>
            <w:pPr>
              <w:spacing w:after="20" w:before="20"/>
            </w:pPr>
            <w:r/>
            <w:r>
              <w:rPr>
                <w:rFonts w:ascii="Calibri" w:hAnsi="Calibri"/>
                <w:b/>
                <w:i w:val="0"/>
                <w:color w:val="334E68"/>
                <w:sz w:val="17"/>
              </w:rPr>
              <w:t>Instance type mapping</w:t>
            </w:r>
          </w:p>
        </w:tc>
        <w:tc>
          <w:tcPr>
            <w:tcW w:type="dxa" w:w="3855"/>
          </w:tcPr>
          <w:p>
            <w:pPr>
              <w:spacing w:after="20" w:before="20"/>
            </w:pPr>
            <w:r/>
            <w:r>
              <w:rPr>
                <w:rFonts w:ascii="Calibri" w:hAnsi="Calibri"/>
                <w:b w:val="0"/>
                <w:i w:val="0"/>
                <w:color w:val="334E68"/>
                <w:sz w:val="17"/>
              </w:rPr>
              <w:t>Source host → target EC2/instance type</w:t>
            </w:r>
          </w:p>
        </w:tc>
        <w:tc>
          <w:tcPr>
            <w:tcW w:type="dxa" w:w="3662"/>
          </w:tcPr>
          <w:p>
            <w:pPr>
              <w:spacing w:after="20" w:before="20"/>
            </w:pPr>
            <w:r/>
            <w:r>
              <w:rPr>
                <w:rFonts w:ascii="Calibri" w:hAnsi="Calibri"/>
                <w:b w:val="0"/>
                <w:i w:val="0"/>
                <w:color w:val="334E68"/>
                <w:sz w:val="17"/>
              </w:rPr>
              <w:t>Becomes the build sheet and the validation reference</w:t>
            </w:r>
          </w:p>
        </w:tc>
      </w:tr>
      <w:tr>
        <w:trPr>
          <w:cantSplit/>
        </w:trPr>
        <w:tc>
          <w:tcPr>
            <w:tcW w:type="dxa" w:w="2120"/>
            <w:shd w:val="clear" w:color="auto" w:fill="FAFBFD"/>
          </w:tcPr>
          <w:p>
            <w:pPr>
              <w:spacing w:after="20" w:before="20"/>
            </w:pPr>
            <w:r/>
            <w:r>
              <w:rPr>
                <w:rFonts w:ascii="Calibri" w:hAnsi="Calibri"/>
                <w:b/>
                <w:i w:val="0"/>
                <w:color w:val="334E68"/>
                <w:sz w:val="17"/>
              </w:rPr>
              <w:t>Database size and growth</w:t>
            </w:r>
          </w:p>
        </w:tc>
        <w:tc>
          <w:tcPr>
            <w:tcW w:type="dxa" w:w="3855"/>
            <w:shd w:val="clear" w:color="auto" w:fill="FAFBFD"/>
          </w:tcPr>
          <w:p>
            <w:pPr>
              <w:spacing w:after="20" w:before="20"/>
            </w:pPr>
            <w:r/>
            <w:r>
              <w:rPr>
                <w:rFonts w:ascii="Calibri" w:hAnsi="Calibri"/>
                <w:b w:val="0"/>
                <w:i w:val="0"/>
                <w:color w:val="334E68"/>
                <w:sz w:val="17"/>
              </w:rPr>
              <w:t>Data, log, archive, backup volumes and growth rate</w:t>
            </w:r>
          </w:p>
        </w:tc>
        <w:tc>
          <w:tcPr>
            <w:tcW w:type="dxa" w:w="3662"/>
            <w:shd w:val="clear" w:color="auto" w:fill="FAFBFD"/>
          </w:tcPr>
          <w:p>
            <w:pPr>
              <w:spacing w:after="20" w:before="20"/>
            </w:pPr>
            <w:r/>
            <w:r>
              <w:rPr>
                <w:rFonts w:ascii="Calibri" w:hAnsi="Calibri"/>
                <w:b w:val="0"/>
                <w:i w:val="0"/>
                <w:color w:val="334E68"/>
                <w:sz w:val="17"/>
              </w:rPr>
              <w:t>Sizes storage, snapshots and backup windows</w:t>
            </w:r>
          </w:p>
        </w:tc>
      </w:tr>
      <w:tr>
        <w:trPr>
          <w:cantSplit/>
        </w:trPr>
        <w:tc>
          <w:tcPr>
            <w:tcW w:type="dxa" w:w="2120"/>
          </w:tcPr>
          <w:p>
            <w:pPr>
              <w:spacing w:after="20" w:before="20"/>
            </w:pPr>
            <w:r/>
            <w:r>
              <w:rPr>
                <w:rFonts w:ascii="Calibri" w:hAnsi="Calibri"/>
                <w:b/>
                <w:i w:val="0"/>
                <w:color w:val="334E68"/>
                <w:sz w:val="17"/>
              </w:rPr>
              <w:t>Workload (ST03N)</w:t>
            </w:r>
          </w:p>
        </w:tc>
        <w:tc>
          <w:tcPr>
            <w:tcW w:type="dxa" w:w="3855"/>
          </w:tcPr>
          <w:p>
            <w:pPr>
              <w:spacing w:after="20" w:before="20"/>
            </w:pPr>
            <w:r/>
            <w:r>
              <w:rPr>
                <w:rFonts w:ascii="Calibri" w:hAnsi="Calibri"/>
                <w:b w:val="0"/>
                <w:i w:val="0"/>
                <w:color w:val="334E68"/>
                <w:sz w:val="17"/>
              </w:rPr>
              <w:t>Dialog, batch and interface load by hour/day</w:t>
            </w:r>
          </w:p>
        </w:tc>
        <w:tc>
          <w:tcPr>
            <w:tcW w:type="dxa" w:w="3662"/>
          </w:tcPr>
          <w:p>
            <w:pPr>
              <w:spacing w:after="20" w:before="20"/>
            </w:pPr>
            <w:r/>
            <w:r>
              <w:rPr>
                <w:rFonts w:ascii="Calibri" w:hAnsi="Calibri"/>
                <w:b w:val="0"/>
                <w:i w:val="0"/>
                <w:color w:val="334E68"/>
                <w:sz w:val="17"/>
              </w:rPr>
              <w:t>Sets the performance baseline for comparison after migration</w:t>
            </w:r>
          </w:p>
        </w:tc>
      </w:tr>
      <w:tr>
        <w:trPr>
          <w:cantSplit/>
        </w:trPr>
        <w:tc>
          <w:tcPr>
            <w:tcW w:type="dxa" w:w="2120"/>
            <w:shd w:val="clear" w:color="auto" w:fill="FAFBFD"/>
          </w:tcPr>
          <w:p>
            <w:pPr>
              <w:spacing w:after="20" w:before="20"/>
            </w:pPr>
            <w:r/>
            <w:r>
              <w:rPr>
                <w:rFonts w:ascii="Calibri" w:hAnsi="Calibri"/>
                <w:b/>
                <w:i w:val="0"/>
                <w:color w:val="334E68"/>
                <w:sz w:val="17"/>
              </w:rPr>
              <w:t>Peak patterns</w:t>
            </w:r>
          </w:p>
        </w:tc>
        <w:tc>
          <w:tcPr>
            <w:tcW w:type="dxa" w:w="3855"/>
            <w:shd w:val="clear" w:color="auto" w:fill="FAFBFD"/>
          </w:tcPr>
          <w:p>
            <w:pPr>
              <w:spacing w:after="20" w:before="20"/>
            </w:pPr>
            <w:r/>
            <w:r>
              <w:rPr>
                <w:rFonts w:ascii="Calibri" w:hAnsi="Calibri"/>
                <w:b w:val="0"/>
                <w:i w:val="0"/>
                <w:color w:val="334E68"/>
                <w:sz w:val="17"/>
              </w:rPr>
              <w:t>Month-end, batch windows, integration peaks</w:t>
            </w:r>
          </w:p>
        </w:tc>
        <w:tc>
          <w:tcPr>
            <w:tcW w:type="dxa" w:w="3662"/>
            <w:shd w:val="clear" w:color="auto" w:fill="FAFBFD"/>
          </w:tcPr>
          <w:p>
            <w:pPr>
              <w:spacing w:after="20" w:before="20"/>
            </w:pPr>
            <w:r/>
            <w:r>
              <w:rPr>
                <w:rFonts w:ascii="Calibri" w:hAnsi="Calibri"/>
                <w:b w:val="0"/>
                <w:i w:val="0"/>
                <w:color w:val="334E68"/>
                <w:sz w:val="17"/>
              </w:rPr>
              <w:t>Determines when cutover is safe and what to re-measure</w:t>
            </w:r>
          </w:p>
        </w:tc>
      </w:tr>
    </w:tbl>
    <w:p>
      <w:pPr>
        <w:spacing w:after="40"/>
      </w:pPr>
    </w:p>
    <w:p>
      <w:pPr>
        <w:pStyle w:val="Heading2"/>
        <w:pBdr>
          <w:bottom w:val="single" w:sz="6" w:space="3" w:color="E8EDF3"/>
        </w:pBdr>
      </w:pPr>
      <w:r>
        <w:rPr>
          <w:rFonts w:ascii="Calibri" w:hAnsi="Calibri"/>
          <w:b/>
          <w:color w:val="0F2B4C"/>
          <w:sz w:val="26"/>
        </w:rPr>
        <w:t>4.3  Inventory and external dependencies</w:t>
      </w:r>
    </w:p>
    <w:p>
      <w:pPr>
        <w:spacing w:after="60" w:before="160"/>
        <w:keepNext/>
      </w:pPr>
      <w:r>
        <w:rPr>
          <w:rFonts w:ascii="Calibri" w:hAnsi="Calibri"/>
          <w:b/>
          <w:color w:val="5B7288"/>
          <w:sz w:val="15"/>
        </w:rPr>
        <w:t>SOURCE INVENTORY CONTENT</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120"/>
        <w:gridCol w:w="7517"/>
      </w:tblGrid>
      <w:tr>
        <w:trPr>
          <w:tblHeader/>
          <w:cantSplit/>
        </w:trPr>
        <w:tc>
          <w:tcPr>
            <w:tcW w:type="dxa" w:w="2120"/>
            <w:shd w:val="clear" w:color="auto" w:fill="0F2B4C"/>
          </w:tcPr>
          <w:p>
            <w:pPr>
              <w:spacing w:after="20" w:before="20"/>
            </w:pPr>
            <w:r/>
            <w:r>
              <w:rPr>
                <w:rFonts w:ascii="Calibri" w:hAnsi="Calibri"/>
                <w:b/>
                <w:color w:val="FFFFFF"/>
                <w:sz w:val="17"/>
              </w:rPr>
              <w:t>Inventory item</w:t>
            </w:r>
          </w:p>
        </w:tc>
        <w:tc>
          <w:tcPr>
            <w:tcW w:type="dxa" w:w="7517"/>
            <w:shd w:val="clear" w:color="auto" w:fill="0F2B4C"/>
          </w:tcPr>
          <w:p>
            <w:pPr>
              <w:spacing w:after="20" w:before="20"/>
            </w:pPr>
            <w:r/>
            <w:r>
              <w:rPr>
                <w:rFonts w:ascii="Calibri" w:hAnsi="Calibri"/>
                <w:b/>
                <w:color w:val="FFFFFF"/>
                <w:sz w:val="17"/>
              </w:rPr>
              <w:t>Detail to record</w:t>
            </w:r>
          </w:p>
        </w:tc>
      </w:tr>
      <w:tr>
        <w:trPr>
          <w:cantSplit/>
        </w:trPr>
        <w:tc>
          <w:tcPr>
            <w:tcW w:type="dxa" w:w="2120"/>
          </w:tcPr>
          <w:p>
            <w:pPr>
              <w:spacing w:after="20" w:before="20"/>
            </w:pPr>
            <w:r/>
            <w:r>
              <w:rPr>
                <w:rFonts w:ascii="Calibri" w:hAnsi="Calibri"/>
                <w:b/>
                <w:i w:val="0"/>
                <w:color w:val="334E68"/>
                <w:sz w:val="17"/>
              </w:rPr>
              <w:t>Identity</w:t>
            </w:r>
          </w:p>
        </w:tc>
        <w:tc>
          <w:tcPr>
            <w:tcW w:type="dxa" w:w="7517"/>
          </w:tcPr>
          <w:p>
            <w:pPr>
              <w:spacing w:after="20" w:before="20"/>
            </w:pPr>
            <w:r/>
            <w:r>
              <w:rPr>
                <w:rFonts w:ascii="Calibri" w:hAnsi="Calibri"/>
                <w:b w:val="0"/>
                <w:i w:val="0"/>
                <w:color w:val="334E68"/>
                <w:sz w:val="17"/>
              </w:rPr>
              <w:t>Hostname, IP address, CMDB CI number, SID, environment</w:t>
            </w:r>
          </w:p>
        </w:tc>
      </w:tr>
      <w:tr>
        <w:trPr>
          <w:cantSplit/>
        </w:trPr>
        <w:tc>
          <w:tcPr>
            <w:tcW w:type="dxa" w:w="2120"/>
            <w:shd w:val="clear" w:color="auto" w:fill="FAFBFD"/>
          </w:tcPr>
          <w:p>
            <w:pPr>
              <w:spacing w:after="20" w:before="20"/>
            </w:pPr>
            <w:r/>
            <w:r>
              <w:rPr>
                <w:rFonts w:ascii="Calibri" w:hAnsi="Calibri"/>
                <w:b/>
                <w:i w:val="0"/>
                <w:color w:val="334E68"/>
                <w:sz w:val="17"/>
              </w:rPr>
              <w:t>Software</w:t>
            </w:r>
          </w:p>
        </w:tc>
        <w:tc>
          <w:tcPr>
            <w:tcW w:type="dxa" w:w="7517"/>
            <w:shd w:val="clear" w:color="auto" w:fill="FAFBFD"/>
          </w:tcPr>
          <w:p>
            <w:pPr>
              <w:spacing w:after="20" w:before="20"/>
            </w:pPr>
            <w:r/>
            <w:r>
              <w:rPr>
                <w:rFonts w:ascii="Calibri" w:hAnsi="Calibri"/>
                <w:b w:val="0"/>
                <w:i w:val="0"/>
                <w:color w:val="334E68"/>
                <w:sz w:val="17"/>
              </w:rPr>
              <w:t>Kernel version and patch level, database type and version, NetWeaver / SAP_BASIS release, SP level</w:t>
            </w:r>
          </w:p>
        </w:tc>
      </w:tr>
      <w:tr>
        <w:trPr>
          <w:cantSplit/>
        </w:trPr>
        <w:tc>
          <w:tcPr>
            <w:tcW w:type="dxa" w:w="2120"/>
          </w:tcPr>
          <w:p>
            <w:pPr>
              <w:spacing w:after="20" w:before="20"/>
            </w:pPr>
            <w:r/>
            <w:r>
              <w:rPr>
                <w:rFonts w:ascii="Calibri" w:hAnsi="Calibri"/>
                <w:b/>
                <w:i w:val="0"/>
                <w:color w:val="334E68"/>
                <w:sz w:val="17"/>
              </w:rPr>
              <w:t>External agents</w:t>
            </w:r>
          </w:p>
        </w:tc>
        <w:tc>
          <w:tcPr>
            <w:tcW w:type="dxa" w:w="7517"/>
          </w:tcPr>
          <w:p>
            <w:pPr>
              <w:spacing w:after="20" w:before="20"/>
            </w:pPr>
            <w:r/>
            <w:r>
              <w:rPr>
                <w:rFonts w:ascii="Calibri" w:hAnsi="Calibri"/>
                <w:b w:val="0"/>
                <w:i w:val="0"/>
                <w:color w:val="334E68"/>
                <w:sz w:val="17"/>
              </w:rPr>
              <w:t>Control-M, NetBackup, OEM/OBM and any other monitoring, scheduling or backup agent installed on the host</w:t>
            </w:r>
          </w:p>
        </w:tc>
      </w:tr>
      <w:tr>
        <w:trPr>
          <w:cantSplit/>
        </w:trPr>
        <w:tc>
          <w:tcPr>
            <w:tcW w:type="dxa" w:w="2120"/>
            <w:shd w:val="clear" w:color="auto" w:fill="FAFBFD"/>
          </w:tcPr>
          <w:p>
            <w:pPr>
              <w:spacing w:after="20" w:before="20"/>
            </w:pPr>
            <w:r/>
            <w:r>
              <w:rPr>
                <w:rFonts w:ascii="Calibri" w:hAnsi="Calibri"/>
                <w:b/>
                <w:i w:val="0"/>
                <w:color w:val="334E68"/>
                <w:sz w:val="17"/>
              </w:rPr>
              <w:t>Credentials</w:t>
            </w:r>
          </w:p>
        </w:tc>
        <w:tc>
          <w:tcPr>
            <w:tcW w:type="dxa" w:w="7517"/>
            <w:shd w:val="clear" w:color="auto" w:fill="FAFBFD"/>
          </w:tcPr>
          <w:p>
            <w:pPr>
              <w:spacing w:after="20" w:before="20"/>
            </w:pPr>
            <w:r/>
            <w:r>
              <w:rPr>
                <w:rFonts w:ascii="Calibri" w:hAnsi="Calibri"/>
                <w:b w:val="0"/>
                <w:i w:val="0"/>
                <w:color w:val="334E68"/>
                <w:sz w:val="17"/>
              </w:rPr>
              <w:t>OS, database, Oracle and Oracle Wallet credentials identified through approved processes (never shared by email or chat)</w:t>
            </w:r>
          </w:p>
        </w:tc>
      </w:tr>
      <w:tr>
        <w:trPr>
          <w:cantSplit/>
        </w:trPr>
        <w:tc>
          <w:tcPr>
            <w:tcW w:type="dxa" w:w="2120"/>
          </w:tcPr>
          <w:p>
            <w:pPr>
              <w:spacing w:after="20" w:before="20"/>
            </w:pPr>
            <w:r/>
            <w:r>
              <w:rPr>
                <w:rFonts w:ascii="Calibri" w:hAnsi="Calibri"/>
                <w:b/>
                <w:i w:val="0"/>
                <w:color w:val="334E68"/>
                <w:sz w:val="17"/>
              </w:rPr>
              <w:t>NFS dependencies</w:t>
            </w:r>
          </w:p>
        </w:tc>
        <w:tc>
          <w:tcPr>
            <w:tcW w:type="dxa" w:w="7517"/>
          </w:tcPr>
          <w:p>
            <w:pPr>
              <w:spacing w:after="20" w:before="20"/>
            </w:pPr>
            <w:r/>
            <w:r>
              <w:rPr>
                <w:rFonts w:ascii="Calibri" w:hAnsi="Calibri"/>
                <w:b w:val="0"/>
                <w:i w:val="0"/>
                <w:color w:val="334E68"/>
                <w:sz w:val="17"/>
              </w:rPr>
              <w:t>Every NFS mount: export host, path, purpose, consumer. Decide per share whether it is maintained/copied or migrated to AWS EFS</w:t>
            </w:r>
          </w:p>
        </w:tc>
      </w:tr>
      <w:tr>
        <w:trPr>
          <w:cantSplit/>
        </w:trPr>
        <w:tc>
          <w:tcPr>
            <w:tcW w:type="dxa" w:w="2120"/>
            <w:shd w:val="clear" w:color="auto" w:fill="FAFBFD"/>
          </w:tcPr>
          <w:p>
            <w:pPr>
              <w:spacing w:after="20" w:before="20"/>
            </w:pPr>
            <w:r/>
            <w:r>
              <w:rPr>
                <w:rFonts w:ascii="Calibri" w:hAnsi="Calibri"/>
                <w:b/>
                <w:i w:val="0"/>
                <w:color w:val="334E68"/>
                <w:sz w:val="17"/>
              </w:rPr>
              <w:t>AL11 directories</w:t>
            </w:r>
          </w:p>
        </w:tc>
        <w:tc>
          <w:tcPr>
            <w:tcW w:type="dxa" w:w="7517"/>
            <w:shd w:val="clear" w:color="auto" w:fill="FAFBFD"/>
          </w:tcPr>
          <w:p>
            <w:pPr>
              <w:spacing w:after="20" w:before="20"/>
            </w:pPr>
            <w:r/>
            <w:r>
              <w:rPr>
                <w:rFonts w:ascii="Calibri" w:hAnsi="Calibri"/>
                <w:b w:val="0"/>
                <w:i w:val="0"/>
                <w:color w:val="334E68"/>
                <w:sz w:val="17"/>
              </w:rPr>
              <w:t>Directory state before migration — which SAP directories exist, what they contain, which are custom</w:t>
            </w:r>
          </w:p>
        </w:tc>
      </w:tr>
      <w:tr>
        <w:trPr>
          <w:cantSplit/>
        </w:trPr>
        <w:tc>
          <w:tcPr>
            <w:tcW w:type="dxa" w:w="2120"/>
          </w:tcPr>
          <w:p>
            <w:pPr>
              <w:spacing w:after="20" w:before="20"/>
            </w:pPr>
            <w:r/>
            <w:r>
              <w:rPr>
                <w:rFonts w:ascii="Calibri" w:hAnsi="Calibri"/>
                <w:b/>
                <w:i w:val="0"/>
                <w:color w:val="334E68"/>
                <w:sz w:val="17"/>
              </w:rPr>
              <w:t>Certificates and keys</w:t>
            </w:r>
          </w:p>
        </w:tc>
        <w:tc>
          <w:tcPr>
            <w:tcW w:type="dxa" w:w="7517"/>
          </w:tcPr>
          <w:p>
            <w:pPr>
              <w:spacing w:after="20" w:before="20"/>
            </w:pPr>
            <w:r/>
            <w:r>
              <w:rPr>
                <w:rFonts w:ascii="Calibri" w:hAnsi="Calibri"/>
                <w:b w:val="0"/>
                <w:i w:val="0"/>
                <w:color w:val="334E68"/>
                <w:sz w:val="17"/>
              </w:rPr>
              <w:t>SNC, SSL/TLS, PSE files, keystores, wallet locations and expiry dates</w:t>
            </w:r>
          </w:p>
        </w:tc>
      </w:tr>
      <w:tr>
        <w:trPr>
          <w:cantSplit/>
        </w:trPr>
        <w:tc>
          <w:tcPr>
            <w:tcW w:type="dxa" w:w="2120"/>
            <w:shd w:val="clear" w:color="auto" w:fill="FAFBFD"/>
          </w:tcPr>
          <w:p>
            <w:pPr>
              <w:spacing w:after="20" w:before="20"/>
            </w:pPr>
            <w:r/>
            <w:r>
              <w:rPr>
                <w:rFonts w:ascii="Calibri" w:hAnsi="Calibri"/>
                <w:b/>
                <w:i w:val="0"/>
                <w:color w:val="334E68"/>
                <w:sz w:val="17"/>
              </w:rPr>
              <w:t>Jobs and scheduling</w:t>
            </w:r>
          </w:p>
        </w:tc>
        <w:tc>
          <w:tcPr>
            <w:tcW w:type="dxa" w:w="7517"/>
            <w:shd w:val="clear" w:color="auto" w:fill="FAFBFD"/>
          </w:tcPr>
          <w:p>
            <w:pPr>
              <w:spacing w:after="20" w:before="20"/>
            </w:pPr>
            <w:r/>
            <w:r>
              <w:rPr>
                <w:rFonts w:ascii="Calibri" w:hAnsi="Calibri"/>
                <w:b w:val="0"/>
                <w:i w:val="0"/>
                <w:color w:val="334E68"/>
                <w:sz w:val="17"/>
              </w:rPr>
              <w:t>Background jobs, job schedulers, batch windows, and which are controlled externally</w:t>
            </w:r>
          </w:p>
        </w:tc>
      </w:tr>
    </w:tbl>
    <w:p>
      <w:pPr>
        <w:spacing w:after="40"/>
      </w:pP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EXTERNAL AGENTS ARE THE CLASSIC CUTOVER SURPRISE</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Agents installed by other teams (backup, scheduling, monitoring, security) are frequently missing from the source inventory because no one on the migration team installed them. Enumerate them from the host, not from memory: compare installed packages, running services and cron entries on source and target.</w:t>
      </w:r>
    </w:p>
    <w:p>
      <w:pPr>
        <w:pStyle w:val="Heading2"/>
        <w:pBdr>
          <w:bottom w:val="single" w:sz="6" w:space="3" w:color="E8EDF3"/>
        </w:pBdr>
      </w:pPr>
      <w:r>
        <w:rPr>
          <w:rFonts w:ascii="Calibri" w:hAnsi="Calibri"/>
          <w:b/>
          <w:color w:val="0F2B4C"/>
          <w:sz w:val="26"/>
        </w:rPr>
        <w:t>4.4  Interface and connectivity baseline</w:t>
      </w:r>
    </w:p>
    <w:p>
      <w:pPr>
        <w:spacing w:after="40"/>
        <w:ind w:left="351" w:hanging="227"/>
      </w:pPr>
      <w:r>
        <w:rPr>
          <w:rFonts w:ascii="Calibri" w:hAnsi="Calibri"/>
          <w:b/>
          <w:color w:val="1B4F86"/>
          <w:sz w:val="19"/>
        </w:rPr>
        <w:t xml:space="preserve">▪  </w:t>
      </w:r>
      <w:r>
        <w:rPr>
          <w:rFonts w:ascii="Calibri" w:hAnsi="Calibri"/>
          <w:b w:val="0"/>
          <w:i w:val="0"/>
          <w:color w:val="334E68"/>
          <w:sz w:val="19"/>
        </w:rPr>
        <w:t>Identify SAP-to-SAP interfaces, external applications, middleware, RFCs and network dependencies.</w:t>
      </w:r>
    </w:p>
    <w:p>
      <w:pPr>
        <w:spacing w:after="40"/>
        <w:ind w:left="351" w:hanging="227"/>
      </w:pPr>
      <w:r>
        <w:rPr>
          <w:rFonts w:ascii="Calibri" w:hAnsi="Calibri"/>
          <w:b/>
          <w:color w:val="1B4F86"/>
          <w:sz w:val="19"/>
        </w:rPr>
        <w:t xml:space="preserve">▪  </w:t>
      </w:r>
      <w:r>
        <w:rPr>
          <w:rFonts w:ascii="Calibri" w:hAnsi="Calibri"/>
          <w:b w:val="0"/>
          <w:i w:val="0"/>
          <w:color w:val="334E68"/>
          <w:sz w:val="19"/>
        </w:rPr>
        <w:t>Validate SSO dependencies and the authentication path for each user group.</w:t>
      </w:r>
    </w:p>
    <w:p>
      <w:pPr>
        <w:spacing w:after="40"/>
        <w:ind w:left="351" w:hanging="227"/>
      </w:pPr>
      <w:r>
        <w:rPr>
          <w:rFonts w:ascii="Calibri" w:hAnsi="Calibri"/>
          <w:b/>
          <w:color w:val="1B4F86"/>
          <w:sz w:val="19"/>
        </w:rPr>
        <w:t xml:space="preserve">▪  </w:t>
      </w:r>
      <w:r>
        <w:rPr>
          <w:rFonts w:ascii="Calibri" w:hAnsi="Calibri"/>
          <w:b w:val="0"/>
          <w:i w:val="0"/>
          <w:color w:val="334E68"/>
          <w:sz w:val="19"/>
        </w:rPr>
        <w:t xml:space="preserve">Use </w:t>
      </w:r>
      <w:r>
        <w:rPr>
          <w:rFonts w:ascii="Consolas" w:hAnsi="Consolas"/>
          <w:b w:val="0"/>
          <w:i w:val="0"/>
          <w:color w:val="123A63"/>
          <w:sz w:val="19"/>
          <w:shd w:val="clear" w:color="auto" w:fill="EEF2F7"/>
        </w:rPr>
        <w:t>SM59</w:t>
      </w:r>
      <w:r>
        <w:rPr>
          <w:rFonts w:ascii="Calibri" w:hAnsi="Calibri"/>
          <w:b w:val="0"/>
          <w:i w:val="0"/>
          <w:color w:val="334E68"/>
          <w:sz w:val="19"/>
        </w:rPr>
        <w:t xml:space="preserve"> to identify RFC destinations and connection types; record each destination, its target and its status.</w:t>
      </w:r>
    </w:p>
    <w:p>
      <w:pPr>
        <w:spacing w:after="40"/>
        <w:ind w:left="351" w:hanging="227"/>
      </w:pPr>
      <w:r>
        <w:rPr>
          <w:rFonts w:ascii="Calibri" w:hAnsi="Calibri"/>
          <w:b/>
          <w:color w:val="1B4F86"/>
          <w:sz w:val="19"/>
        </w:rPr>
        <w:t xml:space="preserve">▪  </w:t>
      </w:r>
      <w:r>
        <w:rPr>
          <w:rFonts w:ascii="Calibri" w:hAnsi="Calibri"/>
          <w:b w:val="0"/>
          <w:i w:val="0"/>
          <w:color w:val="334E68"/>
          <w:sz w:val="19"/>
        </w:rPr>
        <w:t xml:space="preserve">Record whether each interface is </w:t>
      </w:r>
      <w:r>
        <w:rPr>
          <w:rFonts w:ascii="Calibri" w:hAnsi="Calibri"/>
          <w:b/>
          <w:i w:val="0"/>
          <w:color w:val="334E68"/>
          <w:sz w:val="19"/>
        </w:rPr>
        <w:t>working before migration</w:t>
      </w:r>
      <w:r>
        <w:rPr>
          <w:rFonts w:ascii="Calibri" w:hAnsi="Calibri"/>
          <w:b w:val="0"/>
          <w:i w:val="0"/>
          <w:color w:val="334E68"/>
          <w:sz w:val="19"/>
        </w:rPr>
        <w:t xml:space="preserve"> — success or failure, with a timestamp.</w:t>
      </w:r>
    </w:p>
    <w:p>
      <w:pPr>
        <w:spacing w:after="40"/>
        <w:ind w:left="351" w:hanging="227"/>
      </w:pPr>
      <w:r>
        <w:rPr>
          <w:rFonts w:ascii="Calibri" w:hAnsi="Calibri"/>
          <w:b/>
          <w:color w:val="1B4F86"/>
          <w:sz w:val="19"/>
        </w:rPr>
        <w:t xml:space="preserve">▪  </w:t>
      </w:r>
      <w:r>
        <w:rPr>
          <w:rFonts w:ascii="Calibri" w:hAnsi="Calibri"/>
          <w:b w:val="0"/>
          <w:i w:val="0"/>
          <w:color w:val="334E68"/>
          <w:sz w:val="19"/>
        </w:rPr>
        <w:t>Treat pre-existing failures as baseline conditions rather than migration defects.</w:t>
      </w:r>
    </w:p>
    <w:p>
      <w:pPr>
        <w:spacing w:after="60" w:before="160"/>
        <w:keepNext/>
      </w:pPr>
      <w:r>
        <w:rPr>
          <w:rFonts w:ascii="Calibri" w:hAnsi="Calibri"/>
          <w:b/>
          <w:color w:val="5B7288"/>
          <w:sz w:val="15"/>
        </w:rPr>
        <w:t>INTERFACE BASELINE</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120"/>
        <w:gridCol w:w="4048"/>
        <w:gridCol w:w="3470"/>
      </w:tblGrid>
      <w:tr>
        <w:trPr>
          <w:tblHeader/>
          <w:cantSplit/>
        </w:trPr>
        <w:tc>
          <w:tcPr>
            <w:tcW w:type="dxa" w:w="2120"/>
            <w:shd w:val="clear" w:color="auto" w:fill="0F2B4C"/>
          </w:tcPr>
          <w:p>
            <w:pPr>
              <w:spacing w:after="20" w:before="20"/>
            </w:pPr>
            <w:r/>
            <w:r>
              <w:rPr>
                <w:rFonts w:ascii="Calibri" w:hAnsi="Calibri"/>
                <w:b/>
                <w:color w:val="FFFFFF"/>
                <w:sz w:val="17"/>
              </w:rPr>
              <w:t>Interface category</w:t>
            </w:r>
          </w:p>
        </w:tc>
        <w:tc>
          <w:tcPr>
            <w:tcW w:type="dxa" w:w="4048"/>
            <w:shd w:val="clear" w:color="auto" w:fill="0F2B4C"/>
          </w:tcPr>
          <w:p>
            <w:pPr>
              <w:spacing w:after="20" w:before="20"/>
            </w:pPr>
            <w:r/>
            <w:r>
              <w:rPr>
                <w:rFonts w:ascii="Calibri" w:hAnsi="Calibri"/>
                <w:b/>
                <w:color w:val="FFFFFF"/>
                <w:sz w:val="17"/>
              </w:rPr>
              <w:t>How to enumerate</w:t>
            </w:r>
          </w:p>
        </w:tc>
        <w:tc>
          <w:tcPr>
            <w:tcW w:type="dxa" w:w="3470"/>
            <w:shd w:val="clear" w:color="auto" w:fill="0F2B4C"/>
          </w:tcPr>
          <w:p>
            <w:pPr>
              <w:spacing w:after="20" w:before="20"/>
            </w:pPr>
            <w:r/>
            <w:r>
              <w:rPr>
                <w:rFonts w:ascii="Calibri" w:hAnsi="Calibri"/>
                <w:b/>
                <w:color w:val="FFFFFF"/>
                <w:sz w:val="17"/>
              </w:rPr>
              <w:t>Baseline evidence</w:t>
            </w:r>
          </w:p>
        </w:tc>
      </w:tr>
      <w:tr>
        <w:trPr>
          <w:cantSplit/>
        </w:trPr>
        <w:tc>
          <w:tcPr>
            <w:tcW w:type="dxa" w:w="2120"/>
          </w:tcPr>
          <w:p>
            <w:pPr>
              <w:spacing w:after="20" w:before="20"/>
            </w:pPr>
            <w:r/>
            <w:r>
              <w:rPr>
                <w:rFonts w:ascii="Calibri" w:hAnsi="Calibri"/>
                <w:b/>
                <w:i w:val="0"/>
                <w:color w:val="334E68"/>
                <w:sz w:val="17"/>
              </w:rPr>
              <w:t>SAP ↔ SAP (RFC)</w:t>
            </w:r>
          </w:p>
        </w:tc>
        <w:tc>
          <w:tcPr>
            <w:tcW w:type="dxa" w:w="4048"/>
          </w:tcPr>
          <w:p>
            <w:pPr>
              <w:spacing w:after="20" w:before="20"/>
            </w:pPr>
            <w:r/>
            <w:r>
              <w:rPr>
                <w:rFonts w:ascii="Consolas" w:hAnsi="Consolas"/>
                <w:b w:val="0"/>
                <w:i w:val="0"/>
                <w:color w:val="123A63"/>
                <w:sz w:val="17"/>
                <w:shd w:val="clear" w:color="auto" w:fill="EEF2F7"/>
              </w:rPr>
              <w:t>SM59</w:t>
            </w:r>
            <w:r>
              <w:rPr>
                <w:rFonts w:ascii="Calibri" w:hAnsi="Calibri"/>
                <w:b w:val="0"/>
                <w:i w:val="0"/>
                <w:color w:val="334E68"/>
                <w:sz w:val="17"/>
              </w:rPr>
              <w:t xml:space="preserve"> destinations by type; connection test per destination</w:t>
            </w:r>
          </w:p>
        </w:tc>
        <w:tc>
          <w:tcPr>
            <w:tcW w:type="dxa" w:w="3470"/>
          </w:tcPr>
          <w:p>
            <w:pPr>
              <w:spacing w:after="20" w:before="20"/>
            </w:pPr>
            <w:r/>
            <w:r>
              <w:rPr>
                <w:rFonts w:ascii="Calibri" w:hAnsi="Calibri"/>
                <w:b w:val="0"/>
                <w:i w:val="0"/>
                <w:color w:val="334E68"/>
                <w:sz w:val="17"/>
              </w:rPr>
              <w:t>Destination list + test result, with failures annotated</w:t>
            </w:r>
          </w:p>
        </w:tc>
      </w:tr>
      <w:tr>
        <w:trPr>
          <w:cantSplit/>
        </w:trPr>
        <w:tc>
          <w:tcPr>
            <w:tcW w:type="dxa" w:w="2120"/>
            <w:shd w:val="clear" w:color="auto" w:fill="FAFBFD"/>
          </w:tcPr>
          <w:p>
            <w:pPr>
              <w:spacing w:after="20" w:before="20"/>
            </w:pPr>
            <w:r/>
            <w:r>
              <w:rPr>
                <w:rFonts w:ascii="Calibri" w:hAnsi="Calibri"/>
                <w:b/>
                <w:i w:val="0"/>
                <w:color w:val="334E68"/>
                <w:sz w:val="17"/>
              </w:rPr>
              <w:t>Middleware / ESB</w:t>
            </w:r>
          </w:p>
        </w:tc>
        <w:tc>
          <w:tcPr>
            <w:tcW w:type="dxa" w:w="4048"/>
            <w:shd w:val="clear" w:color="auto" w:fill="FAFBFD"/>
          </w:tcPr>
          <w:p>
            <w:pPr>
              <w:spacing w:after="20" w:before="20"/>
            </w:pPr>
            <w:r/>
            <w:r>
              <w:rPr>
                <w:rFonts w:ascii="Calibri" w:hAnsi="Calibri"/>
                <w:b w:val="0"/>
                <w:i w:val="0"/>
                <w:color w:val="334E68"/>
                <w:sz w:val="17"/>
              </w:rPr>
              <w:t xml:space="preserve">webMethods, MuleSoft, MBox and other documented integrations </w:t>
            </w:r>
            <w:r>
              <w:rPr>
                <w:rFonts w:ascii="Calibri" w:hAnsi="Calibri"/>
                <w:b w:val="0"/>
                <w:i w:val="0"/>
                <w:color w:val="334E68"/>
                <w:sz w:val="17"/>
              </w:rPr>
              <w:t>source term</w:t>
            </w:r>
          </w:p>
        </w:tc>
        <w:tc>
          <w:tcPr>
            <w:tcW w:type="dxa" w:w="3470"/>
            <w:shd w:val="clear" w:color="auto" w:fill="FAFBFD"/>
          </w:tcPr>
          <w:p>
            <w:pPr>
              <w:spacing w:after="20" w:before="20"/>
            </w:pPr>
            <w:r/>
            <w:r>
              <w:rPr>
                <w:rFonts w:ascii="Calibri" w:hAnsi="Calibri"/>
                <w:b w:val="0"/>
                <w:i w:val="0"/>
                <w:color w:val="334E68"/>
                <w:sz w:val="17"/>
              </w:rPr>
              <w:t>Interface inventory with owning team and credentials status</w:t>
            </w:r>
          </w:p>
        </w:tc>
      </w:tr>
      <w:tr>
        <w:trPr>
          <w:cantSplit/>
        </w:trPr>
        <w:tc>
          <w:tcPr>
            <w:tcW w:type="dxa" w:w="2120"/>
          </w:tcPr>
          <w:p>
            <w:pPr>
              <w:spacing w:after="20" w:before="20"/>
            </w:pPr>
            <w:r/>
            <w:r>
              <w:rPr>
                <w:rFonts w:ascii="Calibri" w:hAnsi="Calibri"/>
                <w:b/>
                <w:i w:val="0"/>
                <w:color w:val="334E68"/>
                <w:sz w:val="17"/>
              </w:rPr>
              <w:t>External applications</w:t>
            </w:r>
          </w:p>
        </w:tc>
        <w:tc>
          <w:tcPr>
            <w:tcW w:type="dxa" w:w="4048"/>
          </w:tcPr>
          <w:p>
            <w:pPr>
              <w:spacing w:after="20" w:before="20"/>
            </w:pPr>
            <w:r/>
            <w:r>
              <w:rPr>
                <w:rFonts w:ascii="Calibri" w:hAnsi="Calibri"/>
                <w:b w:val="0"/>
                <w:i w:val="0"/>
                <w:color w:val="334E68"/>
                <w:sz w:val="17"/>
              </w:rPr>
              <w:t>Interface documentation, port and firewall rules, partner contacts</w:t>
            </w:r>
          </w:p>
        </w:tc>
        <w:tc>
          <w:tcPr>
            <w:tcW w:type="dxa" w:w="3470"/>
          </w:tcPr>
          <w:p>
            <w:pPr>
              <w:spacing w:after="20" w:before="20"/>
            </w:pPr>
            <w:r/>
            <w:r>
              <w:rPr>
                <w:rFonts w:ascii="Calibri" w:hAnsi="Calibri"/>
                <w:b w:val="0"/>
                <w:i w:val="0"/>
                <w:color w:val="334E68"/>
                <w:sz w:val="17"/>
              </w:rPr>
              <w:t>Connectivity matrix: source host/port → target host/port</w:t>
            </w:r>
          </w:p>
        </w:tc>
      </w:tr>
      <w:tr>
        <w:trPr>
          <w:cantSplit/>
        </w:trPr>
        <w:tc>
          <w:tcPr>
            <w:tcW w:type="dxa" w:w="2120"/>
            <w:shd w:val="clear" w:color="auto" w:fill="FAFBFD"/>
          </w:tcPr>
          <w:p>
            <w:pPr>
              <w:spacing w:after="20" w:before="20"/>
            </w:pPr>
            <w:r/>
            <w:r>
              <w:rPr>
                <w:rFonts w:ascii="Calibri" w:hAnsi="Calibri"/>
                <w:b/>
                <w:i w:val="0"/>
                <w:color w:val="334E68"/>
                <w:sz w:val="17"/>
              </w:rPr>
              <w:t>File-based interfaces</w:t>
            </w:r>
          </w:p>
        </w:tc>
        <w:tc>
          <w:tcPr>
            <w:tcW w:type="dxa" w:w="4048"/>
            <w:shd w:val="clear" w:color="auto" w:fill="FAFBFD"/>
          </w:tcPr>
          <w:p>
            <w:pPr>
              <w:spacing w:after="20" w:before="20"/>
            </w:pPr>
            <w:r/>
            <w:r>
              <w:rPr>
                <w:rFonts w:ascii="Consolas" w:hAnsi="Consolas"/>
                <w:b w:val="0"/>
                <w:i w:val="0"/>
                <w:color w:val="123A63"/>
                <w:sz w:val="17"/>
                <w:shd w:val="clear" w:color="auto" w:fill="EEF2F7"/>
              </w:rPr>
              <w:t>AL11</w:t>
            </w:r>
            <w:r>
              <w:rPr>
                <w:rFonts w:ascii="Calibri" w:hAnsi="Calibri"/>
                <w:b w:val="0"/>
                <w:i w:val="0"/>
                <w:color w:val="334E68"/>
                <w:sz w:val="17"/>
              </w:rPr>
              <w:t xml:space="preserve"> directories, NFS mounts, scheduled transfers</w:t>
            </w:r>
          </w:p>
        </w:tc>
        <w:tc>
          <w:tcPr>
            <w:tcW w:type="dxa" w:w="3470"/>
            <w:shd w:val="clear" w:color="auto" w:fill="FAFBFD"/>
          </w:tcPr>
          <w:p>
            <w:pPr>
              <w:spacing w:after="20" w:before="20"/>
            </w:pPr>
            <w:r/>
            <w:r>
              <w:rPr>
                <w:rFonts w:ascii="Calibri" w:hAnsi="Calibri"/>
                <w:b w:val="0"/>
                <w:i w:val="0"/>
                <w:color w:val="334E68"/>
                <w:sz w:val="17"/>
              </w:rPr>
              <w:t>Directory listing before migration and the transfer schedule</w:t>
            </w:r>
          </w:p>
        </w:tc>
      </w:tr>
      <w:tr>
        <w:trPr>
          <w:cantSplit/>
        </w:trPr>
        <w:tc>
          <w:tcPr>
            <w:tcW w:type="dxa" w:w="2120"/>
          </w:tcPr>
          <w:p>
            <w:pPr>
              <w:spacing w:after="20" w:before="20"/>
            </w:pPr>
            <w:r/>
            <w:r>
              <w:rPr>
                <w:rFonts w:ascii="Calibri" w:hAnsi="Calibri"/>
                <w:b/>
                <w:i w:val="0"/>
                <w:color w:val="334E68"/>
                <w:sz w:val="17"/>
              </w:rPr>
              <w:t>Authentication / SSO</w:t>
            </w:r>
          </w:p>
        </w:tc>
        <w:tc>
          <w:tcPr>
            <w:tcW w:type="dxa" w:w="4048"/>
          </w:tcPr>
          <w:p>
            <w:pPr>
              <w:spacing w:after="20" w:before="20"/>
            </w:pPr>
            <w:r/>
            <w:r>
              <w:rPr>
                <w:rFonts w:ascii="Calibri" w:hAnsi="Calibri"/>
                <w:b w:val="0"/>
                <w:i w:val="0"/>
                <w:color w:val="334E68"/>
                <w:sz w:val="17"/>
              </w:rPr>
              <w:t>SNC configuration, certificates, SSO provider dependencies</w:t>
            </w:r>
          </w:p>
        </w:tc>
        <w:tc>
          <w:tcPr>
            <w:tcW w:type="dxa" w:w="3470"/>
          </w:tcPr>
          <w:p>
            <w:pPr>
              <w:spacing w:after="20" w:before="20"/>
            </w:pPr>
            <w:r/>
            <w:r>
              <w:rPr>
                <w:rFonts w:ascii="Calibri" w:hAnsi="Calibri"/>
                <w:b w:val="0"/>
                <w:i w:val="0"/>
                <w:color w:val="334E68"/>
                <w:sz w:val="17"/>
              </w:rPr>
              <w:t>Certificate validity, SNC users, SSO test result</w:t>
            </w:r>
          </w:p>
        </w:tc>
      </w:tr>
      <w:tr>
        <w:trPr>
          <w:cantSplit/>
        </w:trPr>
        <w:tc>
          <w:tcPr>
            <w:tcW w:type="dxa" w:w="2120"/>
            <w:shd w:val="clear" w:color="auto" w:fill="FAFBFD"/>
          </w:tcPr>
          <w:p>
            <w:pPr>
              <w:spacing w:after="20" w:before="20"/>
            </w:pPr>
            <w:r/>
            <w:r>
              <w:rPr>
                <w:rFonts w:ascii="Calibri" w:hAnsi="Calibri"/>
                <w:b/>
                <w:i w:val="0"/>
                <w:color w:val="334E68"/>
                <w:sz w:val="17"/>
              </w:rPr>
              <w:t>Gateway traffic</w:t>
            </w:r>
          </w:p>
        </w:tc>
        <w:tc>
          <w:tcPr>
            <w:tcW w:type="dxa" w:w="4048"/>
            <w:shd w:val="clear" w:color="auto" w:fill="FAFBFD"/>
          </w:tcPr>
          <w:p>
            <w:pPr>
              <w:spacing w:after="20" w:before="20"/>
            </w:pPr>
            <w:r/>
            <w:r>
              <w:rPr>
                <w:rFonts w:ascii="Consolas" w:hAnsi="Consolas"/>
                <w:b w:val="0"/>
                <w:i w:val="0"/>
                <w:color w:val="123A63"/>
                <w:sz w:val="17"/>
                <w:shd w:val="clear" w:color="auto" w:fill="EEF2F7"/>
              </w:rPr>
              <w:t>SMGW</w:t>
            </w:r>
            <w:r>
              <w:rPr>
                <w:rFonts w:ascii="Calibri" w:hAnsi="Calibri"/>
                <w:b w:val="0"/>
                <w:i w:val="0"/>
                <w:color w:val="334E68"/>
                <w:sz w:val="17"/>
              </w:rPr>
              <w:t xml:space="preserve"> connections and gateway parameters</w:t>
            </w:r>
          </w:p>
        </w:tc>
        <w:tc>
          <w:tcPr>
            <w:tcW w:type="dxa" w:w="3470"/>
            <w:shd w:val="clear" w:color="auto" w:fill="FAFBFD"/>
          </w:tcPr>
          <w:p>
            <w:pPr>
              <w:spacing w:after="20" w:before="20"/>
            </w:pPr>
            <w:r/>
            <w:r>
              <w:rPr>
                <w:rFonts w:ascii="Calibri" w:hAnsi="Calibri"/>
                <w:b w:val="0"/>
                <w:i w:val="0"/>
                <w:color w:val="334E68"/>
                <w:sz w:val="17"/>
              </w:rPr>
              <w:t>Connection list and gateway status</w:t>
            </w:r>
          </w:p>
        </w:tc>
      </w:tr>
      <w:tr>
        <w:trPr>
          <w:cantSplit/>
        </w:trPr>
        <w:tc>
          <w:tcPr>
            <w:tcW w:type="dxa" w:w="2120"/>
          </w:tcPr>
          <w:p>
            <w:pPr>
              <w:spacing w:after="20" w:before="20"/>
            </w:pPr>
            <w:r/>
            <w:r>
              <w:rPr>
                <w:rFonts w:ascii="Calibri" w:hAnsi="Calibri"/>
                <w:b/>
                <w:i w:val="0"/>
                <w:color w:val="334E68"/>
                <w:sz w:val="17"/>
              </w:rPr>
              <w:t>HTTP(S) traffic</w:t>
            </w:r>
          </w:p>
        </w:tc>
        <w:tc>
          <w:tcPr>
            <w:tcW w:type="dxa" w:w="4048"/>
          </w:tcPr>
          <w:p>
            <w:pPr>
              <w:spacing w:after="20" w:before="20"/>
            </w:pPr>
            <w:r/>
            <w:r>
              <w:rPr>
                <w:rFonts w:ascii="Consolas" w:hAnsi="Consolas"/>
                <w:b w:val="0"/>
                <w:i w:val="0"/>
                <w:color w:val="123A63"/>
                <w:sz w:val="17"/>
                <w:shd w:val="clear" w:color="auto" w:fill="EEF2F7"/>
              </w:rPr>
              <w:t>SMICM</w:t>
            </w:r>
            <w:r>
              <w:rPr>
                <w:rFonts w:ascii="Calibri" w:hAnsi="Calibri"/>
                <w:b w:val="0"/>
                <w:i w:val="0"/>
                <w:color w:val="334E68"/>
                <w:sz w:val="17"/>
              </w:rPr>
              <w:t xml:space="preserve"> ICM services and endpoints</w:t>
            </w:r>
          </w:p>
        </w:tc>
        <w:tc>
          <w:tcPr>
            <w:tcW w:type="dxa" w:w="3470"/>
          </w:tcPr>
          <w:p>
            <w:pPr>
              <w:spacing w:after="20" w:before="20"/>
            </w:pPr>
            <w:r/>
            <w:r>
              <w:rPr>
                <w:rFonts w:ascii="Calibri" w:hAnsi="Calibri"/>
                <w:b w:val="0"/>
                <w:i w:val="0"/>
                <w:color w:val="334E68"/>
                <w:sz w:val="17"/>
              </w:rPr>
              <w:t>Service list, ports, certificate binding</w:t>
            </w:r>
          </w:p>
        </w:tc>
      </w:tr>
    </w:tbl>
    <w:p>
      <w:pPr>
        <w:spacing w:after="40"/>
      </w:pPr>
    </w:p>
    <w:p>
      <w:pPr>
        <w:spacing w:before="180" w:after="40"/>
        <w:shd w:val="clear" w:color="auto" w:fill="FFFBFB"/>
        <w:pBdr>
          <w:left w:val="single" w:sz="6" w:space="6" w:color="C8434B"/>
          <w:top w:val="single" w:sz="6" w:space="6" w:color="C8434B"/>
          <w:right w:val="single" w:sz="6" w:space="6" w:color="C8434B"/>
        </w:pBdr>
        <w:keepNext/>
      </w:pPr>
      <w:r>
        <w:rPr>
          <w:rFonts w:ascii="Calibri" w:hAnsi="Calibri"/>
          <w:b/>
          <w:color w:val="C8434B"/>
          <w:sz w:val="16"/>
        </w:rPr>
        <w:t>PRACTICAL RULE</w:t>
      </w:r>
    </w:p>
    <w:p>
      <w:pPr>
        <w:spacing w:after="40"/>
        <w:ind w:left="170"/>
        <w:shd w:val="clear" w:color="auto" w:fill="FFFBFB"/>
        <w:pBdr>
          <w:left w:val="single" w:sz="6" w:space="6" w:color="C8434B"/>
          <w:bottom w:val="single" w:sz="6" w:space="6" w:color="C8434B"/>
          <w:right w:val="single" w:sz="6" w:space="6" w:color="C8434B"/>
        </w:pBdr>
      </w:pPr>
      <w:r>
        <w:rPr>
          <w:rFonts w:ascii="Calibri" w:hAnsi="Calibri"/>
          <w:b w:val="0"/>
          <w:i w:val="0"/>
          <w:color w:val="334E68"/>
          <w:sz w:val="18"/>
        </w:rPr>
        <w:t>If an interface or directory was not working before migration, capture the evidence. The migration team should not silently convert a pre-existing issue into a migration defect — and equally should not silently fix one without recording it, because an unrecorded fix becomes an unapproved change.</w:t>
      </w:r>
    </w:p>
    <w:p>
      <w:pPr>
        <w:pStyle w:val="Heading2"/>
        <w:pBdr>
          <w:bottom w:val="single" w:sz="6" w:space="3" w:color="E8EDF3"/>
        </w:pBdr>
      </w:pPr>
      <w:r>
        <w:rPr>
          <w:rFonts w:ascii="Calibri" w:hAnsi="Calibri"/>
          <w:b/>
          <w:color w:val="0F2B4C"/>
          <w:sz w:val="26"/>
        </w:rPr>
        <w:t>4.5  Building the source baseline pack</w:t>
      </w:r>
    </w:p>
    <w:p>
      <w:r>
        <w:rPr>
          <w:rFonts w:ascii="Calibri" w:hAnsi="Calibri"/>
          <w:b w:val="0"/>
          <w:i w:val="0"/>
          <w:color w:val="334E68"/>
          <w:sz w:val="20"/>
        </w:rPr>
        <w:t>The output of this module is a single, indexed evidence pack per system. It is the reference used at every later gate and during hypercare triage.</w:t>
      </w:r>
    </w:p>
    <w:p>
      <w:pPr>
        <w:spacing w:after="60" w:before="160"/>
        <w:keepNext/>
      </w:pPr>
      <w:r>
        <w:rPr>
          <w:rFonts w:ascii="Calibri" w:hAnsi="Calibri"/>
          <w:b/>
          <w:color w:val="5B7288"/>
          <w:sz w:val="15"/>
        </w:rPr>
        <w:t>CONTENTS OF THE SOURCE BASELINE PACK</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313"/>
        <w:gridCol w:w="4048"/>
        <w:gridCol w:w="3277"/>
      </w:tblGrid>
      <w:tr>
        <w:trPr>
          <w:tblHeader/>
          <w:cantSplit/>
        </w:trPr>
        <w:tc>
          <w:tcPr>
            <w:tcW w:type="dxa" w:w="2313"/>
            <w:shd w:val="clear" w:color="auto" w:fill="0F2B4C"/>
          </w:tcPr>
          <w:p>
            <w:pPr>
              <w:spacing w:after="20" w:before="20"/>
            </w:pPr>
            <w:r/>
            <w:r>
              <w:rPr>
                <w:rFonts w:ascii="Calibri" w:hAnsi="Calibri"/>
                <w:b/>
                <w:color w:val="FFFFFF"/>
                <w:sz w:val="17"/>
              </w:rPr>
              <w:t>Baseline artefact</w:t>
            </w:r>
          </w:p>
        </w:tc>
        <w:tc>
          <w:tcPr>
            <w:tcW w:type="dxa" w:w="4048"/>
            <w:shd w:val="clear" w:color="auto" w:fill="0F2B4C"/>
          </w:tcPr>
          <w:p>
            <w:pPr>
              <w:spacing w:after="20" w:before="20"/>
            </w:pPr>
            <w:r/>
            <w:r>
              <w:rPr>
                <w:rFonts w:ascii="Calibri" w:hAnsi="Calibri"/>
                <w:b/>
                <w:color w:val="FFFFFF"/>
                <w:sz w:val="17"/>
              </w:rPr>
              <w:t>Typical source</w:t>
            </w:r>
          </w:p>
        </w:tc>
        <w:tc>
          <w:tcPr>
            <w:tcW w:type="dxa" w:w="3277"/>
            <w:shd w:val="clear" w:color="auto" w:fill="0F2B4C"/>
          </w:tcPr>
          <w:p>
            <w:pPr>
              <w:spacing w:after="20" w:before="20"/>
            </w:pPr>
            <w:r/>
            <w:r>
              <w:rPr>
                <w:rFonts w:ascii="Calibri" w:hAnsi="Calibri"/>
                <w:b/>
                <w:color w:val="FFFFFF"/>
                <w:sz w:val="17"/>
              </w:rPr>
              <w:t>Used again at</w:t>
            </w:r>
          </w:p>
        </w:tc>
      </w:tr>
      <w:tr>
        <w:trPr>
          <w:cantSplit/>
        </w:trPr>
        <w:tc>
          <w:tcPr>
            <w:tcW w:type="dxa" w:w="2313"/>
          </w:tcPr>
          <w:p>
            <w:pPr>
              <w:spacing w:after="20" w:before="20"/>
            </w:pPr>
            <w:r/>
            <w:r>
              <w:rPr>
                <w:rFonts w:ascii="Calibri" w:hAnsi="Calibri"/>
                <w:b/>
                <w:i w:val="0"/>
                <w:color w:val="334E68"/>
                <w:sz w:val="17"/>
              </w:rPr>
              <w:t>OS parameter sheet</w:t>
            </w:r>
          </w:p>
        </w:tc>
        <w:tc>
          <w:tcPr>
            <w:tcW w:type="dxa" w:w="4048"/>
          </w:tcPr>
          <w:p>
            <w:pPr>
              <w:spacing w:after="20" w:before="20"/>
            </w:pPr>
            <w:r/>
            <w:r>
              <w:rPr>
                <w:rFonts w:ascii="Consolas" w:hAnsi="Consolas"/>
                <w:b w:val="0"/>
                <w:i w:val="0"/>
                <w:color w:val="123A63"/>
                <w:sz w:val="17"/>
                <w:shd w:val="clear" w:color="auto" w:fill="EEF2F7"/>
              </w:rPr>
              <w:t>uname</w:t>
            </w:r>
            <w:r>
              <w:rPr>
                <w:rFonts w:ascii="Calibri" w:hAnsi="Calibri"/>
                <w:b w:val="0"/>
                <w:i w:val="0"/>
                <w:color w:val="334E68"/>
                <w:sz w:val="17"/>
              </w:rPr>
              <w:t xml:space="preserve">, </w:t>
            </w:r>
            <w:r>
              <w:rPr>
                <w:rFonts w:ascii="Consolas" w:hAnsi="Consolas"/>
                <w:b w:val="0"/>
                <w:i w:val="0"/>
                <w:color w:val="123A63"/>
                <w:sz w:val="17"/>
                <w:shd w:val="clear" w:color="auto" w:fill="EEF2F7"/>
              </w:rPr>
              <w:t>/etc/os-release</w:t>
            </w:r>
            <w:r>
              <w:rPr>
                <w:rFonts w:ascii="Calibri" w:hAnsi="Calibri"/>
                <w:b w:val="0"/>
                <w:i w:val="0"/>
                <w:color w:val="334E68"/>
                <w:sz w:val="17"/>
              </w:rPr>
              <w:t>, kernel, swap, file systems, UID/GID</w:t>
            </w:r>
          </w:p>
        </w:tc>
        <w:tc>
          <w:tcPr>
            <w:tcW w:type="dxa" w:w="3277"/>
          </w:tcPr>
          <w:p>
            <w:pPr>
              <w:spacing w:after="20" w:before="20"/>
            </w:pPr>
            <w:r/>
            <w:r>
              <w:rPr>
                <w:rFonts w:ascii="Calibri" w:hAnsi="Calibri"/>
                <w:b w:val="0"/>
                <w:i w:val="0"/>
                <w:color w:val="334E68"/>
                <w:sz w:val="17"/>
              </w:rPr>
              <w:t>Section 7.2 OS validation</w:t>
            </w:r>
          </w:p>
        </w:tc>
      </w:tr>
      <w:tr>
        <w:trPr>
          <w:cantSplit/>
        </w:trPr>
        <w:tc>
          <w:tcPr>
            <w:tcW w:type="dxa" w:w="2313"/>
            <w:shd w:val="clear" w:color="auto" w:fill="FAFBFD"/>
          </w:tcPr>
          <w:p>
            <w:pPr>
              <w:spacing w:after="20" w:before="20"/>
            </w:pPr>
            <w:r/>
            <w:r>
              <w:rPr>
                <w:rFonts w:ascii="Calibri" w:hAnsi="Calibri"/>
                <w:b/>
                <w:i w:val="0"/>
                <w:color w:val="334E68"/>
                <w:sz w:val="17"/>
              </w:rPr>
              <w:t>SAP parameter sheet</w:t>
            </w:r>
          </w:p>
        </w:tc>
        <w:tc>
          <w:tcPr>
            <w:tcW w:type="dxa" w:w="4048"/>
            <w:shd w:val="clear" w:color="auto" w:fill="FAFBFD"/>
          </w:tcPr>
          <w:p>
            <w:pPr>
              <w:spacing w:after="20" w:before="20"/>
            </w:pPr>
            <w:r/>
            <w:r>
              <w:rPr>
                <w:rFonts w:ascii="Calibri" w:hAnsi="Calibri"/>
                <w:b w:val="0"/>
                <w:i w:val="0"/>
                <w:color w:val="334E68"/>
                <w:sz w:val="17"/>
              </w:rPr>
              <w:t>Profile parameters (</w:t>
            </w:r>
            <w:r>
              <w:rPr>
                <w:rFonts w:ascii="Consolas" w:hAnsi="Consolas"/>
                <w:b w:val="0"/>
                <w:i w:val="0"/>
                <w:color w:val="123A63"/>
                <w:sz w:val="17"/>
                <w:shd w:val="clear" w:color="auto" w:fill="EEF2F7"/>
              </w:rPr>
              <w:t>RZ10</w:t>
            </w:r>
            <w:r>
              <w:rPr>
                <w:rFonts w:ascii="Calibri" w:hAnsi="Calibri"/>
                <w:b w:val="0"/>
                <w:i w:val="0"/>
                <w:color w:val="334E68"/>
                <w:sz w:val="17"/>
              </w:rPr>
              <w:t>/</w:t>
            </w:r>
            <w:r>
              <w:rPr>
                <w:rFonts w:ascii="Consolas" w:hAnsi="Consolas"/>
                <w:b w:val="0"/>
                <w:i w:val="0"/>
                <w:color w:val="123A63"/>
                <w:sz w:val="17"/>
                <w:shd w:val="clear" w:color="auto" w:fill="EEF2F7"/>
              </w:rPr>
              <w:t>RZ11</w:t>
            </w:r>
            <w:r>
              <w:rPr>
                <w:rFonts w:ascii="Calibri" w:hAnsi="Calibri"/>
                <w:b w:val="0"/>
                <w:i w:val="0"/>
                <w:color w:val="334E68"/>
                <w:sz w:val="17"/>
              </w:rPr>
              <w:t>), instance list (</w:t>
            </w:r>
            <w:r>
              <w:rPr>
                <w:rFonts w:ascii="Consolas" w:hAnsi="Consolas"/>
                <w:b w:val="0"/>
                <w:i w:val="0"/>
                <w:color w:val="123A63"/>
                <w:sz w:val="17"/>
                <w:shd w:val="clear" w:color="auto" w:fill="EEF2F7"/>
              </w:rPr>
              <w:t>SM51</w:t>
            </w:r>
            <w:r>
              <w:rPr>
                <w:rFonts w:ascii="Calibri" w:hAnsi="Calibri"/>
                <w:b w:val="0"/>
                <w:i w:val="0"/>
                <w:color w:val="334E68"/>
                <w:sz w:val="17"/>
              </w:rPr>
              <w:t>)</w:t>
            </w:r>
          </w:p>
        </w:tc>
        <w:tc>
          <w:tcPr>
            <w:tcW w:type="dxa" w:w="3277"/>
            <w:shd w:val="clear" w:color="auto" w:fill="FAFBFD"/>
          </w:tcPr>
          <w:p>
            <w:pPr>
              <w:spacing w:after="20" w:before="20"/>
            </w:pPr>
            <w:r/>
            <w:r>
              <w:rPr>
                <w:rFonts w:ascii="Calibri" w:hAnsi="Calibri"/>
                <w:b w:val="0"/>
                <w:i w:val="0"/>
                <w:color w:val="334E68"/>
                <w:sz w:val="17"/>
              </w:rPr>
              <w:t>Section 7.3 SAP validation</w:t>
            </w:r>
          </w:p>
        </w:tc>
      </w:tr>
      <w:tr>
        <w:trPr>
          <w:cantSplit/>
        </w:trPr>
        <w:tc>
          <w:tcPr>
            <w:tcW w:type="dxa" w:w="2313"/>
          </w:tcPr>
          <w:p>
            <w:pPr>
              <w:spacing w:after="20" w:before="20"/>
            </w:pPr>
            <w:r/>
            <w:r>
              <w:rPr>
                <w:rFonts w:ascii="Calibri" w:hAnsi="Calibri"/>
                <w:b/>
                <w:i w:val="0"/>
                <w:color w:val="334E68"/>
                <w:sz w:val="17"/>
              </w:rPr>
              <w:t>Database parameter sheet</w:t>
            </w:r>
          </w:p>
        </w:tc>
        <w:tc>
          <w:tcPr>
            <w:tcW w:type="dxa" w:w="4048"/>
          </w:tcPr>
          <w:p>
            <w:pPr>
              <w:spacing w:after="20" w:before="20"/>
            </w:pPr>
            <w:r/>
            <w:r>
              <w:rPr>
                <w:rFonts w:ascii="Consolas" w:hAnsi="Consolas"/>
                <w:b w:val="0"/>
                <w:i w:val="0"/>
                <w:color w:val="123A63"/>
                <w:sz w:val="17"/>
                <w:shd w:val="clear" w:color="auto" w:fill="EEF2F7"/>
              </w:rPr>
              <w:t>DB02</w:t>
            </w:r>
            <w:r>
              <w:rPr>
                <w:rFonts w:ascii="Calibri" w:hAnsi="Calibri"/>
                <w:b w:val="0"/>
                <w:i w:val="0"/>
                <w:color w:val="334E68"/>
                <w:sz w:val="17"/>
              </w:rPr>
              <w:t>, DB parameters, tablespace list and sizes</w:t>
            </w:r>
          </w:p>
        </w:tc>
        <w:tc>
          <w:tcPr>
            <w:tcW w:type="dxa" w:w="3277"/>
          </w:tcPr>
          <w:p>
            <w:pPr>
              <w:spacing w:after="20" w:before="20"/>
            </w:pPr>
            <w:r/>
            <w:r>
              <w:rPr>
                <w:rFonts w:ascii="Calibri" w:hAnsi="Calibri"/>
                <w:b w:val="0"/>
                <w:i w:val="0"/>
                <w:color w:val="334E68"/>
                <w:sz w:val="17"/>
              </w:rPr>
              <w:t>Section 7.4 database validation</w:t>
            </w:r>
          </w:p>
        </w:tc>
      </w:tr>
      <w:tr>
        <w:trPr>
          <w:cantSplit/>
        </w:trPr>
        <w:tc>
          <w:tcPr>
            <w:tcW w:type="dxa" w:w="2313"/>
            <w:shd w:val="clear" w:color="auto" w:fill="FAFBFD"/>
          </w:tcPr>
          <w:p>
            <w:pPr>
              <w:spacing w:after="20" w:before="20"/>
            </w:pPr>
            <w:r/>
            <w:r>
              <w:rPr>
                <w:rFonts w:ascii="Calibri" w:hAnsi="Calibri"/>
                <w:b/>
                <w:i w:val="0"/>
                <w:color w:val="334E68"/>
                <w:sz w:val="17"/>
              </w:rPr>
              <w:t>Interface list</w:t>
            </w:r>
          </w:p>
        </w:tc>
        <w:tc>
          <w:tcPr>
            <w:tcW w:type="dxa" w:w="4048"/>
            <w:shd w:val="clear" w:color="auto" w:fill="FAFBFD"/>
          </w:tcPr>
          <w:p>
            <w:pPr>
              <w:spacing w:after="20" w:before="20"/>
            </w:pPr>
            <w:r/>
            <w:r>
              <w:rPr>
                <w:rFonts w:ascii="Consolas" w:hAnsi="Consolas"/>
                <w:b w:val="0"/>
                <w:i w:val="0"/>
                <w:color w:val="123A63"/>
                <w:sz w:val="17"/>
                <w:shd w:val="clear" w:color="auto" w:fill="EEF2F7"/>
              </w:rPr>
              <w:t>SM59</w:t>
            </w:r>
            <w:r>
              <w:rPr>
                <w:rFonts w:ascii="Calibri" w:hAnsi="Calibri"/>
                <w:b w:val="0"/>
                <w:i w:val="0"/>
                <w:color w:val="334E68"/>
                <w:sz w:val="17"/>
              </w:rPr>
              <w:t xml:space="preserve">, </w:t>
            </w:r>
            <w:r>
              <w:rPr>
                <w:rFonts w:ascii="Consolas" w:hAnsi="Consolas"/>
                <w:b w:val="0"/>
                <w:i w:val="0"/>
                <w:color w:val="123A63"/>
                <w:sz w:val="17"/>
                <w:shd w:val="clear" w:color="auto" w:fill="EEF2F7"/>
              </w:rPr>
              <w:t>SMGW</w:t>
            </w:r>
            <w:r>
              <w:rPr>
                <w:rFonts w:ascii="Calibri" w:hAnsi="Calibri"/>
                <w:b w:val="0"/>
                <w:i w:val="0"/>
                <w:color w:val="334E68"/>
                <w:sz w:val="17"/>
              </w:rPr>
              <w:t xml:space="preserve">, </w:t>
            </w:r>
            <w:r>
              <w:rPr>
                <w:rFonts w:ascii="Consolas" w:hAnsi="Consolas"/>
                <w:b w:val="0"/>
                <w:i w:val="0"/>
                <w:color w:val="123A63"/>
                <w:sz w:val="17"/>
                <w:shd w:val="clear" w:color="auto" w:fill="EEF2F7"/>
              </w:rPr>
              <w:t>SMICM</w:t>
            </w:r>
            <w:r>
              <w:rPr>
                <w:rFonts w:ascii="Calibri" w:hAnsi="Calibri"/>
                <w:b w:val="0"/>
                <w:i w:val="0"/>
                <w:color w:val="334E68"/>
                <w:sz w:val="17"/>
              </w:rPr>
              <w:t>, middleware inventory</w:t>
            </w:r>
          </w:p>
        </w:tc>
        <w:tc>
          <w:tcPr>
            <w:tcW w:type="dxa" w:w="3277"/>
            <w:shd w:val="clear" w:color="auto" w:fill="FAFBFD"/>
          </w:tcPr>
          <w:p>
            <w:pPr>
              <w:spacing w:after="20" w:before="20"/>
            </w:pPr>
            <w:r/>
            <w:r>
              <w:rPr>
                <w:rFonts w:ascii="Calibri" w:hAnsi="Calibri"/>
                <w:b w:val="0"/>
                <w:i w:val="0"/>
                <w:color w:val="334E68"/>
                <w:sz w:val="17"/>
              </w:rPr>
              <w:t>Section 10.3 functional validation</w:t>
            </w:r>
          </w:p>
        </w:tc>
      </w:tr>
      <w:tr>
        <w:trPr>
          <w:cantSplit/>
        </w:trPr>
        <w:tc>
          <w:tcPr>
            <w:tcW w:type="dxa" w:w="2313"/>
          </w:tcPr>
          <w:p>
            <w:pPr>
              <w:spacing w:after="20" w:before="20"/>
            </w:pPr>
            <w:r/>
            <w:r>
              <w:rPr>
                <w:rFonts w:ascii="Calibri" w:hAnsi="Calibri"/>
                <w:b/>
                <w:i w:val="0"/>
                <w:color w:val="334E68"/>
                <w:sz w:val="17"/>
              </w:rPr>
              <w:t>Directory list</w:t>
            </w:r>
          </w:p>
        </w:tc>
        <w:tc>
          <w:tcPr>
            <w:tcW w:type="dxa" w:w="4048"/>
          </w:tcPr>
          <w:p>
            <w:pPr>
              <w:spacing w:after="20" w:before="20"/>
            </w:pPr>
            <w:r/>
            <w:r>
              <w:rPr>
                <w:rFonts w:ascii="Consolas" w:hAnsi="Consolas"/>
                <w:b w:val="0"/>
                <w:i w:val="0"/>
                <w:color w:val="123A63"/>
                <w:sz w:val="17"/>
                <w:shd w:val="clear" w:color="auto" w:fill="EEF2F7"/>
              </w:rPr>
              <w:t>AL11</w:t>
            </w:r>
            <w:r>
              <w:rPr>
                <w:rFonts w:ascii="Calibri" w:hAnsi="Calibri"/>
                <w:b w:val="0"/>
                <w:i w:val="0"/>
                <w:color w:val="334E68"/>
                <w:sz w:val="17"/>
              </w:rPr>
              <w:t>, NFS mounts, custom directories and permissions</w:t>
            </w:r>
          </w:p>
        </w:tc>
        <w:tc>
          <w:tcPr>
            <w:tcW w:type="dxa" w:w="3277"/>
          </w:tcPr>
          <w:p>
            <w:pPr>
              <w:spacing w:after="20" w:before="20"/>
            </w:pPr>
            <w:r/>
            <w:r>
              <w:rPr>
                <w:rFonts w:ascii="Calibri" w:hAnsi="Calibri"/>
                <w:b w:val="0"/>
                <w:i w:val="0"/>
                <w:color w:val="334E68"/>
                <w:sz w:val="17"/>
              </w:rPr>
              <w:t>Section 10.2 post-processing</w:t>
            </w:r>
          </w:p>
        </w:tc>
      </w:tr>
      <w:tr>
        <w:trPr>
          <w:cantSplit/>
        </w:trPr>
        <w:tc>
          <w:tcPr>
            <w:tcW w:type="dxa" w:w="2313"/>
            <w:shd w:val="clear" w:color="auto" w:fill="FAFBFD"/>
          </w:tcPr>
          <w:p>
            <w:pPr>
              <w:spacing w:after="20" w:before="20"/>
            </w:pPr>
            <w:r/>
            <w:r>
              <w:rPr>
                <w:rFonts w:ascii="Calibri" w:hAnsi="Calibri"/>
                <w:b/>
                <w:i w:val="0"/>
                <w:color w:val="334E68"/>
                <w:sz w:val="17"/>
              </w:rPr>
              <w:t>Workload snapshot</w:t>
            </w:r>
          </w:p>
        </w:tc>
        <w:tc>
          <w:tcPr>
            <w:tcW w:type="dxa" w:w="4048"/>
            <w:shd w:val="clear" w:color="auto" w:fill="FAFBFD"/>
          </w:tcPr>
          <w:p>
            <w:pPr>
              <w:spacing w:after="20" w:before="20"/>
            </w:pPr>
            <w:r/>
            <w:r>
              <w:rPr>
                <w:rFonts w:ascii="Consolas" w:hAnsi="Consolas"/>
                <w:b w:val="0"/>
                <w:i w:val="0"/>
                <w:color w:val="123A63"/>
                <w:sz w:val="17"/>
                <w:shd w:val="clear" w:color="auto" w:fill="EEF2F7"/>
              </w:rPr>
              <w:t>ST03</w:t>
            </w:r>
            <w:r>
              <w:rPr>
                <w:rFonts w:ascii="Calibri" w:hAnsi="Calibri"/>
                <w:b w:val="0"/>
                <w:i w:val="0"/>
                <w:color w:val="334E68"/>
                <w:sz w:val="17"/>
              </w:rPr>
              <w:t>/</w:t>
            </w:r>
            <w:r>
              <w:rPr>
                <w:rFonts w:ascii="Consolas" w:hAnsi="Consolas"/>
                <w:b w:val="0"/>
                <w:i w:val="0"/>
                <w:color w:val="123A63"/>
                <w:sz w:val="17"/>
                <w:shd w:val="clear" w:color="auto" w:fill="EEF2F7"/>
              </w:rPr>
              <w:t>ST03N</w:t>
            </w:r>
            <w:r>
              <w:rPr>
                <w:rFonts w:ascii="Calibri" w:hAnsi="Calibri"/>
                <w:b w:val="0"/>
                <w:i w:val="0"/>
                <w:color w:val="334E68"/>
                <w:sz w:val="17"/>
              </w:rPr>
              <w:t xml:space="preserve"> daily/weekly/monthly, </w:t>
            </w:r>
            <w:r>
              <w:rPr>
                <w:rFonts w:ascii="Consolas" w:hAnsi="Consolas"/>
                <w:b w:val="0"/>
                <w:i w:val="0"/>
                <w:color w:val="123A63"/>
                <w:sz w:val="17"/>
                <w:shd w:val="clear" w:color="auto" w:fill="EEF2F7"/>
              </w:rPr>
              <w:t>STAD</w:t>
            </w:r>
            <w:r>
              <w:rPr>
                <w:rFonts w:ascii="Calibri" w:hAnsi="Calibri"/>
                <w:b w:val="0"/>
                <w:i w:val="0"/>
                <w:color w:val="334E68"/>
                <w:sz w:val="17"/>
              </w:rPr>
              <w:t xml:space="preserve"> samples</w:t>
            </w:r>
          </w:p>
        </w:tc>
        <w:tc>
          <w:tcPr>
            <w:tcW w:type="dxa" w:w="3277"/>
            <w:shd w:val="clear" w:color="auto" w:fill="FAFBFD"/>
          </w:tcPr>
          <w:p>
            <w:pPr>
              <w:spacing w:after="20" w:before="20"/>
            </w:pPr>
            <w:r/>
            <w:r>
              <w:rPr>
                <w:rFonts w:ascii="Calibri" w:hAnsi="Calibri"/>
                <w:b w:val="0"/>
                <w:i w:val="0"/>
                <w:color w:val="334E68"/>
                <w:sz w:val="17"/>
              </w:rPr>
              <w:t>Module 5 performance comparison</w:t>
            </w:r>
          </w:p>
        </w:tc>
      </w:tr>
      <w:tr>
        <w:trPr>
          <w:cantSplit/>
        </w:trPr>
        <w:tc>
          <w:tcPr>
            <w:tcW w:type="dxa" w:w="2313"/>
          </w:tcPr>
          <w:p>
            <w:pPr>
              <w:spacing w:after="20" w:before="20"/>
            </w:pPr>
            <w:r/>
            <w:r>
              <w:rPr>
                <w:rFonts w:ascii="Calibri" w:hAnsi="Calibri"/>
                <w:b/>
                <w:i w:val="0"/>
                <w:color w:val="334E68"/>
                <w:sz w:val="17"/>
              </w:rPr>
              <w:t>Memory and buffer snapshot</w:t>
            </w:r>
          </w:p>
        </w:tc>
        <w:tc>
          <w:tcPr>
            <w:tcW w:type="dxa" w:w="4048"/>
          </w:tcPr>
          <w:p>
            <w:pPr>
              <w:spacing w:after="20" w:before="20"/>
            </w:pPr>
            <w:r/>
            <w:r>
              <w:rPr>
                <w:rFonts w:ascii="Consolas" w:hAnsi="Consolas"/>
                <w:b w:val="0"/>
                <w:i w:val="0"/>
                <w:color w:val="123A63"/>
                <w:sz w:val="17"/>
                <w:shd w:val="clear" w:color="auto" w:fill="EEF2F7"/>
              </w:rPr>
              <w:t>ST02</w:t>
            </w:r>
          </w:p>
        </w:tc>
        <w:tc>
          <w:tcPr>
            <w:tcW w:type="dxa" w:w="3277"/>
          </w:tcPr>
          <w:p>
            <w:pPr>
              <w:spacing w:after="20" w:before="20"/>
            </w:pPr>
            <w:r/>
            <w:r>
              <w:rPr>
                <w:rFonts w:ascii="Calibri" w:hAnsi="Calibri"/>
                <w:b w:val="0"/>
                <w:i w:val="0"/>
                <w:color w:val="334E68"/>
                <w:sz w:val="17"/>
              </w:rPr>
              <w:t>Module 5 performance comparison</w:t>
            </w:r>
          </w:p>
        </w:tc>
      </w:tr>
      <w:tr>
        <w:trPr>
          <w:cantSplit/>
        </w:trPr>
        <w:tc>
          <w:tcPr>
            <w:tcW w:type="dxa" w:w="2313"/>
            <w:shd w:val="clear" w:color="auto" w:fill="FAFBFD"/>
          </w:tcPr>
          <w:p>
            <w:pPr>
              <w:spacing w:after="20" w:before="20"/>
            </w:pPr>
            <w:r/>
            <w:r>
              <w:rPr>
                <w:rFonts w:ascii="Calibri" w:hAnsi="Calibri"/>
                <w:b/>
                <w:i w:val="0"/>
                <w:color w:val="334E68"/>
                <w:sz w:val="17"/>
              </w:rPr>
              <w:t>Backup status</w:t>
            </w:r>
          </w:p>
        </w:tc>
        <w:tc>
          <w:tcPr>
            <w:tcW w:type="dxa" w:w="4048"/>
            <w:shd w:val="clear" w:color="auto" w:fill="FAFBFD"/>
          </w:tcPr>
          <w:p>
            <w:pPr>
              <w:spacing w:after="20" w:before="20"/>
            </w:pPr>
            <w:r/>
            <w:r>
              <w:rPr>
                <w:rFonts w:ascii="Calibri" w:hAnsi="Calibri"/>
                <w:b w:val="0"/>
                <w:i w:val="0"/>
                <w:color w:val="334E68"/>
                <w:sz w:val="17"/>
              </w:rPr>
              <w:t>Last successful backup, backup history, log/archive status</w:t>
            </w:r>
          </w:p>
        </w:tc>
        <w:tc>
          <w:tcPr>
            <w:tcW w:type="dxa" w:w="3277"/>
            <w:shd w:val="clear" w:color="auto" w:fill="FAFBFD"/>
          </w:tcPr>
          <w:p>
            <w:pPr>
              <w:spacing w:after="20" w:before="20"/>
            </w:pPr>
            <w:r/>
            <w:r>
              <w:rPr>
                <w:rFonts w:ascii="Calibri" w:hAnsi="Calibri"/>
                <w:b w:val="0"/>
                <w:i w:val="0"/>
                <w:color w:val="334E68"/>
                <w:sz w:val="17"/>
              </w:rPr>
              <w:t>Section 6.4, Section 9.4</w:t>
            </w:r>
          </w:p>
        </w:tc>
      </w:tr>
      <w:tr>
        <w:trPr>
          <w:cantSplit/>
        </w:trPr>
        <w:tc>
          <w:tcPr>
            <w:tcW w:type="dxa" w:w="2313"/>
          </w:tcPr>
          <w:p>
            <w:pPr>
              <w:spacing w:after="20" w:before="20"/>
            </w:pPr>
            <w:r/>
            <w:r>
              <w:rPr>
                <w:rFonts w:ascii="Calibri" w:hAnsi="Calibri"/>
                <w:b/>
                <w:i w:val="0"/>
                <w:color w:val="334E68"/>
                <w:sz w:val="17"/>
              </w:rPr>
              <w:t>Known issues</w:t>
            </w:r>
          </w:p>
        </w:tc>
        <w:tc>
          <w:tcPr>
            <w:tcW w:type="dxa" w:w="4048"/>
          </w:tcPr>
          <w:p>
            <w:pPr>
              <w:spacing w:after="20" w:before="20"/>
            </w:pPr>
            <w:r/>
            <w:r>
              <w:rPr>
                <w:rFonts w:ascii="Calibri" w:hAnsi="Calibri"/>
                <w:b w:val="0"/>
                <w:i w:val="0"/>
                <w:color w:val="334E68"/>
                <w:sz w:val="17"/>
              </w:rPr>
              <w:t>Open tickets, failing interfaces, failing jobs, missing directories</w:t>
            </w:r>
          </w:p>
        </w:tc>
        <w:tc>
          <w:tcPr>
            <w:tcW w:type="dxa" w:w="3277"/>
          </w:tcPr>
          <w:p>
            <w:pPr>
              <w:spacing w:after="20" w:before="20"/>
            </w:pPr>
            <w:r/>
            <w:r>
              <w:rPr>
                <w:rFonts w:ascii="Calibri" w:hAnsi="Calibri"/>
                <w:b w:val="0"/>
                <w:i w:val="0"/>
                <w:color w:val="334E68"/>
                <w:sz w:val="17"/>
              </w:rPr>
              <w:t>Hypercare triage (Section 10.6)</w:t>
            </w:r>
          </w:p>
        </w:tc>
      </w:tr>
      <w:tr>
        <w:trPr>
          <w:cantSplit/>
        </w:trPr>
        <w:tc>
          <w:tcPr>
            <w:tcW w:type="dxa" w:w="2313"/>
            <w:shd w:val="clear" w:color="auto" w:fill="FAFBFD"/>
          </w:tcPr>
          <w:p>
            <w:pPr>
              <w:spacing w:after="20" w:before="20"/>
            </w:pPr>
            <w:r/>
            <w:r>
              <w:rPr>
                <w:rFonts w:ascii="Calibri" w:hAnsi="Calibri"/>
                <w:b/>
                <w:i w:val="0"/>
                <w:color w:val="334E68"/>
                <w:sz w:val="17"/>
              </w:rPr>
              <w:t>Transport landscape</w:t>
            </w:r>
          </w:p>
        </w:tc>
        <w:tc>
          <w:tcPr>
            <w:tcW w:type="dxa" w:w="4048"/>
            <w:shd w:val="clear" w:color="auto" w:fill="FAFBFD"/>
          </w:tcPr>
          <w:p>
            <w:pPr>
              <w:spacing w:after="20" w:before="20"/>
            </w:pPr>
            <w:r/>
            <w:r>
              <w:rPr>
                <w:rFonts w:ascii="Consolas" w:hAnsi="Consolas"/>
                <w:b w:val="0"/>
                <w:i w:val="0"/>
                <w:color w:val="123A63"/>
                <w:sz w:val="17"/>
                <w:shd w:val="clear" w:color="auto" w:fill="EEF2F7"/>
              </w:rPr>
              <w:t>STMS</w:t>
            </w:r>
            <w:r>
              <w:rPr>
                <w:rFonts w:ascii="Calibri" w:hAnsi="Calibri"/>
                <w:b w:val="0"/>
                <w:i w:val="0"/>
                <w:color w:val="334E68"/>
                <w:sz w:val="17"/>
              </w:rPr>
              <w:t xml:space="preserve"> domain, systems, routes, transport directory</w:t>
            </w:r>
          </w:p>
        </w:tc>
        <w:tc>
          <w:tcPr>
            <w:tcW w:type="dxa" w:w="3277"/>
            <w:shd w:val="clear" w:color="auto" w:fill="FAFBFD"/>
          </w:tcPr>
          <w:p>
            <w:pPr>
              <w:spacing w:after="20" w:before="20"/>
            </w:pPr>
            <w:r/>
            <w:r>
              <w:rPr>
                <w:rFonts w:ascii="Calibri" w:hAnsi="Calibri"/>
                <w:b w:val="0"/>
                <w:i w:val="0"/>
                <w:color w:val="334E68"/>
                <w:sz w:val="17"/>
              </w:rPr>
              <w:t>Section 7.3, Section 10.3</w:t>
            </w:r>
          </w:p>
        </w:tc>
      </w:tr>
    </w:tbl>
    <w:p>
      <w:pPr>
        <w:spacing w:after="40"/>
      </w:pPr>
    </w:p>
    <w:p>
      <w:pPr>
        <w:pStyle w:val="Heading2"/>
        <w:pBdr>
          <w:bottom w:val="single" w:sz="6" w:space="3" w:color="E8EDF3"/>
        </w:pBdr>
      </w:pPr>
      <w:r>
        <w:rPr>
          <w:rFonts w:ascii="Calibri" w:hAnsi="Calibri"/>
          <w:b/>
          <w:color w:val="0F2B4C"/>
          <w:sz w:val="26"/>
        </w:rPr>
        <w:t>4.6  Module 1 readiness checklist</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530"/>
        <w:gridCol w:w="1542"/>
        <w:gridCol w:w="308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530"/>
            <w:shd w:val="clear" w:color="auto" w:fill="0F2B4C"/>
          </w:tcPr>
          <w:p>
            <w:pPr>
              <w:spacing w:after="20" w:before="20"/>
            </w:pPr>
            <w:r/>
            <w:r>
              <w:rPr>
                <w:rFonts w:ascii="Calibri" w:hAnsi="Calibri"/>
                <w:b/>
                <w:color w:val="FFFFFF"/>
                <w:sz w:val="17"/>
              </w:rPr>
              <w:t>Check</w:t>
            </w:r>
          </w:p>
        </w:tc>
        <w:tc>
          <w:tcPr>
            <w:tcW w:type="dxa" w:w="1542"/>
            <w:shd w:val="clear" w:color="auto" w:fill="0F2B4C"/>
          </w:tcPr>
          <w:p>
            <w:pPr>
              <w:spacing w:after="20" w:before="20"/>
            </w:pPr>
            <w:r/>
            <w:r>
              <w:rPr>
                <w:rFonts w:ascii="Calibri" w:hAnsi="Calibri"/>
                <w:b/>
                <w:color w:val="FFFFFF"/>
                <w:sz w:val="17"/>
              </w:rPr>
              <w:t>Status</w:t>
            </w:r>
          </w:p>
        </w:tc>
        <w:tc>
          <w:tcPr>
            <w:tcW w:type="dxa" w:w="3084"/>
            <w:shd w:val="clear" w:color="auto" w:fill="0F2B4C"/>
          </w:tcPr>
          <w:p>
            <w:pPr>
              <w:spacing w:after="20" w:before="20"/>
            </w:pPr>
            <w:r/>
            <w:r>
              <w:rPr>
                <w:rFonts w:ascii="Calibri" w:hAnsi="Calibri"/>
                <w:b/>
                <w:color w:val="FFFFFF"/>
                <w:sz w:val="17"/>
              </w:rPr>
              <w:t>Evidence / remarks</w:t>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Migration scope finalised and documented with the customer</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Systems in scope identified (SID, environment, landscape role)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AWS account availability verified; target region confirmed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ServiceNow CMDB CIs created or validated for each system</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IP address analysis completed (addressing, overlaps, static entries)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SAP, OS/DB and AWS access confirmed by successful login for every engineer</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Third-party and middleware credentials requested through approved processes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Source system and database parameters collected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Approved sizing report received and consumed (not re-derived)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ST03/ST03N workload snapshot captured for production systems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Host inventory complete: hostname, IP, CI, kernel, DB, NetWeaver release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External agents identified (Control-M, NetBackup, OEM/OBM, others)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NFS dependencies listed with a decision per share (maintain/copy vs EFS)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AL11 directory state captured before migration</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SAP-to-SAP, external, middleware and RFC interfaces identified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SSO and SNC dependencies validated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SM59 destinations exported with connection test results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SMGW and SMICM connection/service baseline captured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Working vs failing state recorded for every interface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Pre-existing failures documented as baseline conditions with evidence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Baseline evidence pack indexed and stored per retention rules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bl>
    <w:p>
      <w:pPr>
        <w:spacing w:after="40"/>
      </w:pPr>
    </w:p>
    <w:p>
      <w:r>
        <w:br w:type="page"/>
      </w:r>
    </w:p>
    <w:p>
      <w:pPr>
        <w:spacing w:after="20"/>
      </w:pPr>
      <w:r>
        <w:rPr>
          <w:rFonts w:ascii="Calibri" w:hAnsi="Calibri"/>
          <w:b/>
          <w:color w:val="1B4F86"/>
          <w:sz w:val="16"/>
        </w:rPr>
        <w:t>MODULE 2 · SECTION 5</w:t>
      </w:r>
    </w:p>
    <w:p>
      <w:pPr>
        <w:pStyle w:val="Heading1"/>
        <w:pBdr>
          <w:bottom w:val="single" w:sz="12" w:space="5" w:color="1B4F86"/>
        </w:pBdr>
        <w:spacing w:after="160"/>
      </w:pPr>
      <w:r>
        <w:rPr>
          <w:rFonts w:ascii="Calibri Light" w:hAnsi="Calibri Light"/>
          <w:b/>
          <w:color w:val="0F2B4C"/>
          <w:sz w:val="38"/>
        </w:rPr>
        <w:t>5  Module 2 — Target architecture, AWS readiness and build</w:t>
      </w:r>
    </w:p>
    <w:p>
      <w:pPr>
        <w:spacing w:after="200"/>
      </w:pPr>
      <w:r>
        <w:rPr>
          <w:rFonts w:ascii="Calibri" w:hAnsi="Calibri"/>
          <w:i/>
          <w:color w:val="5B7288"/>
          <w:sz w:val="21"/>
        </w:rPr>
        <w:t>The automation team builds the target; the migration team proves it is right. Validating someone else's output is not a lack of trust — it is the control that keeps an infrastructure defect out of a production cutover.</w:t>
      </w:r>
    </w:p>
    <w:p>
      <w:pPr>
        <w:pStyle w:val="Heading2"/>
        <w:pBdr>
          <w:bottom w:val="single" w:sz="6" w:space="3" w:color="E8EDF3"/>
        </w:pBdr>
      </w:pPr>
      <w:r>
        <w:rPr>
          <w:rFonts w:ascii="Calibri" w:hAnsi="Calibri"/>
          <w:b/>
          <w:color w:val="0F2B4C"/>
          <w:sz w:val="26"/>
        </w:rPr>
        <w:t>5.1  Target architecture</w:t>
      </w:r>
    </w:p>
    <w:p>
      <w:pPr>
        <w:spacing w:after="40"/>
        <w:ind w:left="351" w:hanging="227"/>
      </w:pPr>
      <w:r>
        <w:rPr>
          <w:rFonts w:ascii="Calibri" w:hAnsi="Calibri"/>
          <w:b/>
          <w:color w:val="1B4F86"/>
          <w:sz w:val="19"/>
        </w:rPr>
        <w:t xml:space="preserve">▪  </w:t>
      </w:r>
      <w:r>
        <w:rPr>
          <w:rFonts w:ascii="Calibri" w:hAnsi="Calibri"/>
          <w:b w:val="0"/>
          <w:i w:val="0"/>
          <w:color w:val="334E68"/>
          <w:sz w:val="19"/>
        </w:rPr>
        <w:t>Confirm customer agreement with the proposed AWS target configuration and instance type.</w:t>
      </w:r>
    </w:p>
    <w:p>
      <w:pPr>
        <w:spacing w:after="40"/>
        <w:ind w:left="351" w:hanging="227"/>
      </w:pPr>
      <w:r>
        <w:rPr>
          <w:rFonts w:ascii="Calibri" w:hAnsi="Calibri"/>
          <w:b/>
          <w:color w:val="1B4F86"/>
          <w:sz w:val="19"/>
        </w:rPr>
        <w:t xml:space="preserve">▪  </w:t>
      </w:r>
      <w:r>
        <w:rPr>
          <w:rFonts w:ascii="Calibri" w:hAnsi="Calibri"/>
          <w:b w:val="0"/>
          <w:i w:val="0"/>
          <w:color w:val="334E68"/>
          <w:sz w:val="19"/>
        </w:rPr>
        <w:t>Architecture diagrams should show AWS Region, Availability Zones, SAP servers, database servers, ASCS/ERS where applicable, major infrastructure components and high-level connectivity.</w:t>
      </w:r>
    </w:p>
    <w:p>
      <w:pPr>
        <w:spacing w:after="40"/>
        <w:ind w:left="351" w:hanging="227"/>
      </w:pPr>
      <w:r>
        <w:rPr>
          <w:rFonts w:ascii="Calibri" w:hAnsi="Calibri"/>
          <w:b/>
          <w:color w:val="1B4F86"/>
          <w:sz w:val="19"/>
        </w:rPr>
        <w:t xml:space="preserve">▪  </w:t>
      </w:r>
      <w:r>
        <w:rPr>
          <w:rFonts w:ascii="Calibri" w:hAnsi="Calibri"/>
          <w:b w:val="0"/>
          <w:i w:val="0"/>
          <w:color w:val="334E68"/>
          <w:sz w:val="19"/>
        </w:rPr>
        <w:t>HA/DR discussions may include ASCS, ERS/CRS, Oracle, secondary/standby systems and failover architecture.</w:t>
      </w:r>
    </w:p>
    <w:p>
      <w:pPr>
        <w:spacing w:after="40"/>
        <w:ind w:left="351" w:hanging="227"/>
      </w:pPr>
      <w:r>
        <w:rPr>
          <w:rFonts w:ascii="Calibri" w:hAnsi="Calibri"/>
          <w:b/>
          <w:color w:val="1B4F86"/>
          <w:sz w:val="19"/>
        </w:rPr>
        <w:t xml:space="preserve">▪  </w:t>
      </w:r>
      <w:r>
        <w:rPr>
          <w:rFonts w:ascii="Calibri" w:hAnsi="Calibri"/>
          <w:b w:val="0"/>
          <w:i w:val="0"/>
          <w:color w:val="334E68"/>
          <w:sz w:val="19"/>
        </w:rPr>
        <w:t>Record the agreed RPO/RTO and the failover mechanism — an HA design nobody can describe under pressure is not an HA design.</w:t>
      </w:r>
    </w:p>
    <w:p>
      <w:pPr>
        <w:spacing w:before="160" w:after="80"/>
        <w:jc w:val="center"/>
        <w:keepNext/>
      </w:pPr>
      <w:r>
        <w:drawing>
          <wp:inline xmlns:a="http://schemas.openxmlformats.org/drawingml/2006/main" xmlns:pic="http://schemas.openxmlformats.org/drawingml/2006/picture">
            <wp:extent cx="6083999" cy="3717999"/>
            <wp:docPr id="3" name="Picture 3"/>
            <wp:cNvGraphicFramePr>
              <a:graphicFrameLocks noChangeAspect="1"/>
            </wp:cNvGraphicFramePr>
            <a:graphic>
              <a:graphicData uri="http://schemas.openxmlformats.org/drawingml/2006/picture">
                <pic:pic>
                  <pic:nvPicPr>
                    <pic:cNvPr id="0" name="d3-aws-architecture.png"/>
                    <pic:cNvPicPr/>
                  </pic:nvPicPr>
                  <pic:blipFill>
                    <a:blip r:embed="rId13"/>
                    <a:stretch>
                      <a:fillRect/>
                    </a:stretch>
                  </pic:blipFill>
                  <pic:spPr>
                    <a:xfrm>
                      <a:off x="0" y="0"/>
                      <a:ext cx="6083999" cy="3717999"/>
                    </a:xfrm>
                    <a:prstGeom prst="rect"/>
                  </pic:spPr>
                </pic:pic>
              </a:graphicData>
            </a:graphic>
          </wp:inline>
        </w:drawing>
      </w:r>
    </w:p>
    <w:p>
      <w:pPr>
        <w:spacing w:after="240"/>
      </w:pPr>
      <w:r>
        <w:rPr>
          <w:rFonts w:ascii="Calibri" w:hAnsi="Calibri"/>
          <w:i/>
          <w:color w:val="5B7288"/>
          <w:sz w:val="17"/>
        </w:rPr>
        <w:t>Figure 3. Target AWS reference architecture used for training. It shows the shape of a typical SAP-on-AWS landing zone — two AZs, application and database subnets, an HA partner, and the shared services the migration depends on (S3, EFS, Route 53, snapshots, KMS). Instance types, AZ count and HA mechanism always come from the approved sizing report and build sheet.</w:t>
      </w:r>
    </w:p>
    <w:p>
      <w:pPr>
        <w:spacing w:after="60" w:before="160"/>
        <w:keepNext/>
      </w:pPr>
      <w:r>
        <w:rPr>
          <w:rFonts w:ascii="Calibri" w:hAnsi="Calibri"/>
          <w:b/>
          <w:color w:val="5B7288"/>
          <w:sz w:val="15"/>
        </w:rPr>
        <w:t>ARCHITECTURE CONTENT THAT MUST BE EXPLICIT</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313"/>
        <w:gridCol w:w="7325"/>
      </w:tblGrid>
      <w:tr>
        <w:trPr>
          <w:tblHeader/>
          <w:cantSplit/>
        </w:trPr>
        <w:tc>
          <w:tcPr>
            <w:tcW w:type="dxa" w:w="2313"/>
            <w:shd w:val="clear" w:color="auto" w:fill="0F2B4C"/>
          </w:tcPr>
          <w:p>
            <w:pPr>
              <w:spacing w:after="20" w:before="20"/>
            </w:pPr>
            <w:r/>
            <w:r>
              <w:rPr>
                <w:rFonts w:ascii="Calibri" w:hAnsi="Calibri"/>
                <w:b/>
                <w:color w:val="FFFFFF"/>
                <w:sz w:val="17"/>
              </w:rPr>
              <w:t>Architecture element</w:t>
            </w:r>
          </w:p>
        </w:tc>
        <w:tc>
          <w:tcPr>
            <w:tcW w:type="dxa" w:w="7325"/>
            <w:shd w:val="clear" w:color="auto" w:fill="0F2B4C"/>
          </w:tcPr>
          <w:p>
            <w:pPr>
              <w:spacing w:after="20" w:before="20"/>
            </w:pPr>
            <w:r/>
            <w:r>
              <w:rPr>
                <w:rFonts w:ascii="Calibri" w:hAnsi="Calibri"/>
                <w:b/>
                <w:color w:val="FFFFFF"/>
                <w:sz w:val="17"/>
              </w:rPr>
              <w:t>What must be agreed and recorded</w:t>
            </w:r>
          </w:p>
        </w:tc>
      </w:tr>
      <w:tr>
        <w:trPr>
          <w:cantSplit/>
        </w:trPr>
        <w:tc>
          <w:tcPr>
            <w:tcW w:type="dxa" w:w="2313"/>
          </w:tcPr>
          <w:p>
            <w:pPr>
              <w:spacing w:after="20" w:before="20"/>
            </w:pPr>
            <w:r/>
            <w:r>
              <w:rPr>
                <w:rFonts w:ascii="Calibri" w:hAnsi="Calibri"/>
                <w:b/>
                <w:i w:val="0"/>
                <w:color w:val="334E68"/>
                <w:sz w:val="17"/>
              </w:rPr>
              <w:t>Region and AZs</w:t>
            </w:r>
          </w:p>
        </w:tc>
        <w:tc>
          <w:tcPr>
            <w:tcW w:type="dxa" w:w="7325"/>
          </w:tcPr>
          <w:p>
            <w:pPr>
              <w:spacing w:after="20" w:before="20"/>
            </w:pPr>
            <w:r/>
            <w:r>
              <w:rPr>
                <w:rFonts w:ascii="Calibri" w:hAnsi="Calibri"/>
                <w:b w:val="0"/>
                <w:i w:val="0"/>
                <w:color w:val="334E68"/>
                <w:sz w:val="17"/>
              </w:rPr>
              <w:t>Target region, number of AZs, and which component sits in which AZ</w:t>
            </w:r>
          </w:p>
        </w:tc>
      </w:tr>
      <w:tr>
        <w:trPr>
          <w:cantSplit/>
        </w:trPr>
        <w:tc>
          <w:tcPr>
            <w:tcW w:type="dxa" w:w="2313"/>
            <w:shd w:val="clear" w:color="auto" w:fill="FAFBFD"/>
          </w:tcPr>
          <w:p>
            <w:pPr>
              <w:spacing w:after="20" w:before="20"/>
            </w:pPr>
            <w:r/>
            <w:r>
              <w:rPr>
                <w:rFonts w:ascii="Calibri" w:hAnsi="Calibri"/>
                <w:b/>
                <w:i w:val="0"/>
                <w:color w:val="334E68"/>
                <w:sz w:val="17"/>
              </w:rPr>
              <w:t>SAP servers</w:t>
            </w:r>
          </w:p>
        </w:tc>
        <w:tc>
          <w:tcPr>
            <w:tcW w:type="dxa" w:w="7325"/>
            <w:shd w:val="clear" w:color="auto" w:fill="FAFBFD"/>
          </w:tcPr>
          <w:p>
            <w:pPr>
              <w:spacing w:after="20" w:before="20"/>
            </w:pPr>
            <w:r/>
            <w:r>
              <w:rPr>
                <w:rFonts w:ascii="Calibri" w:hAnsi="Calibri"/>
                <w:b w:val="0"/>
                <w:i w:val="0"/>
                <w:color w:val="334E68"/>
                <w:sz w:val="17"/>
              </w:rPr>
              <w:t>ASCS/ERS (or CRS), PAS, AAS count and sizing per instance</w:t>
            </w:r>
          </w:p>
        </w:tc>
      </w:tr>
      <w:tr>
        <w:trPr>
          <w:cantSplit/>
        </w:trPr>
        <w:tc>
          <w:tcPr>
            <w:tcW w:type="dxa" w:w="2313"/>
          </w:tcPr>
          <w:p>
            <w:pPr>
              <w:spacing w:after="20" w:before="20"/>
            </w:pPr>
            <w:r/>
            <w:r>
              <w:rPr>
                <w:rFonts w:ascii="Calibri" w:hAnsi="Calibri"/>
                <w:b/>
                <w:i w:val="0"/>
                <w:color w:val="334E68"/>
                <w:sz w:val="17"/>
              </w:rPr>
              <w:t>Database servers</w:t>
            </w:r>
          </w:p>
        </w:tc>
        <w:tc>
          <w:tcPr>
            <w:tcW w:type="dxa" w:w="7325"/>
          </w:tcPr>
          <w:p>
            <w:pPr>
              <w:spacing w:after="20" w:before="20"/>
            </w:pPr>
            <w:r/>
            <w:r>
              <w:rPr>
                <w:rFonts w:ascii="Calibri" w:hAnsi="Calibri"/>
                <w:b w:val="0"/>
                <w:i w:val="0"/>
                <w:color w:val="334E68"/>
                <w:sz w:val="17"/>
              </w:rPr>
              <w:t>HANA or Oracle, instance/storage class, HA mechanism (HSR, Data Guard, cluster)</w:t>
            </w:r>
          </w:p>
        </w:tc>
      </w:tr>
      <w:tr>
        <w:trPr>
          <w:cantSplit/>
        </w:trPr>
        <w:tc>
          <w:tcPr>
            <w:tcW w:type="dxa" w:w="2313"/>
            <w:shd w:val="clear" w:color="auto" w:fill="FAFBFD"/>
          </w:tcPr>
          <w:p>
            <w:pPr>
              <w:spacing w:after="20" w:before="20"/>
            </w:pPr>
            <w:r/>
            <w:r>
              <w:rPr>
                <w:rFonts w:ascii="Calibri" w:hAnsi="Calibri"/>
                <w:b/>
                <w:i w:val="0"/>
                <w:color w:val="334E68"/>
                <w:sz w:val="17"/>
              </w:rPr>
              <w:t>Network</w:t>
            </w:r>
          </w:p>
        </w:tc>
        <w:tc>
          <w:tcPr>
            <w:tcW w:type="dxa" w:w="7325"/>
            <w:shd w:val="clear" w:color="auto" w:fill="FAFBFD"/>
          </w:tcPr>
          <w:p>
            <w:pPr>
              <w:spacing w:after="20" w:before="20"/>
            </w:pPr>
            <w:r/>
            <w:r>
              <w:rPr>
                <w:rFonts w:ascii="Calibri" w:hAnsi="Calibri"/>
                <w:b w:val="0"/>
                <w:i w:val="0"/>
                <w:color w:val="334E68"/>
                <w:sz w:val="17"/>
              </w:rPr>
              <w:t>VPC, subnets and their purpose, route tables, security groups / NACLs, inter-AZ latency</w:t>
            </w:r>
          </w:p>
        </w:tc>
      </w:tr>
      <w:tr>
        <w:trPr>
          <w:cantSplit/>
        </w:trPr>
        <w:tc>
          <w:tcPr>
            <w:tcW w:type="dxa" w:w="2313"/>
          </w:tcPr>
          <w:p>
            <w:pPr>
              <w:spacing w:after="20" w:before="20"/>
            </w:pPr>
            <w:r/>
            <w:r>
              <w:rPr>
                <w:rFonts w:ascii="Calibri" w:hAnsi="Calibri"/>
                <w:b/>
                <w:i w:val="0"/>
                <w:color w:val="334E68"/>
                <w:sz w:val="17"/>
              </w:rPr>
              <w:t>Connectivity</w:t>
            </w:r>
          </w:p>
        </w:tc>
        <w:tc>
          <w:tcPr>
            <w:tcW w:type="dxa" w:w="7325"/>
          </w:tcPr>
          <w:p>
            <w:pPr>
              <w:spacing w:after="20" w:before="20"/>
            </w:pPr>
            <w:r/>
            <w:r>
              <w:rPr>
                <w:rFonts w:ascii="Calibri" w:hAnsi="Calibri"/>
                <w:b w:val="0"/>
                <w:i w:val="0"/>
                <w:color w:val="334E68"/>
                <w:sz w:val="17"/>
              </w:rPr>
              <w:t>On-premises connectivity method, SAProuter, jump/bastion access, DNS resolution path</w:t>
            </w:r>
          </w:p>
        </w:tc>
      </w:tr>
      <w:tr>
        <w:trPr>
          <w:cantSplit/>
        </w:trPr>
        <w:tc>
          <w:tcPr>
            <w:tcW w:type="dxa" w:w="2313"/>
            <w:shd w:val="clear" w:color="auto" w:fill="FAFBFD"/>
          </w:tcPr>
          <w:p>
            <w:pPr>
              <w:spacing w:after="20" w:before="20"/>
            </w:pPr>
            <w:r/>
            <w:r>
              <w:rPr>
                <w:rFonts w:ascii="Calibri" w:hAnsi="Calibri"/>
                <w:b/>
                <w:i w:val="0"/>
                <w:color w:val="334E68"/>
                <w:sz w:val="17"/>
              </w:rPr>
              <w:t>Storage</w:t>
            </w:r>
          </w:p>
        </w:tc>
        <w:tc>
          <w:tcPr>
            <w:tcW w:type="dxa" w:w="7325"/>
            <w:shd w:val="clear" w:color="auto" w:fill="FAFBFD"/>
          </w:tcPr>
          <w:p>
            <w:pPr>
              <w:spacing w:after="20" w:before="20"/>
            </w:pPr>
            <w:r/>
            <w:r>
              <w:rPr>
                <w:rFonts w:ascii="Calibri" w:hAnsi="Calibri"/>
                <w:b w:val="0"/>
                <w:i w:val="0"/>
                <w:color w:val="334E68"/>
                <w:sz w:val="17"/>
              </w:rPr>
              <w:t>Root, SAP data/log volumes, shared file systems, backup targets, snapshot policy</w:t>
            </w:r>
          </w:p>
        </w:tc>
      </w:tr>
      <w:tr>
        <w:trPr>
          <w:cantSplit/>
        </w:trPr>
        <w:tc>
          <w:tcPr>
            <w:tcW w:type="dxa" w:w="2313"/>
          </w:tcPr>
          <w:p>
            <w:pPr>
              <w:spacing w:after="20" w:before="20"/>
            </w:pPr>
            <w:r/>
            <w:r>
              <w:rPr>
                <w:rFonts w:ascii="Calibri" w:hAnsi="Calibri"/>
                <w:b/>
                <w:i w:val="0"/>
                <w:color w:val="334E68"/>
                <w:sz w:val="17"/>
              </w:rPr>
              <w:t>Security</w:t>
            </w:r>
          </w:p>
        </w:tc>
        <w:tc>
          <w:tcPr>
            <w:tcW w:type="dxa" w:w="7325"/>
          </w:tcPr>
          <w:p>
            <w:pPr>
              <w:spacing w:after="20" w:before="20"/>
            </w:pPr>
            <w:r/>
            <w:r>
              <w:rPr>
                <w:rFonts w:ascii="Calibri" w:hAnsi="Calibri"/>
                <w:b w:val="0"/>
                <w:i w:val="0"/>
                <w:color w:val="334E68"/>
                <w:sz w:val="17"/>
              </w:rPr>
              <w:t>Encryption at rest and in transit, key management, privileged access path, audit logging</w:t>
            </w:r>
          </w:p>
        </w:tc>
      </w:tr>
      <w:tr>
        <w:trPr>
          <w:cantSplit/>
        </w:trPr>
        <w:tc>
          <w:tcPr>
            <w:tcW w:type="dxa" w:w="2313"/>
            <w:shd w:val="clear" w:color="auto" w:fill="FAFBFD"/>
          </w:tcPr>
          <w:p>
            <w:pPr>
              <w:spacing w:after="20" w:before="20"/>
            </w:pPr>
            <w:r/>
            <w:r>
              <w:rPr>
                <w:rFonts w:ascii="Calibri" w:hAnsi="Calibri"/>
                <w:b/>
                <w:i w:val="0"/>
                <w:color w:val="334E68"/>
                <w:sz w:val="17"/>
              </w:rPr>
              <w:t>Observability</w:t>
            </w:r>
          </w:p>
        </w:tc>
        <w:tc>
          <w:tcPr>
            <w:tcW w:type="dxa" w:w="7325"/>
            <w:shd w:val="clear" w:color="auto" w:fill="FAFBFD"/>
          </w:tcPr>
          <w:p>
            <w:pPr>
              <w:spacing w:after="20" w:before="20"/>
            </w:pPr>
            <w:r/>
            <w:r>
              <w:rPr>
                <w:rFonts w:ascii="Calibri" w:hAnsi="Calibri"/>
                <w:b w:val="0"/>
                <w:i w:val="0"/>
                <w:color w:val="334E68"/>
                <w:sz w:val="17"/>
              </w:rPr>
              <w:t>Monitoring agents, log forwarding, alerting ownership</w:t>
            </w:r>
          </w:p>
        </w:tc>
      </w:tr>
    </w:tbl>
    <w:p>
      <w:pPr>
        <w:spacing w:after="40"/>
      </w:pPr>
    </w:p>
    <w:p>
      <w:pPr>
        <w:pStyle w:val="Heading2"/>
        <w:pBdr>
          <w:bottom w:val="single" w:sz="6" w:space="3" w:color="E8EDF3"/>
        </w:pBdr>
      </w:pPr>
      <w:r>
        <w:rPr>
          <w:rFonts w:ascii="Calibri" w:hAnsi="Calibri"/>
          <w:b/>
          <w:color w:val="0F2B4C"/>
          <w:sz w:val="26"/>
        </w:rPr>
        <w:t>5.2  Build sheet</w:t>
      </w:r>
    </w:p>
    <w:p>
      <w:pPr>
        <w:spacing w:after="40"/>
        <w:ind w:left="578" w:hanging="227"/>
      </w:pPr>
      <w:r>
        <w:rPr>
          <w:rFonts w:ascii="Calibri" w:hAnsi="Calibri"/>
          <w:b/>
          <w:color w:val="0F2B4C"/>
          <w:sz w:val="19"/>
        </w:rPr>
        <w:t xml:space="preserve">1.  </w:t>
      </w:r>
      <w:r>
        <w:rPr>
          <w:rFonts w:ascii="Calibri" w:hAnsi="Calibri"/>
          <w:b w:val="0"/>
          <w:i w:val="0"/>
          <w:color w:val="334E68"/>
          <w:sz w:val="19"/>
        </w:rPr>
        <w:t>Prepare the build sheet from the approved sizing report and architecture.</w:t>
      </w:r>
    </w:p>
    <w:p>
      <w:pPr>
        <w:spacing w:after="40"/>
        <w:ind w:left="578" w:hanging="227"/>
      </w:pPr>
      <w:r>
        <w:rPr>
          <w:rFonts w:ascii="Calibri" w:hAnsi="Calibri"/>
          <w:b/>
          <w:color w:val="0F2B4C"/>
          <w:sz w:val="19"/>
        </w:rPr>
        <w:t xml:space="preserve">2.  </w:t>
      </w:r>
      <w:r>
        <w:rPr>
          <w:rFonts w:ascii="Calibri" w:hAnsi="Calibri"/>
          <w:b w:val="0"/>
          <w:i w:val="0"/>
          <w:color w:val="334E68"/>
          <w:sz w:val="19"/>
        </w:rPr>
        <w:t>Perform peer review — a second engineer checks every field against the source documents.</w:t>
      </w:r>
    </w:p>
    <w:p>
      <w:pPr>
        <w:spacing w:after="40"/>
        <w:ind w:left="578" w:hanging="227"/>
      </w:pPr>
      <w:r>
        <w:rPr>
          <w:rFonts w:ascii="Calibri" w:hAnsi="Calibri"/>
          <w:b/>
          <w:color w:val="0F2B4C"/>
          <w:sz w:val="19"/>
        </w:rPr>
        <w:t xml:space="preserve">3.  </w:t>
      </w:r>
      <w:r>
        <w:rPr>
          <w:rFonts w:ascii="Calibri" w:hAnsi="Calibri"/>
          <w:b w:val="0"/>
          <w:i w:val="0"/>
          <w:color w:val="334E68"/>
          <w:sz w:val="19"/>
        </w:rPr>
        <w:t>Finalise the information with the customer and obtain their confirmation.</w:t>
      </w:r>
    </w:p>
    <w:p>
      <w:pPr>
        <w:spacing w:after="40"/>
        <w:ind w:left="578" w:hanging="227"/>
      </w:pPr>
      <w:r>
        <w:rPr>
          <w:rFonts w:ascii="Calibri" w:hAnsi="Calibri"/>
          <w:b/>
          <w:color w:val="0F2B4C"/>
          <w:sz w:val="19"/>
        </w:rPr>
        <w:t xml:space="preserve">4.  </w:t>
      </w:r>
      <w:r>
        <w:rPr>
          <w:rFonts w:ascii="Calibri" w:hAnsi="Calibri"/>
          <w:b w:val="0"/>
          <w:i w:val="0"/>
          <w:color w:val="334E68"/>
          <w:sz w:val="19"/>
        </w:rPr>
        <w:t>Use only the approved information for target provisioning.</w:t>
      </w:r>
    </w:p>
    <w:p>
      <w:pPr>
        <w:spacing w:after="40"/>
        <w:ind w:left="578" w:hanging="227"/>
      </w:pPr>
      <w:r>
        <w:rPr>
          <w:rFonts w:ascii="Calibri" w:hAnsi="Calibri"/>
          <w:b/>
          <w:color w:val="0F2B4C"/>
          <w:sz w:val="19"/>
        </w:rPr>
        <w:t xml:space="preserve">5.  </w:t>
      </w:r>
      <w:r>
        <w:rPr>
          <w:rFonts w:ascii="Calibri" w:hAnsi="Calibri"/>
          <w:b w:val="0"/>
          <w:i w:val="0"/>
          <w:color w:val="334E68"/>
          <w:sz w:val="19"/>
        </w:rPr>
        <w:t>Validate the provisioned environment against the build sheet, field by field.</w:t>
      </w:r>
    </w:p>
    <w:p>
      <w:pPr>
        <w:spacing w:after="60" w:before="160"/>
        <w:keepNext/>
      </w:pPr>
      <w:r>
        <w:rPr>
          <w:rFonts w:ascii="Calibri" w:hAnsi="Calibri"/>
          <w:b/>
          <w:color w:val="5B7288"/>
          <w:sz w:val="15"/>
        </w:rPr>
        <w:t>BUILD SHEET CONTENT AND HOW EACH GROUP IS VALIDATED</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1928"/>
        <w:gridCol w:w="3662"/>
        <w:gridCol w:w="4048"/>
      </w:tblGrid>
      <w:tr>
        <w:trPr>
          <w:tblHeader/>
          <w:cantSplit/>
        </w:trPr>
        <w:tc>
          <w:tcPr>
            <w:tcW w:type="dxa" w:w="1928"/>
            <w:shd w:val="clear" w:color="auto" w:fill="0F2B4C"/>
          </w:tcPr>
          <w:p>
            <w:pPr>
              <w:spacing w:after="20" w:before="20"/>
            </w:pPr>
            <w:r/>
            <w:r>
              <w:rPr>
                <w:rFonts w:ascii="Calibri" w:hAnsi="Calibri"/>
                <w:b/>
                <w:color w:val="FFFFFF"/>
                <w:sz w:val="17"/>
              </w:rPr>
              <w:t>Build sheet field group</w:t>
            </w:r>
          </w:p>
        </w:tc>
        <w:tc>
          <w:tcPr>
            <w:tcW w:type="dxa" w:w="3662"/>
            <w:shd w:val="clear" w:color="auto" w:fill="0F2B4C"/>
          </w:tcPr>
          <w:p>
            <w:pPr>
              <w:spacing w:after="20" w:before="20"/>
            </w:pPr>
            <w:r/>
            <w:r>
              <w:rPr>
                <w:rFonts w:ascii="Calibri" w:hAnsi="Calibri"/>
                <w:b/>
                <w:color w:val="FFFFFF"/>
                <w:sz w:val="17"/>
              </w:rPr>
              <w:t>Examples</w:t>
            </w:r>
          </w:p>
        </w:tc>
        <w:tc>
          <w:tcPr>
            <w:tcW w:type="dxa" w:w="4048"/>
            <w:shd w:val="clear" w:color="auto" w:fill="0F2B4C"/>
          </w:tcPr>
          <w:p>
            <w:pPr>
              <w:spacing w:after="20" w:before="20"/>
            </w:pPr>
            <w:r/>
            <w:r>
              <w:rPr>
                <w:rFonts w:ascii="Calibri" w:hAnsi="Calibri"/>
                <w:b/>
                <w:color w:val="FFFFFF"/>
                <w:sz w:val="17"/>
              </w:rPr>
              <w:t>Validation method after build</w:t>
            </w:r>
          </w:p>
        </w:tc>
      </w:tr>
      <w:tr>
        <w:trPr>
          <w:cantSplit/>
        </w:trPr>
        <w:tc>
          <w:tcPr>
            <w:tcW w:type="dxa" w:w="1928"/>
          </w:tcPr>
          <w:p>
            <w:pPr>
              <w:spacing w:after="20" w:before="20"/>
            </w:pPr>
            <w:r/>
            <w:r>
              <w:rPr>
                <w:rFonts w:ascii="Calibri" w:hAnsi="Calibri"/>
                <w:b/>
                <w:i w:val="0"/>
                <w:color w:val="334E68"/>
                <w:sz w:val="17"/>
              </w:rPr>
              <w:t>Identity</w:t>
            </w:r>
          </w:p>
        </w:tc>
        <w:tc>
          <w:tcPr>
            <w:tcW w:type="dxa" w:w="3662"/>
          </w:tcPr>
          <w:p>
            <w:pPr>
              <w:spacing w:after="20" w:before="20"/>
            </w:pPr>
            <w:r/>
            <w:r>
              <w:rPr>
                <w:rFonts w:ascii="Calibri" w:hAnsi="Calibri"/>
                <w:b w:val="0"/>
                <w:i w:val="0"/>
                <w:color w:val="334E68"/>
                <w:sz w:val="17"/>
              </w:rPr>
              <w:t>Hostname, SID, instance number, domain, environment</w:t>
            </w:r>
          </w:p>
        </w:tc>
        <w:tc>
          <w:tcPr>
            <w:tcW w:type="dxa" w:w="4048"/>
          </w:tcPr>
          <w:p>
            <w:pPr>
              <w:spacing w:after="20" w:before="20"/>
            </w:pPr>
            <w:r/>
            <w:r>
              <w:rPr>
                <w:rFonts w:ascii="Calibri" w:hAnsi="Calibri"/>
                <w:b w:val="0"/>
                <w:i w:val="0"/>
                <w:color w:val="334E68"/>
                <w:sz w:val="17"/>
              </w:rPr>
              <w:t xml:space="preserve">Compare with </w:t>
            </w:r>
            <w:r>
              <w:rPr>
                <w:rFonts w:ascii="Consolas" w:hAnsi="Consolas"/>
                <w:b w:val="0"/>
                <w:i w:val="0"/>
                <w:color w:val="123A63"/>
                <w:sz w:val="17"/>
                <w:shd w:val="clear" w:color="auto" w:fill="EEF2F7"/>
              </w:rPr>
              <w:t>hostname</w:t>
            </w:r>
            <w:r>
              <w:rPr>
                <w:rFonts w:ascii="Calibri" w:hAnsi="Calibri"/>
                <w:b w:val="0"/>
                <w:i w:val="0"/>
                <w:color w:val="334E68"/>
                <w:sz w:val="17"/>
              </w:rPr>
              <w:t>, SAP profile, CMDB CI</w:t>
            </w:r>
          </w:p>
        </w:tc>
      </w:tr>
      <w:tr>
        <w:trPr>
          <w:cantSplit/>
        </w:trPr>
        <w:tc>
          <w:tcPr>
            <w:tcW w:type="dxa" w:w="1928"/>
            <w:shd w:val="clear" w:color="auto" w:fill="FAFBFD"/>
          </w:tcPr>
          <w:p>
            <w:pPr>
              <w:spacing w:after="20" w:before="20"/>
            </w:pPr>
            <w:r/>
            <w:r>
              <w:rPr>
                <w:rFonts w:ascii="Calibri" w:hAnsi="Calibri"/>
                <w:b/>
                <w:i w:val="0"/>
                <w:color w:val="334E68"/>
                <w:sz w:val="17"/>
              </w:rPr>
              <w:t>Compute</w:t>
            </w:r>
          </w:p>
        </w:tc>
        <w:tc>
          <w:tcPr>
            <w:tcW w:type="dxa" w:w="3662"/>
            <w:shd w:val="clear" w:color="auto" w:fill="FAFBFD"/>
          </w:tcPr>
          <w:p>
            <w:pPr>
              <w:spacing w:after="20" w:before="20"/>
            </w:pPr>
            <w:r/>
            <w:r>
              <w:rPr>
                <w:rFonts w:ascii="Calibri" w:hAnsi="Calibri"/>
                <w:b w:val="0"/>
                <w:i w:val="0"/>
                <w:color w:val="334E68"/>
                <w:sz w:val="17"/>
              </w:rPr>
              <w:t>Instance type, vCPU, RAM, AZ, placement</w:t>
            </w:r>
          </w:p>
        </w:tc>
        <w:tc>
          <w:tcPr>
            <w:tcW w:type="dxa" w:w="4048"/>
            <w:shd w:val="clear" w:color="auto" w:fill="FAFBFD"/>
          </w:tcPr>
          <w:p>
            <w:pPr>
              <w:spacing w:after="20" w:before="20"/>
            </w:pPr>
            <w:r/>
            <w:r>
              <w:rPr>
                <w:rFonts w:ascii="Calibri" w:hAnsi="Calibri"/>
                <w:b w:val="0"/>
                <w:i w:val="0"/>
                <w:color w:val="334E68"/>
                <w:sz w:val="17"/>
              </w:rPr>
              <w:t>AWS console/CLI describe-instance versus build sheet</w:t>
            </w:r>
          </w:p>
        </w:tc>
      </w:tr>
      <w:tr>
        <w:trPr>
          <w:cantSplit/>
        </w:trPr>
        <w:tc>
          <w:tcPr>
            <w:tcW w:type="dxa" w:w="1928"/>
          </w:tcPr>
          <w:p>
            <w:pPr>
              <w:spacing w:after="20" w:before="20"/>
            </w:pPr>
            <w:r/>
            <w:r>
              <w:rPr>
                <w:rFonts w:ascii="Calibri" w:hAnsi="Calibri"/>
                <w:b/>
                <w:i w:val="0"/>
                <w:color w:val="334E68"/>
                <w:sz w:val="17"/>
              </w:rPr>
              <w:t>Network</w:t>
            </w:r>
          </w:p>
        </w:tc>
        <w:tc>
          <w:tcPr>
            <w:tcW w:type="dxa" w:w="3662"/>
          </w:tcPr>
          <w:p>
            <w:pPr>
              <w:spacing w:after="20" w:before="20"/>
            </w:pPr>
            <w:r/>
            <w:r>
              <w:rPr>
                <w:rFonts w:ascii="Calibri" w:hAnsi="Calibri"/>
                <w:b w:val="0"/>
                <w:i w:val="0"/>
                <w:color w:val="334E68"/>
                <w:sz w:val="17"/>
              </w:rPr>
              <w:t>VPC, subnet, private/public IP, security groups, routes</w:t>
            </w:r>
          </w:p>
        </w:tc>
        <w:tc>
          <w:tcPr>
            <w:tcW w:type="dxa" w:w="4048"/>
          </w:tcPr>
          <w:p>
            <w:pPr>
              <w:spacing w:after="20" w:before="20"/>
            </w:pPr>
            <w:r/>
            <w:r>
              <w:rPr>
                <w:rFonts w:ascii="Calibri" w:hAnsi="Calibri"/>
                <w:b w:val="0"/>
                <w:i w:val="0"/>
                <w:color w:val="334E68"/>
                <w:sz w:val="17"/>
              </w:rPr>
              <w:t>Interface attachment, IP, and reachability tests</w:t>
            </w:r>
          </w:p>
        </w:tc>
      </w:tr>
      <w:tr>
        <w:trPr>
          <w:cantSplit/>
        </w:trPr>
        <w:tc>
          <w:tcPr>
            <w:tcW w:type="dxa" w:w="1928"/>
            <w:shd w:val="clear" w:color="auto" w:fill="FAFBFD"/>
          </w:tcPr>
          <w:p>
            <w:pPr>
              <w:spacing w:after="20" w:before="20"/>
            </w:pPr>
            <w:r/>
            <w:r>
              <w:rPr>
                <w:rFonts w:ascii="Calibri" w:hAnsi="Calibri"/>
                <w:b/>
                <w:i w:val="0"/>
                <w:color w:val="334E68"/>
                <w:sz w:val="17"/>
              </w:rPr>
              <w:t>Storage</w:t>
            </w:r>
          </w:p>
        </w:tc>
        <w:tc>
          <w:tcPr>
            <w:tcW w:type="dxa" w:w="3662"/>
            <w:shd w:val="clear" w:color="auto" w:fill="FAFBFD"/>
          </w:tcPr>
          <w:p>
            <w:pPr>
              <w:spacing w:after="20" w:before="20"/>
            </w:pPr>
            <w:r/>
            <w:r>
              <w:rPr>
                <w:rFonts w:ascii="Calibri" w:hAnsi="Calibri"/>
                <w:b w:val="0"/>
                <w:i w:val="0"/>
                <w:color w:val="334E68"/>
                <w:sz w:val="17"/>
              </w:rPr>
              <w:t>Volume types and sizes, mount points, shared file systems</w:t>
            </w:r>
          </w:p>
        </w:tc>
        <w:tc>
          <w:tcPr>
            <w:tcW w:type="dxa" w:w="4048"/>
            <w:shd w:val="clear" w:color="auto" w:fill="FAFBFD"/>
          </w:tcPr>
          <w:p>
            <w:pPr>
              <w:spacing w:after="20" w:before="20"/>
            </w:pPr>
            <w:r/>
            <w:r>
              <w:rPr>
                <w:rFonts w:ascii="Consolas" w:hAnsi="Consolas"/>
                <w:b w:val="0"/>
                <w:i w:val="0"/>
                <w:color w:val="123A63"/>
                <w:sz w:val="17"/>
                <w:shd w:val="clear" w:color="auto" w:fill="EEF2F7"/>
              </w:rPr>
              <w:t>df -h</w:t>
            </w:r>
            <w:r>
              <w:rPr>
                <w:rFonts w:ascii="Calibri" w:hAnsi="Calibri"/>
                <w:b w:val="0"/>
                <w:i w:val="0"/>
                <w:color w:val="334E68"/>
                <w:sz w:val="17"/>
              </w:rPr>
              <w:t xml:space="preserve">, </w:t>
            </w:r>
            <w:r>
              <w:rPr>
                <w:rFonts w:ascii="Consolas" w:hAnsi="Consolas"/>
                <w:b w:val="0"/>
                <w:i w:val="0"/>
                <w:color w:val="123A63"/>
                <w:sz w:val="17"/>
                <w:shd w:val="clear" w:color="auto" w:fill="EEF2F7"/>
              </w:rPr>
              <w:t>lsblk</w:t>
            </w:r>
            <w:r>
              <w:rPr>
                <w:rFonts w:ascii="Calibri" w:hAnsi="Calibri"/>
                <w:b w:val="0"/>
                <w:i w:val="0"/>
                <w:color w:val="334E68"/>
                <w:sz w:val="17"/>
              </w:rPr>
              <w:t xml:space="preserve">, </w:t>
            </w:r>
            <w:r>
              <w:rPr>
                <w:rFonts w:ascii="Consolas" w:hAnsi="Consolas"/>
                <w:b w:val="0"/>
                <w:i w:val="0"/>
                <w:color w:val="123A63"/>
                <w:sz w:val="17"/>
                <w:shd w:val="clear" w:color="auto" w:fill="EEF2F7"/>
              </w:rPr>
              <w:t>/etc/fstab</w:t>
            </w:r>
          </w:p>
        </w:tc>
      </w:tr>
      <w:tr>
        <w:trPr>
          <w:cantSplit/>
        </w:trPr>
        <w:tc>
          <w:tcPr>
            <w:tcW w:type="dxa" w:w="1928"/>
          </w:tcPr>
          <w:p>
            <w:pPr>
              <w:spacing w:after="20" w:before="20"/>
            </w:pPr>
            <w:r/>
            <w:r>
              <w:rPr>
                <w:rFonts w:ascii="Calibri" w:hAnsi="Calibri"/>
                <w:b/>
                <w:i w:val="0"/>
                <w:color w:val="334E68"/>
                <w:sz w:val="17"/>
              </w:rPr>
              <w:t>OS</w:t>
            </w:r>
          </w:p>
        </w:tc>
        <w:tc>
          <w:tcPr>
            <w:tcW w:type="dxa" w:w="3662"/>
          </w:tcPr>
          <w:p>
            <w:pPr>
              <w:spacing w:after="20" w:before="20"/>
            </w:pPr>
            <w:r/>
            <w:r>
              <w:rPr>
                <w:rFonts w:ascii="Calibri" w:hAnsi="Calibri"/>
                <w:b w:val="0"/>
                <w:i w:val="0"/>
                <w:color w:val="334E68"/>
                <w:sz w:val="17"/>
              </w:rPr>
              <w:t>Distribution, version, kernel, packages, tuning parameters</w:t>
            </w:r>
          </w:p>
        </w:tc>
        <w:tc>
          <w:tcPr>
            <w:tcW w:type="dxa" w:w="4048"/>
          </w:tcPr>
          <w:p>
            <w:pPr>
              <w:spacing w:after="20" w:before="20"/>
            </w:pPr>
            <w:r/>
            <w:r>
              <w:rPr>
                <w:rFonts w:ascii="Consolas" w:hAnsi="Consolas"/>
                <w:b w:val="0"/>
                <w:i w:val="0"/>
                <w:color w:val="123A63"/>
                <w:sz w:val="17"/>
                <w:shd w:val="clear" w:color="auto" w:fill="EEF2F7"/>
              </w:rPr>
              <w:t>/etc/os-release</w:t>
            </w:r>
            <w:r>
              <w:rPr>
                <w:rFonts w:ascii="Calibri" w:hAnsi="Calibri"/>
                <w:b w:val="0"/>
                <w:i w:val="0"/>
                <w:color w:val="334E68"/>
                <w:sz w:val="17"/>
              </w:rPr>
              <w:t xml:space="preserve">, </w:t>
            </w:r>
            <w:r>
              <w:rPr>
                <w:rFonts w:ascii="Consolas" w:hAnsi="Consolas"/>
                <w:b w:val="0"/>
                <w:i w:val="0"/>
                <w:color w:val="123A63"/>
                <w:sz w:val="17"/>
                <w:shd w:val="clear" w:color="auto" w:fill="EEF2F7"/>
              </w:rPr>
              <w:t>uname -r</w:t>
            </w:r>
            <w:r>
              <w:rPr>
                <w:rFonts w:ascii="Calibri" w:hAnsi="Calibri"/>
                <w:b w:val="0"/>
                <w:i w:val="0"/>
                <w:color w:val="334E68"/>
                <w:sz w:val="17"/>
              </w:rPr>
              <w:t>, package list</w:t>
            </w:r>
          </w:p>
        </w:tc>
      </w:tr>
      <w:tr>
        <w:trPr>
          <w:cantSplit/>
        </w:trPr>
        <w:tc>
          <w:tcPr>
            <w:tcW w:type="dxa" w:w="1928"/>
            <w:shd w:val="clear" w:color="auto" w:fill="FAFBFD"/>
          </w:tcPr>
          <w:p>
            <w:pPr>
              <w:spacing w:after="20" w:before="20"/>
            </w:pPr>
            <w:r/>
            <w:r>
              <w:rPr>
                <w:rFonts w:ascii="Calibri" w:hAnsi="Calibri"/>
                <w:b/>
                <w:i w:val="0"/>
                <w:color w:val="334E68"/>
                <w:sz w:val="17"/>
              </w:rPr>
              <w:t>Users and groups</w:t>
            </w:r>
          </w:p>
        </w:tc>
        <w:tc>
          <w:tcPr>
            <w:tcW w:type="dxa" w:w="3662"/>
            <w:shd w:val="clear" w:color="auto" w:fill="FAFBFD"/>
          </w:tcPr>
          <w:p>
            <w:pPr>
              <w:spacing w:after="20" w:before="20"/>
            </w:pPr>
            <w:r/>
            <w:r>
              <w:rPr>
                <w:rFonts w:ascii="Calibri" w:hAnsi="Calibri"/>
                <w:b w:val="0"/>
                <w:i w:val="0"/>
                <w:color w:val="334E68"/>
                <w:sz w:val="17"/>
              </w:rPr>
              <w:t xml:space="preserve">UID/GID for </w:t>
            </w:r>
            <w:r>
              <w:rPr>
                <w:rFonts w:ascii="Consolas" w:hAnsi="Consolas"/>
                <w:b w:val="0"/>
                <w:i w:val="0"/>
                <w:color w:val="123A63"/>
                <w:sz w:val="17"/>
                <w:shd w:val="clear" w:color="auto" w:fill="EEF2F7"/>
              </w:rPr>
              <w:t>sapadm</w:t>
            </w:r>
            <w:r>
              <w:rPr>
                <w:rFonts w:ascii="Calibri" w:hAnsi="Calibri"/>
                <w:b w:val="0"/>
                <w:i w:val="0"/>
                <w:color w:val="334E68"/>
                <w:sz w:val="17"/>
              </w:rPr>
              <w:t xml:space="preserve">, </w:t>
            </w:r>
            <w:r>
              <w:rPr>
                <w:rFonts w:ascii="Consolas" w:hAnsi="Consolas"/>
                <w:b w:val="0"/>
                <w:i w:val="0"/>
                <w:color w:val="123A63"/>
                <w:sz w:val="17"/>
                <w:shd w:val="clear" w:color="auto" w:fill="EEF2F7"/>
              </w:rPr>
              <w:t>&lt;sid&gt;adm</w:t>
            </w:r>
            <w:r>
              <w:rPr>
                <w:rFonts w:ascii="Calibri" w:hAnsi="Calibri"/>
                <w:b w:val="0"/>
                <w:i w:val="0"/>
                <w:color w:val="334E68"/>
                <w:sz w:val="17"/>
              </w:rPr>
              <w:t>, DB users, groups</w:t>
            </w:r>
          </w:p>
        </w:tc>
        <w:tc>
          <w:tcPr>
            <w:tcW w:type="dxa" w:w="4048"/>
            <w:shd w:val="clear" w:color="auto" w:fill="FAFBFD"/>
          </w:tcPr>
          <w:p>
            <w:pPr>
              <w:spacing w:after="20" w:before="20"/>
            </w:pPr>
            <w:r/>
            <w:r>
              <w:rPr>
                <w:rFonts w:ascii="Consolas" w:hAnsi="Consolas"/>
                <w:b w:val="0"/>
                <w:i w:val="0"/>
                <w:color w:val="123A63"/>
                <w:sz w:val="17"/>
                <w:shd w:val="clear" w:color="auto" w:fill="EEF2F7"/>
              </w:rPr>
              <w:t>id</w:t>
            </w:r>
            <w:r>
              <w:rPr>
                <w:rFonts w:ascii="Calibri" w:hAnsi="Calibri"/>
                <w:b w:val="0"/>
                <w:i w:val="0"/>
                <w:color w:val="334E68"/>
                <w:sz w:val="17"/>
              </w:rPr>
              <w:t xml:space="preserve">, </w:t>
            </w:r>
            <w:r>
              <w:rPr>
                <w:rFonts w:ascii="Consolas" w:hAnsi="Consolas"/>
                <w:b w:val="0"/>
                <w:i w:val="0"/>
                <w:color w:val="123A63"/>
                <w:sz w:val="17"/>
                <w:shd w:val="clear" w:color="auto" w:fill="EEF2F7"/>
              </w:rPr>
              <w:t>getent passwd/group</w:t>
            </w:r>
          </w:p>
        </w:tc>
      </w:tr>
      <w:tr>
        <w:trPr>
          <w:cantSplit/>
        </w:trPr>
        <w:tc>
          <w:tcPr>
            <w:tcW w:type="dxa" w:w="1928"/>
          </w:tcPr>
          <w:p>
            <w:pPr>
              <w:spacing w:after="20" w:before="20"/>
            </w:pPr>
            <w:r/>
            <w:r>
              <w:rPr>
                <w:rFonts w:ascii="Calibri" w:hAnsi="Calibri"/>
                <w:b/>
                <w:i w:val="0"/>
                <w:color w:val="334E68"/>
                <w:sz w:val="17"/>
              </w:rPr>
              <w:t>Database</w:t>
            </w:r>
          </w:p>
        </w:tc>
        <w:tc>
          <w:tcPr>
            <w:tcW w:type="dxa" w:w="3662"/>
          </w:tcPr>
          <w:p>
            <w:pPr>
              <w:spacing w:after="20" w:before="20"/>
            </w:pPr>
            <w:r/>
            <w:r>
              <w:rPr>
                <w:rFonts w:ascii="Calibri" w:hAnsi="Calibri"/>
                <w:b w:val="0"/>
                <w:i w:val="0"/>
                <w:color w:val="334E68"/>
                <w:sz w:val="17"/>
              </w:rPr>
              <w:t>Engine, version, SID, memory allocation, parameters</w:t>
            </w:r>
          </w:p>
        </w:tc>
        <w:tc>
          <w:tcPr>
            <w:tcW w:type="dxa" w:w="4048"/>
          </w:tcPr>
          <w:p>
            <w:pPr>
              <w:spacing w:after="20" w:before="20"/>
            </w:pPr>
            <w:r/>
            <w:r>
              <w:rPr>
                <w:rFonts w:ascii="Calibri" w:hAnsi="Calibri"/>
                <w:b w:val="0"/>
                <w:i w:val="0"/>
                <w:color w:val="334E68"/>
                <w:sz w:val="17"/>
              </w:rPr>
              <w:t>DB status, parameter export</w:t>
            </w:r>
          </w:p>
        </w:tc>
      </w:tr>
      <w:tr>
        <w:trPr>
          <w:cantSplit/>
        </w:trPr>
        <w:tc>
          <w:tcPr>
            <w:tcW w:type="dxa" w:w="1928"/>
            <w:shd w:val="clear" w:color="auto" w:fill="FAFBFD"/>
          </w:tcPr>
          <w:p>
            <w:pPr>
              <w:spacing w:after="20" w:before="20"/>
            </w:pPr>
            <w:r/>
            <w:r>
              <w:rPr>
                <w:rFonts w:ascii="Calibri" w:hAnsi="Calibri"/>
                <w:b/>
                <w:i w:val="0"/>
                <w:color w:val="334E68"/>
                <w:sz w:val="17"/>
              </w:rPr>
              <w:t>SAP</w:t>
            </w:r>
          </w:p>
        </w:tc>
        <w:tc>
          <w:tcPr>
            <w:tcW w:type="dxa" w:w="3662"/>
            <w:shd w:val="clear" w:color="auto" w:fill="FAFBFD"/>
          </w:tcPr>
          <w:p>
            <w:pPr>
              <w:spacing w:after="20" w:before="20"/>
            </w:pPr>
            <w:r/>
            <w:r>
              <w:rPr>
                <w:rFonts w:ascii="Calibri" w:hAnsi="Calibri"/>
                <w:b w:val="0"/>
                <w:i w:val="0"/>
                <w:color w:val="334E68"/>
                <w:sz w:val="17"/>
              </w:rPr>
              <w:t>Kernel/patch level, instance profile parameters, services</w:t>
            </w:r>
          </w:p>
        </w:tc>
        <w:tc>
          <w:tcPr>
            <w:tcW w:type="dxa" w:w="4048"/>
            <w:shd w:val="clear" w:color="auto" w:fill="FAFBFD"/>
          </w:tcPr>
          <w:p>
            <w:pPr>
              <w:spacing w:after="20" w:before="20"/>
            </w:pPr>
            <w:r/>
            <w:r>
              <w:rPr>
                <w:rFonts w:ascii="Consolas" w:hAnsi="Consolas"/>
                <w:b w:val="0"/>
                <w:i w:val="0"/>
                <w:color w:val="123A63"/>
                <w:sz w:val="17"/>
                <w:shd w:val="clear" w:color="auto" w:fill="EEF2F7"/>
              </w:rPr>
              <w:t>SM51</w:t>
            </w:r>
            <w:r>
              <w:rPr>
                <w:rFonts w:ascii="Calibri" w:hAnsi="Calibri"/>
                <w:b w:val="0"/>
                <w:i w:val="0"/>
                <w:color w:val="334E68"/>
                <w:sz w:val="17"/>
              </w:rPr>
              <w:t xml:space="preserve">, </w:t>
            </w:r>
            <w:r>
              <w:rPr>
                <w:rFonts w:ascii="Consolas" w:hAnsi="Consolas"/>
                <w:b w:val="0"/>
                <w:i w:val="0"/>
                <w:color w:val="123A63"/>
                <w:sz w:val="17"/>
                <w:shd w:val="clear" w:color="auto" w:fill="EEF2F7"/>
              </w:rPr>
              <w:t>RZ10</w:t>
            </w:r>
            <w:r>
              <w:rPr>
                <w:rFonts w:ascii="Calibri" w:hAnsi="Calibri"/>
                <w:b w:val="0"/>
                <w:i w:val="0"/>
                <w:color w:val="334E68"/>
                <w:sz w:val="17"/>
              </w:rPr>
              <w:t>, service status</w:t>
            </w:r>
          </w:p>
        </w:tc>
      </w:tr>
      <w:tr>
        <w:trPr>
          <w:cantSplit/>
        </w:trPr>
        <w:tc>
          <w:tcPr>
            <w:tcW w:type="dxa" w:w="1928"/>
          </w:tcPr>
          <w:p>
            <w:pPr>
              <w:spacing w:after="20" w:before="20"/>
            </w:pPr>
            <w:r/>
            <w:r>
              <w:rPr>
                <w:rFonts w:ascii="Calibri" w:hAnsi="Calibri"/>
                <w:b/>
                <w:i w:val="0"/>
                <w:color w:val="334E68"/>
                <w:sz w:val="17"/>
              </w:rPr>
              <w:t>Backup</w:t>
            </w:r>
          </w:p>
        </w:tc>
        <w:tc>
          <w:tcPr>
            <w:tcW w:type="dxa" w:w="3662"/>
          </w:tcPr>
          <w:p>
            <w:pPr>
              <w:spacing w:after="20" w:before="20"/>
            </w:pPr>
            <w:r/>
            <w:r>
              <w:rPr>
                <w:rFonts w:ascii="Calibri" w:hAnsi="Calibri"/>
                <w:b w:val="0"/>
                <w:i w:val="0"/>
                <w:color w:val="334E68"/>
                <w:sz w:val="17"/>
              </w:rPr>
              <w:t>Backup tool, target bucket/path, retention</w:t>
            </w:r>
          </w:p>
        </w:tc>
        <w:tc>
          <w:tcPr>
            <w:tcW w:type="dxa" w:w="4048"/>
          </w:tcPr>
          <w:p>
            <w:pPr>
              <w:spacing w:after="20" w:before="20"/>
            </w:pPr>
            <w:r/>
            <w:r>
              <w:rPr>
                <w:rFonts w:ascii="Calibri" w:hAnsi="Calibri"/>
                <w:b w:val="0"/>
                <w:i w:val="0"/>
                <w:color w:val="334E68"/>
                <w:sz w:val="17"/>
              </w:rPr>
              <w:t>Test backup job and verify the object exists</w:t>
            </w:r>
          </w:p>
        </w:tc>
      </w:tr>
      <w:tr>
        <w:trPr>
          <w:cantSplit/>
        </w:trPr>
        <w:tc>
          <w:tcPr>
            <w:tcW w:type="dxa" w:w="1928"/>
            <w:shd w:val="clear" w:color="auto" w:fill="FAFBFD"/>
          </w:tcPr>
          <w:p>
            <w:pPr>
              <w:spacing w:after="20" w:before="20"/>
            </w:pPr>
            <w:r/>
            <w:r>
              <w:rPr>
                <w:rFonts w:ascii="Calibri" w:hAnsi="Calibri"/>
                <w:b/>
                <w:i w:val="0"/>
                <w:color w:val="334E68"/>
                <w:sz w:val="17"/>
              </w:rPr>
              <w:t>Access and agents</w:t>
            </w:r>
          </w:p>
        </w:tc>
        <w:tc>
          <w:tcPr>
            <w:tcW w:type="dxa" w:w="3662"/>
            <w:shd w:val="clear" w:color="auto" w:fill="FAFBFD"/>
          </w:tcPr>
          <w:p>
            <w:pPr>
              <w:spacing w:after="20" w:before="20"/>
            </w:pPr>
            <w:r/>
            <w:r>
              <w:rPr>
                <w:rFonts w:ascii="Calibri" w:hAnsi="Calibri"/>
                <w:b w:val="0"/>
                <w:i w:val="0"/>
                <w:color w:val="334E68"/>
                <w:sz w:val="17"/>
              </w:rPr>
              <w:t>Bastion/SAProuter, monitoring, backup and scheduling agents</w:t>
            </w:r>
          </w:p>
        </w:tc>
        <w:tc>
          <w:tcPr>
            <w:tcW w:type="dxa" w:w="4048"/>
            <w:shd w:val="clear" w:color="auto" w:fill="FAFBFD"/>
          </w:tcPr>
          <w:p>
            <w:pPr>
              <w:spacing w:after="20" w:before="20"/>
            </w:pPr>
            <w:r/>
            <w:r>
              <w:rPr>
                <w:rFonts w:ascii="Calibri" w:hAnsi="Calibri"/>
                <w:b w:val="0"/>
                <w:i w:val="0"/>
                <w:color w:val="334E68"/>
                <w:sz w:val="17"/>
              </w:rPr>
              <w:t>Agent status and version check</w:t>
            </w:r>
          </w:p>
        </w:tc>
      </w:tr>
    </w:tbl>
    <w:p>
      <w:pPr>
        <w:spacing w:after="40"/>
      </w:pP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PEER REVIEW IS THE CHEAPEST CONTROL IN THE PROGRAMME</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Most provisioning defects found after build (wrong subnet, missing mount, UID mismatch, absent security-group rule) would have been caught by a second pair of eyes reading the build sheet against the sizing report. Build the review into the schedule; do not treat it as optional when the timeline tightens.</w:t>
      </w:r>
    </w:p>
    <w:p>
      <w:pPr>
        <w:pStyle w:val="Heading2"/>
        <w:pBdr>
          <w:bottom w:val="single" w:sz="6" w:space="3" w:color="E8EDF3"/>
        </w:pBdr>
      </w:pPr>
      <w:r>
        <w:rPr>
          <w:rFonts w:ascii="Calibri" w:hAnsi="Calibri"/>
          <w:b/>
          <w:color w:val="0F2B4C"/>
          <w:sz w:val="26"/>
        </w:rPr>
        <w:t>5.3  AWS bootstrapping and infrastructure validation</w:t>
      </w:r>
    </w:p>
    <w:p>
      <w:pPr>
        <w:spacing w:after="40"/>
        <w:ind w:left="351" w:hanging="227"/>
      </w:pPr>
      <w:r>
        <w:rPr>
          <w:rFonts w:ascii="Calibri" w:hAnsi="Calibri"/>
          <w:b/>
          <w:color w:val="1B4F86"/>
          <w:sz w:val="19"/>
        </w:rPr>
        <w:t xml:space="preserve">▪  </w:t>
      </w:r>
      <w:r>
        <w:rPr>
          <w:rFonts w:ascii="Calibri" w:hAnsi="Calibri"/>
          <w:b w:val="0"/>
          <w:i w:val="0"/>
          <w:color w:val="334E68"/>
          <w:sz w:val="19"/>
        </w:rPr>
        <w:t>Validate VPC, Availability Zones, subnets and available IP addresses.</w:t>
      </w:r>
    </w:p>
    <w:p>
      <w:pPr>
        <w:spacing w:after="40"/>
        <w:ind w:left="351" w:hanging="227"/>
      </w:pPr>
      <w:r>
        <w:rPr>
          <w:rFonts w:ascii="Calibri" w:hAnsi="Calibri"/>
          <w:b/>
          <w:color w:val="1B4F86"/>
          <w:sz w:val="19"/>
        </w:rPr>
        <w:t xml:space="preserve">▪  </w:t>
      </w:r>
      <w:r>
        <w:rPr>
          <w:rFonts w:ascii="Calibri" w:hAnsi="Calibri"/>
          <w:b w:val="0"/>
          <w:i w:val="0"/>
          <w:color w:val="334E68"/>
          <w:sz w:val="19"/>
        </w:rPr>
        <w:t>Validate the required AWS resources (compute, storage, network, security, backup).</w:t>
      </w:r>
    </w:p>
    <w:p>
      <w:pPr>
        <w:spacing w:after="40"/>
        <w:ind w:left="351" w:hanging="227"/>
      </w:pPr>
      <w:r>
        <w:rPr>
          <w:rFonts w:ascii="Calibri" w:hAnsi="Calibri"/>
          <w:b/>
          <w:color w:val="1B4F86"/>
          <w:sz w:val="19"/>
        </w:rPr>
        <w:t xml:space="preserve">▪  </w:t>
      </w:r>
      <w:r>
        <w:rPr>
          <w:rFonts w:ascii="Calibri" w:hAnsi="Calibri"/>
          <w:b w:val="0"/>
          <w:i w:val="0"/>
          <w:color w:val="334E68"/>
          <w:sz w:val="19"/>
        </w:rPr>
        <w:t>Validate DNS configuration and Route 53 where applicable — forward, reverse, and the private-zone resolution path used by SAP.</w:t>
      </w:r>
    </w:p>
    <w:p>
      <w:pPr>
        <w:spacing w:after="40"/>
        <w:ind w:left="351" w:hanging="227"/>
      </w:pPr>
      <w:r>
        <w:rPr>
          <w:rFonts w:ascii="Calibri" w:hAnsi="Calibri"/>
          <w:b/>
          <w:color w:val="1B4F86"/>
          <w:sz w:val="19"/>
        </w:rPr>
        <w:t xml:space="preserve">▪  </w:t>
      </w:r>
      <w:r>
        <w:rPr>
          <w:rFonts w:ascii="Calibri" w:hAnsi="Calibri"/>
          <w:b w:val="0"/>
          <w:i w:val="0"/>
          <w:color w:val="334E68"/>
          <w:sz w:val="19"/>
        </w:rPr>
        <w:t>Validate S3 bucket and folder requirements for Oracle backup and package use cases.</w:t>
      </w:r>
    </w:p>
    <w:p>
      <w:pPr>
        <w:spacing w:after="40"/>
        <w:ind w:left="351" w:hanging="227"/>
      </w:pPr>
      <w:r>
        <w:rPr>
          <w:rFonts w:ascii="Calibri" w:hAnsi="Calibri"/>
          <w:b/>
          <w:color w:val="1B4F86"/>
          <w:sz w:val="19"/>
        </w:rPr>
        <w:t xml:space="preserve">▪  </w:t>
      </w:r>
      <w:r>
        <w:rPr>
          <w:rFonts w:ascii="Calibri" w:hAnsi="Calibri"/>
          <w:b w:val="0"/>
          <w:i w:val="0"/>
          <w:color w:val="334E68"/>
          <w:sz w:val="19"/>
        </w:rPr>
        <w:t>Validate required read/write permissions and backend connectivity from the servers that will use them.</w:t>
      </w:r>
    </w:p>
    <w:p>
      <w:pPr>
        <w:spacing w:after="40"/>
        <w:ind w:left="351" w:hanging="227"/>
      </w:pPr>
      <w:r>
        <w:rPr>
          <w:rFonts w:ascii="Calibri" w:hAnsi="Calibri"/>
          <w:b/>
          <w:color w:val="1B4F86"/>
          <w:sz w:val="19"/>
        </w:rPr>
        <w:t xml:space="preserve">▪  </w:t>
      </w:r>
      <w:r>
        <w:rPr>
          <w:rFonts w:ascii="Calibri" w:hAnsi="Calibri"/>
          <w:b w:val="0"/>
          <w:i w:val="0"/>
          <w:color w:val="334E68"/>
          <w:sz w:val="19"/>
        </w:rPr>
        <w:t>Confirm tagging, inventory and CMDB automation produced correct records.</w:t>
      </w:r>
    </w:p>
    <w:p>
      <w:pPr>
        <w:spacing w:after="60" w:before="160"/>
        <w:keepNext/>
      </w:pPr>
      <w:r>
        <w:rPr>
          <w:rFonts w:ascii="Calibri" w:hAnsi="Calibri"/>
          <w:b/>
          <w:color w:val="5B7288"/>
          <w:sz w:val="15"/>
        </w:rPr>
        <w:t>INFRASTRUCTURE VALIDATION MATRIX</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1928"/>
        <w:gridCol w:w="4048"/>
        <w:gridCol w:w="3662"/>
      </w:tblGrid>
      <w:tr>
        <w:trPr>
          <w:tblHeader/>
          <w:cantSplit/>
        </w:trPr>
        <w:tc>
          <w:tcPr>
            <w:tcW w:type="dxa" w:w="1928"/>
            <w:shd w:val="clear" w:color="auto" w:fill="0F2B4C"/>
          </w:tcPr>
          <w:p>
            <w:pPr>
              <w:spacing w:after="20" w:before="20"/>
            </w:pPr>
            <w:r/>
            <w:r>
              <w:rPr>
                <w:rFonts w:ascii="Calibri" w:hAnsi="Calibri"/>
                <w:b/>
                <w:color w:val="FFFFFF"/>
                <w:sz w:val="17"/>
              </w:rPr>
              <w:t>Validation</w:t>
            </w:r>
          </w:p>
        </w:tc>
        <w:tc>
          <w:tcPr>
            <w:tcW w:type="dxa" w:w="4048"/>
            <w:shd w:val="clear" w:color="auto" w:fill="0F2B4C"/>
          </w:tcPr>
          <w:p>
            <w:pPr>
              <w:spacing w:after="20" w:before="20"/>
            </w:pPr>
            <w:r/>
            <w:r>
              <w:rPr>
                <w:rFonts w:ascii="Calibri" w:hAnsi="Calibri"/>
                <w:b/>
                <w:color w:val="FFFFFF"/>
                <w:sz w:val="17"/>
              </w:rPr>
              <w:t>What a pass looks like</w:t>
            </w:r>
          </w:p>
        </w:tc>
        <w:tc>
          <w:tcPr>
            <w:tcW w:type="dxa" w:w="3662"/>
            <w:shd w:val="clear" w:color="auto" w:fill="0F2B4C"/>
          </w:tcPr>
          <w:p>
            <w:pPr>
              <w:spacing w:after="20" w:before="20"/>
            </w:pPr>
            <w:r/>
            <w:r>
              <w:rPr>
                <w:rFonts w:ascii="Calibri" w:hAnsi="Calibri"/>
                <w:b/>
                <w:color w:val="FFFFFF"/>
                <w:sz w:val="17"/>
              </w:rPr>
              <w:t>Common failure</w:t>
            </w:r>
          </w:p>
        </w:tc>
      </w:tr>
      <w:tr>
        <w:trPr>
          <w:cantSplit/>
        </w:trPr>
        <w:tc>
          <w:tcPr>
            <w:tcW w:type="dxa" w:w="1928"/>
          </w:tcPr>
          <w:p>
            <w:pPr>
              <w:spacing w:after="20" w:before="20"/>
            </w:pPr>
            <w:r/>
            <w:r>
              <w:rPr>
                <w:rFonts w:ascii="Calibri" w:hAnsi="Calibri"/>
                <w:b/>
                <w:i w:val="0"/>
                <w:color w:val="334E68"/>
                <w:sz w:val="17"/>
              </w:rPr>
              <w:t>VPC and subnets</w:t>
            </w:r>
          </w:p>
        </w:tc>
        <w:tc>
          <w:tcPr>
            <w:tcW w:type="dxa" w:w="4048"/>
          </w:tcPr>
          <w:p>
            <w:pPr>
              <w:spacing w:after="20" w:before="20"/>
            </w:pPr>
            <w:r/>
            <w:r>
              <w:rPr>
                <w:rFonts w:ascii="Calibri" w:hAnsi="Calibri"/>
                <w:b w:val="0"/>
                <w:i w:val="0"/>
                <w:color w:val="334E68"/>
                <w:sz w:val="17"/>
              </w:rPr>
              <w:t>CIDRs, AZ placement and route tables match the build sheet</w:t>
            </w:r>
          </w:p>
        </w:tc>
        <w:tc>
          <w:tcPr>
            <w:tcW w:type="dxa" w:w="3662"/>
          </w:tcPr>
          <w:p>
            <w:pPr>
              <w:spacing w:after="20" w:before="20"/>
            </w:pPr>
            <w:r/>
            <w:r>
              <w:rPr>
                <w:rFonts w:ascii="Calibri" w:hAnsi="Calibri"/>
                <w:b w:val="0"/>
                <w:i w:val="0"/>
                <w:color w:val="334E68"/>
                <w:sz w:val="17"/>
              </w:rPr>
              <w:t>Subnet in the wrong AZ; free-IP exhaustion</w:t>
            </w:r>
          </w:p>
        </w:tc>
      </w:tr>
      <w:tr>
        <w:trPr>
          <w:cantSplit/>
        </w:trPr>
        <w:tc>
          <w:tcPr>
            <w:tcW w:type="dxa" w:w="1928"/>
            <w:shd w:val="clear" w:color="auto" w:fill="FAFBFD"/>
          </w:tcPr>
          <w:p>
            <w:pPr>
              <w:spacing w:after="20" w:before="20"/>
            </w:pPr>
            <w:r/>
            <w:r>
              <w:rPr>
                <w:rFonts w:ascii="Calibri" w:hAnsi="Calibri"/>
                <w:b/>
                <w:i w:val="0"/>
                <w:color w:val="334E68"/>
                <w:sz w:val="17"/>
              </w:rPr>
              <w:t>IP address availability</w:t>
            </w:r>
          </w:p>
        </w:tc>
        <w:tc>
          <w:tcPr>
            <w:tcW w:type="dxa" w:w="4048"/>
            <w:shd w:val="clear" w:color="auto" w:fill="FAFBFD"/>
          </w:tcPr>
          <w:p>
            <w:pPr>
              <w:spacing w:after="20" w:before="20"/>
            </w:pPr>
            <w:r/>
            <w:r>
              <w:rPr>
                <w:rFonts w:ascii="Calibri" w:hAnsi="Calibri"/>
                <w:b w:val="0"/>
                <w:i w:val="0"/>
                <w:color w:val="334E68"/>
                <w:sz w:val="17"/>
              </w:rPr>
              <w:t>Enough free addresses for all planned interfaces, including HA and future growth</w:t>
            </w:r>
          </w:p>
        </w:tc>
        <w:tc>
          <w:tcPr>
            <w:tcW w:type="dxa" w:w="3662"/>
            <w:shd w:val="clear" w:color="auto" w:fill="FAFBFD"/>
          </w:tcPr>
          <w:p>
            <w:pPr>
              <w:spacing w:after="20" w:before="20"/>
            </w:pPr>
            <w:r/>
            <w:r>
              <w:rPr>
                <w:rFonts w:ascii="Calibri" w:hAnsi="Calibri"/>
                <w:b w:val="0"/>
                <w:i w:val="0"/>
                <w:color w:val="334E68"/>
                <w:sz w:val="17"/>
              </w:rPr>
              <w:t>Overlap with source addressing; static entries missed</w:t>
            </w:r>
          </w:p>
        </w:tc>
      </w:tr>
      <w:tr>
        <w:trPr>
          <w:cantSplit/>
        </w:trPr>
        <w:tc>
          <w:tcPr>
            <w:tcW w:type="dxa" w:w="1928"/>
          </w:tcPr>
          <w:p>
            <w:pPr>
              <w:spacing w:after="20" w:before="20"/>
            </w:pPr>
            <w:r/>
            <w:r>
              <w:rPr>
                <w:rFonts w:ascii="Calibri" w:hAnsi="Calibri"/>
                <w:b/>
                <w:i w:val="0"/>
                <w:color w:val="334E68"/>
                <w:sz w:val="17"/>
              </w:rPr>
              <w:t>DNS / Route 53</w:t>
            </w:r>
          </w:p>
        </w:tc>
        <w:tc>
          <w:tcPr>
            <w:tcW w:type="dxa" w:w="4048"/>
          </w:tcPr>
          <w:p>
            <w:pPr>
              <w:spacing w:after="20" w:before="20"/>
            </w:pPr>
            <w:r/>
            <w:r>
              <w:rPr>
                <w:rFonts w:ascii="Calibri" w:hAnsi="Calibri"/>
                <w:b w:val="0"/>
                <w:i w:val="0"/>
                <w:color w:val="334E68"/>
                <w:sz w:val="17"/>
              </w:rPr>
              <w:t>Forward and reverse resolution correct from every subnet; private zones associated</w:t>
            </w:r>
          </w:p>
        </w:tc>
        <w:tc>
          <w:tcPr>
            <w:tcW w:type="dxa" w:w="3662"/>
          </w:tcPr>
          <w:p>
            <w:pPr>
              <w:spacing w:after="20" w:before="20"/>
            </w:pPr>
            <w:r/>
            <w:r>
              <w:rPr>
                <w:rFonts w:ascii="Calibri" w:hAnsi="Calibri"/>
                <w:b w:val="0"/>
                <w:i w:val="0"/>
                <w:color w:val="334E68"/>
                <w:sz w:val="17"/>
              </w:rPr>
              <w:t>Resolver rule missing; reverse lookup absent</w:t>
            </w:r>
          </w:p>
        </w:tc>
      </w:tr>
      <w:tr>
        <w:trPr>
          <w:cantSplit/>
        </w:trPr>
        <w:tc>
          <w:tcPr>
            <w:tcW w:type="dxa" w:w="1928"/>
            <w:shd w:val="clear" w:color="auto" w:fill="FAFBFD"/>
          </w:tcPr>
          <w:p>
            <w:pPr>
              <w:spacing w:after="20" w:before="20"/>
            </w:pPr>
            <w:r/>
            <w:r>
              <w:rPr>
                <w:rFonts w:ascii="Calibri" w:hAnsi="Calibri"/>
                <w:b/>
                <w:i w:val="0"/>
                <w:color w:val="334E68"/>
                <w:sz w:val="17"/>
              </w:rPr>
              <w:t>S3 bucket and folders</w:t>
            </w:r>
          </w:p>
        </w:tc>
        <w:tc>
          <w:tcPr>
            <w:tcW w:type="dxa" w:w="4048"/>
            <w:shd w:val="clear" w:color="auto" w:fill="FAFBFD"/>
          </w:tcPr>
          <w:p>
            <w:pPr>
              <w:spacing w:after="20" w:before="20"/>
            </w:pPr>
            <w:r/>
            <w:r>
              <w:rPr>
                <w:rFonts w:ascii="Calibri" w:hAnsi="Calibri"/>
                <w:b w:val="0"/>
                <w:i w:val="0"/>
                <w:color w:val="334E68"/>
                <w:sz w:val="17"/>
              </w:rPr>
              <w:t>Bucket exists, folder structure correct, versioning/encryption as designed</w:t>
            </w:r>
          </w:p>
        </w:tc>
        <w:tc>
          <w:tcPr>
            <w:tcW w:type="dxa" w:w="3662"/>
            <w:shd w:val="clear" w:color="auto" w:fill="FAFBFD"/>
          </w:tcPr>
          <w:p>
            <w:pPr>
              <w:spacing w:after="20" w:before="20"/>
            </w:pPr>
            <w:r/>
            <w:r>
              <w:rPr>
                <w:rFonts w:ascii="Calibri" w:hAnsi="Calibri"/>
                <w:b w:val="0"/>
                <w:i w:val="0"/>
                <w:color w:val="334E68"/>
                <w:sz w:val="17"/>
              </w:rPr>
              <w:t>Folder path differs from the backup configuration</w:t>
            </w:r>
          </w:p>
        </w:tc>
      </w:tr>
      <w:tr>
        <w:trPr>
          <w:cantSplit/>
        </w:trPr>
        <w:tc>
          <w:tcPr>
            <w:tcW w:type="dxa" w:w="1928"/>
          </w:tcPr>
          <w:p>
            <w:pPr>
              <w:spacing w:after="20" w:before="20"/>
            </w:pPr>
            <w:r/>
            <w:r>
              <w:rPr>
                <w:rFonts w:ascii="Calibri" w:hAnsi="Calibri"/>
                <w:b/>
                <w:i w:val="0"/>
                <w:color w:val="334E68"/>
                <w:sz w:val="17"/>
              </w:rPr>
              <w:t>S3 permissions</w:t>
            </w:r>
          </w:p>
        </w:tc>
        <w:tc>
          <w:tcPr>
            <w:tcW w:type="dxa" w:w="4048"/>
          </w:tcPr>
          <w:p>
            <w:pPr>
              <w:spacing w:after="20" w:before="20"/>
            </w:pPr>
            <w:r/>
            <w:r>
              <w:rPr>
                <w:rFonts w:ascii="Calibri" w:hAnsi="Calibri"/>
                <w:b w:val="0"/>
                <w:i w:val="0"/>
                <w:color w:val="334E68"/>
                <w:sz w:val="17"/>
              </w:rPr>
              <w:t>The instance role/user can read and write the intended prefix, and nothing broader</w:t>
            </w:r>
          </w:p>
        </w:tc>
        <w:tc>
          <w:tcPr>
            <w:tcW w:type="dxa" w:w="3662"/>
          </w:tcPr>
          <w:p>
            <w:pPr>
              <w:spacing w:after="20" w:before="20"/>
            </w:pPr>
            <w:r/>
            <w:r>
              <w:rPr>
                <w:rFonts w:ascii="Calibri" w:hAnsi="Calibri"/>
                <w:b w:val="0"/>
                <w:i w:val="0"/>
                <w:color w:val="334E68"/>
                <w:sz w:val="17"/>
              </w:rPr>
              <w:t>Policy too narrow (backup fails) or too broad (audit finding)</w:t>
            </w:r>
          </w:p>
        </w:tc>
      </w:tr>
      <w:tr>
        <w:trPr>
          <w:cantSplit/>
        </w:trPr>
        <w:tc>
          <w:tcPr>
            <w:tcW w:type="dxa" w:w="1928"/>
            <w:shd w:val="clear" w:color="auto" w:fill="FAFBFD"/>
          </w:tcPr>
          <w:p>
            <w:pPr>
              <w:spacing w:after="20" w:before="20"/>
            </w:pPr>
            <w:r/>
            <w:r>
              <w:rPr>
                <w:rFonts w:ascii="Calibri" w:hAnsi="Calibri"/>
                <w:b/>
                <w:i w:val="0"/>
                <w:color w:val="334E68"/>
                <w:sz w:val="17"/>
              </w:rPr>
              <w:t>Backend connectivity</w:t>
            </w:r>
          </w:p>
        </w:tc>
        <w:tc>
          <w:tcPr>
            <w:tcW w:type="dxa" w:w="4048"/>
            <w:shd w:val="clear" w:color="auto" w:fill="FAFBFD"/>
          </w:tcPr>
          <w:p>
            <w:pPr>
              <w:spacing w:after="20" w:before="20"/>
            </w:pPr>
            <w:r/>
            <w:r>
              <w:rPr>
                <w:rFonts w:ascii="Calibri" w:hAnsi="Calibri"/>
                <w:b w:val="0"/>
                <w:i w:val="0"/>
                <w:color w:val="334E68"/>
                <w:sz w:val="17"/>
              </w:rPr>
              <w:t>Backup agent or HANA reaches the endpoint over the intended path</w:t>
            </w:r>
          </w:p>
        </w:tc>
        <w:tc>
          <w:tcPr>
            <w:tcW w:type="dxa" w:w="3662"/>
            <w:shd w:val="clear" w:color="auto" w:fill="FAFBFD"/>
          </w:tcPr>
          <w:p>
            <w:pPr>
              <w:spacing w:after="20" w:before="20"/>
            </w:pPr>
            <w:r/>
            <w:r>
              <w:rPr>
                <w:rFonts w:ascii="Calibri" w:hAnsi="Calibri"/>
                <w:b w:val="0"/>
                <w:i w:val="0"/>
                <w:color w:val="334E68"/>
                <w:sz w:val="17"/>
              </w:rPr>
              <w:t>Endpoint or proxy not permitted in the security group</w:t>
            </w:r>
          </w:p>
        </w:tc>
      </w:tr>
      <w:tr>
        <w:trPr>
          <w:cantSplit/>
        </w:trPr>
        <w:tc>
          <w:tcPr>
            <w:tcW w:type="dxa" w:w="1928"/>
          </w:tcPr>
          <w:p>
            <w:pPr>
              <w:spacing w:after="20" w:before="20"/>
            </w:pPr>
            <w:r/>
            <w:r>
              <w:rPr>
                <w:rFonts w:ascii="Calibri" w:hAnsi="Calibri"/>
                <w:b/>
                <w:i w:val="0"/>
                <w:color w:val="334E68"/>
                <w:sz w:val="17"/>
              </w:rPr>
              <w:t>EFS / shared storage</w:t>
            </w:r>
          </w:p>
        </w:tc>
        <w:tc>
          <w:tcPr>
            <w:tcW w:type="dxa" w:w="4048"/>
          </w:tcPr>
          <w:p>
            <w:pPr>
              <w:spacing w:after="20" w:before="20"/>
            </w:pPr>
            <w:r/>
            <w:r>
              <w:rPr>
                <w:rFonts w:ascii="Calibri" w:hAnsi="Calibri"/>
                <w:b w:val="0"/>
                <w:i w:val="0"/>
                <w:color w:val="334E68"/>
                <w:sz w:val="17"/>
              </w:rPr>
              <w:t>Mounted, correct permissions, and reachable from every consumer</w:t>
            </w:r>
          </w:p>
        </w:tc>
        <w:tc>
          <w:tcPr>
            <w:tcW w:type="dxa" w:w="3662"/>
          </w:tcPr>
          <w:p>
            <w:pPr>
              <w:spacing w:after="20" w:before="20"/>
            </w:pPr>
            <w:r/>
            <w:r>
              <w:rPr>
                <w:rFonts w:ascii="Calibri" w:hAnsi="Calibri"/>
                <w:b w:val="0"/>
                <w:i w:val="0"/>
                <w:color w:val="334E68"/>
                <w:sz w:val="17"/>
              </w:rPr>
              <w:t>Mount missing on the secondary node; wrong UID/GID owner</w:t>
            </w:r>
          </w:p>
        </w:tc>
      </w:tr>
      <w:tr>
        <w:trPr>
          <w:cantSplit/>
        </w:trPr>
        <w:tc>
          <w:tcPr>
            <w:tcW w:type="dxa" w:w="1928"/>
            <w:shd w:val="clear" w:color="auto" w:fill="FAFBFD"/>
          </w:tcPr>
          <w:p>
            <w:pPr>
              <w:spacing w:after="20" w:before="20"/>
            </w:pPr>
            <w:r/>
            <w:r>
              <w:rPr>
                <w:rFonts w:ascii="Calibri" w:hAnsi="Calibri"/>
                <w:b/>
                <w:i w:val="0"/>
                <w:color w:val="334E68"/>
                <w:sz w:val="17"/>
              </w:rPr>
              <w:t>Snapshots and backup policy</w:t>
            </w:r>
          </w:p>
        </w:tc>
        <w:tc>
          <w:tcPr>
            <w:tcW w:type="dxa" w:w="4048"/>
            <w:shd w:val="clear" w:color="auto" w:fill="FAFBFD"/>
          </w:tcPr>
          <w:p>
            <w:pPr>
              <w:spacing w:after="20" w:before="20"/>
            </w:pPr>
            <w:r/>
            <w:r>
              <w:rPr>
                <w:rFonts w:ascii="Calibri" w:hAnsi="Calibri"/>
                <w:b w:val="0"/>
                <w:i w:val="0"/>
                <w:color w:val="334E68"/>
                <w:sz w:val="17"/>
              </w:rPr>
              <w:t>Policy attached, retention correct, restore path tested at least once</w:t>
            </w:r>
          </w:p>
        </w:tc>
        <w:tc>
          <w:tcPr>
            <w:tcW w:type="dxa" w:w="3662"/>
            <w:shd w:val="clear" w:color="auto" w:fill="FAFBFD"/>
          </w:tcPr>
          <w:p>
            <w:pPr>
              <w:spacing w:after="20" w:before="20"/>
            </w:pPr>
            <w:r/>
            <w:r>
              <w:rPr>
                <w:rFonts w:ascii="Calibri" w:hAnsi="Calibri"/>
                <w:b w:val="0"/>
                <w:i w:val="0"/>
                <w:color w:val="334E68"/>
                <w:sz w:val="17"/>
              </w:rPr>
              <w:t>Policy attached to the wrong volume set</w:t>
            </w:r>
          </w:p>
        </w:tc>
      </w:tr>
      <w:tr>
        <w:trPr>
          <w:cantSplit/>
        </w:trPr>
        <w:tc>
          <w:tcPr>
            <w:tcW w:type="dxa" w:w="1928"/>
          </w:tcPr>
          <w:p>
            <w:pPr>
              <w:spacing w:after="20" w:before="20"/>
            </w:pPr>
            <w:r/>
            <w:r>
              <w:rPr>
                <w:rFonts w:ascii="Calibri" w:hAnsi="Calibri"/>
                <w:b/>
                <w:i w:val="0"/>
                <w:color w:val="334E68"/>
                <w:sz w:val="17"/>
              </w:rPr>
              <w:t>Tagging and CMDB</w:t>
            </w:r>
          </w:p>
        </w:tc>
        <w:tc>
          <w:tcPr>
            <w:tcW w:type="dxa" w:w="4048"/>
          </w:tcPr>
          <w:p>
            <w:pPr>
              <w:spacing w:after="20" w:before="20"/>
            </w:pPr>
            <w:r/>
            <w:r>
              <w:rPr>
                <w:rFonts w:ascii="Calibri" w:hAnsi="Calibri"/>
                <w:b w:val="0"/>
                <w:i w:val="0"/>
                <w:color w:val="334E68"/>
                <w:sz w:val="17"/>
              </w:rPr>
              <w:t>Tags present, CI created, relationships and status correct</w:t>
            </w:r>
          </w:p>
        </w:tc>
        <w:tc>
          <w:tcPr>
            <w:tcW w:type="dxa" w:w="3662"/>
          </w:tcPr>
          <w:p>
            <w:pPr>
              <w:spacing w:after="20" w:before="20"/>
            </w:pPr>
            <w:r/>
            <w:r>
              <w:rPr>
                <w:rFonts w:ascii="Calibri" w:hAnsi="Calibri"/>
                <w:b w:val="0"/>
                <w:i w:val="0"/>
                <w:color w:val="334E68"/>
                <w:sz w:val="17"/>
              </w:rPr>
              <w:t>CI created with source details, or left in “planned”</w:t>
            </w:r>
          </w:p>
        </w:tc>
      </w:tr>
    </w:tbl>
    <w:p>
      <w:pPr>
        <w:spacing w:after="40"/>
      </w:pPr>
    </w:p>
    <w:p>
      <w:pPr>
        <w:pStyle w:val="Heading2"/>
        <w:pBdr>
          <w:bottom w:val="single" w:sz="6" w:space="3" w:color="E8EDF3"/>
        </w:pBdr>
      </w:pPr>
      <w:r>
        <w:rPr>
          <w:rFonts w:ascii="Calibri" w:hAnsi="Calibri"/>
          <w:b/>
          <w:color w:val="0F2B4C"/>
          <w:sz w:val="26"/>
        </w:rPr>
        <w:t>5.4  Responsibility split</w:t>
      </w:r>
    </w:p>
    <w:p>
      <w:pPr>
        <w:spacing w:after="60" w:before="160"/>
        <w:keepNext/>
      </w:pPr>
      <w:r>
        <w:rPr>
          <w:rFonts w:ascii="Calibri" w:hAnsi="Calibri"/>
          <w:b/>
          <w:color w:val="5B7288"/>
          <w:sz w:val="15"/>
        </w:rPr>
        <w:t>RESPONSIBILITY SPLIT (SUMMARY — FULL MATRIX IN FIGURE 2)</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313"/>
        <w:gridCol w:w="7325"/>
      </w:tblGrid>
      <w:tr>
        <w:trPr>
          <w:tblHeader/>
          <w:cantSplit/>
        </w:trPr>
        <w:tc>
          <w:tcPr>
            <w:tcW w:type="dxa" w:w="2313"/>
            <w:shd w:val="clear" w:color="auto" w:fill="0F2B4C"/>
          </w:tcPr>
          <w:p>
            <w:pPr>
              <w:spacing w:after="20" w:before="20"/>
            </w:pPr>
            <w:r/>
            <w:r>
              <w:rPr>
                <w:rFonts w:ascii="Calibri" w:hAnsi="Calibri"/>
                <w:b/>
                <w:color w:val="FFFFFF"/>
                <w:sz w:val="17"/>
              </w:rPr>
              <w:t>Role</w:t>
            </w:r>
          </w:p>
        </w:tc>
        <w:tc>
          <w:tcPr>
            <w:tcW w:type="dxa" w:w="7325"/>
            <w:shd w:val="clear" w:color="auto" w:fill="0F2B4C"/>
          </w:tcPr>
          <w:p>
            <w:pPr>
              <w:spacing w:after="20" w:before="20"/>
            </w:pPr>
            <w:r/>
            <w:r>
              <w:rPr>
                <w:rFonts w:ascii="Calibri" w:hAnsi="Calibri"/>
                <w:b/>
                <w:color w:val="FFFFFF"/>
                <w:sz w:val="17"/>
              </w:rPr>
              <w:t>Primary responsibilities</w:t>
            </w:r>
          </w:p>
        </w:tc>
      </w:tr>
      <w:tr>
        <w:trPr>
          <w:cantSplit/>
        </w:trPr>
        <w:tc>
          <w:tcPr>
            <w:tcW w:type="dxa" w:w="2313"/>
          </w:tcPr>
          <w:p>
            <w:pPr>
              <w:spacing w:after="20" w:before="20"/>
            </w:pPr>
            <w:r/>
            <w:r>
              <w:rPr>
                <w:rFonts w:ascii="Calibri" w:hAnsi="Calibri"/>
                <w:b/>
                <w:i w:val="0"/>
                <w:color w:val="334E68"/>
                <w:sz w:val="17"/>
              </w:rPr>
              <w:t>Automation team</w:t>
            </w:r>
          </w:p>
        </w:tc>
        <w:tc>
          <w:tcPr>
            <w:tcW w:type="dxa" w:w="7325"/>
          </w:tcPr>
          <w:p>
            <w:pPr>
              <w:spacing w:after="20" w:before="20"/>
            </w:pPr>
            <w:r/>
            <w:r>
              <w:rPr>
                <w:rFonts w:ascii="Calibri" w:hAnsi="Calibri"/>
                <w:b w:val="0"/>
                <w:i w:val="0"/>
                <w:color w:val="334E68"/>
                <w:sz w:val="17"/>
              </w:rPr>
              <w:t>AWS provisioning, server creation, automated build, DNS provisioning, tagging, Chef/configuration management, inventory and CMDB automation.</w:t>
            </w:r>
          </w:p>
        </w:tc>
      </w:tr>
      <w:tr>
        <w:trPr>
          <w:cantSplit/>
        </w:trPr>
        <w:tc>
          <w:tcPr>
            <w:tcW w:type="dxa" w:w="2313"/>
            <w:shd w:val="clear" w:color="auto" w:fill="FAFBFD"/>
          </w:tcPr>
          <w:p>
            <w:pPr>
              <w:spacing w:after="20" w:before="20"/>
            </w:pPr>
            <w:r/>
            <w:r>
              <w:rPr>
                <w:rFonts w:ascii="Calibri" w:hAnsi="Calibri"/>
                <w:b/>
                <w:i w:val="0"/>
                <w:color w:val="334E68"/>
                <w:sz w:val="17"/>
              </w:rPr>
              <w:t>Basis / migration team</w:t>
            </w:r>
          </w:p>
        </w:tc>
        <w:tc>
          <w:tcPr>
            <w:tcW w:type="dxa" w:w="7325"/>
            <w:shd w:val="clear" w:color="auto" w:fill="FAFBFD"/>
          </w:tcPr>
          <w:p>
            <w:pPr>
              <w:spacing w:after="20" w:before="20"/>
            </w:pPr>
            <w:r/>
            <w:r>
              <w:rPr>
                <w:rFonts w:ascii="Calibri" w:hAnsi="Calibri"/>
                <w:b w:val="0"/>
                <w:i w:val="0"/>
                <w:color w:val="334E68"/>
                <w:sz w:val="17"/>
              </w:rPr>
              <w:t>Build-sheet input, target validation, SAP-specific activities, SAP/database configuration validation, migration checks and handover.</w:t>
            </w:r>
          </w:p>
        </w:tc>
      </w:tr>
      <w:tr>
        <w:trPr>
          <w:cantSplit/>
        </w:trPr>
        <w:tc>
          <w:tcPr>
            <w:tcW w:type="dxa" w:w="2313"/>
          </w:tcPr>
          <w:p>
            <w:pPr>
              <w:spacing w:after="20" w:before="20"/>
            </w:pPr>
            <w:r/>
            <w:r>
              <w:rPr>
                <w:rFonts w:ascii="Calibri" w:hAnsi="Calibri"/>
                <w:b/>
                <w:i w:val="0"/>
                <w:color w:val="334E68"/>
                <w:sz w:val="17"/>
              </w:rPr>
              <w:t>Specialist teams</w:t>
            </w:r>
          </w:p>
        </w:tc>
        <w:tc>
          <w:tcPr>
            <w:tcW w:type="dxa" w:w="7325"/>
          </w:tcPr>
          <w:p>
            <w:pPr>
              <w:spacing w:after="20" w:before="20"/>
            </w:pPr>
            <w:r/>
            <w:r>
              <w:rPr>
                <w:rFonts w:ascii="Calibri" w:hAnsi="Calibri"/>
                <w:b w:val="0"/>
                <w:i w:val="0"/>
                <w:color w:val="334E68"/>
                <w:sz w:val="17"/>
              </w:rPr>
              <w:t>DBA, Linux, network, security, application, interface and DR teams support their respective specialist areas.</w:t>
            </w:r>
          </w:p>
        </w:tc>
      </w:tr>
    </w:tbl>
    <w:p>
      <w:pPr>
        <w:spacing w:after="40"/>
      </w:pPr>
    </w:p>
    <w:p>
      <w:pPr>
        <w:spacing w:before="180" w:after="40"/>
        <w:shd w:val="clear" w:color="auto" w:fill="FFFDF5"/>
        <w:pBdr>
          <w:left w:val="single" w:sz="6" w:space="6" w:color="D9A520"/>
          <w:top w:val="single" w:sz="6" w:space="6" w:color="D9A520"/>
          <w:right w:val="single" w:sz="6" w:space="6" w:color="D9A520"/>
        </w:pBdr>
        <w:keepNext/>
      </w:pPr>
      <w:r>
        <w:rPr>
          <w:rFonts w:ascii="Calibri" w:hAnsi="Calibri"/>
          <w:b/>
          <w:color w:val="D9A520"/>
          <w:sz w:val="16"/>
        </w:rPr>
        <w:t>WHERE THE SPLIT BREAKS IN PRACTICE</w:t>
      </w:r>
    </w:p>
    <w:p>
      <w:pPr>
        <w:spacing w:after="40"/>
        <w:ind w:left="567" w:hanging="227"/>
        <w:shd w:val="clear" w:color="auto" w:fill="FFFDF5"/>
      </w:pPr>
      <w:r>
        <w:rPr>
          <w:rFonts w:ascii="Calibri" w:hAnsi="Calibri"/>
          <w:b/>
          <w:color w:val="1B4F86"/>
          <w:sz w:val="19"/>
        </w:rPr>
        <w:t xml:space="preserve">▪  </w:t>
      </w:r>
      <w:r>
        <w:rPr>
          <w:rFonts w:ascii="Calibri" w:hAnsi="Calibri"/>
          <w:b/>
          <w:i w:val="0"/>
          <w:color w:val="334E68"/>
          <w:sz w:val="19"/>
        </w:rPr>
        <w:t>DNS.</w:t>
      </w:r>
      <w:r>
        <w:rPr>
          <w:rFonts w:ascii="Calibri" w:hAnsi="Calibri"/>
          <w:b w:val="0"/>
          <w:i w:val="0"/>
          <w:color w:val="334E68"/>
          <w:sz w:val="19"/>
        </w:rPr>
        <w:t xml:space="preserve"> Automation provisions records; Basis validates resolution from the SAP host. If neither owns the private-zone association, name resolution fails at cutover.</w:t>
      </w:r>
    </w:p>
    <w:p>
      <w:pPr>
        <w:spacing w:after="40"/>
        <w:ind w:left="567" w:hanging="227"/>
        <w:shd w:val="clear" w:color="auto" w:fill="FFFDF5"/>
      </w:pPr>
      <w:r>
        <w:rPr>
          <w:rFonts w:ascii="Calibri" w:hAnsi="Calibri"/>
          <w:b/>
          <w:color w:val="1B4F86"/>
          <w:sz w:val="19"/>
        </w:rPr>
        <w:t xml:space="preserve">▪  </w:t>
      </w:r>
      <w:r>
        <w:rPr>
          <w:rFonts w:ascii="Calibri" w:hAnsi="Calibri"/>
          <w:b/>
          <w:i w:val="0"/>
          <w:color w:val="334E68"/>
          <w:sz w:val="19"/>
        </w:rPr>
        <w:t>File systems.</w:t>
      </w:r>
      <w:r>
        <w:rPr>
          <w:rFonts w:ascii="Calibri" w:hAnsi="Calibri"/>
          <w:b w:val="0"/>
          <w:i w:val="0"/>
          <w:color w:val="334E68"/>
          <w:sz w:val="19"/>
        </w:rPr>
        <w:t xml:space="preserve"> Linux mounts the file systems; Basis validates that SAP directories and permissions are correct. Ownership of the mount options must be explicit.</w:t>
      </w:r>
    </w:p>
    <w:p>
      <w:pPr>
        <w:spacing w:after="40"/>
        <w:ind w:left="567" w:hanging="227"/>
        <w:shd w:val="clear" w:color="auto" w:fill="FFFDF5"/>
      </w:pPr>
      <w:r>
        <w:rPr>
          <w:rFonts w:ascii="Calibri" w:hAnsi="Calibri"/>
          <w:b/>
          <w:color w:val="1B4F86"/>
          <w:sz w:val="19"/>
        </w:rPr>
        <w:t xml:space="preserve">▪  </w:t>
      </w:r>
      <w:r>
        <w:rPr>
          <w:rFonts w:ascii="Calibri" w:hAnsi="Calibri"/>
          <w:b/>
          <w:i w:val="0"/>
          <w:color w:val="334E68"/>
          <w:sz w:val="19"/>
        </w:rPr>
        <w:t>Credentials.</w:t>
      </w:r>
      <w:r>
        <w:rPr>
          <w:rFonts w:ascii="Calibri" w:hAnsi="Calibri"/>
          <w:b w:val="0"/>
          <w:i w:val="0"/>
          <w:color w:val="334E68"/>
          <w:sz w:val="19"/>
        </w:rPr>
        <w:t xml:space="preserve"> Security/AD issues them; Basis and DBA consume them. Requests must be raised early and tracked, not escalated on cutover day.</w:t>
      </w:r>
    </w:p>
    <w:p>
      <w:pPr>
        <w:spacing w:after="40"/>
        <w:ind w:left="567" w:hanging="227"/>
        <w:shd w:val="clear" w:color="auto" w:fill="FFFDF5"/>
      </w:pPr>
      <w:r>
        <w:rPr>
          <w:rFonts w:ascii="Calibri" w:hAnsi="Calibri"/>
          <w:b/>
          <w:color w:val="1B4F86"/>
          <w:sz w:val="19"/>
        </w:rPr>
        <w:t xml:space="preserve">▪  </w:t>
      </w:r>
      <w:r>
        <w:rPr>
          <w:rFonts w:ascii="Calibri" w:hAnsi="Calibri"/>
          <w:b/>
          <w:i w:val="0"/>
          <w:color w:val="334E68"/>
          <w:sz w:val="19"/>
        </w:rPr>
        <w:t>Agents.</w:t>
      </w:r>
      <w:r>
        <w:rPr>
          <w:rFonts w:ascii="Calibri" w:hAnsi="Calibri"/>
          <w:b w:val="0"/>
          <w:i w:val="0"/>
          <w:color w:val="334E68"/>
          <w:sz w:val="19"/>
        </w:rPr>
        <w:t xml:space="preserve"> Automation installs platform agents; the owning team installs application agents (backup, scheduling, monitoring). Both lists must be reconciled against the source.</w:t>
      </w:r>
    </w:p>
    <w:p>
      <w:pPr>
        <w:shd w:val="clear" w:color="auto" w:fill="FFFDF5"/>
        <w:pBdr>
          <w:left w:val="single" w:sz="6" w:space="6" w:color="D9A520"/>
          <w:bottom w:val="single" w:sz="6" w:space="6" w:color="D9A520"/>
          <w:right w:val="single" w:sz="6" w:space="6" w:color="D9A520"/>
        </w:pBdr>
        <w:spacing w:after="40"/>
      </w:pPr>
    </w:p>
    <w:p>
      <w:pPr>
        <w:pStyle w:val="Heading2"/>
        <w:pBdr>
          <w:bottom w:val="single" w:sz="6" w:space="3" w:color="E8EDF3"/>
        </w:pBdr>
      </w:pPr>
      <w:r>
        <w:rPr>
          <w:rFonts w:ascii="Calibri" w:hAnsi="Calibri"/>
          <w:b/>
          <w:color w:val="0F2B4C"/>
          <w:sz w:val="26"/>
        </w:rPr>
        <w:t>5.5  CMDB validation after build</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530"/>
        <w:gridCol w:w="1542"/>
        <w:gridCol w:w="308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530"/>
            <w:shd w:val="clear" w:color="auto" w:fill="0F2B4C"/>
          </w:tcPr>
          <w:p>
            <w:pPr>
              <w:spacing w:after="20" w:before="20"/>
            </w:pPr>
            <w:r/>
            <w:r>
              <w:rPr>
                <w:rFonts w:ascii="Calibri" w:hAnsi="Calibri"/>
                <w:b/>
                <w:color w:val="FFFFFF"/>
                <w:sz w:val="17"/>
              </w:rPr>
              <w:t>Check</w:t>
            </w:r>
          </w:p>
        </w:tc>
        <w:tc>
          <w:tcPr>
            <w:tcW w:type="dxa" w:w="1542"/>
            <w:shd w:val="clear" w:color="auto" w:fill="0F2B4C"/>
          </w:tcPr>
          <w:p>
            <w:pPr>
              <w:spacing w:after="20" w:before="20"/>
            </w:pPr>
            <w:r/>
            <w:r>
              <w:rPr>
                <w:rFonts w:ascii="Calibri" w:hAnsi="Calibri"/>
                <w:b/>
                <w:color w:val="FFFFFF"/>
                <w:sz w:val="17"/>
              </w:rPr>
              <w:t>Status</w:t>
            </w:r>
          </w:p>
        </w:tc>
        <w:tc>
          <w:tcPr>
            <w:tcW w:type="dxa" w:w="3084"/>
            <w:shd w:val="clear" w:color="auto" w:fill="0F2B4C"/>
          </w:tcPr>
          <w:p>
            <w:pPr>
              <w:spacing w:after="20" w:before="20"/>
            </w:pPr>
            <w:r/>
            <w:r>
              <w:rPr>
                <w:rFonts w:ascii="Calibri" w:hAnsi="Calibri"/>
                <w:b/>
                <w:color w:val="FFFFFF"/>
                <w:sz w:val="17"/>
              </w:rPr>
              <w:t>Evidence / remarks</w:t>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CI exists for every new server in ServiceNow</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CI relationship is correct (host → application → database)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Application / DB relationship is correct for each SID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CI status is deployed / operational (not planned or in build)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Target server details match the inventory and the build sheet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Hostname, IP, environment and owning team are correct on the CI</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Old source CIs flagged for retirement at the correct date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Tags on AWS resources match the CMDB and cost-allocation standard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bl>
    <w:p>
      <w:pPr>
        <w:spacing w:after="40"/>
      </w:pPr>
    </w:p>
    <w:p>
      <w:pPr>
        <w:pStyle w:val="Heading2"/>
        <w:pBdr>
          <w:bottom w:val="single" w:sz="6" w:space="3" w:color="E8EDF3"/>
        </w:pBdr>
      </w:pPr>
      <w:r>
        <w:rPr>
          <w:rFonts w:ascii="Calibri" w:hAnsi="Calibri"/>
          <w:b/>
          <w:color w:val="0F2B4C"/>
          <w:sz w:val="26"/>
        </w:rPr>
        <w:t>5.6  Module 2 readiness checklist</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530"/>
        <w:gridCol w:w="1542"/>
        <w:gridCol w:w="308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530"/>
            <w:shd w:val="clear" w:color="auto" w:fill="0F2B4C"/>
          </w:tcPr>
          <w:p>
            <w:pPr>
              <w:spacing w:after="20" w:before="20"/>
            </w:pPr>
            <w:r/>
            <w:r>
              <w:rPr>
                <w:rFonts w:ascii="Calibri" w:hAnsi="Calibri"/>
                <w:b/>
                <w:color w:val="FFFFFF"/>
                <w:sz w:val="17"/>
              </w:rPr>
              <w:t>Check</w:t>
            </w:r>
          </w:p>
        </w:tc>
        <w:tc>
          <w:tcPr>
            <w:tcW w:type="dxa" w:w="1542"/>
            <w:shd w:val="clear" w:color="auto" w:fill="0F2B4C"/>
          </w:tcPr>
          <w:p>
            <w:pPr>
              <w:spacing w:after="20" w:before="20"/>
            </w:pPr>
            <w:r/>
            <w:r>
              <w:rPr>
                <w:rFonts w:ascii="Calibri" w:hAnsi="Calibri"/>
                <w:b/>
                <w:color w:val="FFFFFF"/>
                <w:sz w:val="17"/>
              </w:rPr>
              <w:t>Status</w:t>
            </w:r>
          </w:p>
        </w:tc>
        <w:tc>
          <w:tcPr>
            <w:tcW w:type="dxa" w:w="3084"/>
            <w:shd w:val="clear" w:color="auto" w:fill="0F2B4C"/>
          </w:tcPr>
          <w:p>
            <w:pPr>
              <w:spacing w:after="20" w:before="20"/>
            </w:pPr>
            <w:r/>
            <w:r>
              <w:rPr>
                <w:rFonts w:ascii="Calibri" w:hAnsi="Calibri"/>
                <w:b/>
                <w:color w:val="FFFFFF"/>
                <w:sz w:val="17"/>
              </w:rPr>
              <w:t>Evidence / remarks</w:t>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Customer agreement recorded for target configuration and instance type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Architecture diagram covers region, AZs, SAP, DB, ASCS/ERS and connectivity</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HA/DR design documented (ASCS, ERS/CRS, standby database, failover)</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RPO/RTO and failover mechanism agreed with the customer</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Build sheet prepared from approved sizing and architecture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Build sheet peer-reviewed by a second engineer</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Build sheet finalised and confirmed with the customer</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Provisioning used only approved build-sheet information</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VPC, AZs, subnets and free IP availability validated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Required AWS resources validated against the build sheet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DNS and Route 53 configuration validated (forward and reverse)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S3 buckets and folders validated for backup and package use cases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S3 read/write permissions and backend connectivity validated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EFS / shared file systems mounted with correct ownership and permissions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Snapshot and backup policies attached and a restore path tested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Provisioned environment validated field-by-field against the build sheet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Deviations logged with an owner and a resolution date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bl>
    <w:p>
      <w:pPr>
        <w:spacing w:after="40"/>
      </w:pPr>
    </w:p>
    <w:p>
      <w:r>
        <w:br w:type="page"/>
      </w:r>
    </w:p>
    <w:p>
      <w:pPr>
        <w:spacing w:after="20"/>
      </w:pPr>
      <w:r>
        <w:rPr>
          <w:rFonts w:ascii="Calibri" w:hAnsi="Calibri"/>
          <w:b/>
          <w:color w:val="1B4F86"/>
          <w:sz w:val="16"/>
        </w:rPr>
        <w:t>MODULE 3 · SECTION 6</w:t>
      </w:r>
    </w:p>
    <w:p>
      <w:pPr>
        <w:pStyle w:val="Heading1"/>
        <w:pBdr>
          <w:bottom w:val="single" w:sz="12" w:space="5" w:color="1B4F86"/>
        </w:pBdr>
        <w:spacing w:after="160"/>
      </w:pPr>
      <w:r>
        <w:rPr>
          <w:rFonts w:ascii="Calibri Light" w:hAnsi="Calibri Light"/>
          <w:b/>
          <w:color w:val="0F2B4C"/>
          <w:sz w:val="38"/>
        </w:rPr>
        <w:t>6  Module 3 — SAP HANA MDC, backup and recovery</w:t>
      </w:r>
    </w:p>
    <w:p>
      <w:pPr>
        <w:spacing w:after="200"/>
      </w:pPr>
      <w:r>
        <w:rPr>
          <w:rFonts w:ascii="Calibri" w:hAnsi="Calibri"/>
          <w:i/>
          <w:color w:val="5B7288"/>
          <w:sz w:val="21"/>
        </w:rPr>
        <w:t>HANA migration succeeds or fails on the backup and recovery path. Understand the container model, prove the backend works, and never stop the source before the final backup is validated.</w:t>
      </w:r>
    </w:p>
    <w:p>
      <w:pPr>
        <w:spacing w:before="160" w:after="80"/>
        <w:jc w:val="center"/>
        <w:keepNext/>
      </w:pPr>
      <w:r>
        <w:drawing>
          <wp:inline xmlns:a="http://schemas.openxmlformats.org/drawingml/2006/main" xmlns:pic="http://schemas.openxmlformats.org/drawingml/2006/picture">
            <wp:extent cx="6083999" cy="3802499"/>
            <wp:docPr id="4" name="Picture 4"/>
            <wp:cNvGraphicFramePr>
              <a:graphicFrameLocks noChangeAspect="1"/>
            </wp:cNvGraphicFramePr>
            <a:graphic>
              <a:graphicData uri="http://schemas.openxmlformats.org/drawingml/2006/picture">
                <pic:pic>
                  <pic:nvPicPr>
                    <pic:cNvPr id="0" name="d4-hana-mdc.png"/>
                    <pic:cNvPicPr/>
                  </pic:nvPicPr>
                  <pic:blipFill>
                    <a:blip r:embed="rId14"/>
                    <a:stretch>
                      <a:fillRect/>
                    </a:stretch>
                  </pic:blipFill>
                  <pic:spPr>
                    <a:xfrm>
                      <a:off x="0" y="0"/>
                      <a:ext cx="6083999" cy="3802499"/>
                    </a:xfrm>
                    <a:prstGeom prst="rect"/>
                  </pic:spPr>
                </pic:pic>
              </a:graphicData>
            </a:graphic>
          </wp:inline>
        </w:drawing>
      </w:r>
    </w:p>
    <w:p>
      <w:pPr>
        <w:spacing w:after="240"/>
      </w:pPr>
      <w:r>
        <w:rPr>
          <w:rFonts w:ascii="Calibri" w:hAnsi="Calibri"/>
          <w:i/>
          <w:color w:val="5B7288"/>
          <w:sz w:val="17"/>
        </w:rPr>
        <w:t>Figure 4. HANA MDC containers inside one HANA system, the S3 backup backend, and the six-step recovery sequence. Note the separation on the left: the three tiers are validated bottom-up — the database is recovered first, then the application servers are started against it.</w:t>
      </w:r>
    </w:p>
    <w:p>
      <w:pPr>
        <w:pStyle w:val="Heading2"/>
        <w:pBdr>
          <w:bottom w:val="single" w:sz="6" w:space="3" w:color="E8EDF3"/>
        </w:pBdr>
      </w:pPr>
      <w:r>
        <w:rPr>
          <w:rFonts w:ascii="Calibri" w:hAnsi="Calibri"/>
          <w:b/>
          <w:color w:val="0F2B4C"/>
          <w:sz w:val="26"/>
        </w:rPr>
        <w:t>6.1  HANA MDC architecture</w:t>
      </w:r>
    </w:p>
    <w:p>
      <w:pPr>
        <w:spacing w:after="40"/>
        <w:ind w:left="351" w:hanging="227"/>
      </w:pPr>
      <w:r>
        <w:rPr>
          <w:rFonts w:ascii="Calibri" w:hAnsi="Calibri"/>
          <w:b/>
          <w:color w:val="1B4F86"/>
          <w:sz w:val="19"/>
        </w:rPr>
        <w:t xml:space="preserve">▪  </w:t>
      </w:r>
      <w:r>
        <w:rPr>
          <w:rFonts w:ascii="Calibri" w:hAnsi="Calibri"/>
          <w:b/>
          <w:i w:val="0"/>
          <w:color w:val="334E68"/>
          <w:sz w:val="19"/>
        </w:rPr>
        <w:t>SystemDB</w:t>
      </w:r>
      <w:r>
        <w:rPr>
          <w:rFonts w:ascii="Calibri" w:hAnsi="Calibri"/>
          <w:b w:val="0"/>
          <w:i w:val="0"/>
          <w:color w:val="334E68"/>
          <w:sz w:val="19"/>
        </w:rPr>
        <w:t xml:space="preserve"> provides central management and monitoring capabilities for the whole HANA system.</w:t>
      </w:r>
    </w:p>
    <w:p>
      <w:pPr>
        <w:spacing w:after="40"/>
        <w:ind w:left="351" w:hanging="227"/>
      </w:pPr>
      <w:r>
        <w:rPr>
          <w:rFonts w:ascii="Calibri" w:hAnsi="Calibri"/>
          <w:b/>
          <w:color w:val="1B4F86"/>
          <w:sz w:val="19"/>
        </w:rPr>
        <w:t xml:space="preserve">▪  </w:t>
      </w:r>
      <w:r>
        <w:rPr>
          <w:rFonts w:ascii="Calibri" w:hAnsi="Calibri"/>
          <w:b/>
          <w:i w:val="0"/>
          <w:color w:val="334E68"/>
          <w:sz w:val="19"/>
        </w:rPr>
        <w:t>TenantDB</w:t>
      </w:r>
      <w:r>
        <w:rPr>
          <w:rFonts w:ascii="Calibri" w:hAnsi="Calibri"/>
          <w:b w:val="0"/>
          <w:i w:val="0"/>
          <w:color w:val="334E68"/>
          <w:sz w:val="19"/>
        </w:rPr>
        <w:t xml:space="preserve"> contains the application and data workload for a specific SAP system.</w:t>
      </w:r>
    </w:p>
    <w:p>
      <w:pPr>
        <w:spacing w:after="40"/>
        <w:ind w:left="351" w:hanging="227"/>
      </w:pPr>
      <w:r>
        <w:rPr>
          <w:rFonts w:ascii="Calibri" w:hAnsi="Calibri"/>
          <w:b/>
          <w:color w:val="1B4F86"/>
          <w:sz w:val="19"/>
        </w:rPr>
        <w:t xml:space="preserve">▪  </w:t>
      </w:r>
      <w:r>
        <w:rPr>
          <w:rFonts w:ascii="Calibri" w:hAnsi="Calibri"/>
          <w:b w:val="0"/>
          <w:i w:val="0"/>
          <w:color w:val="334E68"/>
          <w:sz w:val="19"/>
        </w:rPr>
        <w:t>SystemDB and TenantDB have separate login contexts and credentials — connecting to the wrong context is a common operator error.</w:t>
      </w:r>
    </w:p>
    <w:p>
      <w:pPr>
        <w:spacing w:after="40"/>
        <w:ind w:left="351" w:hanging="227"/>
      </w:pPr>
      <w:r>
        <w:rPr>
          <w:rFonts w:ascii="Calibri" w:hAnsi="Calibri"/>
          <w:b/>
          <w:color w:val="1B4F86"/>
          <w:sz w:val="19"/>
        </w:rPr>
        <w:t xml:space="preserve">▪  </w:t>
      </w:r>
      <w:r>
        <w:rPr>
          <w:rFonts w:ascii="Calibri" w:hAnsi="Calibri"/>
          <w:b w:val="0"/>
          <w:i w:val="0"/>
          <w:color w:val="334E68"/>
          <w:sz w:val="19"/>
        </w:rPr>
        <w:t>SystemDB/TenantDB should not be confused with HA server architecture.</w:t>
      </w:r>
    </w:p>
    <w:p>
      <w:pPr>
        <w:spacing w:after="40"/>
        <w:ind w:left="351" w:hanging="227"/>
      </w:pPr>
      <w:r>
        <w:rPr>
          <w:rFonts w:ascii="Calibri" w:hAnsi="Calibri"/>
          <w:b/>
          <w:color w:val="1B4F86"/>
          <w:sz w:val="19"/>
        </w:rPr>
        <w:t xml:space="preserve">▪  </w:t>
      </w:r>
      <w:r>
        <w:rPr>
          <w:rFonts w:ascii="Calibri" w:hAnsi="Calibri"/>
          <w:b w:val="0"/>
          <w:i w:val="0"/>
          <w:color w:val="334E68"/>
          <w:sz w:val="19"/>
        </w:rPr>
        <w:t>SystemDB and TenantDB can reside within the same HANA server/VM; HA is a separate infrastructure/system-level design.</w:t>
      </w:r>
    </w:p>
    <w:p>
      <w:pPr>
        <w:spacing w:after="60" w:before="160"/>
        <w:keepNext/>
      </w:pPr>
      <w:r>
        <w:rPr>
          <w:rFonts w:ascii="Calibri" w:hAnsi="Calibri"/>
          <w:b/>
          <w:color w:val="5B7288"/>
          <w:sz w:val="15"/>
        </w:rPr>
        <w:t>SYSTEMDB VERSUS TENANTDB</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1542"/>
        <w:gridCol w:w="4048"/>
        <w:gridCol w:w="4048"/>
      </w:tblGrid>
      <w:tr>
        <w:trPr>
          <w:tblHeader/>
          <w:cantSplit/>
        </w:trPr>
        <w:tc>
          <w:tcPr>
            <w:tcW w:type="dxa" w:w="1542"/>
            <w:shd w:val="clear" w:color="auto" w:fill="0F2B4C"/>
          </w:tcPr>
          <w:p>
            <w:pPr>
              <w:spacing w:after="20" w:before="20"/>
            </w:pPr>
            <w:r/>
            <w:r>
              <w:rPr>
                <w:rFonts w:ascii="Calibri" w:hAnsi="Calibri"/>
                <w:b/>
                <w:color w:val="FFFFFF"/>
                <w:sz w:val="17"/>
              </w:rPr>
              <w:t>Aspect</w:t>
            </w:r>
          </w:p>
        </w:tc>
        <w:tc>
          <w:tcPr>
            <w:tcW w:type="dxa" w:w="4048"/>
            <w:shd w:val="clear" w:color="auto" w:fill="0F2B4C"/>
          </w:tcPr>
          <w:p>
            <w:pPr>
              <w:spacing w:after="20" w:before="20"/>
            </w:pPr>
            <w:r/>
            <w:r>
              <w:rPr>
                <w:rFonts w:ascii="Calibri" w:hAnsi="Calibri"/>
                <w:b/>
                <w:color w:val="FFFFFF"/>
                <w:sz w:val="17"/>
              </w:rPr>
              <w:t>SystemDB</w:t>
            </w:r>
          </w:p>
        </w:tc>
        <w:tc>
          <w:tcPr>
            <w:tcW w:type="dxa" w:w="4048"/>
            <w:shd w:val="clear" w:color="auto" w:fill="0F2B4C"/>
          </w:tcPr>
          <w:p>
            <w:pPr>
              <w:spacing w:after="20" w:before="20"/>
            </w:pPr>
            <w:r/>
            <w:r>
              <w:rPr>
                <w:rFonts w:ascii="Calibri" w:hAnsi="Calibri"/>
                <w:b/>
                <w:color w:val="FFFFFF"/>
                <w:sz w:val="17"/>
              </w:rPr>
              <w:t>TenantDB</w:t>
            </w:r>
          </w:p>
        </w:tc>
      </w:tr>
      <w:tr>
        <w:trPr>
          <w:cantSplit/>
        </w:trPr>
        <w:tc>
          <w:tcPr>
            <w:tcW w:type="dxa" w:w="1542"/>
          </w:tcPr>
          <w:p>
            <w:pPr>
              <w:spacing w:after="20" w:before="20"/>
            </w:pPr>
            <w:r/>
            <w:r>
              <w:rPr>
                <w:rFonts w:ascii="Calibri" w:hAnsi="Calibri"/>
                <w:b/>
                <w:i w:val="0"/>
                <w:color w:val="334E68"/>
                <w:sz w:val="17"/>
              </w:rPr>
              <w:t>Purpose</w:t>
            </w:r>
          </w:p>
        </w:tc>
        <w:tc>
          <w:tcPr>
            <w:tcW w:type="dxa" w:w="4048"/>
          </w:tcPr>
          <w:p>
            <w:pPr>
              <w:spacing w:after="20" w:before="20"/>
            </w:pPr>
            <w:r/>
            <w:r>
              <w:rPr>
                <w:rFonts w:ascii="Calibri" w:hAnsi="Calibri"/>
                <w:b w:val="0"/>
                <w:i w:val="0"/>
                <w:color w:val="334E68"/>
                <w:sz w:val="17"/>
              </w:rPr>
              <w:t>Central management and monitoring of the HANA system</w:t>
            </w:r>
          </w:p>
        </w:tc>
        <w:tc>
          <w:tcPr>
            <w:tcW w:type="dxa" w:w="4048"/>
          </w:tcPr>
          <w:p>
            <w:pPr>
              <w:spacing w:after="20" w:before="20"/>
            </w:pPr>
            <w:r/>
            <w:r>
              <w:rPr>
                <w:rFonts w:ascii="Calibri" w:hAnsi="Calibri"/>
                <w:b w:val="0"/>
                <w:i w:val="0"/>
                <w:color w:val="334E68"/>
                <w:sz w:val="17"/>
              </w:rPr>
              <w:t>Hosts the application and data workload</w:t>
            </w:r>
          </w:p>
        </w:tc>
      </w:tr>
      <w:tr>
        <w:trPr>
          <w:cantSplit/>
        </w:trPr>
        <w:tc>
          <w:tcPr>
            <w:tcW w:type="dxa" w:w="1542"/>
            <w:shd w:val="clear" w:color="auto" w:fill="FAFBFD"/>
          </w:tcPr>
          <w:p>
            <w:pPr>
              <w:spacing w:after="20" w:before="20"/>
            </w:pPr>
            <w:r/>
            <w:r>
              <w:rPr>
                <w:rFonts w:ascii="Calibri" w:hAnsi="Calibri"/>
                <w:b/>
                <w:i w:val="0"/>
                <w:color w:val="334E68"/>
                <w:sz w:val="17"/>
              </w:rPr>
              <w:t>Contains</w:t>
            </w:r>
          </w:p>
        </w:tc>
        <w:tc>
          <w:tcPr>
            <w:tcW w:type="dxa" w:w="4048"/>
            <w:shd w:val="clear" w:color="auto" w:fill="FAFBFD"/>
          </w:tcPr>
          <w:p>
            <w:pPr>
              <w:spacing w:after="20" w:before="20"/>
            </w:pPr>
            <w:r/>
            <w:r>
              <w:rPr>
                <w:rFonts w:ascii="Calibri" w:hAnsi="Calibri"/>
                <w:b w:val="0"/>
                <w:i w:val="0"/>
                <w:color w:val="334E68"/>
                <w:sz w:val="17"/>
              </w:rPr>
              <w:t>System-wide configuration, nameserver, backup catalogue</w:t>
            </w:r>
          </w:p>
        </w:tc>
        <w:tc>
          <w:tcPr>
            <w:tcW w:type="dxa" w:w="4048"/>
            <w:shd w:val="clear" w:color="auto" w:fill="FAFBFD"/>
          </w:tcPr>
          <w:p>
            <w:pPr>
              <w:spacing w:after="20" w:before="20"/>
            </w:pPr>
            <w:r/>
            <w:r>
              <w:rPr>
                <w:rFonts w:ascii="Calibri" w:hAnsi="Calibri"/>
                <w:b w:val="0"/>
                <w:i w:val="0"/>
                <w:color w:val="334E68"/>
                <w:sz w:val="17"/>
              </w:rPr>
              <w:t>Application tables, tenant services, tenant configuration</w:t>
            </w:r>
          </w:p>
        </w:tc>
      </w:tr>
      <w:tr>
        <w:trPr>
          <w:cantSplit/>
        </w:trPr>
        <w:tc>
          <w:tcPr>
            <w:tcW w:type="dxa" w:w="1542"/>
          </w:tcPr>
          <w:p>
            <w:pPr>
              <w:spacing w:after="20" w:before="20"/>
            </w:pPr>
            <w:r/>
            <w:r>
              <w:rPr>
                <w:rFonts w:ascii="Calibri" w:hAnsi="Calibri"/>
                <w:b/>
                <w:i w:val="0"/>
                <w:color w:val="334E68"/>
                <w:sz w:val="17"/>
              </w:rPr>
              <w:t>Login context</w:t>
            </w:r>
          </w:p>
        </w:tc>
        <w:tc>
          <w:tcPr>
            <w:tcW w:type="dxa" w:w="4048"/>
          </w:tcPr>
          <w:p>
            <w:pPr>
              <w:spacing w:after="20" w:before="20"/>
            </w:pPr>
            <w:r/>
            <w:r>
              <w:rPr>
                <w:rFonts w:ascii="Calibri" w:hAnsi="Calibri"/>
                <w:b w:val="0"/>
                <w:i w:val="0"/>
                <w:color w:val="334E68"/>
                <w:sz w:val="17"/>
              </w:rPr>
              <w:t>Own context and credentials (for example the SYSTEM user)</w:t>
            </w:r>
          </w:p>
        </w:tc>
        <w:tc>
          <w:tcPr>
            <w:tcW w:type="dxa" w:w="4048"/>
          </w:tcPr>
          <w:p>
            <w:pPr>
              <w:spacing w:after="20" w:before="20"/>
            </w:pPr>
            <w:r/>
            <w:r>
              <w:rPr>
                <w:rFonts w:ascii="Calibri" w:hAnsi="Calibri"/>
                <w:b w:val="0"/>
                <w:i w:val="0"/>
                <w:color w:val="334E68"/>
                <w:sz w:val="17"/>
              </w:rPr>
              <w:t>Own context and credentials, separate from SystemDB</w:t>
            </w:r>
          </w:p>
        </w:tc>
      </w:tr>
      <w:tr>
        <w:trPr>
          <w:cantSplit/>
        </w:trPr>
        <w:tc>
          <w:tcPr>
            <w:tcW w:type="dxa" w:w="1542"/>
            <w:shd w:val="clear" w:color="auto" w:fill="FAFBFD"/>
          </w:tcPr>
          <w:p>
            <w:pPr>
              <w:spacing w:after="20" w:before="20"/>
            </w:pPr>
            <w:r/>
            <w:r>
              <w:rPr>
                <w:rFonts w:ascii="Calibri" w:hAnsi="Calibri"/>
                <w:b/>
                <w:i w:val="0"/>
                <w:color w:val="334E68"/>
                <w:sz w:val="17"/>
              </w:rPr>
              <w:t>Backup</w:t>
            </w:r>
          </w:p>
        </w:tc>
        <w:tc>
          <w:tcPr>
            <w:tcW w:type="dxa" w:w="4048"/>
            <w:shd w:val="clear" w:color="auto" w:fill="FAFBFD"/>
          </w:tcPr>
          <w:p>
            <w:pPr>
              <w:spacing w:after="20" w:before="20"/>
            </w:pPr>
            <w:r/>
            <w:r>
              <w:rPr>
                <w:rFonts w:ascii="Calibri" w:hAnsi="Calibri"/>
                <w:b w:val="0"/>
                <w:i w:val="0"/>
                <w:color w:val="334E68"/>
                <w:sz w:val="17"/>
              </w:rPr>
              <w:t>Holds the backup catalogue for the system</w:t>
            </w:r>
          </w:p>
        </w:tc>
        <w:tc>
          <w:tcPr>
            <w:tcW w:type="dxa" w:w="4048"/>
            <w:shd w:val="clear" w:color="auto" w:fill="FAFBFD"/>
          </w:tcPr>
          <w:p>
            <w:pPr>
              <w:spacing w:after="20" w:before="20"/>
            </w:pPr>
            <w:r/>
            <w:r>
              <w:rPr>
                <w:rFonts w:ascii="Calibri" w:hAnsi="Calibri"/>
                <w:b w:val="0"/>
                <w:i w:val="0"/>
                <w:color w:val="334E68"/>
                <w:sz w:val="17"/>
              </w:rPr>
              <w:t>Has its own backup configuration and data volume</w:t>
            </w:r>
          </w:p>
        </w:tc>
      </w:tr>
      <w:tr>
        <w:trPr>
          <w:cantSplit/>
        </w:trPr>
        <w:tc>
          <w:tcPr>
            <w:tcW w:type="dxa" w:w="1542"/>
          </w:tcPr>
          <w:p>
            <w:pPr>
              <w:spacing w:after="20" w:before="20"/>
            </w:pPr>
            <w:r/>
            <w:r>
              <w:rPr>
                <w:rFonts w:ascii="Calibri" w:hAnsi="Calibri"/>
                <w:b/>
                <w:i w:val="0"/>
                <w:color w:val="334E68"/>
                <w:sz w:val="17"/>
              </w:rPr>
              <w:t>Recovery</w:t>
            </w:r>
          </w:p>
        </w:tc>
        <w:tc>
          <w:tcPr>
            <w:tcW w:type="dxa" w:w="4048"/>
          </w:tcPr>
          <w:p>
            <w:pPr>
              <w:spacing w:after="20" w:before="20"/>
            </w:pPr>
            <w:r/>
            <w:r>
              <w:rPr>
                <w:rFonts w:ascii="Calibri" w:hAnsi="Calibri"/>
                <w:b w:val="0"/>
                <w:i w:val="0"/>
                <w:color w:val="334E68"/>
                <w:sz w:val="17"/>
              </w:rPr>
              <w:t>Recovered/restored first so tenants can be recovered</w:t>
            </w:r>
          </w:p>
        </w:tc>
        <w:tc>
          <w:tcPr>
            <w:tcW w:type="dxa" w:w="4048"/>
          </w:tcPr>
          <w:p>
            <w:pPr>
              <w:spacing w:after="20" w:before="20"/>
            </w:pPr>
            <w:r/>
            <w:r>
              <w:rPr>
                <w:rFonts w:ascii="Calibri" w:hAnsi="Calibri"/>
                <w:b w:val="0"/>
                <w:i w:val="0"/>
                <w:color w:val="334E68"/>
                <w:sz w:val="17"/>
              </w:rPr>
              <w:t>Recovered after the system context is available</w:t>
            </w:r>
          </w:p>
        </w:tc>
      </w:tr>
      <w:tr>
        <w:trPr>
          <w:cantSplit/>
        </w:trPr>
        <w:tc>
          <w:tcPr>
            <w:tcW w:type="dxa" w:w="1542"/>
            <w:shd w:val="clear" w:color="auto" w:fill="FAFBFD"/>
          </w:tcPr>
          <w:p>
            <w:pPr>
              <w:spacing w:after="20" w:before="20"/>
            </w:pPr>
            <w:r/>
            <w:r>
              <w:rPr>
                <w:rFonts w:ascii="Calibri" w:hAnsi="Calibri"/>
                <w:b/>
                <w:i w:val="0"/>
                <w:color w:val="334E68"/>
                <w:sz w:val="17"/>
              </w:rPr>
              <w:t>HA relationship</w:t>
            </w:r>
          </w:p>
        </w:tc>
        <w:tc>
          <w:tcPr>
            <w:tcW w:type="dxa" w:w="4048"/>
            <w:shd w:val="clear" w:color="auto" w:fill="FAFBFD"/>
          </w:tcPr>
          <w:p>
            <w:pPr>
              <w:spacing w:after="20" w:before="20"/>
            </w:pPr>
            <w:r/>
            <w:r>
              <w:rPr>
                <w:rFonts w:ascii="Calibri" w:hAnsi="Calibri"/>
                <w:b w:val="0"/>
                <w:i w:val="0"/>
                <w:color w:val="334E68"/>
                <w:sz w:val="17"/>
              </w:rPr>
              <w:t>Not an HA component — a database container</w:t>
            </w:r>
          </w:p>
        </w:tc>
        <w:tc>
          <w:tcPr>
            <w:tcW w:type="dxa" w:w="4048"/>
            <w:shd w:val="clear" w:color="auto" w:fill="FAFBFD"/>
          </w:tcPr>
          <w:p>
            <w:pPr>
              <w:spacing w:after="20" w:before="20"/>
            </w:pPr>
            <w:r/>
            <w:r>
              <w:rPr>
                <w:rFonts w:ascii="Calibri" w:hAnsi="Calibri"/>
                <w:b w:val="0"/>
                <w:i w:val="0"/>
                <w:color w:val="334E68"/>
                <w:sz w:val="17"/>
              </w:rPr>
              <w:t>Not an HA component — a database container</w:t>
            </w:r>
          </w:p>
        </w:tc>
      </w:tr>
    </w:tbl>
    <w:p>
      <w:pPr>
        <w:spacing w:after="40"/>
      </w:pPr>
    </w:p>
    <w:p>
      <w:pPr>
        <w:spacing w:before="180" w:after="40"/>
        <w:shd w:val="clear" w:color="auto" w:fill="FFFBFB"/>
        <w:pBdr>
          <w:left w:val="single" w:sz="6" w:space="6" w:color="C8434B"/>
          <w:top w:val="single" w:sz="6" w:space="6" w:color="C8434B"/>
          <w:right w:val="single" w:sz="6" w:space="6" w:color="C8434B"/>
        </w:pBdr>
        <w:keepNext/>
      </w:pPr>
      <w:r>
        <w:rPr>
          <w:rFonts w:ascii="Calibri" w:hAnsi="Calibri"/>
          <w:b/>
          <w:color w:val="C8434B"/>
          <w:sz w:val="16"/>
        </w:rPr>
        <w:t>THE MOST COMMON HANA CONCEPTUAL ERROR</w:t>
      </w:r>
    </w:p>
    <w:p>
      <w:pPr>
        <w:spacing w:after="40"/>
        <w:ind w:left="170"/>
        <w:shd w:val="clear" w:color="auto" w:fill="FFFBFB"/>
        <w:pBdr>
          <w:left w:val="single" w:sz="6" w:space="6" w:color="C8434B"/>
          <w:bottom w:val="single" w:sz="6" w:space="6" w:color="C8434B"/>
          <w:right w:val="single" w:sz="6" w:space="6" w:color="C8434B"/>
        </w:pBdr>
      </w:pPr>
      <w:r>
        <w:rPr>
          <w:rFonts w:ascii="Calibri" w:hAnsi="Calibri"/>
          <w:b w:val="0"/>
          <w:i w:val="0"/>
          <w:color w:val="334E68"/>
          <w:sz w:val="18"/>
        </w:rPr>
        <w:t>Treating SystemDB/TenantDB as a primary/standby pair. They are containers within one HANA system. High availability is achieved by a different mechanism (system replication plus clustering or failover tooling, with storage and network design), and it is decided at infrastructure level.</w:t>
      </w:r>
    </w:p>
    <w:p>
      <w:pPr>
        <w:pStyle w:val="Heading2"/>
        <w:pBdr>
          <w:bottom w:val="single" w:sz="6" w:space="3" w:color="E8EDF3"/>
        </w:pBdr>
      </w:pPr>
      <w:r>
        <w:rPr>
          <w:rFonts w:ascii="Calibri" w:hAnsi="Calibri"/>
          <w:b/>
          <w:color w:val="0F2B4C"/>
          <w:sz w:val="26"/>
        </w:rPr>
        <w:t>6.2  HANA pre-checks</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530"/>
        <w:gridCol w:w="1542"/>
        <w:gridCol w:w="308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530"/>
            <w:shd w:val="clear" w:color="auto" w:fill="0F2B4C"/>
          </w:tcPr>
          <w:p>
            <w:pPr>
              <w:spacing w:after="20" w:before="20"/>
            </w:pPr>
            <w:r/>
            <w:r>
              <w:rPr>
                <w:rFonts w:ascii="Calibri" w:hAnsi="Calibri"/>
                <w:b/>
                <w:color w:val="FFFFFF"/>
                <w:sz w:val="17"/>
              </w:rPr>
              <w:t>Check</w:t>
            </w:r>
          </w:p>
        </w:tc>
        <w:tc>
          <w:tcPr>
            <w:tcW w:type="dxa" w:w="1542"/>
            <w:shd w:val="clear" w:color="auto" w:fill="0F2B4C"/>
          </w:tcPr>
          <w:p>
            <w:pPr>
              <w:spacing w:after="20" w:before="20"/>
            </w:pPr>
            <w:r/>
            <w:r>
              <w:rPr>
                <w:rFonts w:ascii="Calibri" w:hAnsi="Calibri"/>
                <w:b/>
                <w:color w:val="FFFFFF"/>
                <w:sz w:val="17"/>
              </w:rPr>
              <w:t>Status</w:t>
            </w:r>
          </w:p>
        </w:tc>
        <w:tc>
          <w:tcPr>
            <w:tcW w:type="dxa" w:w="3084"/>
            <w:shd w:val="clear" w:color="auto" w:fill="0F2B4C"/>
          </w:tcPr>
          <w:p>
            <w:pPr>
              <w:spacing w:after="20" w:before="20"/>
            </w:pPr>
            <w:r/>
            <w:r>
              <w:rPr>
                <w:rFonts w:ascii="Calibri" w:hAnsi="Calibri"/>
                <w:b/>
                <w:color w:val="FFFFFF"/>
                <w:sz w:val="17"/>
              </w:rPr>
              <w:t>Evidence / remarks</w:t>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Database / EC2 sizing confirmed against the approved sizing report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Shared file system sizing confirmed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Required INI files and HANA configuration present and consistent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S3 bucket and backend configuration validated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HANA DB server status checked (services running, no failed units)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Transparent Huge Pages (THP) configuration checked against the SAP requirement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Kernel and HANA version confirmed against the target design</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Global INI and relevant service configuration reviewed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Index server and name server configuration reviewed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OS prerequisites verified: hugepages, shared memory, limits, scheduler tuning</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Evidence for every pre-check captured and stored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bl>
    <w:p>
      <w:pPr>
        <w:spacing w:after="40"/>
      </w:pPr>
    </w:p>
    <w:p>
      <w:r>
        <w:rPr>
          <w:rFonts w:ascii="Calibri" w:hAnsi="Calibri"/>
          <w:b w:val="0"/>
          <w:i w:val="0"/>
          <w:color w:val="334E68"/>
          <w:sz w:val="20"/>
        </w:rPr>
        <w:t>Pre-check output should be retained even when everything passes. A clean pre-check record is what allows you to say later that a problem was introduced by the migration rather than carried into it.</w:t>
      </w:r>
    </w:p>
    <w:p>
      <w:pPr>
        <w:pStyle w:val="Heading2"/>
        <w:pBdr>
          <w:bottom w:val="single" w:sz="6" w:space="3" w:color="E8EDF3"/>
        </w:pBdr>
      </w:pPr>
      <w:r>
        <w:rPr>
          <w:rFonts w:ascii="Calibri" w:hAnsi="Calibri"/>
          <w:b/>
          <w:color w:val="0F2B4C"/>
          <w:sz w:val="26"/>
        </w:rPr>
        <w:t>6.3  AWS S3 backup backend</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530"/>
        <w:gridCol w:w="1542"/>
        <w:gridCol w:w="308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530"/>
            <w:shd w:val="clear" w:color="auto" w:fill="0F2B4C"/>
          </w:tcPr>
          <w:p>
            <w:pPr>
              <w:spacing w:after="20" w:before="20"/>
            </w:pPr>
            <w:r/>
            <w:r>
              <w:rPr>
                <w:rFonts w:ascii="Calibri" w:hAnsi="Calibri"/>
                <w:b/>
                <w:color w:val="FFFFFF"/>
                <w:sz w:val="17"/>
              </w:rPr>
              <w:t>Check</w:t>
            </w:r>
          </w:p>
        </w:tc>
        <w:tc>
          <w:tcPr>
            <w:tcW w:type="dxa" w:w="1542"/>
            <w:shd w:val="clear" w:color="auto" w:fill="0F2B4C"/>
          </w:tcPr>
          <w:p>
            <w:pPr>
              <w:spacing w:after="20" w:before="20"/>
            </w:pPr>
            <w:r/>
            <w:r>
              <w:rPr>
                <w:rFonts w:ascii="Calibri" w:hAnsi="Calibri"/>
                <w:b/>
                <w:color w:val="FFFFFF"/>
                <w:sz w:val="17"/>
              </w:rPr>
              <w:t>Status</w:t>
            </w:r>
          </w:p>
        </w:tc>
        <w:tc>
          <w:tcPr>
            <w:tcW w:type="dxa" w:w="3084"/>
            <w:shd w:val="clear" w:color="auto" w:fill="0F2B4C"/>
          </w:tcPr>
          <w:p>
            <w:pPr>
              <w:spacing w:after="20" w:before="20"/>
            </w:pPr>
            <w:r/>
            <w:r>
              <w:rPr>
                <w:rFonts w:ascii="Calibri" w:hAnsi="Calibri"/>
                <w:b/>
                <w:color w:val="FFFFFF"/>
                <w:sz w:val="17"/>
              </w:rPr>
              <w:t>Evidence / remarks</w:t>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S3 bucket availability confirmed in the correct region</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Required bucket and folder structure created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Read/write policies and permissions validated for the backup identity</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Backup path configuration validated in HANA</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Backend connectivity from the HANA host validated (endpoint, DNS, proxy, security group)</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Encryption and key management confirmed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Required configuration / INI files available and consistent with the backup setup</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 real backup has been written to the backend and the objects verified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Retention and lifecycle rules match the project standard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bl>
    <w:p>
      <w:pPr>
        <w:spacing w:after="40"/>
      </w:pPr>
    </w:p>
    <w:p>
      <w:pPr>
        <w:spacing w:before="180" w:after="40"/>
        <w:shd w:val="clear" w:color="auto" w:fill="FFFDF5"/>
        <w:pBdr>
          <w:left w:val="single" w:sz="6" w:space="6" w:color="D9A520"/>
          <w:top w:val="single" w:sz="6" w:space="6" w:color="D9A520"/>
          <w:right w:val="single" w:sz="6" w:space="6" w:color="D9A520"/>
        </w:pBdr>
        <w:keepNext/>
      </w:pPr>
      <w:r>
        <w:rPr>
          <w:rFonts w:ascii="Calibri" w:hAnsi="Calibri"/>
          <w:b/>
          <w:color w:val="D9A520"/>
          <w:sz w:val="16"/>
        </w:rPr>
        <w:t>BACKINT VERSUS FILE-BASED BACKUP</w:t>
      </w:r>
    </w:p>
    <w:p>
      <w:pPr>
        <w:spacing w:after="40"/>
        <w:ind w:left="170"/>
        <w:shd w:val="clear" w:color="auto" w:fill="FFFDF5"/>
        <w:pBdr>
          <w:left w:val="single" w:sz="6" w:space="6" w:color="D9A520"/>
          <w:bottom w:val="single" w:sz="6" w:space="6" w:color="D9A520"/>
          <w:right w:val="single" w:sz="6" w:space="6" w:color="D9A520"/>
        </w:pBdr>
      </w:pPr>
      <w:r>
        <w:rPr>
          <w:rFonts w:ascii="Calibri" w:hAnsi="Calibri"/>
          <w:b w:val="0"/>
          <w:i w:val="0"/>
          <w:color w:val="334E68"/>
          <w:sz w:val="18"/>
        </w:rPr>
        <w:t xml:space="preserve">The source training refers to an S3 backup backend without naming the mechanism. In practice this is either a certified Backint agent for S3 or a file-based backup to a mounted/S3-synced target. Confirm which one the project uses, because the configuration files, permissions, log locations and restore syntax differ. </w:t>
      </w:r>
      <w:r>
        <w:rPr>
          <w:rFonts w:ascii="Calibri" w:hAnsi="Calibri"/>
          <w:b w:val="0"/>
          <w:i w:val="0"/>
          <w:color w:val="334E68"/>
          <w:sz w:val="18"/>
        </w:rPr>
        <w:t>Validate</w:t>
      </w:r>
    </w:p>
    <w:p>
      <w:pPr>
        <w:pStyle w:val="Heading2"/>
        <w:pBdr>
          <w:bottom w:val="single" w:sz="6" w:space="3" w:color="E8EDF3"/>
        </w:pBdr>
      </w:pPr>
      <w:r>
        <w:rPr>
          <w:rFonts w:ascii="Calibri" w:hAnsi="Calibri"/>
          <w:b/>
          <w:color w:val="0F2B4C"/>
          <w:sz w:val="26"/>
        </w:rPr>
        <w:t>6.4  Backup and recovery sequence</w:t>
      </w:r>
    </w:p>
    <w:p>
      <w:pPr>
        <w:spacing w:after="40"/>
        <w:ind w:left="578" w:hanging="227"/>
      </w:pPr>
      <w:r>
        <w:rPr>
          <w:rFonts w:ascii="Calibri" w:hAnsi="Calibri"/>
          <w:b/>
          <w:color w:val="0F2B4C"/>
          <w:sz w:val="19"/>
        </w:rPr>
        <w:t xml:space="preserve">1.  </w:t>
      </w:r>
      <w:r>
        <w:rPr>
          <w:rFonts w:ascii="Calibri" w:hAnsi="Calibri"/>
          <w:b w:val="0"/>
          <w:i w:val="0"/>
          <w:color w:val="334E68"/>
          <w:sz w:val="19"/>
        </w:rPr>
        <w:t>Configure the backup destination on the source.</w:t>
      </w:r>
    </w:p>
    <w:p>
      <w:pPr>
        <w:spacing w:after="40"/>
        <w:ind w:left="578" w:hanging="227"/>
      </w:pPr>
      <w:r>
        <w:rPr>
          <w:rFonts w:ascii="Calibri" w:hAnsi="Calibri"/>
          <w:b/>
          <w:color w:val="0F2B4C"/>
          <w:sz w:val="19"/>
        </w:rPr>
        <w:t xml:space="preserve">2.  </w:t>
      </w:r>
      <w:r>
        <w:rPr>
          <w:rFonts w:ascii="Calibri" w:hAnsi="Calibri"/>
          <w:b w:val="0"/>
          <w:i w:val="0"/>
          <w:color w:val="334E68"/>
          <w:sz w:val="19"/>
        </w:rPr>
        <w:t>Validate S3/backend connectivity end to end (write and read).</w:t>
      </w:r>
    </w:p>
    <w:p>
      <w:pPr>
        <w:spacing w:after="40"/>
        <w:ind w:left="578" w:hanging="227"/>
      </w:pPr>
      <w:r>
        <w:rPr>
          <w:rFonts w:ascii="Calibri" w:hAnsi="Calibri"/>
          <w:b/>
          <w:color w:val="0F2B4C"/>
          <w:sz w:val="19"/>
        </w:rPr>
        <w:t xml:space="preserve">3.  </w:t>
      </w:r>
      <w:r>
        <w:rPr>
          <w:rFonts w:ascii="Calibri" w:hAnsi="Calibri"/>
          <w:b w:val="0"/>
          <w:i w:val="0"/>
          <w:color w:val="334E68"/>
          <w:sz w:val="19"/>
        </w:rPr>
        <w:t xml:space="preserve">Test backup and recovery </w:t>
      </w:r>
      <w:r>
        <w:rPr>
          <w:rFonts w:ascii="Calibri" w:hAnsi="Calibri"/>
          <w:b/>
          <w:i w:val="0"/>
          <w:color w:val="334E68"/>
          <w:sz w:val="19"/>
        </w:rPr>
        <w:t>before</w:t>
      </w:r>
      <w:r>
        <w:rPr>
          <w:rFonts w:ascii="Calibri" w:hAnsi="Calibri"/>
          <w:b w:val="0"/>
          <w:i w:val="0"/>
          <w:color w:val="334E68"/>
          <w:sz w:val="19"/>
        </w:rPr>
        <w:t xml:space="preserve"> cutover, on a target that mirrors production.</w:t>
      </w:r>
    </w:p>
    <w:p>
      <w:pPr>
        <w:spacing w:after="40"/>
        <w:ind w:left="578" w:hanging="227"/>
      </w:pPr>
      <w:r>
        <w:rPr>
          <w:rFonts w:ascii="Calibri" w:hAnsi="Calibri"/>
          <w:b/>
          <w:color w:val="0F2B4C"/>
          <w:sz w:val="19"/>
        </w:rPr>
        <w:t xml:space="preserve">4.  </w:t>
      </w:r>
      <w:r>
        <w:rPr>
          <w:rFonts w:ascii="Calibri" w:hAnsi="Calibri"/>
          <w:b w:val="0"/>
          <w:i w:val="0"/>
          <w:color w:val="334E68"/>
          <w:sz w:val="19"/>
        </w:rPr>
        <w:t>Verify recovered data consistency (row counts, key tables, application logon, no failed recovery steps in the log).</w:t>
      </w:r>
    </w:p>
    <w:p>
      <w:pPr>
        <w:spacing w:after="40"/>
        <w:ind w:left="578" w:hanging="227"/>
      </w:pPr>
      <w:r>
        <w:rPr>
          <w:rFonts w:ascii="Calibri" w:hAnsi="Calibri"/>
          <w:b/>
          <w:color w:val="0F2B4C"/>
          <w:sz w:val="19"/>
        </w:rPr>
        <w:t xml:space="preserve">5.  </w:t>
      </w:r>
      <w:r>
        <w:rPr>
          <w:rFonts w:ascii="Calibri" w:hAnsi="Calibri"/>
          <w:b w:val="0"/>
          <w:i w:val="0"/>
          <w:color w:val="334E68"/>
          <w:sz w:val="19"/>
        </w:rPr>
        <w:t>Capture evidence of the successful test: backup log, recovery log, timestamps, verification output.</w:t>
      </w:r>
    </w:p>
    <w:p>
      <w:pPr>
        <w:spacing w:after="40"/>
        <w:ind w:left="578" w:hanging="227"/>
      </w:pPr>
      <w:r>
        <w:rPr>
          <w:rFonts w:ascii="Calibri" w:hAnsi="Calibri"/>
          <w:b/>
          <w:color w:val="0F2B4C"/>
          <w:sz w:val="19"/>
        </w:rPr>
        <w:t xml:space="preserve">6.  </w:t>
      </w:r>
      <w:r>
        <w:rPr>
          <w:rFonts w:ascii="Calibri" w:hAnsi="Calibri"/>
          <w:b w:val="0"/>
          <w:i w:val="0"/>
          <w:color w:val="334E68"/>
          <w:sz w:val="19"/>
        </w:rPr>
        <w:t>During cutover, execute the final backup.</w:t>
      </w:r>
    </w:p>
    <w:p>
      <w:pPr>
        <w:spacing w:after="40"/>
        <w:ind w:left="578" w:hanging="227"/>
      </w:pPr>
      <w:r>
        <w:rPr>
          <w:rFonts w:ascii="Calibri" w:hAnsi="Calibri"/>
          <w:b/>
          <w:color w:val="0F2B4C"/>
          <w:sz w:val="19"/>
        </w:rPr>
        <w:t xml:space="preserve">7.  </w:t>
      </w:r>
      <w:r>
        <w:rPr>
          <w:rFonts w:ascii="Calibri" w:hAnsi="Calibri"/>
          <w:b w:val="0"/>
          <w:i w:val="0"/>
          <w:color w:val="334E68"/>
          <w:sz w:val="19"/>
        </w:rPr>
        <w:t xml:space="preserve">Complete final backup validation </w:t>
      </w:r>
      <w:r>
        <w:rPr>
          <w:rFonts w:ascii="Calibri" w:hAnsi="Calibri"/>
          <w:b/>
          <w:i w:val="0"/>
          <w:color w:val="334E68"/>
          <w:sz w:val="19"/>
        </w:rPr>
        <w:t>before</w:t>
      </w:r>
      <w:r>
        <w:rPr>
          <w:rFonts w:ascii="Calibri" w:hAnsi="Calibri"/>
          <w:b w:val="0"/>
          <w:i w:val="0"/>
          <w:color w:val="334E68"/>
          <w:sz w:val="19"/>
        </w:rPr>
        <w:t xml:space="preserve"> source shutdown.</w:t>
      </w:r>
    </w:p>
    <w:p>
      <w:pPr>
        <w:spacing w:after="40"/>
        <w:ind w:left="578" w:hanging="227"/>
      </w:pPr>
      <w:r>
        <w:rPr>
          <w:rFonts w:ascii="Calibri" w:hAnsi="Calibri"/>
          <w:b/>
          <w:color w:val="0F2B4C"/>
          <w:sz w:val="19"/>
        </w:rPr>
        <w:t xml:space="preserve">8.  </w:t>
      </w:r>
      <w:r>
        <w:rPr>
          <w:rFonts w:ascii="Calibri" w:hAnsi="Calibri"/>
          <w:b w:val="0"/>
          <w:i w:val="0"/>
          <w:color w:val="334E68"/>
          <w:sz w:val="19"/>
        </w:rPr>
        <w:t>Stop the source system only after the required backup activity has succeeded.</w:t>
      </w:r>
    </w:p>
    <w:p>
      <w:pPr>
        <w:spacing w:after="40"/>
        <w:ind w:left="578" w:hanging="227"/>
      </w:pPr>
      <w:r>
        <w:rPr>
          <w:rFonts w:ascii="Calibri" w:hAnsi="Calibri"/>
          <w:b/>
          <w:color w:val="0F2B4C"/>
          <w:sz w:val="19"/>
        </w:rPr>
        <w:t xml:space="preserve">9.  </w:t>
      </w:r>
      <w:r>
        <w:rPr>
          <w:rFonts w:ascii="Calibri" w:hAnsi="Calibri"/>
          <w:b w:val="0"/>
          <w:i w:val="0"/>
          <w:color w:val="334E68"/>
          <w:sz w:val="19"/>
        </w:rPr>
        <w:t>Configure the target and initiate recovery.</w:t>
      </w:r>
    </w:p>
    <w:p>
      <w:pPr>
        <w:spacing w:after="40"/>
        <w:ind w:left="578" w:hanging="227"/>
      </w:pPr>
      <w:r>
        <w:rPr>
          <w:rFonts w:ascii="Calibri" w:hAnsi="Calibri"/>
          <w:b/>
          <w:color w:val="0F2B4C"/>
          <w:sz w:val="19"/>
        </w:rPr>
        <w:t xml:space="preserve">10.  </w:t>
      </w:r>
      <w:r>
        <w:rPr>
          <w:rFonts w:ascii="Calibri" w:hAnsi="Calibri"/>
          <w:b w:val="0"/>
          <w:i w:val="0"/>
          <w:color w:val="334E68"/>
          <w:sz w:val="19"/>
        </w:rPr>
        <w:t>Validate database and application connectivity after recovery.</w:t>
      </w:r>
    </w:p>
    <w:p>
      <w:pPr>
        <w:spacing w:before="120" w:after="160"/>
        <w:shd w:val="clear" w:color="auto" w:fill="F4F7FB"/>
        <w:pBdr>
          <w:left w:val="single" w:sz="18" w:space="6" w:color="1B4F86"/>
        </w:pBdr>
      </w:pPr>
      <w:r>
        <w:rPr>
          <w:rFonts w:ascii="Calibri" w:hAnsi="Calibri"/>
          <w:b/>
          <w:color w:val="0F2B4C"/>
          <w:sz w:val="18"/>
        </w:rPr>
        <w:t>Source backup</w:t>
      </w:r>
      <w:r>
        <w:rPr>
          <w:b/>
          <w:color w:val="9EC3EC"/>
          <w:sz w:val="18"/>
        </w:rPr>
        <w:t xml:space="preserve">  →  </w:t>
      </w:r>
      <w:r>
        <w:rPr>
          <w:rFonts w:ascii="Calibri" w:hAnsi="Calibri"/>
          <w:b/>
          <w:color w:val="0F2B4C"/>
          <w:sz w:val="18"/>
        </w:rPr>
        <w:t>Configuration file</w:t>
      </w:r>
      <w:r>
        <w:rPr>
          <w:b/>
          <w:color w:val="9EC3EC"/>
          <w:sz w:val="18"/>
        </w:rPr>
        <w:t xml:space="preserve">  →  </w:t>
      </w:r>
      <w:r>
        <w:rPr>
          <w:rFonts w:ascii="Calibri" w:hAnsi="Calibri"/>
          <w:b/>
          <w:color w:val="0F2B4C"/>
          <w:sz w:val="18"/>
        </w:rPr>
        <w:t>S3 backend</w:t>
      </w:r>
      <w:r>
        <w:rPr>
          <w:b/>
          <w:color w:val="9EC3EC"/>
          <w:sz w:val="18"/>
        </w:rPr>
        <w:t xml:space="preserve">  →  </w:t>
      </w:r>
      <w:r>
        <w:rPr>
          <w:rFonts w:ascii="Calibri" w:hAnsi="Calibri"/>
          <w:b/>
          <w:color w:val="0F2B4C"/>
          <w:sz w:val="18"/>
        </w:rPr>
        <w:t>Target configuration</w:t>
      </w:r>
      <w:r>
        <w:rPr>
          <w:b/>
          <w:color w:val="9EC3EC"/>
          <w:sz w:val="18"/>
        </w:rPr>
        <w:t xml:space="preserve">  →  </w:t>
      </w:r>
      <w:r>
        <w:rPr>
          <w:rFonts w:ascii="Calibri" w:hAnsi="Calibri"/>
          <w:b/>
          <w:color w:val="0F2B4C"/>
          <w:sz w:val="18"/>
        </w:rPr>
        <w:t>Recovery</w:t>
      </w:r>
      <w:r>
        <w:rPr>
          <w:b/>
          <w:color w:val="9EC3EC"/>
          <w:sz w:val="18"/>
        </w:rPr>
        <w:t xml:space="preserve">  →  </w:t>
      </w:r>
      <w:r>
        <w:rPr>
          <w:rFonts w:ascii="Calibri" w:hAnsi="Calibri"/>
          <w:b/>
          <w:color w:val="0F2B4C"/>
          <w:sz w:val="18"/>
        </w:rPr>
        <w:t>Validation</w:t>
      </w:r>
    </w:p>
    <w:p>
      <w:pPr>
        <w:spacing w:before="180" w:after="40"/>
        <w:shd w:val="clear" w:color="auto" w:fill="FFFBFB"/>
        <w:pBdr>
          <w:left w:val="single" w:sz="6" w:space="6" w:color="C8434B"/>
          <w:top w:val="single" w:sz="6" w:space="6" w:color="C8434B"/>
          <w:right w:val="single" w:sz="6" w:space="6" w:color="C8434B"/>
        </w:pBdr>
        <w:keepNext/>
      </w:pPr>
      <w:r>
        <w:rPr>
          <w:rFonts w:ascii="Calibri" w:hAnsi="Calibri"/>
          <w:b/>
          <w:color w:val="C8434B"/>
          <w:sz w:val="16"/>
        </w:rPr>
        <w:t>SEQUENCING RULE THAT PROTECTS THE PROGRAMME</w:t>
      </w:r>
    </w:p>
    <w:p>
      <w:pPr>
        <w:spacing w:after="40"/>
        <w:ind w:left="170"/>
        <w:shd w:val="clear" w:color="auto" w:fill="FFFBFB"/>
        <w:pBdr>
          <w:left w:val="single" w:sz="6" w:space="6" w:color="C8434B"/>
          <w:bottom w:val="single" w:sz="6" w:space="6" w:color="C8434B"/>
          <w:right w:val="single" w:sz="6" w:space="6" w:color="C8434B"/>
        </w:pBdr>
      </w:pPr>
      <w:r>
        <w:rPr>
          <w:rFonts w:ascii="Calibri" w:hAnsi="Calibri"/>
          <w:b w:val="0"/>
          <w:i w:val="0"/>
          <w:color w:val="334E68"/>
          <w:sz w:val="18"/>
        </w:rPr>
        <w:t>Keep the source available until the required final backup activity is successfully completed. Stopping the source first removes the rollback option and turns a routine recovery into an incident.</w:t>
      </w:r>
    </w:p>
    <w:p>
      <w:pPr>
        <w:pStyle w:val="Heading2"/>
        <w:pBdr>
          <w:bottom w:val="single" w:sz="6" w:space="3" w:color="E8EDF3"/>
        </w:pBdr>
      </w:pPr>
      <w:r>
        <w:rPr>
          <w:rFonts w:ascii="Calibri" w:hAnsi="Calibri"/>
          <w:b/>
          <w:color w:val="0F2B4C"/>
          <w:sz w:val="26"/>
        </w:rPr>
        <w:t>6.5  Three-tier application validation</w:t>
      </w:r>
    </w:p>
    <w:p>
      <w:pPr>
        <w:spacing w:after="60" w:before="160"/>
        <w:keepNext/>
      </w:pPr>
      <w:r>
        <w:rPr>
          <w:rFonts w:ascii="Calibri" w:hAnsi="Calibri"/>
          <w:b/>
          <w:color w:val="5B7288"/>
          <w:sz w:val="15"/>
        </w:rPr>
        <w:t>THREE-TIER VALIDATION ORDER</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120"/>
        <w:gridCol w:w="5783"/>
        <w:gridCol w:w="1735"/>
      </w:tblGrid>
      <w:tr>
        <w:trPr>
          <w:tblHeader/>
          <w:cantSplit/>
        </w:trPr>
        <w:tc>
          <w:tcPr>
            <w:tcW w:type="dxa" w:w="2120"/>
            <w:shd w:val="clear" w:color="auto" w:fill="0F2B4C"/>
          </w:tcPr>
          <w:p>
            <w:pPr>
              <w:spacing w:after="20" w:before="20"/>
            </w:pPr>
            <w:r/>
            <w:r>
              <w:rPr>
                <w:rFonts w:ascii="Calibri" w:hAnsi="Calibri"/>
                <w:b/>
                <w:color w:val="FFFFFF"/>
                <w:sz w:val="17"/>
              </w:rPr>
              <w:t>Layer</w:t>
            </w:r>
          </w:p>
        </w:tc>
        <w:tc>
          <w:tcPr>
            <w:tcW w:type="dxa" w:w="5783"/>
            <w:shd w:val="clear" w:color="auto" w:fill="0F2B4C"/>
          </w:tcPr>
          <w:p>
            <w:pPr>
              <w:spacing w:after="20" w:before="20"/>
            </w:pPr>
            <w:r/>
            <w:r>
              <w:rPr>
                <w:rFonts w:ascii="Calibri" w:hAnsi="Calibri"/>
                <w:b/>
                <w:color w:val="FFFFFF"/>
                <w:sz w:val="17"/>
              </w:rPr>
              <w:t>What is validated</w:t>
            </w:r>
          </w:p>
        </w:tc>
        <w:tc>
          <w:tcPr>
            <w:tcW w:type="dxa" w:w="1735"/>
            <w:shd w:val="clear" w:color="auto" w:fill="0F2B4C"/>
          </w:tcPr>
          <w:p>
            <w:pPr>
              <w:spacing w:after="20" w:before="20"/>
            </w:pPr>
            <w:r/>
            <w:r>
              <w:rPr>
                <w:rFonts w:ascii="Calibri" w:hAnsi="Calibri"/>
                <w:b/>
                <w:color w:val="FFFFFF"/>
                <w:sz w:val="17"/>
              </w:rPr>
              <w:t>Order</w:t>
            </w:r>
          </w:p>
        </w:tc>
      </w:tr>
      <w:tr>
        <w:trPr>
          <w:cantSplit/>
        </w:trPr>
        <w:tc>
          <w:tcPr>
            <w:tcW w:type="dxa" w:w="2120"/>
          </w:tcPr>
          <w:p>
            <w:pPr>
              <w:spacing w:after="20" w:before="20"/>
            </w:pPr>
            <w:r/>
            <w:r>
              <w:rPr>
                <w:rFonts w:ascii="Calibri" w:hAnsi="Calibri"/>
                <w:b/>
                <w:i w:val="0"/>
                <w:color w:val="334E68"/>
                <w:sz w:val="17"/>
              </w:rPr>
              <w:t>UI / presentation layer</w:t>
            </w:r>
          </w:p>
        </w:tc>
        <w:tc>
          <w:tcPr>
            <w:tcW w:type="dxa" w:w="5783"/>
          </w:tcPr>
          <w:p>
            <w:pPr>
              <w:spacing w:after="20" w:before="20"/>
            </w:pPr>
            <w:r/>
            <w:r>
              <w:rPr>
                <w:rFonts w:ascii="Calibri" w:hAnsi="Calibri"/>
                <w:b w:val="0"/>
                <w:i w:val="0"/>
                <w:color w:val="334E68"/>
                <w:sz w:val="17"/>
              </w:rPr>
              <w:t>SAP GUI or Fiori connectivity, login, transaction rendering, timeout behaviour</w:t>
            </w:r>
          </w:p>
        </w:tc>
        <w:tc>
          <w:tcPr>
            <w:tcW w:type="dxa" w:w="1735"/>
          </w:tcPr>
          <w:p>
            <w:pPr>
              <w:spacing w:after="20" w:before="20"/>
            </w:pPr>
            <w:r/>
            <w:r>
              <w:rPr>
                <w:rFonts w:ascii="Calibri" w:hAnsi="Calibri"/>
                <w:b w:val="0"/>
                <w:i w:val="0"/>
                <w:color w:val="334E68"/>
                <w:sz w:val="17"/>
              </w:rPr>
              <w:t>3rd</w:t>
            </w:r>
          </w:p>
        </w:tc>
      </w:tr>
      <w:tr>
        <w:trPr>
          <w:cantSplit/>
        </w:trPr>
        <w:tc>
          <w:tcPr>
            <w:tcW w:type="dxa" w:w="2120"/>
            <w:shd w:val="clear" w:color="auto" w:fill="FAFBFD"/>
          </w:tcPr>
          <w:p>
            <w:pPr>
              <w:spacing w:after="20" w:before="20"/>
            </w:pPr>
            <w:r/>
            <w:r>
              <w:rPr>
                <w:rFonts w:ascii="Calibri" w:hAnsi="Calibri"/>
                <w:b/>
                <w:i w:val="0"/>
                <w:color w:val="334E68"/>
                <w:sz w:val="17"/>
              </w:rPr>
              <w:t>Application layer</w:t>
            </w:r>
          </w:p>
        </w:tc>
        <w:tc>
          <w:tcPr>
            <w:tcW w:type="dxa" w:w="5783"/>
            <w:shd w:val="clear" w:color="auto" w:fill="FAFBFD"/>
          </w:tcPr>
          <w:p>
            <w:pPr>
              <w:spacing w:after="20" w:before="20"/>
            </w:pPr>
            <w:r/>
            <w:r>
              <w:rPr>
                <w:rFonts w:ascii="Calibri" w:hAnsi="Calibri"/>
                <w:b w:val="0"/>
                <w:i w:val="0"/>
                <w:color w:val="334E68"/>
                <w:sz w:val="17"/>
              </w:rPr>
              <w:t>Work processes, instance start, RFC and Gateway connectivity, spool, ICM services</w:t>
            </w:r>
          </w:p>
        </w:tc>
        <w:tc>
          <w:tcPr>
            <w:tcW w:type="dxa" w:w="1735"/>
            <w:shd w:val="clear" w:color="auto" w:fill="FAFBFD"/>
          </w:tcPr>
          <w:p>
            <w:pPr>
              <w:spacing w:after="20" w:before="20"/>
            </w:pPr>
            <w:r/>
            <w:r>
              <w:rPr>
                <w:rFonts w:ascii="Calibri" w:hAnsi="Calibri"/>
                <w:b w:val="0"/>
                <w:i w:val="0"/>
                <w:color w:val="334E68"/>
                <w:sz w:val="17"/>
              </w:rPr>
              <w:t>2nd</w:t>
            </w:r>
          </w:p>
        </w:tc>
      </w:tr>
      <w:tr>
        <w:trPr>
          <w:cantSplit/>
        </w:trPr>
        <w:tc>
          <w:tcPr>
            <w:tcW w:type="dxa" w:w="2120"/>
          </w:tcPr>
          <w:p>
            <w:pPr>
              <w:spacing w:after="20" w:before="20"/>
            </w:pPr>
            <w:r/>
            <w:r>
              <w:rPr>
                <w:rFonts w:ascii="Calibri" w:hAnsi="Calibri"/>
                <w:b/>
                <w:i w:val="0"/>
                <w:color w:val="334E68"/>
                <w:sz w:val="17"/>
              </w:rPr>
              <w:t>Database layer</w:t>
            </w:r>
          </w:p>
        </w:tc>
        <w:tc>
          <w:tcPr>
            <w:tcW w:type="dxa" w:w="5783"/>
          </w:tcPr>
          <w:p>
            <w:pPr>
              <w:spacing w:after="20" w:before="20"/>
            </w:pPr>
            <w:r/>
            <w:r>
              <w:rPr>
                <w:rFonts w:ascii="Calibri" w:hAnsi="Calibri"/>
                <w:b w:val="0"/>
                <w:i w:val="0"/>
                <w:color w:val="334E68"/>
                <w:sz w:val="17"/>
              </w:rPr>
              <w:t>HANA services, tenant status, connectivity from the application, data retrieval and updates</w:t>
            </w:r>
          </w:p>
        </w:tc>
        <w:tc>
          <w:tcPr>
            <w:tcW w:type="dxa" w:w="1735"/>
          </w:tcPr>
          <w:p>
            <w:pPr>
              <w:spacing w:after="20" w:before="20"/>
            </w:pPr>
            <w:r/>
            <w:r>
              <w:rPr>
                <w:rFonts w:ascii="Calibri" w:hAnsi="Calibri"/>
                <w:b w:val="0"/>
                <w:i w:val="0"/>
                <w:color w:val="334E68"/>
                <w:sz w:val="17"/>
              </w:rPr>
              <w:t>1st</w:t>
            </w:r>
          </w:p>
        </w:tc>
      </w:tr>
    </w:tbl>
    <w:p>
      <w:pPr>
        <w:spacing w:after="40"/>
      </w:pPr>
    </w:p>
    <w:p>
      <w:r>
        <w:rPr>
          <w:rFonts w:ascii="Calibri" w:hAnsi="Calibri"/>
          <w:b w:val="0"/>
          <w:i w:val="0"/>
          <w:color w:val="334E68"/>
          <w:sz w:val="20"/>
        </w:rPr>
        <w:t>Database recovery is completed first; application servers are then started and validated against the recovered HANA database. Validate application processing, data retrieval, updates and database connectivity — not just “the instance is green”.</w:t>
      </w:r>
    </w:p>
    <w:p>
      <w:pPr>
        <w:pStyle w:val="Heading2"/>
        <w:pBdr>
          <w:bottom w:val="single" w:sz="6" w:space="3" w:color="E8EDF3"/>
        </w:pBdr>
      </w:pPr>
      <w:r>
        <w:rPr>
          <w:rFonts w:ascii="Calibri" w:hAnsi="Calibri"/>
          <w:b/>
          <w:color w:val="0F2B4C"/>
          <w:sz w:val="26"/>
        </w:rPr>
        <w:t>6.6  Module 3 readiness checklist</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530"/>
        <w:gridCol w:w="1542"/>
        <w:gridCol w:w="308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530"/>
            <w:shd w:val="clear" w:color="auto" w:fill="0F2B4C"/>
          </w:tcPr>
          <w:p>
            <w:pPr>
              <w:spacing w:after="20" w:before="20"/>
            </w:pPr>
            <w:r/>
            <w:r>
              <w:rPr>
                <w:rFonts w:ascii="Calibri" w:hAnsi="Calibri"/>
                <w:b/>
                <w:color w:val="FFFFFF"/>
                <w:sz w:val="17"/>
              </w:rPr>
              <w:t>Check</w:t>
            </w:r>
          </w:p>
        </w:tc>
        <w:tc>
          <w:tcPr>
            <w:tcW w:type="dxa" w:w="1542"/>
            <w:shd w:val="clear" w:color="auto" w:fill="0F2B4C"/>
          </w:tcPr>
          <w:p>
            <w:pPr>
              <w:spacing w:after="20" w:before="20"/>
            </w:pPr>
            <w:r/>
            <w:r>
              <w:rPr>
                <w:rFonts w:ascii="Calibri" w:hAnsi="Calibri"/>
                <w:b/>
                <w:color w:val="FFFFFF"/>
                <w:sz w:val="17"/>
              </w:rPr>
              <w:t>Status</w:t>
            </w:r>
          </w:p>
        </w:tc>
        <w:tc>
          <w:tcPr>
            <w:tcW w:type="dxa" w:w="3084"/>
            <w:shd w:val="clear" w:color="auto" w:fill="0F2B4C"/>
          </w:tcPr>
          <w:p>
            <w:pPr>
              <w:spacing w:after="20" w:before="20"/>
            </w:pPr>
            <w:r/>
            <w:r>
              <w:rPr>
                <w:rFonts w:ascii="Calibri" w:hAnsi="Calibri"/>
                <w:b/>
                <w:color w:val="FFFFFF"/>
                <w:sz w:val="17"/>
              </w:rPr>
              <w:t>Evidence / remarks</w:t>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SystemDB and TenantDB roles understood and documented for this system</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SystemDB/TenantDB not confused with the HA design in project documentation</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HANA pre-checks executed with all output retained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S3 backup backend configured and connectivity proven</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Backup tested successfully to the S3 backend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Recovery tested successfully on a non-production target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Recovered data consistency verified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Backup/recovery evidence pack complete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Cutover backup window and duration estimated from the test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Rollback anchor defined (final backup plus snapshot)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Three-tier validation performed in the correct order after recovery</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bl>
    <w:p>
      <w:pPr>
        <w:spacing w:after="40"/>
      </w:pPr>
    </w:p>
    <w:p>
      <w:r>
        <w:br w:type="page"/>
      </w:r>
    </w:p>
    <w:p>
      <w:pPr>
        <w:spacing w:after="20"/>
      </w:pPr>
      <w:r>
        <w:rPr>
          <w:rFonts w:ascii="Calibri" w:hAnsi="Calibri"/>
          <w:b/>
          <w:color w:val="1B4F86"/>
          <w:sz w:val="16"/>
        </w:rPr>
        <w:t>MODULE 4 · SECTION 7</w:t>
      </w:r>
    </w:p>
    <w:p>
      <w:pPr>
        <w:pStyle w:val="Heading1"/>
        <w:pBdr>
          <w:bottom w:val="single" w:sz="12" w:space="5" w:color="1B4F86"/>
        </w:pBdr>
        <w:spacing w:after="160"/>
      </w:pPr>
      <w:r>
        <w:rPr>
          <w:rFonts w:ascii="Calibri Light" w:hAnsi="Calibri Light"/>
          <w:b/>
          <w:color w:val="0F2B4C"/>
          <w:sz w:val="38"/>
        </w:rPr>
        <w:t>7  Module 4 — SAP post-migration validation</w:t>
      </w:r>
    </w:p>
    <w:p>
      <w:pPr>
        <w:spacing w:after="200"/>
      </w:pPr>
      <w:r>
        <w:rPr>
          <w:rFonts w:ascii="Calibri" w:hAnsi="Calibri"/>
          <w:i/>
          <w:color w:val="5B7288"/>
          <w:sz w:val="21"/>
        </w:rPr>
        <w:t>Validation is comparison, not inspection. Every check in this module answers one question: does the target match the approved design and the source baseline, and if not, is the difference explained?</w:t>
      </w:r>
    </w:p>
    <w:p>
      <w:pPr>
        <w:pStyle w:val="Heading2"/>
        <w:pBdr>
          <w:bottom w:val="single" w:sz="6" w:space="3" w:color="E8EDF3"/>
        </w:pBdr>
      </w:pPr>
      <w:r>
        <w:rPr>
          <w:rFonts w:ascii="Calibri" w:hAnsi="Calibri"/>
          <w:b/>
          <w:color w:val="0F2B4C"/>
          <w:sz w:val="26"/>
        </w:rPr>
        <w:t>7.1  Auto-start validation</w:t>
      </w:r>
    </w:p>
    <w:p>
      <w:pPr>
        <w:spacing w:after="40"/>
        <w:ind w:left="578" w:hanging="227"/>
      </w:pPr>
      <w:r>
        <w:rPr>
          <w:rFonts w:ascii="Calibri" w:hAnsi="Calibri"/>
          <w:b/>
          <w:color w:val="0F2B4C"/>
          <w:sz w:val="19"/>
        </w:rPr>
        <w:t xml:space="preserve">1.  </w:t>
      </w:r>
      <w:r>
        <w:rPr>
          <w:rFonts w:ascii="Calibri" w:hAnsi="Calibri"/>
          <w:b w:val="0"/>
          <w:i w:val="0"/>
          <w:color w:val="334E68"/>
          <w:sz w:val="19"/>
        </w:rPr>
        <w:t>Check the configured SAP service (the init/systemd unit that starts SAP at boot).</w:t>
      </w:r>
    </w:p>
    <w:p>
      <w:pPr>
        <w:spacing w:after="40"/>
        <w:ind w:left="578" w:hanging="227"/>
      </w:pPr>
      <w:r>
        <w:rPr>
          <w:rFonts w:ascii="Calibri" w:hAnsi="Calibri"/>
          <w:b/>
          <w:color w:val="0F2B4C"/>
          <w:sz w:val="19"/>
        </w:rPr>
        <w:t xml:space="preserve">2.  </w:t>
      </w:r>
      <w:r>
        <w:rPr>
          <w:rFonts w:ascii="Calibri" w:hAnsi="Calibri"/>
          <w:b w:val="0"/>
          <w:i w:val="0"/>
          <w:color w:val="334E68"/>
          <w:sz w:val="19"/>
        </w:rPr>
        <w:t xml:space="preserve">Verify the service status is </w:t>
      </w:r>
      <w:r>
        <w:rPr>
          <w:rFonts w:ascii="Calibri" w:hAnsi="Calibri"/>
          <w:b/>
          <w:i w:val="0"/>
          <w:color w:val="334E68"/>
          <w:sz w:val="19"/>
        </w:rPr>
        <w:t>Active</w:t>
      </w:r>
      <w:r>
        <w:rPr>
          <w:rFonts w:ascii="Calibri" w:hAnsi="Calibri"/>
          <w:b w:val="0"/>
          <w:i w:val="0"/>
          <w:color w:val="334E68"/>
          <w:sz w:val="19"/>
        </w:rPr>
        <w:t>.</w:t>
      </w:r>
    </w:p>
    <w:p>
      <w:pPr>
        <w:spacing w:after="40"/>
        <w:ind w:left="578" w:hanging="227"/>
      </w:pPr>
      <w:r>
        <w:rPr>
          <w:rFonts w:ascii="Calibri" w:hAnsi="Calibri"/>
          <w:b/>
          <w:color w:val="0F2B4C"/>
          <w:sz w:val="19"/>
        </w:rPr>
        <w:t xml:space="preserve">3.  </w:t>
      </w:r>
      <w:r>
        <w:rPr>
          <w:rFonts w:ascii="Calibri" w:hAnsi="Calibri"/>
          <w:b w:val="0"/>
          <w:i w:val="0"/>
          <w:color w:val="334E68"/>
          <w:sz w:val="19"/>
        </w:rPr>
        <w:t>Verify the service return code.</w:t>
      </w:r>
    </w:p>
    <w:p>
      <w:pPr>
        <w:spacing w:after="40"/>
        <w:ind w:left="578" w:hanging="227"/>
      </w:pPr>
      <w:r>
        <w:rPr>
          <w:rFonts w:ascii="Calibri" w:hAnsi="Calibri"/>
          <w:b/>
          <w:color w:val="0F2B4C"/>
          <w:sz w:val="19"/>
        </w:rPr>
        <w:t xml:space="preserve">4.  </w:t>
      </w:r>
      <w:r>
        <w:rPr>
          <w:rFonts w:ascii="Calibri" w:hAnsi="Calibri"/>
          <w:b w:val="0"/>
          <w:i w:val="0"/>
          <w:color w:val="334E68"/>
          <w:sz w:val="19"/>
        </w:rPr>
        <w:t>Stop the required SAP instances cleanly.</w:t>
      </w:r>
    </w:p>
    <w:p>
      <w:pPr>
        <w:spacing w:after="40"/>
        <w:ind w:left="578" w:hanging="227"/>
      </w:pPr>
      <w:r>
        <w:rPr>
          <w:rFonts w:ascii="Calibri" w:hAnsi="Calibri"/>
          <w:b/>
          <w:color w:val="0F2B4C"/>
          <w:sz w:val="19"/>
        </w:rPr>
        <w:t xml:space="preserve">5.  </w:t>
      </w:r>
      <w:r>
        <w:rPr>
          <w:rFonts w:ascii="Calibri" w:hAnsi="Calibri"/>
          <w:b w:val="0"/>
          <w:i w:val="0"/>
          <w:color w:val="334E68"/>
          <w:sz w:val="19"/>
        </w:rPr>
        <w:t>Coordinate the server reboot with the Linux team (and with any cluster or HA manager).</w:t>
      </w:r>
    </w:p>
    <w:p>
      <w:pPr>
        <w:spacing w:after="40"/>
        <w:ind w:left="578" w:hanging="227"/>
      </w:pPr>
      <w:r>
        <w:rPr>
          <w:rFonts w:ascii="Calibri" w:hAnsi="Calibri"/>
          <w:b/>
          <w:color w:val="0F2B4C"/>
          <w:sz w:val="19"/>
        </w:rPr>
        <w:t xml:space="preserve">6.  </w:t>
      </w:r>
      <w:r>
        <w:rPr>
          <w:rFonts w:ascii="Calibri" w:hAnsi="Calibri"/>
          <w:b w:val="0"/>
          <w:i w:val="0"/>
          <w:color w:val="334E68"/>
          <w:sz w:val="19"/>
        </w:rPr>
        <w:t>After reboot, verify automatic SAP startup without manual intervention.</w:t>
      </w:r>
    </w:p>
    <w:p>
      <w:pPr>
        <w:spacing w:after="40"/>
        <w:ind w:left="578" w:hanging="227"/>
      </w:pPr>
      <w:r>
        <w:rPr>
          <w:rFonts w:ascii="Calibri" w:hAnsi="Calibri"/>
          <w:b/>
          <w:color w:val="0F2B4C"/>
          <w:sz w:val="19"/>
        </w:rPr>
        <w:t xml:space="preserve">7.  </w:t>
      </w:r>
      <w:r>
        <w:rPr>
          <w:rFonts w:ascii="Calibri" w:hAnsi="Calibri"/>
          <w:b w:val="0"/>
          <w:i w:val="0"/>
          <w:color w:val="334E68"/>
          <w:sz w:val="19"/>
        </w:rPr>
        <w:t>Confirm SAP availability: instances registered, work processes running, logon possible.</w:t>
      </w:r>
    </w:p>
    <w:p>
      <w:pPr>
        <w:spacing w:after="40"/>
        <w:ind w:left="578" w:hanging="227"/>
      </w:pPr>
      <w:r>
        <w:rPr>
          <w:rFonts w:ascii="Calibri" w:hAnsi="Calibri"/>
          <w:b/>
          <w:color w:val="0F2B4C"/>
          <w:sz w:val="19"/>
        </w:rPr>
        <w:t xml:space="preserve">8.  </w:t>
      </w:r>
      <w:r>
        <w:rPr>
          <w:rFonts w:ascii="Calibri" w:hAnsi="Calibri"/>
          <w:b w:val="0"/>
          <w:i w:val="0"/>
          <w:color w:val="334E68"/>
          <w:sz w:val="19"/>
        </w:rPr>
        <w:t>Capture evidence: service status, return code, instance list before and after, timestamps.</w:t>
      </w:r>
    </w:p>
    <w:p>
      <w:pPr>
        <w:spacing w:before="180" w:after="40"/>
        <w:shd w:val="clear" w:color="auto" w:fill="FFFBFB"/>
        <w:pBdr>
          <w:left w:val="single" w:sz="6" w:space="6" w:color="C8434B"/>
          <w:top w:val="single" w:sz="6" w:space="6" w:color="C8434B"/>
          <w:right w:val="single" w:sz="6" w:space="6" w:color="C8434B"/>
        </w:pBdr>
        <w:keepNext/>
      </w:pPr>
      <w:r>
        <w:rPr>
          <w:rFonts w:ascii="Calibri" w:hAnsi="Calibri"/>
          <w:b/>
          <w:color w:val="C8434B"/>
          <w:sz w:val="16"/>
        </w:rPr>
        <w:t>NEVER ASSUME AUTO-START WORKS. TEST IT THROUGH AN ACTUAL REBOOT.</w:t>
      </w:r>
    </w:p>
    <w:p>
      <w:pPr>
        <w:spacing w:after="40"/>
        <w:ind w:left="170"/>
        <w:shd w:val="clear" w:color="auto" w:fill="FFFBFB"/>
        <w:pBdr>
          <w:left w:val="single" w:sz="6" w:space="6" w:color="C8434B"/>
          <w:bottom w:val="single" w:sz="6" w:space="6" w:color="C8434B"/>
          <w:right w:val="single" w:sz="6" w:space="6" w:color="C8434B"/>
        </w:pBdr>
      </w:pPr>
      <w:r>
        <w:rPr>
          <w:rFonts w:ascii="Calibri" w:hAnsi="Calibri"/>
          <w:b w:val="0"/>
          <w:i w:val="0"/>
          <w:color w:val="334E68"/>
          <w:sz w:val="18"/>
        </w:rPr>
        <w:t>A service that is enabled and active can still fail at boot because of ordering: a file system that mounts late, a network interface that is not yet up, a cluster resource that owns the virtual IP, or a dependency on the database host. Only a real reboot proves the sequence.</w:t>
      </w:r>
    </w:p>
    <w:p>
      <w:pPr>
        <w:spacing w:after="60" w:before="160"/>
        <w:keepNext/>
      </w:pPr>
      <w:r>
        <w:rPr>
          <w:rFonts w:ascii="Calibri" w:hAnsi="Calibri"/>
          <w:b/>
          <w:color w:val="5B7288"/>
          <w:sz w:val="15"/>
        </w:rPr>
        <w:t>SERVICE RETURN CODES DISCUSSED IN THE TRAINING</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1157"/>
        <w:gridCol w:w="3662"/>
        <w:gridCol w:w="4819"/>
      </w:tblGrid>
      <w:tr>
        <w:trPr>
          <w:tblHeader/>
          <w:cantSplit/>
        </w:trPr>
        <w:tc>
          <w:tcPr>
            <w:tcW w:type="dxa" w:w="1157"/>
            <w:shd w:val="clear" w:color="auto" w:fill="0F2B4C"/>
          </w:tcPr>
          <w:p>
            <w:pPr>
              <w:spacing w:after="20" w:before="20"/>
            </w:pPr>
            <w:r/>
            <w:r>
              <w:rPr>
                <w:rFonts w:ascii="Calibri" w:hAnsi="Calibri"/>
                <w:b/>
                <w:color w:val="FFFFFF"/>
                <w:sz w:val="17"/>
              </w:rPr>
              <w:t>Return code</w:t>
            </w:r>
          </w:p>
        </w:tc>
        <w:tc>
          <w:tcPr>
            <w:tcW w:type="dxa" w:w="3662"/>
            <w:shd w:val="clear" w:color="auto" w:fill="0F2B4C"/>
          </w:tcPr>
          <w:p>
            <w:pPr>
              <w:spacing w:after="20" w:before="20"/>
            </w:pPr>
            <w:r/>
            <w:r>
              <w:rPr>
                <w:rFonts w:ascii="Calibri" w:hAnsi="Calibri"/>
                <w:b/>
                <w:color w:val="FFFFFF"/>
                <w:sz w:val="17"/>
              </w:rPr>
              <w:t>Interpretation</w:t>
            </w:r>
          </w:p>
        </w:tc>
        <w:tc>
          <w:tcPr>
            <w:tcW w:type="dxa" w:w="4819"/>
            <w:shd w:val="clear" w:color="auto" w:fill="0F2B4C"/>
          </w:tcPr>
          <w:p>
            <w:pPr>
              <w:spacing w:after="20" w:before="20"/>
            </w:pPr>
            <w:r/>
            <w:r>
              <w:rPr>
                <w:rFonts w:ascii="Calibri" w:hAnsi="Calibri"/>
                <w:b/>
                <w:color w:val="FFFFFF"/>
                <w:sz w:val="17"/>
              </w:rPr>
              <w:t>First actions</w:t>
            </w:r>
          </w:p>
        </w:tc>
      </w:tr>
      <w:tr>
        <w:trPr>
          <w:cantSplit/>
        </w:trPr>
        <w:tc>
          <w:tcPr>
            <w:tcW w:type="dxa" w:w="1157"/>
          </w:tcPr>
          <w:p>
            <w:pPr>
              <w:spacing w:after="20" w:before="20"/>
            </w:pPr>
            <w:r/>
            <w:r>
              <w:rPr>
                <w:rFonts w:ascii="Consolas" w:hAnsi="Consolas"/>
                <w:b/>
                <w:i w:val="0"/>
                <w:color w:val="123A63"/>
                <w:sz w:val="17"/>
                <w:shd w:val="clear" w:color="auto" w:fill="EEF2F7"/>
              </w:rPr>
              <w:t>0</w:t>
            </w:r>
          </w:p>
        </w:tc>
        <w:tc>
          <w:tcPr>
            <w:tcW w:type="dxa" w:w="3662"/>
          </w:tcPr>
          <w:p>
            <w:pPr>
              <w:spacing w:after="20" w:before="20"/>
            </w:pPr>
            <w:r/>
            <w:r>
              <w:rPr>
                <w:rFonts w:ascii="Calibri" w:hAnsi="Calibri"/>
                <w:b w:val="0"/>
                <w:i w:val="0"/>
                <w:color w:val="334E68"/>
                <w:sz w:val="17"/>
              </w:rPr>
              <w:t>Success. The expected result after reboot.</w:t>
            </w:r>
          </w:p>
        </w:tc>
        <w:tc>
          <w:tcPr>
            <w:tcW w:type="dxa" w:w="4819"/>
          </w:tcPr>
          <w:p>
            <w:pPr>
              <w:spacing w:after="20" w:before="20"/>
            </w:pPr>
            <w:r/>
            <w:r>
              <w:rPr>
                <w:rFonts w:ascii="Calibri" w:hAnsi="Calibri"/>
                <w:b w:val="0"/>
                <w:i w:val="0"/>
                <w:color w:val="334E68"/>
                <w:sz w:val="17"/>
              </w:rPr>
              <w:t xml:space="preserve">Confirm instances are actually registered in </w:t>
            </w:r>
            <w:r>
              <w:rPr>
                <w:rFonts w:ascii="Consolas" w:hAnsi="Consolas"/>
                <w:b w:val="0"/>
                <w:i w:val="0"/>
                <w:color w:val="123A63"/>
                <w:sz w:val="17"/>
                <w:shd w:val="clear" w:color="auto" w:fill="EEF2F7"/>
              </w:rPr>
              <w:t>SM51</w:t>
            </w:r>
            <w:r>
              <w:rPr>
                <w:rFonts w:ascii="Calibri" w:hAnsi="Calibri"/>
                <w:b w:val="0"/>
                <w:i w:val="0"/>
                <w:color w:val="334E68"/>
                <w:sz w:val="17"/>
              </w:rPr>
              <w:t xml:space="preserve"> — a zero exit code is not proof that SAP is usable.</w:t>
            </w:r>
          </w:p>
        </w:tc>
      </w:tr>
      <w:tr>
        <w:trPr>
          <w:cantSplit/>
        </w:trPr>
        <w:tc>
          <w:tcPr>
            <w:tcW w:type="dxa" w:w="1157"/>
            <w:shd w:val="clear" w:color="auto" w:fill="FAFBFD"/>
          </w:tcPr>
          <w:p>
            <w:pPr>
              <w:spacing w:after="20" w:before="20"/>
            </w:pPr>
            <w:r/>
            <w:r>
              <w:rPr>
                <w:rFonts w:ascii="Consolas" w:hAnsi="Consolas"/>
                <w:b/>
                <w:i w:val="0"/>
                <w:color w:val="123A63"/>
                <w:sz w:val="17"/>
                <w:shd w:val="clear" w:color="auto" w:fill="EEF2F7"/>
              </w:rPr>
              <w:t>127</w:t>
            </w:r>
          </w:p>
        </w:tc>
        <w:tc>
          <w:tcPr>
            <w:tcW w:type="dxa" w:w="3662"/>
            <w:shd w:val="clear" w:color="auto" w:fill="FAFBFD"/>
          </w:tcPr>
          <w:p>
            <w:pPr>
              <w:spacing w:after="20" w:before="20"/>
            </w:pPr>
            <w:r/>
            <w:r>
              <w:rPr>
                <w:rFonts w:ascii="Calibri" w:hAnsi="Calibri"/>
                <w:b w:val="0"/>
                <w:i w:val="0"/>
                <w:color w:val="334E68"/>
                <w:sz w:val="17"/>
              </w:rPr>
              <w:t>Command or shared library not found: missing executable, wrong path, or an unresolved library dependency.</w:t>
            </w:r>
          </w:p>
        </w:tc>
        <w:tc>
          <w:tcPr>
            <w:tcW w:type="dxa" w:w="4819"/>
            <w:shd w:val="clear" w:color="auto" w:fill="FAFBFD"/>
          </w:tcPr>
          <w:p>
            <w:pPr>
              <w:spacing w:after="20" w:before="20"/>
            </w:pPr>
            <w:r/>
            <w:r>
              <w:rPr>
                <w:rFonts w:ascii="Calibri" w:hAnsi="Calibri"/>
                <w:b w:val="0"/>
                <w:i w:val="0"/>
                <w:color w:val="334E68"/>
                <w:sz w:val="17"/>
              </w:rPr>
              <w:t xml:space="preserve">Check the service </w:t>
            </w:r>
            <w:r>
              <w:rPr>
                <w:rFonts w:ascii="Consolas" w:hAnsi="Consolas"/>
                <w:b w:val="0"/>
                <w:i w:val="0"/>
                <w:color w:val="123A63"/>
                <w:sz w:val="17"/>
                <w:shd w:val="clear" w:color="auto" w:fill="EEF2F7"/>
              </w:rPr>
              <w:t>ExecStart</w:t>
            </w:r>
            <w:r>
              <w:rPr>
                <w:rFonts w:ascii="Calibri" w:hAnsi="Calibri"/>
                <w:b w:val="0"/>
                <w:i w:val="0"/>
                <w:color w:val="334E68"/>
                <w:sz w:val="17"/>
              </w:rPr>
              <w:t xml:space="preserve"> path, the </w:t>
            </w:r>
            <w:r>
              <w:rPr>
                <w:rFonts w:ascii="Consolas" w:hAnsi="Consolas"/>
                <w:b w:val="0"/>
                <w:i w:val="0"/>
                <w:color w:val="123A63"/>
                <w:sz w:val="17"/>
                <w:shd w:val="clear" w:color="auto" w:fill="EEF2F7"/>
              </w:rPr>
              <w:t>&lt;sid&gt;adm</w:t>
            </w:r>
            <w:r>
              <w:rPr>
                <w:rFonts w:ascii="Calibri" w:hAnsi="Calibri"/>
                <w:b w:val="0"/>
                <w:i w:val="0"/>
                <w:color w:val="334E68"/>
                <w:sz w:val="17"/>
              </w:rPr>
              <w:t xml:space="preserve"> environment, </w:t>
            </w:r>
            <w:r>
              <w:rPr>
                <w:rFonts w:ascii="Consolas" w:hAnsi="Consolas"/>
                <w:b w:val="0"/>
                <w:i w:val="0"/>
                <w:color w:val="123A63"/>
                <w:sz w:val="17"/>
                <w:shd w:val="clear" w:color="auto" w:fill="EEF2F7"/>
              </w:rPr>
              <w:t>LD_LIBRARY_PATH</w:t>
            </w:r>
            <w:r>
              <w:rPr>
                <w:rFonts w:ascii="Calibri" w:hAnsi="Calibri"/>
                <w:b w:val="0"/>
                <w:i w:val="0"/>
                <w:color w:val="334E68"/>
                <w:sz w:val="17"/>
              </w:rPr>
              <w:t>, and that the kernel and shared libraries were migrated with correct permissions.</w:t>
            </w:r>
          </w:p>
        </w:tc>
      </w:tr>
      <w:tr>
        <w:trPr>
          <w:cantSplit/>
        </w:trPr>
        <w:tc>
          <w:tcPr>
            <w:tcW w:type="dxa" w:w="1157"/>
          </w:tcPr>
          <w:p>
            <w:pPr>
              <w:spacing w:after="20" w:before="20"/>
            </w:pPr>
            <w:r/>
            <w:r>
              <w:rPr>
                <w:rFonts w:ascii="Consolas" w:hAnsi="Consolas"/>
                <w:b/>
                <w:i w:val="0"/>
                <w:color w:val="123A63"/>
                <w:sz w:val="17"/>
                <w:shd w:val="clear" w:color="auto" w:fill="EEF2F7"/>
              </w:rPr>
              <w:t>255</w:t>
            </w:r>
          </w:p>
        </w:tc>
        <w:tc>
          <w:tcPr>
            <w:tcW w:type="dxa" w:w="3662"/>
          </w:tcPr>
          <w:p>
            <w:pPr>
              <w:spacing w:after="20" w:before="20"/>
            </w:pPr>
            <w:r/>
            <w:r>
              <w:rPr>
                <w:rFonts w:ascii="Calibri" w:hAnsi="Calibri"/>
                <w:b w:val="0"/>
                <w:i w:val="0"/>
                <w:color w:val="334E68"/>
                <w:sz w:val="17"/>
              </w:rPr>
              <w:t>Generic/unknown failure returned by the start script or SAP program.</w:t>
            </w:r>
          </w:p>
        </w:tc>
        <w:tc>
          <w:tcPr>
            <w:tcW w:type="dxa" w:w="4819"/>
          </w:tcPr>
          <w:p>
            <w:pPr>
              <w:spacing w:after="20" w:before="20"/>
            </w:pPr>
            <w:r/>
            <w:r>
              <w:rPr>
                <w:rFonts w:ascii="Calibri" w:hAnsi="Calibri"/>
                <w:b w:val="0"/>
                <w:i w:val="0"/>
                <w:color w:val="334E68"/>
                <w:sz w:val="17"/>
              </w:rPr>
              <w:t xml:space="preserve">Read the actual logs: service journal, </w:t>
            </w:r>
            <w:r>
              <w:rPr>
                <w:rFonts w:ascii="Consolas" w:hAnsi="Consolas"/>
                <w:b w:val="0"/>
                <w:i w:val="0"/>
                <w:color w:val="123A63"/>
                <w:sz w:val="17"/>
                <w:shd w:val="clear" w:color="auto" w:fill="EEF2F7"/>
              </w:rPr>
              <w:t>startsap</w:t>
            </w:r>
            <w:r>
              <w:rPr>
                <w:rFonts w:ascii="Calibri" w:hAnsi="Calibri"/>
                <w:b w:val="0"/>
                <w:i w:val="0"/>
                <w:color w:val="334E68"/>
                <w:sz w:val="17"/>
              </w:rPr>
              <w:t xml:space="preserve">/SAPControl output, </w:t>
            </w:r>
            <w:r>
              <w:rPr>
                <w:rFonts w:ascii="Consolas" w:hAnsi="Consolas"/>
                <w:b w:val="0"/>
                <w:i w:val="0"/>
                <w:color w:val="123A63"/>
                <w:sz w:val="17"/>
                <w:shd w:val="clear" w:color="auto" w:fill="EEF2F7"/>
              </w:rPr>
              <w:t>dev_w0</w:t>
            </w:r>
            <w:r>
              <w:rPr>
                <w:rFonts w:ascii="Calibri" w:hAnsi="Calibri"/>
                <w:b w:val="0"/>
                <w:i w:val="0"/>
                <w:color w:val="334E68"/>
                <w:sz w:val="17"/>
              </w:rPr>
              <w:t xml:space="preserve">, </w:t>
            </w:r>
            <w:r>
              <w:rPr>
                <w:rFonts w:ascii="Consolas" w:hAnsi="Consolas"/>
                <w:b w:val="0"/>
                <w:i w:val="0"/>
                <w:color w:val="123A63"/>
                <w:sz w:val="17"/>
                <w:shd w:val="clear" w:color="auto" w:fill="EEF2F7"/>
              </w:rPr>
              <w:t>dev_disp</w:t>
            </w:r>
            <w:r>
              <w:rPr>
                <w:rFonts w:ascii="Calibri" w:hAnsi="Calibri"/>
                <w:b w:val="0"/>
                <w:i w:val="0"/>
                <w:color w:val="334E68"/>
                <w:sz w:val="17"/>
              </w:rPr>
              <w:t xml:space="preserve">, </w:t>
            </w:r>
            <w:r>
              <w:rPr>
                <w:rFonts w:ascii="Consolas" w:hAnsi="Consolas"/>
                <w:b w:val="0"/>
                <w:i w:val="0"/>
                <w:color w:val="123A63"/>
                <w:sz w:val="17"/>
                <w:shd w:val="clear" w:color="auto" w:fill="EEF2F7"/>
              </w:rPr>
              <w:t>dev_ms</w:t>
            </w:r>
            <w:r>
              <w:rPr>
                <w:rFonts w:ascii="Calibri" w:hAnsi="Calibri"/>
                <w:b w:val="0"/>
                <w:i w:val="0"/>
                <w:color w:val="334E68"/>
                <w:sz w:val="17"/>
              </w:rPr>
              <w:t>, and the database connection trace.</w:t>
            </w:r>
          </w:p>
        </w:tc>
      </w:tr>
      <w:tr>
        <w:trPr>
          <w:cantSplit/>
        </w:trPr>
        <w:tc>
          <w:tcPr>
            <w:tcW w:type="dxa" w:w="1157"/>
            <w:shd w:val="clear" w:color="auto" w:fill="FAFBFD"/>
          </w:tcPr>
          <w:p>
            <w:pPr>
              <w:spacing w:after="20" w:before="20"/>
            </w:pPr>
            <w:r/>
            <w:r>
              <w:rPr>
                <w:rFonts w:ascii="Calibri" w:hAnsi="Calibri"/>
                <w:b/>
                <w:i w:val="0"/>
                <w:color w:val="334E68"/>
                <w:sz w:val="17"/>
              </w:rPr>
              <w:t>Other non-zero</w:t>
            </w:r>
          </w:p>
        </w:tc>
        <w:tc>
          <w:tcPr>
            <w:tcW w:type="dxa" w:w="3662"/>
            <w:shd w:val="clear" w:color="auto" w:fill="FAFBFD"/>
          </w:tcPr>
          <w:p>
            <w:pPr>
              <w:spacing w:after="20" w:before="20"/>
            </w:pPr>
            <w:r/>
            <w:r>
              <w:rPr>
                <w:rFonts w:ascii="Calibri" w:hAnsi="Calibri"/>
                <w:b w:val="0"/>
                <w:i w:val="0"/>
                <w:color w:val="334E68"/>
                <w:sz w:val="17"/>
              </w:rPr>
              <w:t>Script- or component-specific failure.</w:t>
            </w:r>
          </w:p>
        </w:tc>
        <w:tc>
          <w:tcPr>
            <w:tcW w:type="dxa" w:w="4819"/>
            <w:shd w:val="clear" w:color="auto" w:fill="FAFBFD"/>
          </w:tcPr>
          <w:p>
            <w:pPr>
              <w:spacing w:after="20" w:before="20"/>
            </w:pPr>
            <w:r/>
            <w:r>
              <w:rPr>
                <w:rFonts w:ascii="Calibri" w:hAnsi="Calibri"/>
                <w:b w:val="0"/>
                <w:i w:val="0"/>
                <w:color w:val="334E68"/>
                <w:sz w:val="17"/>
              </w:rPr>
              <w:t>Map the code against the start script and SAP component logs; do not retry until the cause is known.</w:t>
            </w:r>
          </w:p>
        </w:tc>
      </w:tr>
    </w:tbl>
    <w:p>
      <w:pPr>
        <w:spacing w:after="40"/>
      </w:pPr>
    </w:p>
    <w:p>
      <w:pPr>
        <w:spacing w:after="160"/>
      </w:pPr>
      <w:r>
        <w:rPr>
          <w:rFonts w:ascii="Calibri" w:hAnsi="Calibri"/>
          <w:i/>
          <w:color w:val="5B7288"/>
          <w:sz w:val="16"/>
        </w:rPr>
        <w:t>Codes 127 and 255 were cited in the source training as indicators requiring troubleshooting. Treat the mapping above as a diagnostic starting point and confirm against the platform and SAP start mechanism used in the project.</w:t>
      </w:r>
    </w:p>
    <w:p>
      <w:pPr>
        <w:spacing w:before="120" w:after="120"/>
        <w:ind w:left="170"/>
        <w:shd w:val="clear" w:color="auto" w:fill="0E2340"/>
        <w:pBdr>
          <w:left w:val="single" w:sz="18" w:space="4" w:color="1B4F86"/>
        </w:pBdr>
      </w:pPr>
      <w:r>
        <w:rPr>
          <w:rFonts w:ascii="Consolas" w:hAnsi="Consolas"/>
          <w:color w:val="7FA2C8"/>
          <w:sz w:val="16"/>
        </w:rPr>
        <w:t># Service state and exit code (example — adapt to the project's unit naming)systemctl status SAP&lt;SID&gt;_&lt;NR&gt;.service   # expect: Active: active (exited/running)systemctl show -p ExecMainStatus,ExecMainCode,Result SAP&lt;SID&gt;_&lt;NR&gt;.service# expect: ExecMainStatus=0  Result=success# Instance state without the SAP GUIsapcontrol -nr &lt;instance-number&gt; -function GetSystemInstanceListsapcontrol -nr &lt;instance-number&gt; -function GetProcessList# then confirm in SM51 that every instance is active and registered</w:t>
      </w:r>
    </w:p>
    <w:p>
      <w:pPr>
        <w:pStyle w:val="Heading2"/>
        <w:pBdr>
          <w:bottom w:val="single" w:sz="6" w:space="3" w:color="E8EDF3"/>
        </w:pBdr>
      </w:pPr>
      <w:r>
        <w:rPr>
          <w:rFonts w:ascii="Calibri" w:hAnsi="Calibri"/>
          <w:b/>
          <w:color w:val="0F2B4C"/>
          <w:sz w:val="26"/>
        </w:rPr>
        <w:t>7.2  OS validation</w:t>
      </w:r>
    </w:p>
    <w:p>
      <w:pPr>
        <w:spacing w:after="60" w:before="160"/>
        <w:keepNext/>
      </w:pPr>
      <w:r>
        <w:rPr>
          <w:rFonts w:ascii="Calibri" w:hAnsi="Calibri"/>
          <w:b/>
          <w:color w:val="5B7288"/>
          <w:sz w:val="15"/>
        </w:rPr>
        <w:t>OS VALIDATION DETAIL</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120"/>
        <w:gridCol w:w="3855"/>
        <w:gridCol w:w="3662"/>
      </w:tblGrid>
      <w:tr>
        <w:trPr>
          <w:tblHeader/>
          <w:cantSplit/>
        </w:trPr>
        <w:tc>
          <w:tcPr>
            <w:tcW w:type="dxa" w:w="2120"/>
            <w:shd w:val="clear" w:color="auto" w:fill="0F2B4C"/>
          </w:tcPr>
          <w:p>
            <w:pPr>
              <w:spacing w:after="20" w:before="20"/>
            </w:pPr>
            <w:r/>
            <w:r>
              <w:rPr>
                <w:rFonts w:ascii="Calibri" w:hAnsi="Calibri"/>
                <w:b/>
                <w:color w:val="FFFFFF"/>
                <w:sz w:val="17"/>
              </w:rPr>
              <w:t>Check</w:t>
            </w:r>
          </w:p>
        </w:tc>
        <w:tc>
          <w:tcPr>
            <w:tcW w:type="dxa" w:w="3855"/>
            <w:shd w:val="clear" w:color="auto" w:fill="0F2B4C"/>
          </w:tcPr>
          <w:p>
            <w:pPr>
              <w:spacing w:after="20" w:before="20"/>
            </w:pPr>
            <w:r/>
            <w:r>
              <w:rPr>
                <w:rFonts w:ascii="Calibri" w:hAnsi="Calibri"/>
                <w:b/>
                <w:color w:val="FFFFFF"/>
                <w:sz w:val="17"/>
              </w:rPr>
              <w:t>What to compare</w:t>
            </w:r>
          </w:p>
        </w:tc>
        <w:tc>
          <w:tcPr>
            <w:tcW w:type="dxa" w:w="3662"/>
            <w:shd w:val="clear" w:color="auto" w:fill="0F2B4C"/>
          </w:tcPr>
          <w:p>
            <w:pPr>
              <w:spacing w:after="20" w:before="20"/>
            </w:pPr>
            <w:r/>
            <w:r>
              <w:rPr>
                <w:rFonts w:ascii="Calibri" w:hAnsi="Calibri"/>
                <w:b/>
                <w:color w:val="FFFFFF"/>
                <w:sz w:val="17"/>
              </w:rPr>
              <w:t>Typical commands / sources</w:t>
            </w:r>
          </w:p>
        </w:tc>
      </w:tr>
      <w:tr>
        <w:trPr>
          <w:cantSplit/>
        </w:trPr>
        <w:tc>
          <w:tcPr>
            <w:tcW w:type="dxa" w:w="2120"/>
          </w:tcPr>
          <w:p>
            <w:pPr>
              <w:spacing w:after="20" w:before="20"/>
            </w:pPr>
            <w:r/>
            <w:r>
              <w:rPr>
                <w:rFonts w:ascii="Calibri" w:hAnsi="Calibri"/>
                <w:b/>
                <w:i w:val="0"/>
                <w:color w:val="334E68"/>
                <w:sz w:val="17"/>
              </w:rPr>
              <w:t>File systems and mount points</w:t>
            </w:r>
          </w:p>
        </w:tc>
        <w:tc>
          <w:tcPr>
            <w:tcW w:type="dxa" w:w="3855"/>
          </w:tcPr>
          <w:p>
            <w:pPr>
              <w:spacing w:after="20" w:before="20"/>
            </w:pPr>
            <w:r/>
            <w:r>
              <w:rPr>
                <w:rFonts w:ascii="Calibri" w:hAnsi="Calibri"/>
                <w:b w:val="0"/>
                <w:i w:val="0"/>
                <w:color w:val="334E68"/>
                <w:sz w:val="17"/>
              </w:rPr>
              <w:t>Every mount present, correct size, type, options and owner</w:t>
            </w:r>
          </w:p>
        </w:tc>
        <w:tc>
          <w:tcPr>
            <w:tcW w:type="dxa" w:w="3662"/>
          </w:tcPr>
          <w:p>
            <w:pPr>
              <w:spacing w:after="20" w:before="20"/>
            </w:pPr>
            <w:r/>
            <w:r>
              <w:rPr>
                <w:rFonts w:ascii="Consolas" w:hAnsi="Consolas"/>
                <w:b w:val="0"/>
                <w:i w:val="0"/>
                <w:color w:val="123A63"/>
                <w:sz w:val="17"/>
                <w:shd w:val="clear" w:color="auto" w:fill="EEF2F7"/>
              </w:rPr>
              <w:t>df -h</w:t>
            </w:r>
            <w:r>
              <w:rPr>
                <w:rFonts w:ascii="Calibri" w:hAnsi="Calibri"/>
                <w:b w:val="0"/>
                <w:i w:val="0"/>
                <w:color w:val="334E68"/>
                <w:sz w:val="17"/>
              </w:rPr>
              <w:t xml:space="preserve">, </w:t>
            </w:r>
            <w:r>
              <w:rPr>
                <w:rFonts w:ascii="Consolas" w:hAnsi="Consolas"/>
                <w:b w:val="0"/>
                <w:i w:val="0"/>
                <w:color w:val="123A63"/>
                <w:sz w:val="17"/>
                <w:shd w:val="clear" w:color="auto" w:fill="EEF2F7"/>
              </w:rPr>
              <w:t>mount</w:t>
            </w:r>
            <w:r>
              <w:rPr>
                <w:rFonts w:ascii="Calibri" w:hAnsi="Calibri"/>
                <w:b w:val="0"/>
                <w:i w:val="0"/>
                <w:color w:val="334E68"/>
                <w:sz w:val="17"/>
              </w:rPr>
              <w:t xml:space="preserve">, </w:t>
            </w:r>
            <w:r>
              <w:rPr>
                <w:rFonts w:ascii="Consolas" w:hAnsi="Consolas"/>
                <w:b w:val="0"/>
                <w:i w:val="0"/>
                <w:color w:val="123A63"/>
                <w:sz w:val="17"/>
                <w:shd w:val="clear" w:color="auto" w:fill="EEF2F7"/>
              </w:rPr>
              <w:t>/etc/fstab</w:t>
            </w:r>
            <w:r>
              <w:rPr>
                <w:rFonts w:ascii="Calibri" w:hAnsi="Calibri"/>
                <w:b w:val="0"/>
                <w:i w:val="0"/>
                <w:color w:val="334E68"/>
                <w:sz w:val="17"/>
              </w:rPr>
              <w:t xml:space="preserve">, </w:t>
            </w:r>
            <w:r>
              <w:rPr>
                <w:rFonts w:ascii="Consolas" w:hAnsi="Consolas"/>
                <w:b w:val="0"/>
                <w:i w:val="0"/>
                <w:color w:val="123A63"/>
                <w:sz w:val="17"/>
                <w:shd w:val="clear" w:color="auto" w:fill="EEF2F7"/>
              </w:rPr>
              <w:t>lsblk</w:t>
            </w:r>
          </w:p>
        </w:tc>
      </w:tr>
      <w:tr>
        <w:trPr>
          <w:cantSplit/>
        </w:trPr>
        <w:tc>
          <w:tcPr>
            <w:tcW w:type="dxa" w:w="2120"/>
            <w:shd w:val="clear" w:color="auto" w:fill="FAFBFD"/>
          </w:tcPr>
          <w:p>
            <w:pPr>
              <w:spacing w:after="20" w:before="20"/>
            </w:pPr>
            <w:r/>
            <w:r>
              <w:rPr>
                <w:rFonts w:ascii="Calibri" w:hAnsi="Calibri"/>
                <w:b/>
                <w:i w:val="0"/>
                <w:color w:val="334E68"/>
                <w:sz w:val="17"/>
              </w:rPr>
              <w:t>CPU</w:t>
            </w:r>
          </w:p>
        </w:tc>
        <w:tc>
          <w:tcPr>
            <w:tcW w:type="dxa" w:w="3855"/>
            <w:shd w:val="clear" w:color="auto" w:fill="FAFBFD"/>
          </w:tcPr>
          <w:p>
            <w:pPr>
              <w:spacing w:after="20" w:before="20"/>
            </w:pPr>
            <w:r/>
            <w:r>
              <w:rPr>
                <w:rFonts w:ascii="Calibri" w:hAnsi="Calibri"/>
                <w:b w:val="0"/>
                <w:i w:val="0"/>
                <w:color w:val="334E68"/>
                <w:sz w:val="17"/>
              </w:rPr>
              <w:t>Core count and architecture match the approved sizing</w:t>
            </w:r>
          </w:p>
        </w:tc>
        <w:tc>
          <w:tcPr>
            <w:tcW w:type="dxa" w:w="3662"/>
            <w:shd w:val="clear" w:color="auto" w:fill="FAFBFD"/>
          </w:tcPr>
          <w:p>
            <w:pPr>
              <w:spacing w:after="20" w:before="20"/>
            </w:pPr>
            <w:r/>
            <w:r>
              <w:rPr>
                <w:rFonts w:ascii="Consolas" w:hAnsi="Consolas"/>
                <w:b w:val="0"/>
                <w:i w:val="0"/>
                <w:color w:val="123A63"/>
                <w:sz w:val="17"/>
                <w:shd w:val="clear" w:color="auto" w:fill="EEF2F7"/>
              </w:rPr>
              <w:t>lscpu</w:t>
            </w:r>
            <w:r>
              <w:rPr>
                <w:rFonts w:ascii="Calibri" w:hAnsi="Calibri"/>
                <w:b w:val="0"/>
                <w:i w:val="0"/>
                <w:color w:val="334E68"/>
                <w:sz w:val="17"/>
              </w:rPr>
              <w:t xml:space="preserve">, </w:t>
            </w:r>
            <w:r>
              <w:rPr>
                <w:rFonts w:ascii="Consolas" w:hAnsi="Consolas"/>
                <w:b w:val="0"/>
                <w:i w:val="0"/>
                <w:color w:val="123A63"/>
                <w:sz w:val="17"/>
                <w:shd w:val="clear" w:color="auto" w:fill="EEF2F7"/>
              </w:rPr>
              <w:t>nproc</w:t>
            </w:r>
          </w:p>
        </w:tc>
      </w:tr>
      <w:tr>
        <w:trPr>
          <w:cantSplit/>
        </w:trPr>
        <w:tc>
          <w:tcPr>
            <w:tcW w:type="dxa" w:w="2120"/>
          </w:tcPr>
          <w:p>
            <w:pPr>
              <w:spacing w:after="20" w:before="20"/>
            </w:pPr>
            <w:r/>
            <w:r>
              <w:rPr>
                <w:rFonts w:ascii="Calibri" w:hAnsi="Calibri"/>
                <w:b/>
                <w:i w:val="0"/>
                <w:color w:val="334E68"/>
                <w:sz w:val="17"/>
              </w:rPr>
              <w:t>RAM</w:t>
            </w:r>
          </w:p>
        </w:tc>
        <w:tc>
          <w:tcPr>
            <w:tcW w:type="dxa" w:w="3855"/>
          </w:tcPr>
          <w:p>
            <w:pPr>
              <w:spacing w:after="20" w:before="20"/>
            </w:pPr>
            <w:r/>
            <w:r>
              <w:rPr>
                <w:rFonts w:ascii="Calibri" w:hAnsi="Calibri"/>
                <w:b w:val="0"/>
                <w:i w:val="0"/>
                <w:color w:val="334E68"/>
                <w:sz w:val="17"/>
              </w:rPr>
              <w:t>Total memory matches the build sheet; HANA/DB allocation as designed</w:t>
            </w:r>
          </w:p>
        </w:tc>
        <w:tc>
          <w:tcPr>
            <w:tcW w:type="dxa" w:w="3662"/>
          </w:tcPr>
          <w:p>
            <w:pPr>
              <w:spacing w:after="20" w:before="20"/>
            </w:pPr>
            <w:r/>
            <w:r>
              <w:rPr>
                <w:rFonts w:ascii="Consolas" w:hAnsi="Consolas"/>
                <w:b w:val="0"/>
                <w:i w:val="0"/>
                <w:color w:val="123A63"/>
                <w:sz w:val="17"/>
                <w:shd w:val="clear" w:color="auto" w:fill="EEF2F7"/>
              </w:rPr>
              <w:t>free -g</w:t>
            </w:r>
            <w:r>
              <w:rPr>
                <w:rFonts w:ascii="Calibri" w:hAnsi="Calibri"/>
                <w:b w:val="0"/>
                <w:i w:val="0"/>
                <w:color w:val="334E68"/>
                <w:sz w:val="17"/>
              </w:rPr>
              <w:t xml:space="preserve">, </w:t>
            </w:r>
            <w:r>
              <w:rPr>
                <w:rFonts w:ascii="Consolas" w:hAnsi="Consolas"/>
                <w:b w:val="0"/>
                <w:i w:val="0"/>
                <w:color w:val="123A63"/>
                <w:sz w:val="17"/>
                <w:shd w:val="clear" w:color="auto" w:fill="EEF2F7"/>
              </w:rPr>
              <w:t>/proc/meminfo</w:t>
            </w:r>
          </w:p>
        </w:tc>
      </w:tr>
      <w:tr>
        <w:trPr>
          <w:cantSplit/>
        </w:trPr>
        <w:tc>
          <w:tcPr>
            <w:tcW w:type="dxa" w:w="2120"/>
            <w:shd w:val="clear" w:color="auto" w:fill="FAFBFD"/>
          </w:tcPr>
          <w:p>
            <w:pPr>
              <w:spacing w:after="20" w:before="20"/>
            </w:pPr>
            <w:r/>
            <w:r>
              <w:rPr>
                <w:rFonts w:ascii="Calibri" w:hAnsi="Calibri"/>
                <w:b/>
                <w:i w:val="0"/>
                <w:color w:val="334E68"/>
                <w:sz w:val="17"/>
              </w:rPr>
              <w:t>Swap</w:t>
            </w:r>
          </w:p>
        </w:tc>
        <w:tc>
          <w:tcPr>
            <w:tcW w:type="dxa" w:w="3855"/>
            <w:shd w:val="clear" w:color="auto" w:fill="FAFBFD"/>
          </w:tcPr>
          <w:p>
            <w:pPr>
              <w:spacing w:after="20" w:before="20"/>
            </w:pPr>
            <w:r/>
            <w:r>
              <w:rPr>
                <w:rFonts w:ascii="Calibri" w:hAnsi="Calibri"/>
                <w:b w:val="0"/>
                <w:i w:val="0"/>
                <w:color w:val="334E68"/>
                <w:sz w:val="17"/>
              </w:rPr>
              <w:t>Swap size and swappiness per the SAP/DB requirement</w:t>
            </w:r>
          </w:p>
        </w:tc>
        <w:tc>
          <w:tcPr>
            <w:tcW w:type="dxa" w:w="3662"/>
            <w:shd w:val="clear" w:color="auto" w:fill="FAFBFD"/>
          </w:tcPr>
          <w:p>
            <w:pPr>
              <w:spacing w:after="20" w:before="20"/>
            </w:pPr>
            <w:r/>
            <w:r>
              <w:rPr>
                <w:rFonts w:ascii="Consolas" w:hAnsi="Consolas"/>
                <w:b w:val="0"/>
                <w:i w:val="0"/>
                <w:color w:val="123A63"/>
                <w:sz w:val="17"/>
                <w:shd w:val="clear" w:color="auto" w:fill="EEF2F7"/>
              </w:rPr>
              <w:t>swapon -s</w:t>
            </w:r>
            <w:r>
              <w:rPr>
                <w:rFonts w:ascii="Calibri" w:hAnsi="Calibri"/>
                <w:b w:val="0"/>
                <w:i w:val="0"/>
                <w:color w:val="334E68"/>
                <w:sz w:val="17"/>
              </w:rPr>
              <w:t xml:space="preserve">, </w:t>
            </w:r>
            <w:r>
              <w:rPr>
                <w:rFonts w:ascii="Consolas" w:hAnsi="Consolas"/>
                <w:b w:val="0"/>
                <w:i w:val="0"/>
                <w:color w:val="123A63"/>
                <w:sz w:val="17"/>
                <w:shd w:val="clear" w:color="auto" w:fill="EEF2F7"/>
              </w:rPr>
              <w:t>sysctl vm.swappiness</w:t>
            </w:r>
          </w:p>
        </w:tc>
      </w:tr>
      <w:tr>
        <w:trPr>
          <w:cantSplit/>
        </w:trPr>
        <w:tc>
          <w:tcPr>
            <w:tcW w:type="dxa" w:w="2120"/>
          </w:tcPr>
          <w:p>
            <w:pPr>
              <w:spacing w:after="20" w:before="20"/>
            </w:pPr>
            <w:r/>
            <w:r>
              <w:rPr>
                <w:rFonts w:ascii="Calibri" w:hAnsi="Calibri"/>
                <w:b/>
                <w:i w:val="0"/>
                <w:color w:val="334E68"/>
                <w:sz w:val="17"/>
              </w:rPr>
              <w:t>OS and kernel versions</w:t>
            </w:r>
          </w:p>
        </w:tc>
        <w:tc>
          <w:tcPr>
            <w:tcW w:type="dxa" w:w="3855"/>
          </w:tcPr>
          <w:p>
            <w:pPr>
              <w:spacing w:after="20" w:before="20"/>
            </w:pPr>
            <w:r/>
            <w:r>
              <w:rPr>
                <w:rFonts w:ascii="Calibri" w:hAnsi="Calibri"/>
                <w:b w:val="0"/>
                <w:i w:val="0"/>
                <w:color w:val="334E68"/>
                <w:sz w:val="17"/>
              </w:rPr>
              <w:t>Distribution, release and kernel match the target design</w:t>
            </w:r>
          </w:p>
        </w:tc>
        <w:tc>
          <w:tcPr>
            <w:tcW w:type="dxa" w:w="3662"/>
          </w:tcPr>
          <w:p>
            <w:pPr>
              <w:spacing w:after="20" w:before="20"/>
            </w:pPr>
            <w:r/>
            <w:r>
              <w:rPr>
                <w:rFonts w:ascii="Consolas" w:hAnsi="Consolas"/>
                <w:b w:val="0"/>
                <w:i w:val="0"/>
                <w:color w:val="123A63"/>
                <w:sz w:val="17"/>
                <w:shd w:val="clear" w:color="auto" w:fill="EEF2F7"/>
              </w:rPr>
              <w:t>/etc/os-release</w:t>
            </w:r>
            <w:r>
              <w:rPr>
                <w:rFonts w:ascii="Calibri" w:hAnsi="Calibri"/>
                <w:b w:val="0"/>
                <w:i w:val="0"/>
                <w:color w:val="334E68"/>
                <w:sz w:val="17"/>
              </w:rPr>
              <w:t xml:space="preserve">, </w:t>
            </w:r>
            <w:r>
              <w:rPr>
                <w:rFonts w:ascii="Consolas" w:hAnsi="Consolas"/>
                <w:b w:val="0"/>
                <w:i w:val="0"/>
                <w:color w:val="123A63"/>
                <w:sz w:val="17"/>
                <w:shd w:val="clear" w:color="auto" w:fill="EEF2F7"/>
              </w:rPr>
              <w:t>uname -r</w:t>
            </w:r>
          </w:p>
        </w:tc>
      </w:tr>
      <w:tr>
        <w:trPr>
          <w:cantSplit/>
        </w:trPr>
        <w:tc>
          <w:tcPr>
            <w:tcW w:type="dxa" w:w="2120"/>
            <w:shd w:val="clear" w:color="auto" w:fill="FAFBFD"/>
          </w:tcPr>
          <w:p>
            <w:pPr>
              <w:spacing w:after="20" w:before="20"/>
            </w:pPr>
            <w:r/>
            <w:r>
              <w:rPr>
                <w:rFonts w:ascii="Calibri" w:hAnsi="Calibri"/>
                <w:b/>
                <w:i w:val="0"/>
                <w:color w:val="334E68"/>
                <w:sz w:val="17"/>
              </w:rPr>
              <w:t>UID/GID</w:t>
            </w:r>
          </w:p>
        </w:tc>
        <w:tc>
          <w:tcPr>
            <w:tcW w:type="dxa" w:w="3855"/>
            <w:shd w:val="clear" w:color="auto" w:fill="FAFBFD"/>
          </w:tcPr>
          <w:p>
            <w:pPr>
              <w:spacing w:after="20" w:before="20"/>
            </w:pPr>
            <w:r/>
            <w:r>
              <w:rPr>
                <w:rFonts w:ascii="Consolas" w:hAnsi="Consolas"/>
                <w:b w:val="0"/>
                <w:i w:val="0"/>
                <w:color w:val="123A63"/>
                <w:sz w:val="17"/>
                <w:shd w:val="clear" w:color="auto" w:fill="EEF2F7"/>
              </w:rPr>
              <w:t>sapadm</w:t>
            </w:r>
            <w:r>
              <w:rPr>
                <w:rFonts w:ascii="Calibri" w:hAnsi="Calibri"/>
                <w:b w:val="0"/>
                <w:i w:val="0"/>
                <w:color w:val="334E68"/>
                <w:sz w:val="17"/>
              </w:rPr>
              <w:t xml:space="preserve">, </w:t>
            </w:r>
            <w:r>
              <w:rPr>
                <w:rFonts w:ascii="Consolas" w:hAnsi="Consolas"/>
                <w:b w:val="0"/>
                <w:i w:val="0"/>
                <w:color w:val="123A63"/>
                <w:sz w:val="17"/>
                <w:shd w:val="clear" w:color="auto" w:fill="EEF2F7"/>
              </w:rPr>
              <w:t>&lt;sid&gt;adm</w:t>
            </w:r>
            <w:r>
              <w:rPr>
                <w:rFonts w:ascii="Calibri" w:hAnsi="Calibri"/>
                <w:b w:val="0"/>
                <w:i w:val="0"/>
                <w:color w:val="334E68"/>
                <w:sz w:val="17"/>
              </w:rPr>
              <w:t>, DB users and groups identical to source/design</w:t>
            </w:r>
          </w:p>
        </w:tc>
        <w:tc>
          <w:tcPr>
            <w:tcW w:type="dxa" w:w="3662"/>
            <w:shd w:val="clear" w:color="auto" w:fill="FAFBFD"/>
          </w:tcPr>
          <w:p>
            <w:pPr>
              <w:spacing w:after="20" w:before="20"/>
            </w:pPr>
            <w:r/>
            <w:r>
              <w:rPr>
                <w:rFonts w:ascii="Consolas" w:hAnsi="Consolas"/>
                <w:b w:val="0"/>
                <w:i w:val="0"/>
                <w:color w:val="123A63"/>
                <w:sz w:val="17"/>
                <w:shd w:val="clear" w:color="auto" w:fill="EEF2F7"/>
              </w:rPr>
              <w:t>id</w:t>
            </w:r>
            <w:r>
              <w:rPr>
                <w:rFonts w:ascii="Calibri" w:hAnsi="Calibri"/>
                <w:b w:val="0"/>
                <w:i w:val="0"/>
                <w:color w:val="334E68"/>
                <w:sz w:val="17"/>
              </w:rPr>
              <w:t xml:space="preserve">, </w:t>
            </w:r>
            <w:r>
              <w:rPr>
                <w:rFonts w:ascii="Consolas" w:hAnsi="Consolas"/>
                <w:b w:val="0"/>
                <w:i w:val="0"/>
                <w:color w:val="123A63"/>
                <w:sz w:val="17"/>
                <w:shd w:val="clear" w:color="auto" w:fill="EEF2F7"/>
              </w:rPr>
              <w:t>getent passwd</w:t>
            </w:r>
            <w:r>
              <w:rPr>
                <w:rFonts w:ascii="Calibri" w:hAnsi="Calibri"/>
                <w:b w:val="0"/>
                <w:i w:val="0"/>
                <w:color w:val="334E68"/>
                <w:sz w:val="17"/>
              </w:rPr>
              <w:t xml:space="preserve">, </w:t>
            </w:r>
            <w:r>
              <w:rPr>
                <w:rFonts w:ascii="Consolas" w:hAnsi="Consolas"/>
                <w:b w:val="0"/>
                <w:i w:val="0"/>
                <w:color w:val="123A63"/>
                <w:sz w:val="17"/>
                <w:shd w:val="clear" w:color="auto" w:fill="EEF2F7"/>
              </w:rPr>
              <w:t>getent group</w:t>
            </w:r>
          </w:p>
        </w:tc>
      </w:tr>
      <w:tr>
        <w:trPr>
          <w:cantSplit/>
        </w:trPr>
        <w:tc>
          <w:tcPr>
            <w:tcW w:type="dxa" w:w="2120"/>
          </w:tcPr>
          <w:p>
            <w:pPr>
              <w:spacing w:after="20" w:before="20"/>
            </w:pPr>
            <w:r/>
            <w:r>
              <w:rPr>
                <w:rFonts w:ascii="Calibri" w:hAnsi="Calibri"/>
                <w:b/>
                <w:i w:val="0"/>
                <w:color w:val="334E68"/>
                <w:sz w:val="17"/>
              </w:rPr>
              <w:t>Libraries</w:t>
            </w:r>
          </w:p>
        </w:tc>
        <w:tc>
          <w:tcPr>
            <w:tcW w:type="dxa" w:w="3855"/>
          </w:tcPr>
          <w:p>
            <w:pPr>
              <w:spacing w:after="20" w:before="20"/>
            </w:pPr>
            <w:r/>
            <w:r>
              <w:rPr>
                <w:rFonts w:ascii="Calibri" w:hAnsi="Calibri"/>
                <w:b w:val="0"/>
                <w:i w:val="0"/>
                <w:color w:val="334E68"/>
                <w:sz w:val="17"/>
              </w:rPr>
              <w:t>Required shared libraries present at the expected versions</w:t>
            </w:r>
          </w:p>
        </w:tc>
        <w:tc>
          <w:tcPr>
            <w:tcW w:type="dxa" w:w="3662"/>
          </w:tcPr>
          <w:p>
            <w:pPr>
              <w:spacing w:after="20" w:before="20"/>
            </w:pPr>
            <w:r/>
            <w:r>
              <w:rPr>
                <w:rFonts w:ascii="Consolas" w:hAnsi="Consolas"/>
                <w:b w:val="0"/>
                <w:i w:val="0"/>
                <w:color w:val="123A63"/>
                <w:sz w:val="17"/>
                <w:shd w:val="clear" w:color="auto" w:fill="EEF2F7"/>
              </w:rPr>
              <w:t>ldd</w:t>
            </w:r>
            <w:r>
              <w:rPr>
                <w:rFonts w:ascii="Calibri" w:hAnsi="Calibri"/>
                <w:b w:val="0"/>
                <w:i w:val="0"/>
                <w:color w:val="334E68"/>
                <w:sz w:val="17"/>
              </w:rPr>
              <w:t xml:space="preserve"> on key binaries, package list comparison</w:t>
            </w:r>
          </w:p>
        </w:tc>
      </w:tr>
      <w:tr>
        <w:trPr>
          <w:cantSplit/>
        </w:trPr>
        <w:tc>
          <w:tcPr>
            <w:tcW w:type="dxa" w:w="2120"/>
            <w:shd w:val="clear" w:color="auto" w:fill="FAFBFD"/>
          </w:tcPr>
          <w:p>
            <w:pPr>
              <w:spacing w:after="20" w:before="20"/>
            </w:pPr>
            <w:r/>
            <w:r>
              <w:rPr>
                <w:rFonts w:ascii="Calibri" w:hAnsi="Calibri"/>
                <w:b/>
                <w:i w:val="0"/>
                <w:color w:val="334E68"/>
                <w:sz w:val="17"/>
              </w:rPr>
              <w:t>FTP users and OS groups</w:t>
            </w:r>
          </w:p>
        </w:tc>
        <w:tc>
          <w:tcPr>
            <w:tcW w:type="dxa" w:w="3855"/>
            <w:shd w:val="clear" w:color="auto" w:fill="FAFBFD"/>
          </w:tcPr>
          <w:p>
            <w:pPr>
              <w:spacing w:after="20" w:before="20"/>
            </w:pPr>
            <w:r/>
            <w:r>
              <w:rPr>
                <w:rFonts w:ascii="Calibri" w:hAnsi="Calibri"/>
                <w:b w:val="0"/>
                <w:i w:val="0"/>
                <w:color w:val="334E68"/>
                <w:sz w:val="17"/>
              </w:rPr>
              <w:t>Service accounts and group memberships migrated correctly</w:t>
            </w:r>
          </w:p>
        </w:tc>
        <w:tc>
          <w:tcPr>
            <w:tcW w:type="dxa" w:w="3662"/>
            <w:shd w:val="clear" w:color="auto" w:fill="FAFBFD"/>
          </w:tcPr>
          <w:p>
            <w:pPr>
              <w:spacing w:after="20" w:before="20"/>
            </w:pPr>
            <w:r/>
            <w:r>
              <w:rPr>
                <w:rFonts w:ascii="Consolas" w:hAnsi="Consolas"/>
                <w:b w:val="0"/>
                <w:i w:val="0"/>
                <w:color w:val="123A63"/>
                <w:sz w:val="17"/>
                <w:shd w:val="clear" w:color="auto" w:fill="EEF2F7"/>
              </w:rPr>
              <w:t>getent passwd</w:t>
            </w:r>
            <w:r>
              <w:rPr>
                <w:rFonts w:ascii="Calibri" w:hAnsi="Calibri"/>
                <w:b w:val="0"/>
                <w:i w:val="0"/>
                <w:color w:val="334E68"/>
                <w:sz w:val="17"/>
              </w:rPr>
              <w:t xml:space="preserve">, </w:t>
            </w:r>
            <w:r>
              <w:rPr>
                <w:rFonts w:ascii="Consolas" w:hAnsi="Consolas"/>
                <w:b w:val="0"/>
                <w:i w:val="0"/>
                <w:color w:val="123A63"/>
                <w:sz w:val="17"/>
                <w:shd w:val="clear" w:color="auto" w:fill="EEF2F7"/>
              </w:rPr>
              <w:t>getent group</w:t>
            </w:r>
            <w:r>
              <w:rPr>
                <w:rFonts w:ascii="Calibri" w:hAnsi="Calibri"/>
                <w:b w:val="0"/>
                <w:i w:val="0"/>
                <w:color w:val="334E68"/>
                <w:sz w:val="17"/>
              </w:rPr>
              <w:t>, FTP/SFTP config</w:t>
            </w:r>
          </w:p>
        </w:tc>
      </w:tr>
      <w:tr>
        <w:trPr>
          <w:cantSplit/>
        </w:trPr>
        <w:tc>
          <w:tcPr>
            <w:tcW w:type="dxa" w:w="2120"/>
          </w:tcPr>
          <w:p>
            <w:pPr>
              <w:spacing w:after="20" w:before="20"/>
            </w:pPr>
            <w:r/>
            <w:r>
              <w:rPr>
                <w:rFonts w:ascii="Calibri" w:hAnsi="Calibri"/>
                <w:b/>
                <w:i w:val="0"/>
                <w:color w:val="334E68"/>
                <w:sz w:val="17"/>
              </w:rPr>
              <w:t>Physical and virtual IPs</w:t>
            </w:r>
          </w:p>
        </w:tc>
        <w:tc>
          <w:tcPr>
            <w:tcW w:type="dxa" w:w="3855"/>
          </w:tcPr>
          <w:p>
            <w:pPr>
              <w:spacing w:after="20" w:before="20"/>
            </w:pPr>
            <w:r/>
            <w:r>
              <w:rPr>
                <w:rFonts w:ascii="Calibri" w:hAnsi="Calibri"/>
                <w:b w:val="0"/>
                <w:i w:val="0"/>
                <w:color w:val="334E68"/>
                <w:sz w:val="17"/>
              </w:rPr>
              <w:t>Both present, bound to the right interfaces, correct netmask/gateway</w:t>
            </w:r>
          </w:p>
        </w:tc>
        <w:tc>
          <w:tcPr>
            <w:tcW w:type="dxa" w:w="3662"/>
          </w:tcPr>
          <w:p>
            <w:pPr>
              <w:spacing w:after="20" w:before="20"/>
            </w:pPr>
            <w:r/>
            <w:r>
              <w:rPr>
                <w:rFonts w:ascii="Consolas" w:hAnsi="Consolas"/>
                <w:b w:val="0"/>
                <w:i w:val="0"/>
                <w:color w:val="123A63"/>
                <w:sz w:val="17"/>
                <w:shd w:val="clear" w:color="auto" w:fill="EEF2F7"/>
              </w:rPr>
              <w:t>ip a</w:t>
            </w:r>
            <w:r>
              <w:rPr>
                <w:rFonts w:ascii="Calibri" w:hAnsi="Calibri"/>
                <w:b w:val="0"/>
                <w:i w:val="0"/>
                <w:color w:val="334E68"/>
                <w:sz w:val="17"/>
              </w:rPr>
              <w:t xml:space="preserve">, </w:t>
            </w:r>
            <w:r>
              <w:rPr>
                <w:rFonts w:ascii="Consolas" w:hAnsi="Consolas"/>
                <w:b w:val="0"/>
                <w:i w:val="0"/>
                <w:color w:val="123A63"/>
                <w:sz w:val="17"/>
                <w:shd w:val="clear" w:color="auto" w:fill="EEF2F7"/>
              </w:rPr>
              <w:t>ip r</w:t>
            </w:r>
          </w:p>
        </w:tc>
      </w:tr>
      <w:tr>
        <w:trPr>
          <w:cantSplit/>
        </w:trPr>
        <w:tc>
          <w:tcPr>
            <w:tcW w:type="dxa" w:w="2120"/>
            <w:shd w:val="clear" w:color="auto" w:fill="FAFBFD"/>
          </w:tcPr>
          <w:p>
            <w:pPr>
              <w:spacing w:after="20" w:before="20"/>
            </w:pPr>
            <w:r/>
            <w:r>
              <w:rPr>
                <w:rFonts w:ascii="Calibri" w:hAnsi="Calibri"/>
                <w:b/>
                <w:i w:val="0"/>
                <w:color w:val="334E68"/>
                <w:sz w:val="17"/>
              </w:rPr>
              <w:t>Physical and virtual hostnames</w:t>
            </w:r>
          </w:p>
        </w:tc>
        <w:tc>
          <w:tcPr>
            <w:tcW w:type="dxa" w:w="3855"/>
            <w:shd w:val="clear" w:color="auto" w:fill="FAFBFD"/>
          </w:tcPr>
          <w:p>
            <w:pPr>
              <w:spacing w:after="20" w:before="20"/>
            </w:pPr>
            <w:r/>
            <w:r>
              <w:rPr>
                <w:rFonts w:ascii="Calibri" w:hAnsi="Calibri"/>
                <w:b w:val="0"/>
                <w:i w:val="0"/>
                <w:color w:val="334E68"/>
                <w:sz w:val="17"/>
              </w:rPr>
              <w:t>Hostname, FQDN and virtual hostname resolve as designed</w:t>
            </w:r>
          </w:p>
        </w:tc>
        <w:tc>
          <w:tcPr>
            <w:tcW w:type="dxa" w:w="3662"/>
            <w:shd w:val="clear" w:color="auto" w:fill="FAFBFD"/>
          </w:tcPr>
          <w:p>
            <w:pPr>
              <w:spacing w:after="20" w:before="20"/>
            </w:pPr>
            <w:r/>
            <w:r>
              <w:rPr>
                <w:rFonts w:ascii="Consolas" w:hAnsi="Consolas"/>
                <w:b w:val="0"/>
                <w:i w:val="0"/>
                <w:color w:val="123A63"/>
                <w:sz w:val="17"/>
                <w:shd w:val="clear" w:color="auto" w:fill="EEF2F7"/>
              </w:rPr>
              <w:t>hostname</w:t>
            </w:r>
            <w:r>
              <w:rPr>
                <w:rFonts w:ascii="Calibri" w:hAnsi="Calibri"/>
                <w:b w:val="0"/>
                <w:i w:val="0"/>
                <w:color w:val="334E68"/>
                <w:sz w:val="17"/>
              </w:rPr>
              <w:t xml:space="preserve">, </w:t>
            </w:r>
            <w:r>
              <w:rPr>
                <w:rFonts w:ascii="Consolas" w:hAnsi="Consolas"/>
                <w:b w:val="0"/>
                <w:i w:val="0"/>
                <w:color w:val="123A63"/>
                <w:sz w:val="17"/>
                <w:shd w:val="clear" w:color="auto" w:fill="EEF2F7"/>
              </w:rPr>
              <w:t>hostname -f</w:t>
            </w:r>
            <w:r>
              <w:rPr>
                <w:rFonts w:ascii="Calibri" w:hAnsi="Calibri"/>
                <w:b w:val="0"/>
                <w:i w:val="0"/>
                <w:color w:val="334E68"/>
                <w:sz w:val="17"/>
              </w:rPr>
              <w:t xml:space="preserve">, </w:t>
            </w:r>
            <w:r>
              <w:rPr>
                <w:rFonts w:ascii="Consolas" w:hAnsi="Consolas"/>
                <w:b w:val="0"/>
                <w:i w:val="0"/>
                <w:color w:val="123A63"/>
                <w:sz w:val="17"/>
                <w:shd w:val="clear" w:color="auto" w:fill="EEF2F7"/>
              </w:rPr>
              <w:t>getent hosts</w:t>
            </w:r>
          </w:p>
        </w:tc>
      </w:tr>
      <w:tr>
        <w:trPr>
          <w:cantSplit/>
        </w:trPr>
        <w:tc>
          <w:tcPr>
            <w:tcW w:type="dxa" w:w="2120"/>
          </w:tcPr>
          <w:p>
            <w:pPr>
              <w:spacing w:after="20" w:before="20"/>
            </w:pPr>
            <w:r/>
            <w:r>
              <w:rPr>
                <w:rFonts w:ascii="Consolas" w:hAnsi="Consolas"/>
                <w:b/>
                <w:i w:val="0"/>
                <w:color w:val="123A63"/>
                <w:sz w:val="17"/>
                <w:shd w:val="clear" w:color="auto" w:fill="EEF2F7"/>
              </w:rPr>
              <w:t>/etc/services</w:t>
            </w:r>
            <w:r>
              <w:rPr>
                <w:rFonts w:ascii="Calibri" w:hAnsi="Calibri"/>
                <w:b/>
                <w:i w:val="0"/>
                <w:color w:val="334E68"/>
                <w:sz w:val="17"/>
              </w:rPr>
              <w:t xml:space="preserve"> and </w:t>
            </w:r>
            <w:r>
              <w:rPr>
                <w:rFonts w:ascii="Consolas" w:hAnsi="Consolas"/>
                <w:b/>
                <w:i w:val="0"/>
                <w:color w:val="123A63"/>
                <w:sz w:val="17"/>
                <w:shd w:val="clear" w:color="auto" w:fill="EEF2F7"/>
              </w:rPr>
              <w:t>/etc/hosts</w:t>
            </w:r>
          </w:p>
        </w:tc>
        <w:tc>
          <w:tcPr>
            <w:tcW w:type="dxa" w:w="3855"/>
          </w:tcPr>
          <w:p>
            <w:pPr>
              <w:spacing w:after="20" w:before="20"/>
            </w:pPr>
            <w:r/>
            <w:r>
              <w:rPr>
                <w:rFonts w:ascii="Calibri" w:hAnsi="Calibri"/>
                <w:b w:val="0"/>
                <w:i w:val="0"/>
                <w:color w:val="334E68"/>
                <w:sz w:val="17"/>
              </w:rPr>
              <w:t>SAP service ports (sapdp/sapgw), sapdbhost entries, no stale source IPs</w:t>
            </w:r>
          </w:p>
        </w:tc>
        <w:tc>
          <w:tcPr>
            <w:tcW w:type="dxa" w:w="3662"/>
          </w:tcPr>
          <w:p>
            <w:pPr>
              <w:spacing w:after="20" w:before="20"/>
            </w:pPr>
            <w:r/>
            <w:r>
              <w:rPr>
                <w:rFonts w:ascii="Consolas" w:hAnsi="Consolas"/>
                <w:b w:val="0"/>
                <w:i w:val="0"/>
                <w:color w:val="123A63"/>
                <w:sz w:val="17"/>
                <w:shd w:val="clear" w:color="auto" w:fill="EEF2F7"/>
              </w:rPr>
              <w:t>grep sap /etc/services</w:t>
            </w:r>
            <w:r>
              <w:rPr>
                <w:rFonts w:ascii="Calibri" w:hAnsi="Calibri"/>
                <w:b w:val="0"/>
                <w:i w:val="0"/>
                <w:color w:val="334E68"/>
                <w:sz w:val="17"/>
              </w:rPr>
              <w:t xml:space="preserve">, </w:t>
            </w:r>
            <w:r>
              <w:rPr>
                <w:rFonts w:ascii="Consolas" w:hAnsi="Consolas"/>
                <w:b w:val="0"/>
                <w:i w:val="0"/>
                <w:color w:val="123A63"/>
                <w:sz w:val="17"/>
                <w:shd w:val="clear" w:color="auto" w:fill="EEF2F7"/>
              </w:rPr>
              <w:t>/etc/hosts</w:t>
            </w:r>
          </w:p>
        </w:tc>
      </w:tr>
      <w:tr>
        <w:trPr>
          <w:cantSplit/>
        </w:trPr>
        <w:tc>
          <w:tcPr>
            <w:tcW w:type="dxa" w:w="2120"/>
            <w:shd w:val="clear" w:color="auto" w:fill="FAFBFD"/>
          </w:tcPr>
          <w:p>
            <w:pPr>
              <w:spacing w:after="20" w:before="20"/>
            </w:pPr>
            <w:r/>
            <w:r>
              <w:rPr>
                <w:rFonts w:ascii="Calibri" w:hAnsi="Calibri"/>
                <w:b/>
                <w:i w:val="0"/>
                <w:color w:val="334E68"/>
                <w:sz w:val="17"/>
              </w:rPr>
              <w:t>SAP directories and permissions</w:t>
            </w:r>
          </w:p>
        </w:tc>
        <w:tc>
          <w:tcPr>
            <w:tcW w:type="dxa" w:w="3855"/>
            <w:shd w:val="clear" w:color="auto" w:fill="FAFBFD"/>
          </w:tcPr>
          <w:p>
            <w:pPr>
              <w:spacing w:after="20" w:before="20"/>
            </w:pPr>
            <w:r/>
            <w:r>
              <w:rPr>
                <w:rFonts w:ascii="Calibri" w:hAnsi="Calibri"/>
                <w:b w:val="0"/>
                <w:i w:val="0"/>
                <w:color w:val="334E68"/>
                <w:sz w:val="17"/>
              </w:rPr>
              <w:t>Kernel, profile, work, log, transport, interface directories present with correct ownership</w:t>
            </w:r>
          </w:p>
        </w:tc>
        <w:tc>
          <w:tcPr>
            <w:tcW w:type="dxa" w:w="3662"/>
            <w:shd w:val="clear" w:color="auto" w:fill="FAFBFD"/>
          </w:tcPr>
          <w:p>
            <w:pPr>
              <w:spacing w:after="20" w:before="20"/>
            </w:pPr>
            <w:r/>
            <w:r>
              <w:rPr>
                <w:rFonts w:ascii="Consolas" w:hAnsi="Consolas"/>
                <w:b w:val="0"/>
                <w:i w:val="0"/>
                <w:color w:val="123A63"/>
                <w:sz w:val="17"/>
                <w:shd w:val="clear" w:color="auto" w:fill="EEF2F7"/>
              </w:rPr>
              <w:t>ls -ld</w:t>
            </w:r>
            <w:r>
              <w:rPr>
                <w:rFonts w:ascii="Calibri" w:hAnsi="Calibri"/>
                <w:b w:val="0"/>
                <w:i w:val="0"/>
                <w:color w:val="334E68"/>
                <w:sz w:val="17"/>
              </w:rPr>
              <w:t xml:space="preserve"> per directory, compare with the source listing</w:t>
            </w:r>
          </w:p>
        </w:tc>
      </w:tr>
      <w:tr>
        <w:trPr>
          <w:cantSplit/>
        </w:trPr>
        <w:tc>
          <w:tcPr>
            <w:tcW w:type="dxa" w:w="2120"/>
          </w:tcPr>
          <w:p>
            <w:pPr>
              <w:spacing w:after="20" w:before="20"/>
            </w:pPr>
            <w:r/>
            <w:r>
              <w:rPr>
                <w:rFonts w:ascii="Calibri" w:hAnsi="Calibri"/>
                <w:b/>
                <w:i w:val="0"/>
                <w:color w:val="334E68"/>
                <w:sz w:val="17"/>
              </w:rPr>
              <w:t>OS tuning</w:t>
            </w:r>
          </w:p>
        </w:tc>
        <w:tc>
          <w:tcPr>
            <w:tcW w:type="dxa" w:w="3855"/>
          </w:tcPr>
          <w:p>
            <w:pPr>
              <w:spacing w:after="20" w:before="20"/>
            </w:pPr>
            <w:r/>
            <w:r>
              <w:rPr>
                <w:rFonts w:ascii="Calibri" w:hAnsi="Calibri"/>
                <w:b w:val="0"/>
                <w:i w:val="0"/>
                <w:color w:val="334E68"/>
                <w:sz w:val="17"/>
              </w:rPr>
              <w:t>Hugepages, THP, semaphores, shared memory, file limits, scheduler</w:t>
            </w:r>
          </w:p>
        </w:tc>
        <w:tc>
          <w:tcPr>
            <w:tcW w:type="dxa" w:w="3662"/>
          </w:tcPr>
          <w:p>
            <w:pPr>
              <w:spacing w:after="20" w:before="20"/>
            </w:pPr>
            <w:r/>
            <w:r>
              <w:rPr>
                <w:rFonts w:ascii="Consolas" w:hAnsi="Consolas"/>
                <w:b w:val="0"/>
                <w:i w:val="0"/>
                <w:color w:val="123A63"/>
                <w:sz w:val="17"/>
                <w:shd w:val="clear" w:color="auto" w:fill="EEF2F7"/>
              </w:rPr>
              <w:t>sysctl -a</w:t>
            </w:r>
            <w:r>
              <w:rPr>
                <w:rFonts w:ascii="Calibri" w:hAnsi="Calibri"/>
                <w:b w:val="0"/>
                <w:i w:val="0"/>
                <w:color w:val="334E68"/>
                <w:sz w:val="17"/>
              </w:rPr>
              <w:t xml:space="preserve"> subset, </w:t>
            </w:r>
            <w:r>
              <w:rPr>
                <w:rFonts w:ascii="Consolas" w:hAnsi="Consolas"/>
                <w:b w:val="0"/>
                <w:i w:val="0"/>
                <w:color w:val="123A63"/>
                <w:sz w:val="17"/>
                <w:shd w:val="clear" w:color="auto" w:fill="EEF2F7"/>
              </w:rPr>
              <w:t>/proc/meminfo</w:t>
            </w:r>
            <w:r>
              <w:rPr>
                <w:rFonts w:ascii="Calibri" w:hAnsi="Calibri"/>
                <w:b w:val="0"/>
                <w:i w:val="0"/>
                <w:color w:val="334E68"/>
                <w:sz w:val="17"/>
              </w:rPr>
              <w:t xml:space="preserve">, </w:t>
            </w:r>
            <w:r>
              <w:rPr>
                <w:rFonts w:ascii="Consolas" w:hAnsi="Consolas"/>
                <w:b w:val="0"/>
                <w:i w:val="0"/>
                <w:color w:val="123A63"/>
                <w:sz w:val="17"/>
                <w:shd w:val="clear" w:color="auto" w:fill="EEF2F7"/>
              </w:rPr>
              <w:t>ulimit -a</w:t>
            </w:r>
          </w:p>
        </w:tc>
      </w:tr>
    </w:tbl>
    <w:p>
      <w:pPr>
        <w:spacing w:after="40"/>
      </w:pPr>
    </w:p>
    <w:p>
      <w:pPr>
        <w:spacing w:before="180" w:after="40"/>
        <w:shd w:val="clear" w:color="auto" w:fill="FFFDF5"/>
        <w:pBdr>
          <w:left w:val="single" w:sz="6" w:space="6" w:color="D9A520"/>
          <w:top w:val="single" w:sz="6" w:space="6" w:color="D9A520"/>
          <w:right w:val="single" w:sz="6" w:space="6" w:color="D9A520"/>
        </w:pBdr>
        <w:keepNext/>
      </w:pPr>
      <w:r>
        <w:rPr>
          <w:rFonts w:ascii="Calibri" w:hAnsi="Calibri"/>
          <w:b/>
          <w:color w:val="D9A520"/>
          <w:sz w:val="16"/>
        </w:rPr>
        <w:t>UID/GID MISMATCHES ARE QUIET AND EXPENSIVE</w:t>
      </w:r>
    </w:p>
    <w:p>
      <w:pPr>
        <w:spacing w:after="40"/>
        <w:ind w:left="170"/>
        <w:shd w:val="clear" w:color="auto" w:fill="FFFDF5"/>
        <w:pBdr>
          <w:left w:val="single" w:sz="6" w:space="6" w:color="D9A520"/>
          <w:bottom w:val="single" w:sz="6" w:space="6" w:color="D9A520"/>
          <w:right w:val="single" w:sz="6" w:space="6" w:color="D9A520"/>
        </w:pBdr>
      </w:pPr>
      <w:r>
        <w:rPr>
          <w:rFonts w:ascii="Calibri" w:hAnsi="Calibri"/>
          <w:b w:val="0"/>
          <w:i w:val="0"/>
          <w:color w:val="334E68"/>
          <w:sz w:val="18"/>
        </w:rPr>
        <w:t xml:space="preserve">A different UID for </w:t>
      </w:r>
      <w:r>
        <w:rPr>
          <w:rFonts w:ascii="Consolas" w:hAnsi="Consolas"/>
          <w:b w:val="0"/>
          <w:i w:val="0"/>
          <w:color w:val="123A63"/>
          <w:sz w:val="18"/>
          <w:shd w:val="clear" w:color="auto" w:fill="EEF2F7"/>
        </w:rPr>
        <w:t>&lt;sid&gt;adm</w:t>
      </w:r>
      <w:r>
        <w:rPr>
          <w:rFonts w:ascii="Calibri" w:hAnsi="Calibri"/>
          <w:b w:val="0"/>
          <w:i w:val="0"/>
          <w:color w:val="334E68"/>
          <w:sz w:val="18"/>
        </w:rPr>
        <w:t xml:space="preserve"> on the target makes files look correctly named but wrongly owned. The symptoms appear later and elsewhere: SAP start failures, permission denied on the transport or interface directory, NFS squash problems, or inter-server communication failures. Compare numeric IDs, not just names.</w:t>
      </w:r>
    </w:p>
    <w:p>
      <w:pPr>
        <w:pStyle w:val="Heading2"/>
        <w:pBdr>
          <w:bottom w:val="single" w:sz="6" w:space="3" w:color="E8EDF3"/>
        </w:pBdr>
      </w:pPr>
      <w:r>
        <w:rPr>
          <w:rFonts w:ascii="Calibri" w:hAnsi="Calibri"/>
          <w:b/>
          <w:color w:val="0F2B4C"/>
          <w:sz w:val="26"/>
        </w:rPr>
        <w:t>7.3  SAP application validation</w:t>
      </w:r>
    </w:p>
    <w:p>
      <w:pPr>
        <w:spacing w:after="60" w:before="160"/>
        <w:keepNext/>
      </w:pPr>
      <w:r>
        <w:rPr>
          <w:rFonts w:ascii="Calibri" w:hAnsi="Calibri"/>
          <w:b/>
          <w:color w:val="5B7288"/>
          <w:sz w:val="15"/>
        </w:rPr>
        <w:t>SAP APPLICATION VALIDATION</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120"/>
        <w:gridCol w:w="1928"/>
        <w:gridCol w:w="5590"/>
      </w:tblGrid>
      <w:tr>
        <w:trPr>
          <w:tblHeader/>
          <w:cantSplit/>
        </w:trPr>
        <w:tc>
          <w:tcPr>
            <w:tcW w:type="dxa" w:w="2120"/>
            <w:shd w:val="clear" w:color="auto" w:fill="0F2B4C"/>
          </w:tcPr>
          <w:p>
            <w:pPr>
              <w:spacing w:after="20" w:before="20"/>
            </w:pPr>
            <w:r/>
            <w:r>
              <w:rPr>
                <w:rFonts w:ascii="Calibri" w:hAnsi="Calibri"/>
                <w:b/>
                <w:color w:val="FFFFFF"/>
                <w:sz w:val="17"/>
              </w:rPr>
              <w:t>Area</w:t>
            </w:r>
          </w:p>
        </w:tc>
        <w:tc>
          <w:tcPr>
            <w:tcW w:type="dxa" w:w="1928"/>
            <w:shd w:val="clear" w:color="auto" w:fill="0F2B4C"/>
          </w:tcPr>
          <w:p>
            <w:pPr>
              <w:spacing w:after="20" w:before="20"/>
            </w:pPr>
            <w:r/>
            <w:r>
              <w:rPr>
                <w:rFonts w:ascii="Calibri" w:hAnsi="Calibri"/>
                <w:b/>
                <w:color w:val="FFFFFF"/>
                <w:sz w:val="17"/>
              </w:rPr>
              <w:t>Transaction / tool</w:t>
            </w:r>
          </w:p>
        </w:tc>
        <w:tc>
          <w:tcPr>
            <w:tcW w:type="dxa" w:w="5590"/>
            <w:shd w:val="clear" w:color="auto" w:fill="0F2B4C"/>
          </w:tcPr>
          <w:p>
            <w:pPr>
              <w:spacing w:after="20" w:before="20"/>
            </w:pPr>
            <w:r/>
            <w:r>
              <w:rPr>
                <w:rFonts w:ascii="Calibri" w:hAnsi="Calibri"/>
                <w:b/>
                <w:color w:val="FFFFFF"/>
                <w:sz w:val="17"/>
              </w:rPr>
              <w:t>What a pass looks like</w:t>
            </w:r>
          </w:p>
        </w:tc>
      </w:tr>
      <w:tr>
        <w:trPr>
          <w:cantSplit/>
        </w:trPr>
        <w:tc>
          <w:tcPr>
            <w:tcW w:type="dxa" w:w="2120"/>
          </w:tcPr>
          <w:p>
            <w:pPr>
              <w:spacing w:after="20" w:before="20"/>
            </w:pPr>
            <w:r/>
            <w:r>
              <w:rPr>
                <w:rFonts w:ascii="Calibri" w:hAnsi="Calibri"/>
                <w:b/>
                <w:i w:val="0"/>
                <w:color w:val="334E68"/>
                <w:sz w:val="17"/>
              </w:rPr>
              <w:t>SAP services and processes</w:t>
            </w:r>
          </w:p>
        </w:tc>
        <w:tc>
          <w:tcPr>
            <w:tcW w:type="dxa" w:w="1928"/>
          </w:tcPr>
          <w:p>
            <w:pPr>
              <w:spacing w:after="20" w:before="20"/>
            </w:pPr>
            <w:r/>
            <w:r>
              <w:rPr>
                <w:rFonts w:ascii="Calibri" w:hAnsi="Calibri"/>
                <w:b w:val="0"/>
                <w:i w:val="0"/>
                <w:color w:val="334E68"/>
                <w:sz w:val="17"/>
              </w:rPr>
              <w:t xml:space="preserve">OS service, </w:t>
            </w:r>
            <w:r>
              <w:rPr>
                <w:rFonts w:ascii="Consolas" w:hAnsi="Consolas"/>
                <w:b w:val="0"/>
                <w:i w:val="0"/>
                <w:color w:val="123A63"/>
                <w:sz w:val="17"/>
                <w:shd w:val="clear" w:color="auto" w:fill="EEF2F7"/>
              </w:rPr>
              <w:t>sapcontrol</w:t>
            </w:r>
          </w:p>
        </w:tc>
        <w:tc>
          <w:tcPr>
            <w:tcW w:type="dxa" w:w="5590"/>
          </w:tcPr>
          <w:p>
            <w:pPr>
              <w:spacing w:after="20" w:before="20"/>
            </w:pPr>
            <w:r/>
            <w:r>
              <w:rPr>
                <w:rFonts w:ascii="Calibri" w:hAnsi="Calibri"/>
                <w:b w:val="0"/>
                <w:i w:val="0"/>
                <w:color w:val="334E68"/>
                <w:sz w:val="17"/>
              </w:rPr>
              <w:t>Service active, return code 0, all processes green</w:t>
            </w:r>
          </w:p>
        </w:tc>
      </w:tr>
      <w:tr>
        <w:trPr>
          <w:cantSplit/>
        </w:trPr>
        <w:tc>
          <w:tcPr>
            <w:tcW w:type="dxa" w:w="2120"/>
            <w:shd w:val="clear" w:color="auto" w:fill="FAFBFD"/>
          </w:tcPr>
          <w:p>
            <w:pPr>
              <w:spacing w:after="20" w:before="20"/>
            </w:pPr>
            <w:r/>
            <w:r>
              <w:rPr>
                <w:rFonts w:ascii="Calibri" w:hAnsi="Calibri"/>
                <w:b/>
                <w:i w:val="0"/>
                <w:color w:val="334E68"/>
                <w:sz w:val="17"/>
              </w:rPr>
              <w:t>Application servers</w:t>
            </w:r>
          </w:p>
        </w:tc>
        <w:tc>
          <w:tcPr>
            <w:tcW w:type="dxa" w:w="1928"/>
            <w:shd w:val="clear" w:color="auto" w:fill="FAFBFD"/>
          </w:tcPr>
          <w:p>
            <w:pPr>
              <w:spacing w:after="20" w:before="20"/>
            </w:pPr>
            <w:r/>
            <w:r>
              <w:rPr>
                <w:rFonts w:ascii="Consolas" w:hAnsi="Consolas"/>
                <w:b w:val="0"/>
                <w:i w:val="0"/>
                <w:color w:val="123A63"/>
                <w:sz w:val="17"/>
                <w:shd w:val="clear" w:color="auto" w:fill="EEF2F7"/>
              </w:rPr>
              <w:t>SM51</w:t>
            </w:r>
          </w:p>
        </w:tc>
        <w:tc>
          <w:tcPr>
            <w:tcW w:type="dxa" w:w="5590"/>
            <w:shd w:val="clear" w:color="auto" w:fill="FAFBFD"/>
          </w:tcPr>
          <w:p>
            <w:pPr>
              <w:spacing w:after="20" w:before="20"/>
            </w:pPr>
            <w:r/>
            <w:r>
              <w:rPr>
                <w:rFonts w:ascii="Calibri" w:hAnsi="Calibri"/>
                <w:b w:val="0"/>
                <w:i w:val="0"/>
                <w:color w:val="334E68"/>
                <w:sz w:val="17"/>
              </w:rPr>
              <w:t>Every planned instance listed, active, with the expected work process configuration</w:t>
            </w:r>
          </w:p>
        </w:tc>
      </w:tr>
      <w:tr>
        <w:trPr>
          <w:cantSplit/>
        </w:trPr>
        <w:tc>
          <w:tcPr>
            <w:tcW w:type="dxa" w:w="2120"/>
          </w:tcPr>
          <w:p>
            <w:pPr>
              <w:spacing w:after="20" w:before="20"/>
            </w:pPr>
            <w:r/>
            <w:r>
              <w:rPr>
                <w:rFonts w:ascii="Calibri" w:hAnsi="Calibri"/>
                <w:b/>
                <w:i w:val="0"/>
                <w:color w:val="334E68"/>
                <w:sz w:val="17"/>
              </w:rPr>
              <w:t>Gateway</w:t>
            </w:r>
          </w:p>
        </w:tc>
        <w:tc>
          <w:tcPr>
            <w:tcW w:type="dxa" w:w="1928"/>
          </w:tcPr>
          <w:p>
            <w:pPr>
              <w:spacing w:after="20" w:before="20"/>
            </w:pPr>
            <w:r/>
            <w:r>
              <w:rPr>
                <w:rFonts w:ascii="Consolas" w:hAnsi="Consolas"/>
                <w:b w:val="0"/>
                <w:i w:val="0"/>
                <w:color w:val="123A63"/>
                <w:sz w:val="17"/>
                <w:shd w:val="clear" w:color="auto" w:fill="EEF2F7"/>
              </w:rPr>
              <w:t>SMGW</w:t>
            </w:r>
          </w:p>
        </w:tc>
        <w:tc>
          <w:tcPr>
            <w:tcW w:type="dxa" w:w="5590"/>
          </w:tcPr>
          <w:p>
            <w:pPr>
              <w:spacing w:after="20" w:before="20"/>
            </w:pPr>
            <w:r/>
            <w:r>
              <w:rPr>
                <w:rFonts w:ascii="Calibri" w:hAnsi="Calibri"/>
                <w:b w:val="0"/>
                <w:i w:val="0"/>
                <w:color w:val="334E68"/>
                <w:sz w:val="17"/>
              </w:rPr>
              <w:t>Gateway running, expected connections present, no unexplained external registrations</w:t>
            </w:r>
          </w:p>
        </w:tc>
      </w:tr>
      <w:tr>
        <w:trPr>
          <w:cantSplit/>
        </w:trPr>
        <w:tc>
          <w:tcPr>
            <w:tcW w:type="dxa" w:w="2120"/>
            <w:shd w:val="clear" w:color="auto" w:fill="FAFBFD"/>
          </w:tcPr>
          <w:p>
            <w:pPr>
              <w:spacing w:after="20" w:before="20"/>
            </w:pPr>
            <w:r/>
            <w:r>
              <w:rPr>
                <w:rFonts w:ascii="Calibri" w:hAnsi="Calibri"/>
                <w:b/>
                <w:i w:val="0"/>
                <w:color w:val="334E68"/>
                <w:sz w:val="17"/>
              </w:rPr>
              <w:t>RFC destinations</w:t>
            </w:r>
          </w:p>
        </w:tc>
        <w:tc>
          <w:tcPr>
            <w:tcW w:type="dxa" w:w="1928"/>
            <w:shd w:val="clear" w:color="auto" w:fill="FAFBFD"/>
          </w:tcPr>
          <w:p>
            <w:pPr>
              <w:spacing w:after="20" w:before="20"/>
            </w:pPr>
            <w:r/>
            <w:r>
              <w:rPr>
                <w:rFonts w:ascii="Consolas" w:hAnsi="Consolas"/>
                <w:b w:val="0"/>
                <w:i w:val="0"/>
                <w:color w:val="123A63"/>
                <w:sz w:val="17"/>
                <w:shd w:val="clear" w:color="auto" w:fill="EEF2F7"/>
              </w:rPr>
              <w:t>SM59</w:t>
            </w:r>
          </w:p>
        </w:tc>
        <w:tc>
          <w:tcPr>
            <w:tcW w:type="dxa" w:w="5590"/>
            <w:shd w:val="clear" w:color="auto" w:fill="FAFBFD"/>
          </w:tcPr>
          <w:p>
            <w:pPr>
              <w:spacing w:after="20" w:before="20"/>
            </w:pPr>
            <w:r/>
            <w:r>
              <w:rPr>
                <w:rFonts w:ascii="Calibri" w:hAnsi="Calibri"/>
                <w:b w:val="0"/>
                <w:i w:val="0"/>
                <w:color w:val="334E68"/>
                <w:sz w:val="17"/>
              </w:rPr>
              <w:t>Each destination from the baseline exists and its connection test succeeds (or matches a documented pre-existing failure)</w:t>
            </w:r>
          </w:p>
        </w:tc>
      </w:tr>
      <w:tr>
        <w:trPr>
          <w:cantSplit/>
        </w:trPr>
        <w:tc>
          <w:tcPr>
            <w:tcW w:type="dxa" w:w="2120"/>
          </w:tcPr>
          <w:p>
            <w:pPr>
              <w:spacing w:after="20" w:before="20"/>
            </w:pPr>
            <w:r/>
            <w:r>
              <w:rPr>
                <w:rFonts w:ascii="Calibri" w:hAnsi="Calibri"/>
                <w:b/>
                <w:i w:val="0"/>
                <w:color w:val="334E68"/>
                <w:sz w:val="17"/>
              </w:rPr>
              <w:t>RFC connectivity report</w:t>
            </w:r>
          </w:p>
        </w:tc>
        <w:tc>
          <w:tcPr>
            <w:tcW w:type="dxa" w:w="1928"/>
          </w:tcPr>
          <w:p>
            <w:pPr>
              <w:spacing w:after="20" w:before="20"/>
            </w:pPr>
            <w:r/>
            <w:r>
              <w:rPr>
                <w:rFonts w:ascii="Consolas" w:hAnsi="Consolas"/>
                <w:b w:val="0"/>
                <w:i w:val="0"/>
                <w:color w:val="123A63"/>
                <w:sz w:val="17"/>
                <w:shd w:val="clear" w:color="auto" w:fill="EEF2F7"/>
              </w:rPr>
              <w:t>SA38</w:t>
            </w:r>
            <w:r>
              <w:rPr>
                <w:rFonts w:ascii="Calibri" w:hAnsi="Calibri"/>
                <w:b w:val="0"/>
                <w:i w:val="0"/>
                <w:color w:val="334E68"/>
                <w:sz w:val="17"/>
              </w:rPr>
              <w:t xml:space="preserve"> / project report</w:t>
            </w:r>
          </w:p>
        </w:tc>
        <w:tc>
          <w:tcPr>
            <w:tcW w:type="dxa" w:w="5590"/>
          </w:tcPr>
          <w:p>
            <w:pPr>
              <w:spacing w:after="20" w:before="20"/>
            </w:pPr>
            <w:r/>
            <w:r>
              <w:rPr>
                <w:rFonts w:ascii="Calibri" w:hAnsi="Calibri"/>
                <w:b w:val="0"/>
                <w:i w:val="0"/>
                <w:color w:val="334E68"/>
                <w:sz w:val="17"/>
              </w:rPr>
              <w:t>Bulk test result matches the baseline interface list</w:t>
            </w:r>
          </w:p>
        </w:tc>
      </w:tr>
      <w:tr>
        <w:trPr>
          <w:cantSplit/>
        </w:trPr>
        <w:tc>
          <w:tcPr>
            <w:tcW w:type="dxa" w:w="2120"/>
            <w:shd w:val="clear" w:color="auto" w:fill="FAFBFD"/>
          </w:tcPr>
          <w:p>
            <w:pPr>
              <w:spacing w:after="20" w:before="20"/>
            </w:pPr>
            <w:r/>
            <w:r>
              <w:rPr>
                <w:rFonts w:ascii="Calibri" w:hAnsi="Calibri"/>
                <w:b/>
                <w:i w:val="0"/>
                <w:color w:val="334E68"/>
                <w:sz w:val="17"/>
              </w:rPr>
              <w:t>Transport landscape</w:t>
            </w:r>
          </w:p>
        </w:tc>
        <w:tc>
          <w:tcPr>
            <w:tcW w:type="dxa" w:w="1928"/>
            <w:shd w:val="clear" w:color="auto" w:fill="FAFBFD"/>
          </w:tcPr>
          <w:p>
            <w:pPr>
              <w:spacing w:after="20" w:before="20"/>
            </w:pPr>
            <w:r/>
            <w:r>
              <w:rPr>
                <w:rFonts w:ascii="Consolas" w:hAnsi="Consolas"/>
                <w:b w:val="0"/>
                <w:i w:val="0"/>
                <w:color w:val="123A63"/>
                <w:sz w:val="17"/>
                <w:shd w:val="clear" w:color="auto" w:fill="EEF2F7"/>
              </w:rPr>
              <w:t>STMS</w:t>
            </w:r>
          </w:p>
        </w:tc>
        <w:tc>
          <w:tcPr>
            <w:tcW w:type="dxa" w:w="5590"/>
            <w:shd w:val="clear" w:color="auto" w:fill="FAFBFD"/>
          </w:tcPr>
          <w:p>
            <w:pPr>
              <w:spacing w:after="20" w:before="20"/>
            </w:pPr>
            <w:r/>
            <w:r>
              <w:rPr>
                <w:rFonts w:ascii="Calibri" w:hAnsi="Calibri"/>
                <w:b w:val="0"/>
                <w:i w:val="0"/>
                <w:color w:val="334E68"/>
                <w:sz w:val="17"/>
              </w:rPr>
              <w:t>Domain, systems, routes and transport directory correct; import works end to end</w:t>
            </w:r>
          </w:p>
        </w:tc>
      </w:tr>
      <w:tr>
        <w:trPr>
          <w:cantSplit/>
        </w:trPr>
        <w:tc>
          <w:tcPr>
            <w:tcW w:type="dxa" w:w="2120"/>
          </w:tcPr>
          <w:p>
            <w:pPr>
              <w:spacing w:after="20" w:before="20"/>
            </w:pPr>
            <w:r/>
            <w:r>
              <w:rPr>
                <w:rFonts w:ascii="Calibri" w:hAnsi="Calibri"/>
                <w:b/>
                <w:i w:val="0"/>
                <w:color w:val="334E68"/>
                <w:sz w:val="17"/>
              </w:rPr>
              <w:t>Directories</w:t>
            </w:r>
          </w:p>
        </w:tc>
        <w:tc>
          <w:tcPr>
            <w:tcW w:type="dxa" w:w="1928"/>
          </w:tcPr>
          <w:p>
            <w:pPr>
              <w:spacing w:after="20" w:before="20"/>
            </w:pPr>
            <w:r/>
            <w:r>
              <w:rPr>
                <w:rFonts w:ascii="Consolas" w:hAnsi="Consolas"/>
                <w:b w:val="0"/>
                <w:i w:val="0"/>
                <w:color w:val="123A63"/>
                <w:sz w:val="17"/>
                <w:shd w:val="clear" w:color="auto" w:fill="EEF2F7"/>
              </w:rPr>
              <w:t>AL11</w:t>
            </w:r>
          </w:p>
        </w:tc>
        <w:tc>
          <w:tcPr>
            <w:tcW w:type="dxa" w:w="5590"/>
          </w:tcPr>
          <w:p>
            <w:pPr>
              <w:spacing w:after="20" w:before="20"/>
            </w:pPr>
            <w:r/>
            <w:r>
              <w:rPr>
                <w:rFonts w:ascii="Calibri" w:hAnsi="Calibri"/>
                <w:b w:val="0"/>
                <w:i w:val="0"/>
                <w:color w:val="334E68"/>
                <w:sz w:val="17"/>
              </w:rPr>
              <w:t>All baseline directories present with correct permissions and content</w:t>
            </w:r>
          </w:p>
        </w:tc>
      </w:tr>
      <w:tr>
        <w:trPr>
          <w:cantSplit/>
        </w:trPr>
        <w:tc>
          <w:tcPr>
            <w:tcW w:type="dxa" w:w="2120"/>
            <w:shd w:val="clear" w:color="auto" w:fill="FAFBFD"/>
          </w:tcPr>
          <w:p>
            <w:pPr>
              <w:spacing w:after="20" w:before="20"/>
            </w:pPr>
            <w:r/>
            <w:r>
              <w:rPr>
                <w:rFonts w:ascii="Calibri" w:hAnsi="Calibri"/>
                <w:b/>
                <w:i w:val="0"/>
                <w:color w:val="334E68"/>
                <w:sz w:val="17"/>
              </w:rPr>
              <w:t>Printers and spool</w:t>
            </w:r>
          </w:p>
        </w:tc>
        <w:tc>
          <w:tcPr>
            <w:tcW w:type="dxa" w:w="1928"/>
            <w:shd w:val="clear" w:color="auto" w:fill="FAFBFD"/>
          </w:tcPr>
          <w:p>
            <w:pPr>
              <w:spacing w:after="20" w:before="20"/>
            </w:pPr>
            <w:r/>
            <w:r>
              <w:rPr>
                <w:rFonts w:ascii="Consolas" w:hAnsi="Consolas"/>
                <w:b w:val="0"/>
                <w:i w:val="0"/>
                <w:color w:val="123A63"/>
                <w:sz w:val="17"/>
                <w:shd w:val="clear" w:color="auto" w:fill="EEF2F7"/>
              </w:rPr>
              <w:t>SPAD</w:t>
            </w:r>
            <w:r>
              <w:rPr>
                <w:rFonts w:ascii="Calibri" w:hAnsi="Calibri"/>
                <w:b w:val="0"/>
                <w:i w:val="0"/>
                <w:color w:val="334E68"/>
                <w:sz w:val="17"/>
              </w:rPr>
              <w:t xml:space="preserve">, </w:t>
            </w:r>
            <w:r>
              <w:rPr>
                <w:rFonts w:ascii="Consolas" w:hAnsi="Consolas"/>
                <w:b w:val="0"/>
                <w:i w:val="0"/>
                <w:color w:val="123A63"/>
                <w:sz w:val="17"/>
                <w:shd w:val="clear" w:color="auto" w:fill="EEF2F7"/>
              </w:rPr>
              <w:t>SP01</w:t>
            </w:r>
          </w:p>
        </w:tc>
        <w:tc>
          <w:tcPr>
            <w:tcW w:type="dxa" w:w="5590"/>
            <w:shd w:val="clear" w:color="auto" w:fill="FAFBFD"/>
          </w:tcPr>
          <w:p>
            <w:pPr>
              <w:spacing w:after="20" w:before="20"/>
            </w:pPr>
            <w:r/>
            <w:r>
              <w:rPr>
                <w:rFonts w:ascii="Calibri" w:hAnsi="Calibri"/>
                <w:b w:val="0"/>
                <w:i w:val="0"/>
                <w:color w:val="334E68"/>
                <w:sz w:val="17"/>
              </w:rPr>
              <w:t>Device types and output devices correct; test page prints; spool processes run</w:t>
            </w:r>
          </w:p>
        </w:tc>
      </w:tr>
      <w:tr>
        <w:trPr>
          <w:cantSplit/>
        </w:trPr>
        <w:tc>
          <w:tcPr>
            <w:tcW w:type="dxa" w:w="2120"/>
          </w:tcPr>
          <w:p>
            <w:pPr>
              <w:spacing w:after="20" w:before="20"/>
            </w:pPr>
            <w:r/>
            <w:r>
              <w:rPr>
                <w:rFonts w:ascii="Calibri" w:hAnsi="Calibri"/>
                <w:b/>
                <w:i w:val="0"/>
                <w:color w:val="334E68"/>
                <w:sz w:val="17"/>
              </w:rPr>
              <w:t>ICM / HTTP(S)</w:t>
            </w:r>
          </w:p>
        </w:tc>
        <w:tc>
          <w:tcPr>
            <w:tcW w:type="dxa" w:w="1928"/>
          </w:tcPr>
          <w:p>
            <w:pPr>
              <w:spacing w:after="20" w:before="20"/>
            </w:pPr>
            <w:r/>
            <w:r>
              <w:rPr>
                <w:rFonts w:ascii="Consolas" w:hAnsi="Consolas"/>
                <w:b w:val="0"/>
                <w:i w:val="0"/>
                <w:color w:val="123A63"/>
                <w:sz w:val="17"/>
                <w:shd w:val="clear" w:color="auto" w:fill="EEF2F7"/>
              </w:rPr>
              <w:t>SMICM</w:t>
            </w:r>
          </w:p>
        </w:tc>
        <w:tc>
          <w:tcPr>
            <w:tcW w:type="dxa" w:w="5590"/>
          </w:tcPr>
          <w:p>
            <w:pPr>
              <w:spacing w:after="20" w:before="20"/>
            </w:pPr>
            <w:r/>
            <w:r>
              <w:rPr>
                <w:rFonts w:ascii="Calibri" w:hAnsi="Calibri"/>
                <w:b w:val="0"/>
                <w:i w:val="0"/>
                <w:color w:val="334E68"/>
                <w:sz w:val="17"/>
              </w:rPr>
              <w:t>ICM services active on the expected ports; HTTPS endpoints answer with the right certificate</w:t>
            </w:r>
          </w:p>
        </w:tc>
      </w:tr>
      <w:tr>
        <w:trPr>
          <w:cantSplit/>
        </w:trPr>
        <w:tc>
          <w:tcPr>
            <w:tcW w:type="dxa" w:w="2120"/>
            <w:shd w:val="clear" w:color="auto" w:fill="FAFBFD"/>
          </w:tcPr>
          <w:p>
            <w:pPr>
              <w:spacing w:after="20" w:before="20"/>
            </w:pPr>
            <w:r/>
            <w:r>
              <w:rPr>
                <w:rFonts w:ascii="Calibri" w:hAnsi="Calibri"/>
                <w:b/>
                <w:i w:val="0"/>
                <w:color w:val="334E68"/>
                <w:sz w:val="17"/>
              </w:rPr>
              <w:t>SNC and secure communication</w:t>
            </w:r>
          </w:p>
        </w:tc>
        <w:tc>
          <w:tcPr>
            <w:tcW w:type="dxa" w:w="1928"/>
            <w:shd w:val="clear" w:color="auto" w:fill="FAFBFD"/>
          </w:tcPr>
          <w:p>
            <w:pPr>
              <w:spacing w:after="20" w:before="20"/>
            </w:pPr>
            <w:r/>
            <w:r>
              <w:rPr>
                <w:rFonts w:ascii="Consolas" w:hAnsi="Consolas"/>
                <w:b w:val="0"/>
                <w:i w:val="0"/>
                <w:color w:val="123A63"/>
                <w:sz w:val="17"/>
                <w:shd w:val="clear" w:color="auto" w:fill="EEF2F7"/>
              </w:rPr>
              <w:t>SNC</w:t>
            </w:r>
            <w:r>
              <w:rPr>
                <w:rFonts w:ascii="Calibri" w:hAnsi="Calibri"/>
                <w:b w:val="0"/>
                <w:i w:val="0"/>
                <w:color w:val="334E68"/>
                <w:sz w:val="17"/>
              </w:rPr>
              <w:t xml:space="preserve"> configuration, PSE/keystore</w:t>
            </w:r>
          </w:p>
        </w:tc>
        <w:tc>
          <w:tcPr>
            <w:tcW w:type="dxa" w:w="5590"/>
            <w:shd w:val="clear" w:color="auto" w:fill="FAFBFD"/>
          </w:tcPr>
          <w:p>
            <w:pPr>
              <w:spacing w:after="20" w:before="20"/>
            </w:pPr>
            <w:r/>
            <w:r>
              <w:rPr>
                <w:rFonts w:ascii="Calibri" w:hAnsi="Calibri"/>
                <w:b w:val="0"/>
                <w:i w:val="0"/>
                <w:color w:val="334E68"/>
                <w:sz w:val="17"/>
              </w:rPr>
              <w:t>SNC enabled where designed, correct users, valid PSE, no handshake errors</w:t>
            </w:r>
          </w:p>
        </w:tc>
      </w:tr>
      <w:tr>
        <w:trPr>
          <w:cantSplit/>
        </w:trPr>
        <w:tc>
          <w:tcPr>
            <w:tcW w:type="dxa" w:w="2120"/>
          </w:tcPr>
          <w:p>
            <w:pPr>
              <w:spacing w:after="20" w:before="20"/>
            </w:pPr>
            <w:r/>
            <w:r>
              <w:rPr>
                <w:rFonts w:ascii="Calibri" w:hAnsi="Calibri"/>
                <w:b/>
                <w:i w:val="0"/>
                <w:color w:val="334E68"/>
                <w:sz w:val="17"/>
              </w:rPr>
              <w:t>Certificates</w:t>
            </w:r>
          </w:p>
        </w:tc>
        <w:tc>
          <w:tcPr>
            <w:tcW w:type="dxa" w:w="1928"/>
          </w:tcPr>
          <w:p>
            <w:pPr>
              <w:spacing w:after="20" w:before="20"/>
            </w:pPr>
            <w:r/>
            <w:r>
              <w:rPr>
                <w:rFonts w:ascii="Consolas" w:hAnsi="Consolas"/>
                <w:b w:val="0"/>
                <w:i w:val="0"/>
                <w:color w:val="123A63"/>
                <w:sz w:val="17"/>
                <w:shd w:val="clear" w:color="auto" w:fill="EEF2F7"/>
              </w:rPr>
              <w:t>STRUST</w:t>
            </w:r>
          </w:p>
        </w:tc>
        <w:tc>
          <w:tcPr>
            <w:tcW w:type="dxa" w:w="5590"/>
          </w:tcPr>
          <w:p>
            <w:pPr>
              <w:spacing w:after="20" w:before="20"/>
            </w:pPr>
            <w:r/>
            <w:r>
              <w:rPr>
                <w:rFonts w:ascii="Calibri" w:hAnsi="Calibri"/>
                <w:b w:val="0"/>
                <w:i w:val="0"/>
                <w:color w:val="334E68"/>
                <w:sz w:val="17"/>
              </w:rPr>
              <w:t>Certificates valid, correct hostname/domain, chain complete, expiry dates acceptable</w:t>
            </w:r>
          </w:p>
        </w:tc>
      </w:tr>
      <w:tr>
        <w:trPr>
          <w:cantSplit/>
        </w:trPr>
        <w:tc>
          <w:tcPr>
            <w:tcW w:type="dxa" w:w="2120"/>
            <w:shd w:val="clear" w:color="auto" w:fill="FAFBFD"/>
          </w:tcPr>
          <w:p>
            <w:pPr>
              <w:spacing w:after="20" w:before="20"/>
            </w:pPr>
            <w:r/>
            <w:r>
              <w:rPr>
                <w:rFonts w:ascii="Calibri" w:hAnsi="Calibri"/>
                <w:b/>
                <w:i w:val="0"/>
                <w:color w:val="334E68"/>
                <w:sz w:val="17"/>
              </w:rPr>
              <w:t>SAP license</w:t>
            </w:r>
          </w:p>
        </w:tc>
        <w:tc>
          <w:tcPr>
            <w:tcW w:type="dxa" w:w="1928"/>
            <w:shd w:val="clear" w:color="auto" w:fill="FAFBFD"/>
          </w:tcPr>
          <w:p>
            <w:pPr>
              <w:spacing w:after="20" w:before="20"/>
            </w:pPr>
            <w:r/>
            <w:r>
              <w:rPr>
                <w:rFonts w:ascii="Consolas" w:hAnsi="Consolas"/>
                <w:b w:val="0"/>
                <w:i w:val="0"/>
                <w:color w:val="123A63"/>
                <w:sz w:val="17"/>
                <w:shd w:val="clear" w:color="auto" w:fill="EEF2F7"/>
              </w:rPr>
              <w:t>SLICENSE</w:t>
            </w:r>
          </w:p>
        </w:tc>
        <w:tc>
          <w:tcPr>
            <w:tcW w:type="dxa" w:w="5590"/>
            <w:shd w:val="clear" w:color="auto" w:fill="FAFBFD"/>
          </w:tcPr>
          <w:p>
            <w:pPr>
              <w:spacing w:after="20" w:before="20"/>
            </w:pPr>
            <w:r/>
            <w:r>
              <w:rPr>
                <w:rFonts w:ascii="Calibri" w:hAnsi="Calibri"/>
                <w:b w:val="0"/>
                <w:i w:val="0"/>
                <w:color w:val="334E68"/>
                <w:sz w:val="17"/>
              </w:rPr>
              <w:t>Correct license installed for the new hardware key; temporary license not left to expire</w:t>
            </w:r>
          </w:p>
        </w:tc>
      </w:tr>
    </w:tbl>
    <w:p>
      <w:pPr>
        <w:spacing w:after="40"/>
      </w:pP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HARDWARE KEY AND LICENSE</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A migration normally changes the hardware key, which invalidates the permanent SAP license. Install the correct license (or a valid temporary one) during cutover and record the expiry date so it is replaced before it lapses. This is a go-live blocker that is easy to overlook because the system works without it for a while.</w:t>
      </w:r>
    </w:p>
    <w:p>
      <w:pPr>
        <w:pStyle w:val="Heading2"/>
        <w:pBdr>
          <w:bottom w:val="single" w:sz="6" w:space="3" w:color="E8EDF3"/>
        </w:pBdr>
      </w:pPr>
      <w:r>
        <w:rPr>
          <w:rFonts w:ascii="Calibri" w:hAnsi="Calibri"/>
          <w:b/>
          <w:color w:val="0F2B4C"/>
          <w:sz w:val="26"/>
        </w:rPr>
        <w:t>7.4  Database validation</w:t>
      </w:r>
    </w:p>
    <w:p>
      <w:pPr>
        <w:spacing w:after="60" w:before="160"/>
        <w:keepNext/>
      </w:pPr>
      <w:r>
        <w:rPr>
          <w:rFonts w:ascii="Calibri" w:hAnsi="Calibri"/>
          <w:b/>
          <w:color w:val="5B7288"/>
          <w:sz w:val="15"/>
        </w:rPr>
        <w:t>DATABASE VALIDATION</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120"/>
        <w:gridCol w:w="5012"/>
        <w:gridCol w:w="2506"/>
      </w:tblGrid>
      <w:tr>
        <w:trPr>
          <w:tblHeader/>
          <w:cantSplit/>
        </w:trPr>
        <w:tc>
          <w:tcPr>
            <w:tcW w:type="dxa" w:w="2120"/>
            <w:shd w:val="clear" w:color="auto" w:fill="0F2B4C"/>
          </w:tcPr>
          <w:p>
            <w:pPr>
              <w:spacing w:after="20" w:before="20"/>
            </w:pPr>
            <w:r/>
            <w:r>
              <w:rPr>
                <w:rFonts w:ascii="Calibri" w:hAnsi="Calibri"/>
                <w:b/>
                <w:color w:val="FFFFFF"/>
                <w:sz w:val="17"/>
              </w:rPr>
              <w:t>Check</w:t>
            </w:r>
          </w:p>
        </w:tc>
        <w:tc>
          <w:tcPr>
            <w:tcW w:type="dxa" w:w="5012"/>
            <w:shd w:val="clear" w:color="auto" w:fill="0F2B4C"/>
          </w:tcPr>
          <w:p>
            <w:pPr>
              <w:spacing w:after="20" w:before="20"/>
            </w:pPr>
            <w:r/>
            <w:r>
              <w:rPr>
                <w:rFonts w:ascii="Calibri" w:hAnsi="Calibri"/>
                <w:b/>
                <w:color w:val="FFFFFF"/>
                <w:sz w:val="17"/>
              </w:rPr>
              <w:t>Detail to record</w:t>
            </w:r>
          </w:p>
        </w:tc>
        <w:tc>
          <w:tcPr>
            <w:tcW w:type="dxa" w:w="2506"/>
            <w:shd w:val="clear" w:color="auto" w:fill="0F2B4C"/>
          </w:tcPr>
          <w:p>
            <w:pPr>
              <w:spacing w:after="20" w:before="20"/>
            </w:pPr>
            <w:r/>
            <w:r>
              <w:rPr>
                <w:rFonts w:ascii="Calibri" w:hAnsi="Calibri"/>
                <w:b/>
                <w:color w:val="FFFFFF"/>
                <w:sz w:val="17"/>
              </w:rPr>
              <w:t>Tool</w:t>
            </w:r>
          </w:p>
        </w:tc>
      </w:tr>
      <w:tr>
        <w:trPr>
          <w:cantSplit/>
        </w:trPr>
        <w:tc>
          <w:tcPr>
            <w:tcW w:type="dxa" w:w="2120"/>
          </w:tcPr>
          <w:p>
            <w:pPr>
              <w:spacing w:after="20" w:before="20"/>
            </w:pPr>
            <w:r/>
            <w:r>
              <w:rPr>
                <w:rFonts w:ascii="Calibri" w:hAnsi="Calibri"/>
                <w:b/>
                <w:i w:val="0"/>
                <w:color w:val="334E68"/>
                <w:sz w:val="17"/>
              </w:rPr>
              <w:t>DB status</w:t>
            </w:r>
          </w:p>
        </w:tc>
        <w:tc>
          <w:tcPr>
            <w:tcW w:type="dxa" w:w="5012"/>
          </w:tcPr>
          <w:p>
            <w:pPr>
              <w:spacing w:after="20" w:before="20"/>
            </w:pPr>
            <w:r/>
            <w:r>
              <w:rPr>
                <w:rFonts w:ascii="Calibri" w:hAnsi="Calibri"/>
                <w:b w:val="0"/>
                <w:i w:val="0"/>
                <w:color w:val="334E68"/>
                <w:sz w:val="17"/>
              </w:rPr>
              <w:t>Instance up, services/processes running, no failed components</w:t>
            </w:r>
          </w:p>
        </w:tc>
        <w:tc>
          <w:tcPr>
            <w:tcW w:type="dxa" w:w="2506"/>
          </w:tcPr>
          <w:p>
            <w:pPr>
              <w:spacing w:after="20" w:before="20"/>
            </w:pPr>
            <w:r/>
            <w:r>
              <w:rPr>
                <w:rFonts w:ascii="Consolas" w:hAnsi="Consolas"/>
                <w:b w:val="0"/>
                <w:i w:val="0"/>
                <w:color w:val="123A63"/>
                <w:sz w:val="17"/>
                <w:shd w:val="clear" w:color="auto" w:fill="EEF2F7"/>
              </w:rPr>
              <w:t>DB02</w:t>
            </w:r>
            <w:r>
              <w:rPr>
                <w:rFonts w:ascii="Calibri" w:hAnsi="Calibri"/>
                <w:b w:val="0"/>
                <w:i w:val="0"/>
                <w:color w:val="334E68"/>
                <w:sz w:val="17"/>
              </w:rPr>
              <w:t>, DB-specific console</w:t>
            </w:r>
          </w:p>
        </w:tc>
      </w:tr>
      <w:tr>
        <w:trPr>
          <w:cantSplit/>
        </w:trPr>
        <w:tc>
          <w:tcPr>
            <w:tcW w:type="dxa" w:w="2120"/>
            <w:shd w:val="clear" w:color="auto" w:fill="FAFBFD"/>
          </w:tcPr>
          <w:p>
            <w:pPr>
              <w:spacing w:after="20" w:before="20"/>
            </w:pPr>
            <w:r/>
            <w:r>
              <w:rPr>
                <w:rFonts w:ascii="Calibri" w:hAnsi="Calibri"/>
                <w:b/>
                <w:i w:val="0"/>
                <w:color w:val="334E68"/>
                <w:sz w:val="17"/>
              </w:rPr>
              <w:t>Space utilisation</w:t>
            </w:r>
          </w:p>
        </w:tc>
        <w:tc>
          <w:tcPr>
            <w:tcW w:type="dxa" w:w="5012"/>
            <w:shd w:val="clear" w:color="auto" w:fill="FAFBFD"/>
          </w:tcPr>
          <w:p>
            <w:pPr>
              <w:spacing w:after="20" w:before="20"/>
            </w:pPr>
            <w:r/>
            <w:r>
              <w:rPr>
                <w:rFonts w:ascii="Calibri" w:hAnsi="Calibri"/>
                <w:b w:val="0"/>
                <w:i w:val="0"/>
                <w:color w:val="334E68"/>
                <w:sz w:val="17"/>
              </w:rPr>
              <w:t>Data, log, archive, backup area; percent used and absolute free</w:t>
            </w:r>
          </w:p>
        </w:tc>
        <w:tc>
          <w:tcPr>
            <w:tcW w:type="dxa" w:w="2506"/>
            <w:shd w:val="clear" w:color="auto" w:fill="FAFBFD"/>
          </w:tcPr>
          <w:p>
            <w:pPr>
              <w:spacing w:after="20" w:before="20"/>
            </w:pPr>
            <w:r/>
            <w:r>
              <w:rPr>
                <w:rFonts w:ascii="Consolas" w:hAnsi="Consolas"/>
                <w:b w:val="0"/>
                <w:i w:val="0"/>
                <w:color w:val="123A63"/>
                <w:sz w:val="17"/>
                <w:shd w:val="clear" w:color="auto" w:fill="EEF2F7"/>
              </w:rPr>
              <w:t>DB02</w:t>
            </w:r>
          </w:p>
        </w:tc>
      </w:tr>
      <w:tr>
        <w:trPr>
          <w:cantSplit/>
        </w:trPr>
        <w:tc>
          <w:tcPr>
            <w:tcW w:type="dxa" w:w="2120"/>
          </w:tcPr>
          <w:p>
            <w:pPr>
              <w:spacing w:after="20" w:before="20"/>
            </w:pPr>
            <w:r/>
            <w:r>
              <w:rPr>
                <w:rFonts w:ascii="Calibri" w:hAnsi="Calibri"/>
                <w:b/>
                <w:i w:val="0"/>
                <w:color w:val="334E68"/>
                <w:sz w:val="17"/>
              </w:rPr>
              <w:t>Tablespaces</w:t>
            </w:r>
          </w:p>
        </w:tc>
        <w:tc>
          <w:tcPr>
            <w:tcW w:type="dxa" w:w="5012"/>
          </w:tcPr>
          <w:p>
            <w:pPr>
              <w:spacing w:after="20" w:before="20"/>
            </w:pPr>
            <w:r/>
            <w:r>
              <w:rPr>
                <w:rFonts w:ascii="Calibri" w:hAnsi="Calibri"/>
                <w:b w:val="0"/>
                <w:i w:val="0"/>
                <w:color w:val="334E68"/>
                <w:sz w:val="17"/>
              </w:rPr>
              <w:t>Each tablespace size, free space, autoextend setting, largest objects</w:t>
            </w:r>
          </w:p>
        </w:tc>
        <w:tc>
          <w:tcPr>
            <w:tcW w:type="dxa" w:w="2506"/>
          </w:tcPr>
          <w:p>
            <w:pPr>
              <w:spacing w:after="20" w:before="20"/>
            </w:pPr>
            <w:r/>
            <w:r>
              <w:rPr>
                <w:rFonts w:ascii="Consolas" w:hAnsi="Consolas"/>
                <w:b w:val="0"/>
                <w:i w:val="0"/>
                <w:color w:val="123A63"/>
                <w:sz w:val="17"/>
                <w:shd w:val="clear" w:color="auto" w:fill="EEF2F7"/>
              </w:rPr>
              <w:t>DB02</w:t>
            </w:r>
          </w:p>
        </w:tc>
      </w:tr>
      <w:tr>
        <w:trPr>
          <w:cantSplit/>
        </w:trPr>
        <w:tc>
          <w:tcPr>
            <w:tcW w:type="dxa" w:w="2120"/>
            <w:shd w:val="clear" w:color="auto" w:fill="FAFBFD"/>
          </w:tcPr>
          <w:p>
            <w:pPr>
              <w:spacing w:after="20" w:before="20"/>
            </w:pPr>
            <w:r/>
            <w:r>
              <w:rPr>
                <w:rFonts w:ascii="Calibri" w:hAnsi="Calibri"/>
                <w:b/>
                <w:i w:val="0"/>
                <w:color w:val="334E68"/>
                <w:sz w:val="17"/>
              </w:rPr>
              <w:t>Growth</w:t>
            </w:r>
          </w:p>
        </w:tc>
        <w:tc>
          <w:tcPr>
            <w:tcW w:type="dxa" w:w="5012"/>
            <w:shd w:val="clear" w:color="auto" w:fill="FAFBFD"/>
          </w:tcPr>
          <w:p>
            <w:pPr>
              <w:spacing w:after="20" w:before="20"/>
            </w:pPr>
            <w:r/>
            <w:r>
              <w:rPr>
                <w:rFonts w:ascii="Calibri" w:hAnsi="Calibri"/>
                <w:b w:val="0"/>
                <w:i w:val="0"/>
                <w:color w:val="334E68"/>
                <w:sz w:val="17"/>
              </w:rPr>
              <w:t>Growth rate compared with the source baseline and the sizing assumption</w:t>
            </w:r>
          </w:p>
        </w:tc>
        <w:tc>
          <w:tcPr>
            <w:tcW w:type="dxa" w:w="2506"/>
            <w:shd w:val="clear" w:color="auto" w:fill="FAFBFD"/>
          </w:tcPr>
          <w:p>
            <w:pPr>
              <w:spacing w:after="20" w:before="20"/>
            </w:pPr>
            <w:r/>
            <w:r>
              <w:rPr>
                <w:rFonts w:ascii="Consolas" w:hAnsi="Consolas"/>
                <w:b w:val="0"/>
                <w:i w:val="0"/>
                <w:color w:val="123A63"/>
                <w:sz w:val="17"/>
                <w:shd w:val="clear" w:color="auto" w:fill="EEF2F7"/>
              </w:rPr>
              <w:t>DB02</w:t>
            </w:r>
            <w:r>
              <w:rPr>
                <w:rFonts w:ascii="Calibri" w:hAnsi="Calibri"/>
                <w:b w:val="0"/>
                <w:i w:val="0"/>
                <w:color w:val="334E68"/>
                <w:sz w:val="17"/>
              </w:rPr>
              <w:t>, historical reports</w:t>
            </w:r>
          </w:p>
        </w:tc>
      </w:tr>
      <w:tr>
        <w:trPr>
          <w:cantSplit/>
        </w:trPr>
        <w:tc>
          <w:tcPr>
            <w:tcW w:type="dxa" w:w="2120"/>
          </w:tcPr>
          <w:p>
            <w:pPr>
              <w:spacing w:after="20" w:before="20"/>
            </w:pPr>
            <w:r/>
            <w:r>
              <w:rPr>
                <w:rFonts w:ascii="Calibri" w:hAnsi="Calibri"/>
                <w:b/>
                <w:i w:val="0"/>
                <w:color w:val="334E68"/>
                <w:sz w:val="17"/>
              </w:rPr>
              <w:t>Latest successful backup</w:t>
            </w:r>
          </w:p>
        </w:tc>
        <w:tc>
          <w:tcPr>
            <w:tcW w:type="dxa" w:w="5012"/>
          </w:tcPr>
          <w:p>
            <w:pPr>
              <w:spacing w:after="20" w:before="20"/>
            </w:pPr>
            <w:r/>
            <w:r>
              <w:rPr>
                <w:rFonts w:ascii="Calibri" w:hAnsi="Calibri"/>
                <w:b w:val="0"/>
                <w:i w:val="0"/>
                <w:color w:val="334E68"/>
                <w:sz w:val="17"/>
              </w:rPr>
              <w:t>Timestamp, type, duration, size, and that it is on the intended target</w:t>
            </w:r>
          </w:p>
        </w:tc>
        <w:tc>
          <w:tcPr>
            <w:tcW w:type="dxa" w:w="2506"/>
          </w:tcPr>
          <w:p>
            <w:pPr>
              <w:spacing w:after="20" w:before="20"/>
            </w:pPr>
            <w:r/>
            <w:r>
              <w:rPr>
                <w:rFonts w:ascii="Calibri" w:hAnsi="Calibri"/>
                <w:b w:val="0"/>
                <w:i w:val="0"/>
                <w:color w:val="334E68"/>
                <w:sz w:val="17"/>
              </w:rPr>
              <w:t xml:space="preserve">Backup tool / </w:t>
            </w:r>
            <w:r>
              <w:rPr>
                <w:rFonts w:ascii="Consolas" w:hAnsi="Consolas"/>
                <w:b w:val="0"/>
                <w:i w:val="0"/>
                <w:color w:val="123A63"/>
                <w:sz w:val="17"/>
                <w:shd w:val="clear" w:color="auto" w:fill="EEF2F7"/>
              </w:rPr>
              <w:t>DB02</w:t>
            </w:r>
          </w:p>
        </w:tc>
      </w:tr>
      <w:tr>
        <w:trPr>
          <w:cantSplit/>
        </w:trPr>
        <w:tc>
          <w:tcPr>
            <w:tcW w:type="dxa" w:w="2120"/>
            <w:shd w:val="clear" w:color="auto" w:fill="FAFBFD"/>
          </w:tcPr>
          <w:p>
            <w:pPr>
              <w:spacing w:after="20" w:before="20"/>
            </w:pPr>
            <w:r/>
            <w:r>
              <w:rPr>
                <w:rFonts w:ascii="Calibri" w:hAnsi="Calibri"/>
                <w:b/>
                <w:i w:val="0"/>
                <w:color w:val="334E68"/>
                <w:sz w:val="17"/>
              </w:rPr>
              <w:t>Backup history</w:t>
            </w:r>
          </w:p>
        </w:tc>
        <w:tc>
          <w:tcPr>
            <w:tcW w:type="dxa" w:w="5012"/>
            <w:shd w:val="clear" w:color="auto" w:fill="FAFBFD"/>
          </w:tcPr>
          <w:p>
            <w:pPr>
              <w:spacing w:after="20" w:before="20"/>
            </w:pPr>
            <w:r/>
            <w:r>
              <w:rPr>
                <w:rFonts w:ascii="Calibri" w:hAnsi="Calibri"/>
                <w:b w:val="0"/>
                <w:i w:val="0"/>
                <w:color w:val="334E68"/>
                <w:sz w:val="17"/>
              </w:rPr>
              <w:t>Sequence complete, no gaps, retention as designed</w:t>
            </w:r>
          </w:p>
        </w:tc>
        <w:tc>
          <w:tcPr>
            <w:tcW w:type="dxa" w:w="2506"/>
            <w:shd w:val="clear" w:color="auto" w:fill="FAFBFD"/>
          </w:tcPr>
          <w:p>
            <w:pPr>
              <w:spacing w:after="20" w:before="20"/>
            </w:pPr>
            <w:r/>
            <w:r>
              <w:rPr>
                <w:rFonts w:ascii="Calibri" w:hAnsi="Calibri"/>
                <w:b w:val="0"/>
                <w:i w:val="0"/>
                <w:color w:val="334E68"/>
                <w:sz w:val="17"/>
              </w:rPr>
              <w:t>Backup catalogue</w:t>
            </w:r>
          </w:p>
        </w:tc>
      </w:tr>
      <w:tr>
        <w:trPr>
          <w:cantSplit/>
        </w:trPr>
        <w:tc>
          <w:tcPr>
            <w:tcW w:type="dxa" w:w="2120"/>
          </w:tcPr>
          <w:p>
            <w:pPr>
              <w:spacing w:after="20" w:before="20"/>
            </w:pPr>
            <w:r/>
            <w:r>
              <w:rPr>
                <w:rFonts w:ascii="Calibri" w:hAnsi="Calibri"/>
                <w:b/>
                <w:i w:val="0"/>
                <w:color w:val="334E68"/>
                <w:sz w:val="17"/>
              </w:rPr>
              <w:t>Redo / archive log status</w:t>
            </w:r>
          </w:p>
        </w:tc>
        <w:tc>
          <w:tcPr>
            <w:tcW w:type="dxa" w:w="5012"/>
          </w:tcPr>
          <w:p>
            <w:pPr>
              <w:spacing w:after="20" w:before="20"/>
            </w:pPr>
            <w:r/>
            <w:r>
              <w:rPr>
                <w:rFonts w:ascii="Calibri" w:hAnsi="Calibri"/>
                <w:b w:val="0"/>
                <w:i w:val="0"/>
                <w:color w:val="334E68"/>
                <w:sz w:val="17"/>
              </w:rPr>
              <w:t>Archive destination reachable, no log-switch stalls, archiver running</w:t>
            </w:r>
          </w:p>
        </w:tc>
        <w:tc>
          <w:tcPr>
            <w:tcW w:type="dxa" w:w="2506"/>
          </w:tcPr>
          <w:p>
            <w:pPr>
              <w:spacing w:after="20" w:before="20"/>
            </w:pPr>
            <w:r/>
            <w:r>
              <w:rPr>
                <w:rFonts w:ascii="Calibri" w:hAnsi="Calibri"/>
                <w:b w:val="0"/>
                <w:i w:val="0"/>
                <w:color w:val="334E68"/>
                <w:sz w:val="17"/>
              </w:rPr>
              <w:t>DB log mode and archive status</w:t>
            </w:r>
          </w:p>
        </w:tc>
      </w:tr>
      <w:tr>
        <w:trPr>
          <w:cantSplit/>
        </w:trPr>
        <w:tc>
          <w:tcPr>
            <w:tcW w:type="dxa" w:w="2120"/>
            <w:shd w:val="clear" w:color="auto" w:fill="FAFBFD"/>
          </w:tcPr>
          <w:p>
            <w:pPr>
              <w:spacing w:after="20" w:before="20"/>
            </w:pPr>
            <w:r/>
            <w:r>
              <w:rPr>
                <w:rFonts w:ascii="Calibri" w:hAnsi="Calibri"/>
                <w:b/>
                <w:i w:val="0"/>
                <w:color w:val="334E68"/>
                <w:sz w:val="17"/>
              </w:rPr>
              <w:t>Recovery considerations</w:t>
            </w:r>
          </w:p>
        </w:tc>
        <w:tc>
          <w:tcPr>
            <w:tcW w:type="dxa" w:w="5012"/>
            <w:shd w:val="clear" w:color="auto" w:fill="FAFBFD"/>
          </w:tcPr>
          <w:p>
            <w:pPr>
              <w:spacing w:after="20" w:before="20"/>
            </w:pPr>
            <w:r/>
            <w:r>
              <w:rPr>
                <w:rFonts w:ascii="Calibri" w:hAnsi="Calibri"/>
                <w:b w:val="0"/>
                <w:i w:val="0"/>
                <w:color w:val="334E68"/>
                <w:sz w:val="17"/>
              </w:rPr>
              <w:t>Point-in-time recovery possible; restore path and required files verified</w:t>
            </w:r>
          </w:p>
        </w:tc>
        <w:tc>
          <w:tcPr>
            <w:tcW w:type="dxa" w:w="2506"/>
            <w:shd w:val="clear" w:color="auto" w:fill="FAFBFD"/>
          </w:tcPr>
          <w:p>
            <w:pPr>
              <w:spacing w:after="20" w:before="20"/>
            </w:pPr>
            <w:r/>
            <w:r>
              <w:rPr>
                <w:rFonts w:ascii="Calibri" w:hAnsi="Calibri"/>
                <w:b w:val="0"/>
                <w:i w:val="0"/>
                <w:color w:val="334E68"/>
                <w:sz w:val="17"/>
              </w:rPr>
              <w:t>Recovery test record</w:t>
            </w:r>
          </w:p>
        </w:tc>
      </w:tr>
    </w:tbl>
    <w:p>
      <w:pPr>
        <w:spacing w:after="40"/>
      </w:pPr>
    </w:p>
    <w:p>
      <w:pPr>
        <w:spacing w:before="180" w:after="40"/>
        <w:shd w:val="clear" w:color="auto" w:fill="FFFDF5"/>
        <w:pBdr>
          <w:left w:val="single" w:sz="6" w:space="6" w:color="D9A520"/>
          <w:top w:val="single" w:sz="6" w:space="6" w:color="D9A520"/>
          <w:right w:val="single" w:sz="6" w:space="6" w:color="D9A520"/>
        </w:pBdr>
        <w:keepNext/>
      </w:pPr>
      <w:r>
        <w:rPr>
          <w:rFonts w:ascii="Calibri" w:hAnsi="Calibri"/>
          <w:b/>
          <w:color w:val="D9A520"/>
          <w:sz w:val="16"/>
        </w:rPr>
        <w:t>A GREEN DATABASE IS NOT A VALIDATED DATABASE</w:t>
      </w:r>
    </w:p>
    <w:p>
      <w:pPr>
        <w:spacing w:after="40"/>
        <w:ind w:left="170"/>
        <w:shd w:val="clear" w:color="auto" w:fill="FFFDF5"/>
        <w:pBdr>
          <w:left w:val="single" w:sz="6" w:space="6" w:color="D9A520"/>
          <w:bottom w:val="single" w:sz="6" w:space="6" w:color="D9A520"/>
          <w:right w:val="single" w:sz="6" w:space="6" w:color="D9A520"/>
        </w:pBdr>
      </w:pPr>
      <w:r>
        <w:rPr>
          <w:rFonts w:ascii="Calibri" w:hAnsi="Calibri"/>
          <w:b w:val="0"/>
          <w:i w:val="0"/>
          <w:color w:val="334E68"/>
          <w:sz w:val="18"/>
        </w:rPr>
        <w:t>Compare sizes and object counts with the source baseline. A recovery that completes but silently misses a tablespace, or a log archive destination that is full, will not show up as an error at start-up — it shows up as an incident two weeks into hypercare.</w:t>
      </w:r>
    </w:p>
    <w:p>
      <w:pPr>
        <w:pStyle w:val="Heading2"/>
        <w:pBdr>
          <w:bottom w:val="single" w:sz="6" w:space="3" w:color="E8EDF3"/>
        </w:pBdr>
      </w:pPr>
      <w:r>
        <w:rPr>
          <w:rFonts w:ascii="Calibri" w:hAnsi="Calibri"/>
          <w:b/>
          <w:color w:val="0F2B4C"/>
          <w:sz w:val="26"/>
        </w:rPr>
        <w:t>7.5  Handling deviations found during validation</w:t>
      </w:r>
    </w:p>
    <w:p>
      <w:pPr>
        <w:spacing w:after="40"/>
        <w:ind w:left="578" w:hanging="227"/>
      </w:pPr>
      <w:r>
        <w:rPr>
          <w:rFonts w:ascii="Calibri" w:hAnsi="Calibri"/>
          <w:b/>
          <w:color w:val="0F2B4C"/>
          <w:sz w:val="19"/>
        </w:rPr>
        <w:t xml:space="preserve">1.  </w:t>
      </w:r>
      <w:r>
        <w:rPr>
          <w:rFonts w:ascii="Calibri" w:hAnsi="Calibri"/>
          <w:b w:val="0"/>
          <w:i w:val="0"/>
          <w:color w:val="334E68"/>
          <w:sz w:val="19"/>
        </w:rPr>
        <w:t>Record the deviation immediately: what was expected, what was found, and the evidence for both.</w:t>
      </w:r>
    </w:p>
    <w:p>
      <w:pPr>
        <w:spacing w:after="40"/>
        <w:ind w:left="578" w:hanging="227"/>
      </w:pPr>
      <w:r>
        <w:rPr>
          <w:rFonts w:ascii="Calibri" w:hAnsi="Calibri"/>
          <w:b/>
          <w:color w:val="0F2B4C"/>
          <w:sz w:val="19"/>
        </w:rPr>
        <w:t xml:space="preserve">2.  </w:t>
      </w:r>
      <w:r>
        <w:rPr>
          <w:rFonts w:ascii="Calibri" w:hAnsi="Calibri"/>
          <w:b w:val="0"/>
          <w:i w:val="0"/>
          <w:color w:val="334E68"/>
          <w:sz w:val="19"/>
        </w:rPr>
        <w:t>Classify it: configuration drift, migration defect, pre-existing condition, or an intentional approved difference.</w:t>
      </w:r>
    </w:p>
    <w:p>
      <w:pPr>
        <w:spacing w:after="40"/>
        <w:ind w:left="578" w:hanging="227"/>
      </w:pPr>
      <w:r>
        <w:rPr>
          <w:rFonts w:ascii="Calibri" w:hAnsi="Calibri"/>
          <w:b/>
          <w:color w:val="0F2B4C"/>
          <w:sz w:val="19"/>
        </w:rPr>
        <w:t xml:space="preserve">3.  </w:t>
      </w:r>
      <w:r>
        <w:rPr>
          <w:rFonts w:ascii="Calibri" w:hAnsi="Calibri"/>
          <w:b w:val="0"/>
          <w:i w:val="0"/>
          <w:color w:val="334E68"/>
          <w:sz w:val="19"/>
        </w:rPr>
        <w:t>Assign it to the responsible team and owner — do not carry an unowned deviation into the cutover gate.</w:t>
      </w:r>
    </w:p>
    <w:p>
      <w:pPr>
        <w:spacing w:after="40"/>
        <w:ind w:left="578" w:hanging="227"/>
      </w:pPr>
      <w:r>
        <w:rPr>
          <w:rFonts w:ascii="Calibri" w:hAnsi="Calibri"/>
          <w:b/>
          <w:color w:val="0F2B4C"/>
          <w:sz w:val="19"/>
        </w:rPr>
        <w:t xml:space="preserve">4.  </w:t>
      </w:r>
      <w:r>
        <w:rPr>
          <w:rFonts w:ascii="Calibri" w:hAnsi="Calibri"/>
          <w:b w:val="0"/>
          <w:i w:val="0"/>
          <w:color w:val="334E68"/>
          <w:sz w:val="19"/>
        </w:rPr>
        <w:t>Correct it through the approved change route.</w:t>
      </w:r>
    </w:p>
    <w:p>
      <w:pPr>
        <w:spacing w:after="40"/>
        <w:ind w:left="578" w:hanging="227"/>
      </w:pPr>
      <w:r>
        <w:rPr>
          <w:rFonts w:ascii="Calibri" w:hAnsi="Calibri"/>
          <w:b/>
          <w:color w:val="0F2B4C"/>
          <w:sz w:val="19"/>
        </w:rPr>
        <w:t xml:space="preserve">5.  </w:t>
      </w:r>
      <w:r>
        <w:rPr>
          <w:rFonts w:ascii="Calibri" w:hAnsi="Calibri"/>
          <w:b w:val="0"/>
          <w:i w:val="0"/>
          <w:color w:val="334E68"/>
          <w:sz w:val="19"/>
        </w:rPr>
        <w:t>Retest the specific check, not just the fix.</w:t>
      </w:r>
    </w:p>
    <w:p>
      <w:pPr>
        <w:spacing w:after="40"/>
        <w:ind w:left="578" w:hanging="227"/>
      </w:pPr>
      <w:r>
        <w:rPr>
          <w:rFonts w:ascii="Calibri" w:hAnsi="Calibri"/>
          <w:b/>
          <w:color w:val="0F2B4C"/>
          <w:sz w:val="19"/>
        </w:rPr>
        <w:t xml:space="preserve">6.  </w:t>
      </w:r>
      <w:r>
        <w:rPr>
          <w:rFonts w:ascii="Calibri" w:hAnsi="Calibri"/>
          <w:b w:val="0"/>
          <w:i w:val="0"/>
          <w:color w:val="334E68"/>
          <w:sz w:val="19"/>
        </w:rPr>
        <w:t>Re-capture the evidence and close the item with a reference to the change record.</w:t>
      </w:r>
    </w:p>
    <w:p>
      <w:r>
        <w:br w:type="page"/>
      </w:r>
    </w:p>
    <w:p>
      <w:pPr>
        <w:spacing w:after="20"/>
      </w:pPr>
      <w:r>
        <w:rPr>
          <w:rFonts w:ascii="Calibri" w:hAnsi="Calibri"/>
          <w:b/>
          <w:color w:val="1B4F86"/>
          <w:sz w:val="16"/>
        </w:rPr>
        <w:t>MODULE 5 · SECTION 8</w:t>
      </w:r>
    </w:p>
    <w:p>
      <w:pPr>
        <w:pStyle w:val="Heading1"/>
        <w:pBdr>
          <w:bottom w:val="single" w:sz="12" w:space="5" w:color="1B4F86"/>
        </w:pBdr>
        <w:spacing w:after="160"/>
      </w:pPr>
      <w:r>
        <w:rPr>
          <w:rFonts w:ascii="Calibri Light" w:hAnsi="Calibri Light"/>
          <w:b/>
          <w:color w:val="0F2B4C"/>
          <w:sz w:val="38"/>
        </w:rPr>
        <w:t>8  Module 5 — Performance monitoring and troubleshooting</w:t>
      </w:r>
    </w:p>
    <w:p>
      <w:pPr>
        <w:spacing w:after="200"/>
      </w:pPr>
      <w:r>
        <w:rPr>
          <w:rFonts w:ascii="Calibri" w:hAnsi="Calibri"/>
          <w:i/>
          <w:color w:val="5B7288"/>
          <w:sz w:val="21"/>
        </w:rPr>
        <w:t>Performance work after a migration is comparison work. The pre-migration baseline turns a subjective complaint into a measurable delta, and the triage path keeps you from changing parameters before you understand the cause.</w:t>
      </w:r>
    </w:p>
    <w:p>
      <w:pPr>
        <w:spacing w:before="160" w:after="80"/>
        <w:jc w:val="center"/>
        <w:keepNext/>
      </w:pPr>
      <w:r>
        <w:drawing>
          <wp:inline xmlns:a="http://schemas.openxmlformats.org/drawingml/2006/main" xmlns:pic="http://schemas.openxmlformats.org/drawingml/2006/picture">
            <wp:extent cx="6083999" cy="3506749"/>
            <wp:docPr id="5" name="Picture 5"/>
            <wp:cNvGraphicFramePr>
              <a:graphicFrameLocks noChangeAspect="1"/>
            </wp:cNvGraphicFramePr>
            <a:graphic>
              <a:graphicData uri="http://schemas.openxmlformats.org/drawingml/2006/picture">
                <pic:pic>
                  <pic:nvPicPr>
                    <pic:cNvPr id="0" name="d7-performance.png"/>
                    <pic:cNvPicPr/>
                  </pic:nvPicPr>
                  <pic:blipFill>
                    <a:blip r:embed="rId15"/>
                    <a:stretch>
                      <a:fillRect/>
                    </a:stretch>
                  </pic:blipFill>
                  <pic:spPr>
                    <a:xfrm>
                      <a:off x="0" y="0"/>
                      <a:ext cx="6083999" cy="3506749"/>
                    </a:xfrm>
                    <a:prstGeom prst="rect"/>
                  </pic:spPr>
                </pic:pic>
              </a:graphicData>
            </a:graphic>
          </wp:inline>
        </w:drawing>
      </w:r>
    </w:p>
    <w:p>
      <w:pPr>
        <w:spacing w:after="240"/>
      </w:pPr>
      <w:r>
        <w:rPr>
          <w:rFonts w:ascii="Calibri" w:hAnsi="Calibri"/>
          <w:i/>
          <w:color w:val="5B7288"/>
          <w:sz w:val="17"/>
        </w:rPr>
        <w:t>Figure 7. Left: the SAP memory escalation described in the training — extended memory is consumed first, and when it is exhausted work processes move into heap/private memory. Right: the top-down triage path from workload statistics to a root-cause fix with the owning team.</w:t>
      </w:r>
    </w:p>
    <w:p>
      <w:pPr>
        <w:pStyle w:val="Heading2"/>
        <w:pBdr>
          <w:bottom w:val="single" w:sz="6" w:space="3" w:color="E8EDF3"/>
        </w:pBdr>
      </w:pPr>
      <w:r>
        <w:rPr>
          <w:rFonts w:ascii="Calibri" w:hAnsi="Calibri"/>
          <w:b/>
          <w:color w:val="0F2B4C"/>
          <w:sz w:val="26"/>
        </w:rPr>
        <w:t>8.1  ST02 — memory monitoring</w:t>
      </w:r>
    </w:p>
    <w:p>
      <w:pPr>
        <w:spacing w:after="60" w:before="160"/>
        <w:keepNext/>
      </w:pPr>
      <w:r>
        <w:rPr>
          <w:rFonts w:ascii="Calibri" w:hAnsi="Calibri"/>
          <w:b/>
          <w:color w:val="5B7288"/>
          <w:sz w:val="15"/>
        </w:rPr>
        <w:t>ST02 MEMORY AREAS</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1928"/>
        <w:gridCol w:w="4048"/>
        <w:gridCol w:w="3662"/>
      </w:tblGrid>
      <w:tr>
        <w:trPr>
          <w:tblHeader/>
          <w:cantSplit/>
        </w:trPr>
        <w:tc>
          <w:tcPr>
            <w:tcW w:type="dxa" w:w="1928"/>
            <w:shd w:val="clear" w:color="auto" w:fill="0F2B4C"/>
          </w:tcPr>
          <w:p>
            <w:pPr>
              <w:spacing w:after="20" w:before="20"/>
            </w:pPr>
            <w:r/>
            <w:r>
              <w:rPr>
                <w:rFonts w:ascii="Calibri" w:hAnsi="Calibri"/>
                <w:b/>
                <w:color w:val="FFFFFF"/>
                <w:sz w:val="17"/>
              </w:rPr>
              <w:t>Memory area</w:t>
            </w:r>
          </w:p>
        </w:tc>
        <w:tc>
          <w:tcPr>
            <w:tcW w:type="dxa" w:w="4048"/>
            <w:shd w:val="clear" w:color="auto" w:fill="0F2B4C"/>
          </w:tcPr>
          <w:p>
            <w:pPr>
              <w:spacing w:after="20" w:before="20"/>
            </w:pPr>
            <w:r/>
            <w:r>
              <w:rPr>
                <w:rFonts w:ascii="Calibri" w:hAnsi="Calibri"/>
                <w:b/>
                <w:color w:val="FFFFFF"/>
                <w:sz w:val="17"/>
              </w:rPr>
              <w:t>What it is</w:t>
            </w:r>
          </w:p>
        </w:tc>
        <w:tc>
          <w:tcPr>
            <w:tcW w:type="dxa" w:w="3662"/>
            <w:shd w:val="clear" w:color="auto" w:fill="0F2B4C"/>
          </w:tcPr>
          <w:p>
            <w:pPr>
              <w:spacing w:after="20" w:before="20"/>
            </w:pPr>
            <w:r/>
            <w:r>
              <w:rPr>
                <w:rFonts w:ascii="Calibri" w:hAnsi="Calibri"/>
                <w:b/>
                <w:color w:val="FFFFFF"/>
                <w:sz w:val="17"/>
              </w:rPr>
              <w:t>What to watch</w:t>
            </w:r>
          </w:p>
        </w:tc>
      </w:tr>
      <w:tr>
        <w:trPr>
          <w:cantSplit/>
        </w:trPr>
        <w:tc>
          <w:tcPr>
            <w:tcW w:type="dxa" w:w="1928"/>
          </w:tcPr>
          <w:p>
            <w:pPr>
              <w:spacing w:after="20" w:before="20"/>
            </w:pPr>
            <w:r/>
            <w:r>
              <w:rPr>
                <w:rFonts w:ascii="Calibri" w:hAnsi="Calibri"/>
                <w:b/>
                <w:i w:val="0"/>
                <w:color w:val="334E68"/>
                <w:sz w:val="17"/>
              </w:rPr>
              <w:t>Extended memory (EM)</w:t>
            </w:r>
          </w:p>
        </w:tc>
        <w:tc>
          <w:tcPr>
            <w:tcW w:type="dxa" w:w="4048"/>
          </w:tcPr>
          <w:p>
            <w:pPr>
              <w:spacing w:after="20" w:before="20"/>
            </w:pPr>
            <w:r/>
            <w:r>
              <w:rPr>
                <w:rFonts w:ascii="Calibri" w:hAnsi="Calibri"/>
                <w:b w:val="0"/>
                <w:i w:val="0"/>
                <w:color w:val="334E68"/>
                <w:sz w:val="17"/>
              </w:rPr>
              <w:t>Shared memory used first for user context; allocated per instance</w:t>
            </w:r>
          </w:p>
        </w:tc>
        <w:tc>
          <w:tcPr>
            <w:tcW w:type="dxa" w:w="3662"/>
          </w:tcPr>
          <w:p>
            <w:pPr>
              <w:spacing w:after="20" w:before="20"/>
            </w:pPr>
            <w:r/>
            <w:r>
              <w:rPr>
                <w:rFonts w:ascii="Calibri" w:hAnsi="Calibri"/>
                <w:b w:val="0"/>
                <w:i w:val="0"/>
                <w:color w:val="334E68"/>
                <w:sz w:val="17"/>
              </w:rPr>
              <w:t>Max, used and free; whether processes are being pushed out of EM</w:t>
            </w:r>
          </w:p>
        </w:tc>
      </w:tr>
      <w:tr>
        <w:trPr>
          <w:cantSplit/>
        </w:trPr>
        <w:tc>
          <w:tcPr>
            <w:tcW w:type="dxa" w:w="1928"/>
            <w:shd w:val="clear" w:color="auto" w:fill="FAFBFD"/>
          </w:tcPr>
          <w:p>
            <w:pPr>
              <w:spacing w:after="20" w:before="20"/>
            </w:pPr>
            <w:r/>
            <w:r>
              <w:rPr>
                <w:rFonts w:ascii="Calibri" w:hAnsi="Calibri"/>
                <w:b/>
                <w:i w:val="0"/>
                <w:color w:val="334E68"/>
                <w:sz w:val="17"/>
              </w:rPr>
              <w:t>Heap / private memory</w:t>
            </w:r>
          </w:p>
        </w:tc>
        <w:tc>
          <w:tcPr>
            <w:tcW w:type="dxa" w:w="4048"/>
            <w:shd w:val="clear" w:color="auto" w:fill="FAFBFD"/>
          </w:tcPr>
          <w:p>
            <w:pPr>
              <w:spacing w:after="20" w:before="20"/>
            </w:pPr>
            <w:r/>
            <w:r>
              <w:rPr>
                <w:rFonts w:ascii="Calibri" w:hAnsi="Calibri"/>
                <w:b w:val="0"/>
                <w:i w:val="0"/>
                <w:color w:val="334E68"/>
                <w:sz w:val="17"/>
              </w:rPr>
              <w:t>Process-private memory used when EM is exhausted; the process mode becomes PRIVATE</w:t>
            </w:r>
          </w:p>
        </w:tc>
        <w:tc>
          <w:tcPr>
            <w:tcW w:type="dxa" w:w="3662"/>
            <w:shd w:val="clear" w:color="auto" w:fill="FAFBFD"/>
          </w:tcPr>
          <w:p>
            <w:pPr>
              <w:spacing w:after="20" w:before="20"/>
            </w:pPr>
            <w:r/>
            <w:r>
              <w:rPr>
                <w:rFonts w:ascii="Calibri" w:hAnsi="Calibri"/>
                <w:b w:val="0"/>
                <w:i w:val="0"/>
                <w:color w:val="334E68"/>
                <w:sz w:val="17"/>
              </w:rPr>
              <w:t>Frequency and duration of PRIVATE mode — a strong signal of under-allocation or a memory leak</w:t>
            </w:r>
          </w:p>
        </w:tc>
      </w:tr>
      <w:tr>
        <w:trPr>
          <w:cantSplit/>
        </w:trPr>
        <w:tc>
          <w:tcPr>
            <w:tcW w:type="dxa" w:w="1928"/>
          </w:tcPr>
          <w:p>
            <w:pPr>
              <w:spacing w:after="20" w:before="20"/>
            </w:pPr>
            <w:r/>
            <w:r>
              <w:rPr>
                <w:rFonts w:ascii="Calibri" w:hAnsi="Calibri"/>
                <w:b/>
                <w:i w:val="0"/>
                <w:color w:val="334E68"/>
                <w:sz w:val="17"/>
              </w:rPr>
              <w:t>Roll memory / roll area</w:t>
            </w:r>
          </w:p>
        </w:tc>
        <w:tc>
          <w:tcPr>
            <w:tcW w:type="dxa" w:w="4048"/>
          </w:tcPr>
          <w:p>
            <w:pPr>
              <w:spacing w:after="20" w:before="20"/>
            </w:pPr>
            <w:r/>
            <w:r>
              <w:rPr>
                <w:rFonts w:ascii="Calibri" w:hAnsi="Calibri"/>
                <w:b w:val="0"/>
                <w:i w:val="0"/>
                <w:color w:val="334E68"/>
                <w:sz w:val="17"/>
              </w:rPr>
              <w:t>Per work process area holding rolled user context</w:t>
            </w:r>
          </w:p>
        </w:tc>
        <w:tc>
          <w:tcPr>
            <w:tcW w:type="dxa" w:w="3662"/>
          </w:tcPr>
          <w:p>
            <w:pPr>
              <w:spacing w:after="20" w:before="20"/>
            </w:pPr>
            <w:r/>
            <w:r>
              <w:rPr>
                <w:rFonts w:ascii="Calibri" w:hAnsi="Calibri"/>
                <w:b w:val="0"/>
                <w:i w:val="0"/>
                <w:color w:val="334E68"/>
                <w:sz w:val="17"/>
              </w:rPr>
              <w:t>Roll-in/roll-out activity and whether the roll area is a bottleneck</w:t>
            </w:r>
          </w:p>
        </w:tc>
      </w:tr>
      <w:tr>
        <w:trPr>
          <w:cantSplit/>
        </w:trPr>
        <w:tc>
          <w:tcPr>
            <w:tcW w:type="dxa" w:w="1928"/>
            <w:shd w:val="clear" w:color="auto" w:fill="FAFBFD"/>
          </w:tcPr>
          <w:p>
            <w:pPr>
              <w:spacing w:after="20" w:before="20"/>
            </w:pPr>
            <w:r/>
            <w:r>
              <w:rPr>
                <w:rFonts w:ascii="Calibri" w:hAnsi="Calibri"/>
                <w:b/>
                <w:i w:val="0"/>
                <w:color w:val="334E68"/>
                <w:sz w:val="17"/>
              </w:rPr>
              <w:t>Paging memory</w:t>
            </w:r>
          </w:p>
        </w:tc>
        <w:tc>
          <w:tcPr>
            <w:tcW w:type="dxa" w:w="4048"/>
            <w:shd w:val="clear" w:color="auto" w:fill="FAFBFD"/>
          </w:tcPr>
          <w:p>
            <w:pPr>
              <w:spacing w:after="20" w:before="20"/>
            </w:pPr>
            <w:r/>
            <w:r>
              <w:rPr>
                <w:rFonts w:ascii="Calibri" w:hAnsi="Calibri"/>
                <w:b w:val="0"/>
                <w:i w:val="0"/>
                <w:color w:val="334E68"/>
                <w:sz w:val="17"/>
              </w:rPr>
              <w:t>Paged user context (paging area / swaps)</w:t>
            </w:r>
          </w:p>
        </w:tc>
        <w:tc>
          <w:tcPr>
            <w:tcW w:type="dxa" w:w="3662"/>
            <w:shd w:val="clear" w:color="auto" w:fill="FAFBFD"/>
          </w:tcPr>
          <w:p>
            <w:pPr>
              <w:spacing w:after="20" w:before="20"/>
            </w:pPr>
            <w:r/>
            <w:r>
              <w:rPr>
                <w:rFonts w:ascii="Calibri" w:hAnsi="Calibri"/>
                <w:b w:val="0"/>
                <w:i w:val="0"/>
                <w:color w:val="334E68"/>
                <w:sz w:val="17"/>
              </w:rPr>
              <w:t>Swaps and paging rate; high paging means context is being thrown away and rebuilt</w:t>
            </w:r>
          </w:p>
        </w:tc>
      </w:tr>
      <w:tr>
        <w:trPr>
          <w:cantSplit/>
        </w:trPr>
        <w:tc>
          <w:tcPr>
            <w:tcW w:type="dxa" w:w="1928"/>
          </w:tcPr>
          <w:p>
            <w:pPr>
              <w:spacing w:after="20" w:before="20"/>
            </w:pPr>
            <w:r/>
            <w:r>
              <w:rPr>
                <w:rFonts w:ascii="Calibri" w:hAnsi="Calibri"/>
                <w:b/>
                <w:i w:val="0"/>
                <w:color w:val="334E68"/>
                <w:sz w:val="17"/>
              </w:rPr>
              <w:t>Buffer memory</w:t>
            </w:r>
          </w:p>
        </w:tc>
        <w:tc>
          <w:tcPr>
            <w:tcW w:type="dxa" w:w="4048"/>
          </w:tcPr>
          <w:p>
            <w:pPr>
              <w:spacing w:after="20" w:before="20"/>
            </w:pPr>
            <w:r/>
            <w:r>
              <w:rPr>
                <w:rFonts w:ascii="Calibri" w:hAnsi="Calibri"/>
                <w:b w:val="0"/>
                <w:i w:val="0"/>
                <w:color w:val="334E68"/>
                <w:sz w:val="17"/>
              </w:rPr>
              <w:t>Program buffer, single record buffer, table buffer, export/import buffer</w:t>
            </w:r>
          </w:p>
        </w:tc>
        <w:tc>
          <w:tcPr>
            <w:tcW w:type="dxa" w:w="3662"/>
          </w:tcPr>
          <w:p>
            <w:pPr>
              <w:spacing w:after="20" w:before="20"/>
            </w:pPr>
            <w:r/>
            <w:r>
              <w:rPr>
                <w:rFonts w:ascii="Calibri" w:hAnsi="Calibri"/>
                <w:b w:val="0"/>
                <w:i w:val="0"/>
                <w:color w:val="334E68"/>
                <w:sz w:val="17"/>
              </w:rPr>
              <w:t>Utilisation and hit ratio per buffer; low hit ratio with high reads means sizing or access-pattern problems</w:t>
            </w:r>
          </w:p>
        </w:tc>
      </w:tr>
    </w:tbl>
    <w:p>
      <w:pPr>
        <w:spacing w:after="40"/>
      </w:pPr>
    </w:p>
    <w:p>
      <w:r>
        <w:rPr>
          <w:rFonts w:ascii="Calibri" w:hAnsi="Calibri"/>
          <w:b w:val="0"/>
          <w:i w:val="0"/>
          <w:color w:val="334E68"/>
          <w:sz w:val="20"/>
        </w:rPr>
        <w:t xml:space="preserve">For each area record </w:t>
      </w:r>
      <w:r>
        <w:rPr>
          <w:rFonts w:ascii="Calibri" w:hAnsi="Calibri"/>
          <w:b/>
          <w:i w:val="0"/>
          <w:color w:val="334E68"/>
          <w:sz w:val="20"/>
        </w:rPr>
        <w:t>available, used and free</w:t>
      </w:r>
      <w:r>
        <w:rPr>
          <w:rFonts w:ascii="Calibri" w:hAnsi="Calibri"/>
          <w:b w:val="0"/>
          <w:i w:val="0"/>
          <w:color w:val="334E68"/>
          <w:sz w:val="20"/>
        </w:rPr>
        <w:t>, plus buffer utilisation and hit ratio, so the target can be compared with the source snapshot rather than judged in isolation.</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MEMORY TROUBLESHOOTING PRINCIPLE</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 xml:space="preserve">The training described the general relationship as: </w:t>
      </w:r>
      <w:r>
        <w:rPr>
          <w:rFonts w:ascii="Calibri" w:hAnsi="Calibri"/>
          <w:b/>
          <w:i w:val="0"/>
          <w:color w:val="334E68"/>
          <w:sz w:val="18"/>
        </w:rPr>
        <w:t>Extended Memory → if exhausted → Heap/Private Memory</w:t>
      </w:r>
      <w:r>
        <w:rPr>
          <w:rFonts w:ascii="Calibri" w:hAnsi="Calibri"/>
          <w:b w:val="0"/>
          <w:i w:val="0"/>
          <w:color w:val="334E68"/>
          <w:sz w:val="18"/>
        </w:rPr>
        <w:t>. Investigate the cause rather than simply increasing memory. A parameter increase hides the symptom and can move the failure somewhere worse — for example into OS swapping or an OOM condition.</w:t>
      </w:r>
    </w:p>
    <w:p>
      <w:pPr>
        <w:spacing w:after="60" w:before="160"/>
        <w:keepNext/>
      </w:pPr>
      <w:r>
        <w:rPr>
          <w:rFonts w:ascii="Calibri" w:hAnsi="Calibri"/>
          <w:b/>
          <w:color w:val="5B7288"/>
          <w:sz w:val="15"/>
        </w:rPr>
        <w:t>MEMORY SYMPTOM TABLE</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506"/>
        <w:gridCol w:w="4241"/>
        <w:gridCol w:w="2891"/>
      </w:tblGrid>
      <w:tr>
        <w:trPr>
          <w:tblHeader/>
          <w:cantSplit/>
        </w:trPr>
        <w:tc>
          <w:tcPr>
            <w:tcW w:type="dxa" w:w="2506"/>
            <w:shd w:val="clear" w:color="auto" w:fill="0F2B4C"/>
          </w:tcPr>
          <w:p>
            <w:pPr>
              <w:spacing w:after="20" w:before="20"/>
            </w:pPr>
            <w:r/>
            <w:r>
              <w:rPr>
                <w:rFonts w:ascii="Calibri" w:hAnsi="Calibri"/>
                <w:b/>
                <w:color w:val="FFFFFF"/>
                <w:sz w:val="17"/>
              </w:rPr>
              <w:t>Symptom</w:t>
            </w:r>
          </w:p>
        </w:tc>
        <w:tc>
          <w:tcPr>
            <w:tcW w:type="dxa" w:w="4241"/>
            <w:shd w:val="clear" w:color="auto" w:fill="0F2B4C"/>
          </w:tcPr>
          <w:p>
            <w:pPr>
              <w:spacing w:after="20" w:before="20"/>
            </w:pPr>
            <w:r/>
            <w:r>
              <w:rPr>
                <w:rFonts w:ascii="Calibri" w:hAnsi="Calibri"/>
                <w:b/>
                <w:color w:val="FFFFFF"/>
                <w:sz w:val="17"/>
              </w:rPr>
              <w:t>Likely causes to investigate first</w:t>
            </w:r>
          </w:p>
        </w:tc>
        <w:tc>
          <w:tcPr>
            <w:tcW w:type="dxa" w:w="2891"/>
            <w:shd w:val="clear" w:color="auto" w:fill="0F2B4C"/>
          </w:tcPr>
          <w:p>
            <w:pPr>
              <w:spacing w:after="20" w:before="20"/>
            </w:pPr>
            <w:r/>
            <w:r>
              <w:rPr>
                <w:rFonts w:ascii="Calibri" w:hAnsi="Calibri"/>
                <w:b/>
                <w:color w:val="FFFFFF"/>
                <w:sz w:val="17"/>
              </w:rPr>
              <w:t>Do not do this</w:t>
            </w:r>
          </w:p>
        </w:tc>
      </w:tr>
      <w:tr>
        <w:trPr>
          <w:cantSplit/>
        </w:trPr>
        <w:tc>
          <w:tcPr>
            <w:tcW w:type="dxa" w:w="2506"/>
          </w:tcPr>
          <w:p>
            <w:pPr>
              <w:spacing w:after="20" w:before="20"/>
            </w:pPr>
            <w:r/>
            <w:r>
              <w:rPr>
                <w:rFonts w:ascii="Calibri" w:hAnsi="Calibri"/>
                <w:b/>
                <w:i w:val="0"/>
                <w:color w:val="334E68"/>
                <w:sz w:val="17"/>
              </w:rPr>
              <w:t>Work processes frequently in PRIVATE mode</w:t>
            </w:r>
          </w:p>
        </w:tc>
        <w:tc>
          <w:tcPr>
            <w:tcW w:type="dxa" w:w="4241"/>
          </w:tcPr>
          <w:p>
            <w:pPr>
              <w:spacing w:after="20" w:before="20"/>
            </w:pPr>
            <w:r/>
            <w:r>
              <w:rPr>
                <w:rFonts w:ascii="Calibri" w:hAnsi="Calibri"/>
                <w:b w:val="0"/>
                <w:i w:val="0"/>
                <w:color w:val="334E68"/>
                <w:sz w:val="17"/>
              </w:rPr>
              <w:t>EM under-sized for the workload, long-running transactions, high dialog step counts, memory-consuming custom code</w:t>
            </w:r>
          </w:p>
        </w:tc>
        <w:tc>
          <w:tcPr>
            <w:tcW w:type="dxa" w:w="2891"/>
          </w:tcPr>
          <w:p>
            <w:pPr>
              <w:spacing w:after="20" w:before="20"/>
            </w:pPr>
            <w:r/>
            <w:r>
              <w:rPr>
                <w:rFonts w:ascii="Calibri" w:hAnsi="Calibri"/>
                <w:b w:val="0"/>
                <w:i w:val="0"/>
                <w:color w:val="334E68"/>
                <w:sz w:val="17"/>
              </w:rPr>
              <w:t xml:space="preserve">Raise </w:t>
            </w:r>
            <w:r>
              <w:rPr>
                <w:rFonts w:ascii="Consolas" w:hAnsi="Consolas"/>
                <w:b w:val="0"/>
                <w:i w:val="0"/>
                <w:color w:val="123A63"/>
                <w:sz w:val="17"/>
                <w:shd w:val="clear" w:color="auto" w:fill="EEF2F7"/>
              </w:rPr>
              <w:t>ztta/roll_area</w:t>
            </w:r>
            <w:r>
              <w:rPr>
                <w:rFonts w:ascii="Calibri" w:hAnsi="Calibri"/>
                <w:b w:val="0"/>
                <w:i w:val="0"/>
                <w:color w:val="334E68"/>
                <w:sz w:val="17"/>
              </w:rPr>
              <w:t>/EM parameters before measuring actual consumption</w:t>
            </w:r>
          </w:p>
        </w:tc>
      </w:tr>
      <w:tr>
        <w:trPr>
          <w:cantSplit/>
        </w:trPr>
        <w:tc>
          <w:tcPr>
            <w:tcW w:type="dxa" w:w="2506"/>
            <w:shd w:val="clear" w:color="auto" w:fill="FAFBFD"/>
          </w:tcPr>
          <w:p>
            <w:pPr>
              <w:spacing w:after="20" w:before="20"/>
            </w:pPr>
            <w:r/>
            <w:r>
              <w:rPr>
                <w:rFonts w:ascii="Calibri" w:hAnsi="Calibri"/>
                <w:b/>
                <w:i w:val="0"/>
                <w:color w:val="334E68"/>
                <w:sz w:val="17"/>
              </w:rPr>
              <w:t>High paging / swap rate</w:t>
            </w:r>
          </w:p>
        </w:tc>
        <w:tc>
          <w:tcPr>
            <w:tcW w:type="dxa" w:w="4241"/>
            <w:shd w:val="clear" w:color="auto" w:fill="FAFBFD"/>
          </w:tcPr>
          <w:p>
            <w:pPr>
              <w:spacing w:after="20" w:before="20"/>
            </w:pPr>
            <w:r/>
            <w:r>
              <w:rPr>
                <w:rFonts w:ascii="Calibri" w:hAnsi="Calibri"/>
                <w:b w:val="0"/>
                <w:i w:val="0"/>
                <w:color w:val="334E68"/>
                <w:sz w:val="17"/>
              </w:rPr>
              <w:t>Paging area too small for the number of users, or context held too long</w:t>
            </w:r>
          </w:p>
        </w:tc>
        <w:tc>
          <w:tcPr>
            <w:tcW w:type="dxa" w:w="2891"/>
            <w:shd w:val="clear" w:color="auto" w:fill="FAFBFD"/>
          </w:tcPr>
          <w:p>
            <w:pPr>
              <w:spacing w:after="20" w:before="20"/>
            </w:pPr>
            <w:r/>
            <w:r>
              <w:rPr>
                <w:rFonts w:ascii="Calibri" w:hAnsi="Calibri"/>
                <w:b w:val="0"/>
                <w:i w:val="0"/>
                <w:color w:val="334E68"/>
                <w:sz w:val="17"/>
              </w:rPr>
              <w:t>Add OS swap to “fix” an SAP memory design issue</w:t>
            </w:r>
          </w:p>
        </w:tc>
      </w:tr>
      <w:tr>
        <w:trPr>
          <w:cantSplit/>
        </w:trPr>
        <w:tc>
          <w:tcPr>
            <w:tcW w:type="dxa" w:w="2506"/>
          </w:tcPr>
          <w:p>
            <w:pPr>
              <w:spacing w:after="20" w:before="20"/>
            </w:pPr>
            <w:r/>
            <w:r>
              <w:rPr>
                <w:rFonts w:ascii="Calibri" w:hAnsi="Calibri"/>
                <w:b/>
                <w:i w:val="0"/>
                <w:color w:val="334E68"/>
                <w:sz w:val="17"/>
              </w:rPr>
              <w:t>Low table-buffer hit ratio</w:t>
            </w:r>
          </w:p>
        </w:tc>
        <w:tc>
          <w:tcPr>
            <w:tcW w:type="dxa" w:w="4241"/>
          </w:tcPr>
          <w:p>
            <w:pPr>
              <w:spacing w:after="20" w:before="20"/>
            </w:pPr>
            <w:r/>
            <w:r>
              <w:rPr>
                <w:rFonts w:ascii="Calibri" w:hAnsi="Calibri"/>
                <w:b w:val="0"/>
                <w:i w:val="0"/>
                <w:color w:val="334E68"/>
                <w:sz w:val="17"/>
              </w:rPr>
              <w:t>Buffer sizing, or access patterns that bypass the buffer (non-key reads, generic selects)</w:t>
            </w:r>
          </w:p>
        </w:tc>
        <w:tc>
          <w:tcPr>
            <w:tcW w:type="dxa" w:w="2891"/>
          </w:tcPr>
          <w:p>
            <w:pPr>
              <w:spacing w:after="20" w:before="20"/>
            </w:pPr>
            <w:r/>
            <w:r>
              <w:rPr>
                <w:rFonts w:ascii="Calibri" w:hAnsi="Calibri"/>
                <w:b w:val="0"/>
                <w:i w:val="0"/>
                <w:color w:val="334E68"/>
                <w:sz w:val="17"/>
              </w:rPr>
              <w:t>Enlarge buffers without checking whether the code can use them</w:t>
            </w:r>
          </w:p>
        </w:tc>
      </w:tr>
      <w:tr>
        <w:trPr>
          <w:cantSplit/>
        </w:trPr>
        <w:tc>
          <w:tcPr>
            <w:tcW w:type="dxa" w:w="2506"/>
            <w:shd w:val="clear" w:color="auto" w:fill="FAFBFD"/>
          </w:tcPr>
          <w:p>
            <w:pPr>
              <w:spacing w:after="20" w:before="20"/>
            </w:pPr>
            <w:r/>
            <w:r>
              <w:rPr>
                <w:rFonts w:ascii="Calibri" w:hAnsi="Calibri"/>
                <w:b/>
                <w:i w:val="0"/>
                <w:color w:val="334E68"/>
                <w:sz w:val="17"/>
              </w:rPr>
              <w:t>Growing heap over days</w:t>
            </w:r>
          </w:p>
        </w:tc>
        <w:tc>
          <w:tcPr>
            <w:tcW w:type="dxa" w:w="4241"/>
            <w:shd w:val="clear" w:color="auto" w:fill="FAFBFD"/>
          </w:tcPr>
          <w:p>
            <w:pPr>
              <w:spacing w:after="20" w:before="20"/>
            </w:pPr>
            <w:r/>
            <w:r>
              <w:rPr>
                <w:rFonts w:ascii="Calibri" w:hAnsi="Calibri"/>
                <w:b w:val="0"/>
                <w:i w:val="0"/>
                <w:color w:val="334E68"/>
                <w:sz w:val="17"/>
              </w:rPr>
              <w:t>Memory leak in custom code, unfreed internal tables, session accumulation</w:t>
            </w:r>
          </w:p>
        </w:tc>
        <w:tc>
          <w:tcPr>
            <w:tcW w:type="dxa" w:w="2891"/>
            <w:shd w:val="clear" w:color="auto" w:fill="FAFBFD"/>
          </w:tcPr>
          <w:p>
            <w:pPr>
              <w:spacing w:after="20" w:before="20"/>
            </w:pPr>
            <w:r/>
            <w:r>
              <w:rPr>
                <w:rFonts w:ascii="Calibri" w:hAnsi="Calibri"/>
                <w:b w:val="0"/>
                <w:i w:val="0"/>
                <w:color w:val="334E68"/>
                <w:sz w:val="17"/>
              </w:rPr>
              <w:t>Schedule restarts as a permanent workaround</w:t>
            </w:r>
          </w:p>
        </w:tc>
      </w:tr>
      <w:tr>
        <w:trPr>
          <w:cantSplit/>
        </w:trPr>
        <w:tc>
          <w:tcPr>
            <w:tcW w:type="dxa" w:w="2506"/>
          </w:tcPr>
          <w:p>
            <w:pPr>
              <w:spacing w:after="20" w:before="20"/>
            </w:pPr>
            <w:r/>
            <w:r>
              <w:rPr>
                <w:rFonts w:ascii="Calibri" w:hAnsi="Calibri"/>
                <w:b/>
                <w:i w:val="0"/>
                <w:color w:val="334E68"/>
                <w:sz w:val="17"/>
              </w:rPr>
              <w:t>Slow response only at peak</w:t>
            </w:r>
          </w:p>
        </w:tc>
        <w:tc>
          <w:tcPr>
            <w:tcW w:type="dxa" w:w="4241"/>
          </w:tcPr>
          <w:p>
            <w:pPr>
              <w:spacing w:after="20" w:before="20"/>
            </w:pPr>
            <w:r/>
            <w:r>
              <w:rPr>
                <w:rFonts w:ascii="Calibri" w:hAnsi="Calibri"/>
                <w:b w:val="0"/>
                <w:i w:val="0"/>
                <w:color w:val="334E68"/>
                <w:sz w:val="17"/>
              </w:rPr>
              <w:t>Work process saturation, DB contention, enqueue or RFC waits</w:t>
            </w:r>
          </w:p>
        </w:tc>
        <w:tc>
          <w:tcPr>
            <w:tcW w:type="dxa" w:w="2891"/>
          </w:tcPr>
          <w:p>
            <w:pPr>
              <w:spacing w:after="20" w:before="20"/>
            </w:pPr>
            <w:r/>
            <w:r>
              <w:rPr>
                <w:rFonts w:ascii="Calibri" w:hAnsi="Calibri"/>
                <w:b w:val="0"/>
                <w:i w:val="0"/>
                <w:color w:val="334E68"/>
                <w:sz w:val="17"/>
              </w:rPr>
              <w:t>Tune a parameter that is not the constraint</w:t>
            </w:r>
          </w:p>
        </w:tc>
      </w:tr>
    </w:tbl>
    <w:p>
      <w:pPr>
        <w:spacing w:after="40"/>
      </w:pPr>
    </w:p>
    <w:p>
      <w:pPr>
        <w:pStyle w:val="Heading2"/>
        <w:pBdr>
          <w:bottom w:val="single" w:sz="6" w:space="3" w:color="E8EDF3"/>
        </w:pBdr>
      </w:pPr>
      <w:r>
        <w:rPr>
          <w:rFonts w:ascii="Calibri" w:hAnsi="Calibri"/>
          <w:b/>
          <w:color w:val="0F2B4C"/>
          <w:sz w:val="26"/>
        </w:rPr>
        <w:t>8.2  RZ10 versus RZ11</w:t>
      </w:r>
    </w:p>
    <w:p>
      <w:pPr>
        <w:spacing w:after="60" w:before="160"/>
        <w:keepNext/>
      </w:pPr>
      <w:r>
        <w:rPr>
          <w:rFonts w:ascii="Calibri" w:hAnsi="Calibri"/>
          <w:b/>
          <w:color w:val="5B7288"/>
          <w:sz w:val="15"/>
        </w:rPr>
        <w:t>RZ10 VERSUS RZ11</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964"/>
        <w:gridCol w:w="2506"/>
        <w:gridCol w:w="2313"/>
        <w:gridCol w:w="1928"/>
        <w:gridCol w:w="1928"/>
      </w:tblGrid>
      <w:tr>
        <w:trPr>
          <w:tblHeader/>
          <w:cantSplit/>
        </w:trPr>
        <w:tc>
          <w:tcPr>
            <w:tcW w:type="dxa" w:w="964"/>
            <w:shd w:val="clear" w:color="auto" w:fill="0F2B4C"/>
          </w:tcPr>
          <w:p>
            <w:pPr>
              <w:spacing w:after="20" w:before="20"/>
            </w:pPr>
            <w:r/>
            <w:r>
              <w:rPr>
                <w:rFonts w:ascii="Calibri" w:hAnsi="Calibri"/>
                <w:b/>
                <w:color w:val="FFFFFF"/>
                <w:sz w:val="17"/>
              </w:rPr>
              <w:t>Transaction</w:t>
            </w:r>
          </w:p>
        </w:tc>
        <w:tc>
          <w:tcPr>
            <w:tcW w:type="dxa" w:w="2506"/>
            <w:shd w:val="clear" w:color="auto" w:fill="0F2B4C"/>
          </w:tcPr>
          <w:p>
            <w:pPr>
              <w:spacing w:after="20" w:before="20"/>
            </w:pPr>
            <w:r/>
            <w:r>
              <w:rPr>
                <w:rFonts w:ascii="Calibri" w:hAnsi="Calibri"/>
                <w:b/>
                <w:color w:val="FFFFFF"/>
                <w:sz w:val="17"/>
              </w:rPr>
              <w:t>Nature</w:t>
            </w:r>
          </w:p>
        </w:tc>
        <w:tc>
          <w:tcPr>
            <w:tcW w:type="dxa" w:w="2313"/>
            <w:shd w:val="clear" w:color="auto" w:fill="0F2B4C"/>
          </w:tcPr>
          <w:p>
            <w:pPr>
              <w:spacing w:after="20" w:before="20"/>
            </w:pPr>
            <w:r/>
            <w:r>
              <w:rPr>
                <w:rFonts w:ascii="Calibri" w:hAnsi="Calibri"/>
                <w:b/>
                <w:color w:val="FFFFFF"/>
                <w:sz w:val="17"/>
              </w:rPr>
              <w:t>Persistence</w:t>
            </w:r>
          </w:p>
        </w:tc>
        <w:tc>
          <w:tcPr>
            <w:tcW w:type="dxa" w:w="1928"/>
            <w:shd w:val="clear" w:color="auto" w:fill="0F2B4C"/>
          </w:tcPr>
          <w:p>
            <w:pPr>
              <w:spacing w:after="20" w:before="20"/>
            </w:pPr>
            <w:r/>
            <w:r>
              <w:rPr>
                <w:rFonts w:ascii="Calibri" w:hAnsi="Calibri"/>
                <w:b/>
                <w:color w:val="FFFFFF"/>
                <w:sz w:val="17"/>
              </w:rPr>
              <w:t>Restart</w:t>
            </w:r>
          </w:p>
        </w:tc>
        <w:tc>
          <w:tcPr>
            <w:tcW w:type="dxa" w:w="1928"/>
            <w:shd w:val="clear" w:color="auto" w:fill="0F2B4C"/>
          </w:tcPr>
          <w:p>
            <w:pPr>
              <w:spacing w:after="20" w:before="20"/>
            </w:pPr>
            <w:r/>
            <w:r>
              <w:rPr>
                <w:rFonts w:ascii="Calibri" w:hAnsi="Calibri"/>
                <w:b/>
                <w:color w:val="FFFFFF"/>
                <w:sz w:val="17"/>
              </w:rPr>
              <w:t>Use when</w:t>
            </w:r>
          </w:p>
        </w:tc>
      </w:tr>
      <w:tr>
        <w:trPr>
          <w:cantSplit/>
        </w:trPr>
        <w:tc>
          <w:tcPr>
            <w:tcW w:type="dxa" w:w="964"/>
          </w:tcPr>
          <w:p>
            <w:pPr>
              <w:spacing w:after="20" w:before="20"/>
            </w:pPr>
            <w:r/>
            <w:r>
              <w:rPr>
                <w:rFonts w:ascii="Consolas" w:hAnsi="Consolas"/>
                <w:b/>
                <w:i w:val="0"/>
                <w:color w:val="123A63"/>
                <w:sz w:val="17"/>
                <w:shd w:val="clear" w:color="auto" w:fill="EEF2F7"/>
              </w:rPr>
              <w:t>RZ10</w:t>
            </w:r>
          </w:p>
        </w:tc>
        <w:tc>
          <w:tcPr>
            <w:tcW w:type="dxa" w:w="2506"/>
          </w:tcPr>
          <w:p>
            <w:pPr>
              <w:spacing w:after="20" w:before="20"/>
            </w:pPr>
            <w:r/>
            <w:r>
              <w:rPr>
                <w:rFonts w:ascii="Calibri" w:hAnsi="Calibri"/>
                <w:b w:val="0"/>
                <w:i w:val="0"/>
                <w:color w:val="334E68"/>
                <w:sz w:val="17"/>
              </w:rPr>
              <w:t>Profile parameter maintenance (instance, default and start profiles)</w:t>
            </w:r>
          </w:p>
        </w:tc>
        <w:tc>
          <w:tcPr>
            <w:tcW w:type="dxa" w:w="2313"/>
          </w:tcPr>
          <w:p>
            <w:pPr>
              <w:spacing w:after="20" w:before="20"/>
            </w:pPr>
            <w:r/>
            <w:r>
              <w:rPr>
                <w:rFonts w:ascii="Calibri" w:hAnsi="Calibri"/>
                <w:b w:val="0"/>
                <w:i w:val="0"/>
                <w:color w:val="334E68"/>
                <w:sz w:val="17"/>
              </w:rPr>
              <w:t>Persistent — written to the profile and activated</w:t>
            </w:r>
          </w:p>
        </w:tc>
        <w:tc>
          <w:tcPr>
            <w:tcW w:type="dxa" w:w="1928"/>
          </w:tcPr>
          <w:p>
            <w:pPr>
              <w:spacing w:after="20" w:before="20"/>
            </w:pPr>
            <w:r/>
            <w:r>
              <w:rPr>
                <w:rFonts w:ascii="Calibri" w:hAnsi="Calibri"/>
                <w:b w:val="0"/>
                <w:i w:val="0"/>
                <w:color w:val="334E68"/>
                <w:sz w:val="17"/>
              </w:rPr>
              <w:t>Required for many parameters; some take effect at the next instance start</w:t>
            </w:r>
          </w:p>
        </w:tc>
        <w:tc>
          <w:tcPr>
            <w:tcW w:type="dxa" w:w="1928"/>
          </w:tcPr>
          <w:p>
            <w:pPr>
              <w:spacing w:after="20" w:before="20"/>
            </w:pPr>
            <w:r/>
            <w:r>
              <w:rPr>
                <w:rFonts w:ascii="Calibri" w:hAnsi="Calibri"/>
                <w:b w:val="0"/>
                <w:i w:val="0"/>
                <w:color w:val="334E68"/>
                <w:sz w:val="17"/>
              </w:rPr>
              <w:t>The change must survive a restart and be part of the configuration baseline</w:t>
            </w:r>
          </w:p>
        </w:tc>
      </w:tr>
      <w:tr>
        <w:trPr>
          <w:cantSplit/>
        </w:trPr>
        <w:tc>
          <w:tcPr>
            <w:tcW w:type="dxa" w:w="964"/>
            <w:shd w:val="clear" w:color="auto" w:fill="FAFBFD"/>
          </w:tcPr>
          <w:p>
            <w:pPr>
              <w:spacing w:after="20" w:before="20"/>
            </w:pPr>
            <w:r/>
            <w:r>
              <w:rPr>
                <w:rFonts w:ascii="Consolas" w:hAnsi="Consolas"/>
                <w:b/>
                <w:i w:val="0"/>
                <w:color w:val="123A63"/>
                <w:sz w:val="17"/>
                <w:shd w:val="clear" w:color="auto" w:fill="EEF2F7"/>
              </w:rPr>
              <w:t>RZ11</w:t>
            </w:r>
          </w:p>
        </w:tc>
        <w:tc>
          <w:tcPr>
            <w:tcW w:type="dxa" w:w="2506"/>
            <w:shd w:val="clear" w:color="auto" w:fill="FAFBFD"/>
          </w:tcPr>
          <w:p>
            <w:pPr>
              <w:spacing w:after="20" w:before="20"/>
            </w:pPr>
            <w:r/>
            <w:r>
              <w:rPr>
                <w:rFonts w:ascii="Calibri" w:hAnsi="Calibri"/>
                <w:b w:val="0"/>
                <w:i w:val="0"/>
                <w:color w:val="334E68"/>
                <w:sz w:val="17"/>
              </w:rPr>
              <w:t>Runtime parameter display and change where the parameter is dynamically switchable</w:t>
            </w:r>
          </w:p>
        </w:tc>
        <w:tc>
          <w:tcPr>
            <w:tcW w:type="dxa" w:w="2313"/>
            <w:shd w:val="clear" w:color="auto" w:fill="FAFBFD"/>
          </w:tcPr>
          <w:p>
            <w:pPr>
              <w:spacing w:after="20" w:before="20"/>
            </w:pPr>
            <w:r/>
            <w:r>
              <w:rPr>
                <w:rFonts w:ascii="Calibri" w:hAnsi="Calibri"/>
                <w:b w:val="0"/>
                <w:i w:val="0"/>
                <w:color w:val="334E68"/>
                <w:sz w:val="17"/>
              </w:rPr>
              <w:t>Temporary — lost at restart unless also set in the profile</w:t>
            </w:r>
          </w:p>
        </w:tc>
        <w:tc>
          <w:tcPr>
            <w:tcW w:type="dxa" w:w="1928"/>
            <w:shd w:val="clear" w:color="auto" w:fill="FAFBFD"/>
          </w:tcPr>
          <w:p>
            <w:pPr>
              <w:spacing w:after="20" w:before="20"/>
            </w:pPr>
            <w:r/>
            <w:r>
              <w:rPr>
                <w:rFonts w:ascii="Calibri" w:hAnsi="Calibri"/>
                <w:b w:val="0"/>
                <w:i w:val="0"/>
                <w:color w:val="334E68"/>
                <w:sz w:val="17"/>
              </w:rPr>
              <w:t>Not required for dynamic parameters</w:t>
            </w:r>
          </w:p>
        </w:tc>
        <w:tc>
          <w:tcPr>
            <w:tcW w:type="dxa" w:w="1928"/>
            <w:shd w:val="clear" w:color="auto" w:fill="FAFBFD"/>
          </w:tcPr>
          <w:p>
            <w:pPr>
              <w:spacing w:after="20" w:before="20"/>
            </w:pPr>
            <w:r/>
            <w:r>
              <w:rPr>
                <w:rFonts w:ascii="Calibri" w:hAnsi="Calibri"/>
                <w:b w:val="0"/>
                <w:i w:val="0"/>
                <w:color w:val="334E68"/>
                <w:sz w:val="17"/>
              </w:rPr>
              <w:t>Testing a value, or applying a supported dynamic change within an approved window</w:t>
            </w:r>
          </w:p>
        </w:tc>
      </w:tr>
    </w:tbl>
    <w:p>
      <w:pPr>
        <w:spacing w:after="40"/>
      </w:pPr>
    </w:p>
    <w:p>
      <w:pPr>
        <w:spacing w:before="180" w:after="40"/>
        <w:shd w:val="clear" w:color="auto" w:fill="FFFDF5"/>
        <w:pBdr>
          <w:left w:val="single" w:sz="6" w:space="6" w:color="D9A520"/>
          <w:top w:val="single" w:sz="6" w:space="6" w:color="D9A520"/>
          <w:right w:val="single" w:sz="6" w:space="6" w:color="D9A520"/>
        </w:pBdr>
        <w:keepNext/>
      </w:pPr>
      <w:r>
        <w:rPr>
          <w:rFonts w:ascii="Calibri" w:hAnsi="Calibri"/>
          <w:b/>
          <w:color w:val="D9A520"/>
          <w:sz w:val="16"/>
        </w:rPr>
        <w:t>PROFILE DISCIPLINE DURING MIGRATION</w:t>
      </w:r>
    </w:p>
    <w:p>
      <w:pPr>
        <w:spacing w:after="40"/>
        <w:ind w:left="567" w:hanging="227"/>
        <w:shd w:val="clear" w:color="auto" w:fill="FFFDF5"/>
      </w:pPr>
      <w:r>
        <w:rPr>
          <w:rFonts w:ascii="Calibri" w:hAnsi="Calibri"/>
          <w:b/>
          <w:color w:val="1B4F86"/>
          <w:sz w:val="19"/>
        </w:rPr>
        <w:t xml:space="preserve">▪  </w:t>
      </w:r>
      <w:r>
        <w:rPr>
          <w:rFonts w:ascii="Calibri" w:hAnsi="Calibri"/>
          <w:b w:val="0"/>
          <w:i w:val="0"/>
          <w:color w:val="334E68"/>
          <w:sz w:val="19"/>
        </w:rPr>
        <w:t xml:space="preserve">Any </w:t>
      </w:r>
      <w:r>
        <w:rPr>
          <w:rFonts w:ascii="Consolas" w:hAnsi="Consolas"/>
          <w:b w:val="0"/>
          <w:i w:val="0"/>
          <w:color w:val="123A63"/>
          <w:sz w:val="19"/>
          <w:shd w:val="clear" w:color="auto" w:fill="EEF2F7"/>
        </w:rPr>
        <w:t>RZ11</w:t>
      </w:r>
      <w:r>
        <w:rPr>
          <w:rFonts w:ascii="Calibri" w:hAnsi="Calibri"/>
          <w:b w:val="0"/>
          <w:i w:val="0"/>
          <w:color w:val="334E68"/>
          <w:sz w:val="19"/>
        </w:rPr>
        <w:t xml:space="preserve"> change made to get through a cutover must be followed by a matching </w:t>
      </w:r>
      <w:r>
        <w:rPr>
          <w:rFonts w:ascii="Consolas" w:hAnsi="Consolas"/>
          <w:b w:val="0"/>
          <w:i w:val="0"/>
          <w:color w:val="123A63"/>
          <w:sz w:val="19"/>
          <w:shd w:val="clear" w:color="auto" w:fill="EEF2F7"/>
        </w:rPr>
        <w:t>RZ10</w:t>
      </w:r>
      <w:r>
        <w:rPr>
          <w:rFonts w:ascii="Calibri" w:hAnsi="Calibri"/>
          <w:b w:val="0"/>
          <w:i w:val="0"/>
          <w:color w:val="334E68"/>
          <w:sz w:val="19"/>
        </w:rPr>
        <w:t xml:space="preserve"> entry, or the fix disappears at the next restart.</w:t>
      </w:r>
    </w:p>
    <w:p>
      <w:pPr>
        <w:spacing w:after="40"/>
        <w:ind w:left="567" w:hanging="227"/>
        <w:shd w:val="clear" w:color="auto" w:fill="FFFDF5"/>
      </w:pPr>
      <w:r>
        <w:rPr>
          <w:rFonts w:ascii="Calibri" w:hAnsi="Calibri"/>
          <w:b/>
          <w:color w:val="1B4F86"/>
          <w:sz w:val="19"/>
        </w:rPr>
        <w:t xml:space="preserve">▪  </w:t>
      </w:r>
      <w:r>
        <w:rPr>
          <w:rFonts w:ascii="Calibri" w:hAnsi="Calibri"/>
          <w:b w:val="0"/>
          <w:i w:val="0"/>
          <w:color w:val="334E68"/>
          <w:sz w:val="19"/>
        </w:rPr>
        <w:t>Profile changes are configuration changes: they need the same approval, documentation and transport/record discipline as any other change.</w:t>
      </w:r>
    </w:p>
    <w:p>
      <w:pPr>
        <w:spacing w:after="40"/>
        <w:ind w:left="567" w:hanging="227"/>
        <w:shd w:val="clear" w:color="auto" w:fill="FFFDF5"/>
      </w:pPr>
      <w:r>
        <w:rPr>
          <w:rFonts w:ascii="Calibri" w:hAnsi="Calibri"/>
          <w:b/>
          <w:color w:val="1B4F86"/>
          <w:sz w:val="19"/>
        </w:rPr>
        <w:t xml:space="preserve">▪  </w:t>
      </w:r>
      <w:r>
        <w:rPr>
          <w:rFonts w:ascii="Calibri" w:hAnsi="Calibri"/>
          <w:b w:val="0"/>
          <w:i w:val="0"/>
          <w:color w:val="334E68"/>
          <w:sz w:val="19"/>
        </w:rPr>
        <w:t>Compare the source and target profile parameter sets explicitly after migration — parameters that no longer exist, or that were silently defaulted, are a frequent cause of post-migration behavioural differences.</w:t>
      </w:r>
    </w:p>
    <w:p>
      <w:pPr>
        <w:shd w:val="clear" w:color="auto" w:fill="FFFDF5"/>
        <w:pBdr>
          <w:left w:val="single" w:sz="6" w:space="6" w:color="D9A520"/>
          <w:bottom w:val="single" w:sz="6" w:space="6" w:color="D9A520"/>
          <w:right w:val="single" w:sz="6" w:space="6" w:color="D9A520"/>
        </w:pBdr>
        <w:spacing w:after="40"/>
      </w:pPr>
    </w:p>
    <w:p>
      <w:pPr>
        <w:pStyle w:val="Heading2"/>
        <w:pBdr>
          <w:bottom w:val="single" w:sz="6" w:space="3" w:color="E8EDF3"/>
        </w:pBdr>
      </w:pPr>
      <w:r>
        <w:rPr>
          <w:rFonts w:ascii="Calibri" w:hAnsi="Calibri"/>
          <w:b/>
          <w:color w:val="0F2B4C"/>
          <w:sz w:val="26"/>
        </w:rPr>
        <w:t>8.3  ST03 / ST03N — workload analysis</w:t>
      </w:r>
    </w:p>
    <w:p>
      <w:pPr>
        <w:spacing w:after="60" w:before="160"/>
        <w:keepNext/>
      </w:pPr>
      <w:r>
        <w:rPr>
          <w:rFonts w:ascii="Calibri" w:hAnsi="Calibri"/>
          <w:b/>
          <w:color w:val="5B7288"/>
          <w:sz w:val="15"/>
        </w:rPr>
        <w:t>WORKLOAD METRICS</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1735"/>
        <w:gridCol w:w="3855"/>
        <w:gridCol w:w="4048"/>
      </w:tblGrid>
      <w:tr>
        <w:trPr>
          <w:tblHeader/>
          <w:cantSplit/>
        </w:trPr>
        <w:tc>
          <w:tcPr>
            <w:tcW w:type="dxa" w:w="1735"/>
            <w:shd w:val="clear" w:color="auto" w:fill="0F2B4C"/>
          </w:tcPr>
          <w:p>
            <w:pPr>
              <w:spacing w:after="20" w:before="20"/>
            </w:pPr>
            <w:r/>
            <w:r>
              <w:rPr>
                <w:rFonts w:ascii="Calibri" w:hAnsi="Calibri"/>
                <w:b/>
                <w:color w:val="FFFFFF"/>
                <w:sz w:val="17"/>
              </w:rPr>
              <w:t>Metric</w:t>
            </w:r>
          </w:p>
        </w:tc>
        <w:tc>
          <w:tcPr>
            <w:tcW w:type="dxa" w:w="3855"/>
            <w:shd w:val="clear" w:color="auto" w:fill="0F2B4C"/>
          </w:tcPr>
          <w:p>
            <w:pPr>
              <w:spacing w:after="20" w:before="20"/>
            </w:pPr>
            <w:r/>
            <w:r>
              <w:rPr>
                <w:rFonts w:ascii="Calibri" w:hAnsi="Calibri"/>
                <w:b/>
                <w:color w:val="FFFFFF"/>
                <w:sz w:val="17"/>
              </w:rPr>
              <w:t>Definition</w:t>
            </w:r>
          </w:p>
        </w:tc>
        <w:tc>
          <w:tcPr>
            <w:tcW w:type="dxa" w:w="4048"/>
            <w:shd w:val="clear" w:color="auto" w:fill="0F2B4C"/>
          </w:tcPr>
          <w:p>
            <w:pPr>
              <w:spacing w:after="20" w:before="20"/>
            </w:pPr>
            <w:r/>
            <w:r>
              <w:rPr>
                <w:rFonts w:ascii="Calibri" w:hAnsi="Calibri"/>
                <w:b/>
                <w:color w:val="FFFFFF"/>
                <w:sz w:val="17"/>
              </w:rPr>
              <w:t>How to use it in a migration</w:t>
            </w:r>
          </w:p>
        </w:tc>
      </w:tr>
      <w:tr>
        <w:trPr>
          <w:cantSplit/>
        </w:trPr>
        <w:tc>
          <w:tcPr>
            <w:tcW w:type="dxa" w:w="1735"/>
          </w:tcPr>
          <w:p>
            <w:pPr>
              <w:spacing w:after="20" w:before="20"/>
            </w:pPr>
            <w:r/>
            <w:r>
              <w:rPr>
                <w:rFonts w:ascii="Calibri" w:hAnsi="Calibri"/>
                <w:b/>
                <w:i w:val="0"/>
                <w:color w:val="334E68"/>
                <w:sz w:val="17"/>
              </w:rPr>
              <w:t>Response time</w:t>
            </w:r>
          </w:p>
        </w:tc>
        <w:tc>
          <w:tcPr>
            <w:tcW w:type="dxa" w:w="3855"/>
          </w:tcPr>
          <w:p>
            <w:pPr>
              <w:spacing w:after="20" w:before="20"/>
            </w:pPr>
            <w:r/>
            <w:r>
              <w:rPr>
                <w:rFonts w:ascii="Calibri" w:hAnsi="Calibri"/>
                <w:b w:val="0"/>
                <w:i w:val="0"/>
                <w:color w:val="334E68"/>
                <w:sz w:val="17"/>
              </w:rPr>
              <w:t>Total time from dialog step start to end, as experienced by the user</w:t>
            </w:r>
          </w:p>
        </w:tc>
        <w:tc>
          <w:tcPr>
            <w:tcW w:type="dxa" w:w="4048"/>
          </w:tcPr>
          <w:p>
            <w:pPr>
              <w:spacing w:after="20" w:before="20"/>
            </w:pPr>
            <w:r/>
            <w:r>
              <w:rPr>
                <w:rFonts w:ascii="Calibri" w:hAnsi="Calibri"/>
                <w:b w:val="0"/>
                <w:i w:val="0"/>
                <w:color w:val="334E68"/>
                <w:sz w:val="17"/>
              </w:rPr>
              <w:t>Compare target against the source baseline for the same period type (business hours, month-end)</w:t>
            </w:r>
          </w:p>
        </w:tc>
      </w:tr>
      <w:tr>
        <w:trPr>
          <w:cantSplit/>
        </w:trPr>
        <w:tc>
          <w:tcPr>
            <w:tcW w:type="dxa" w:w="1735"/>
            <w:shd w:val="clear" w:color="auto" w:fill="FAFBFD"/>
          </w:tcPr>
          <w:p>
            <w:pPr>
              <w:spacing w:after="20" w:before="20"/>
            </w:pPr>
            <w:r/>
            <w:r>
              <w:rPr>
                <w:rFonts w:ascii="Calibri" w:hAnsi="Calibri"/>
                <w:b/>
                <w:i w:val="0"/>
                <w:color w:val="334E68"/>
                <w:sz w:val="17"/>
              </w:rPr>
              <w:t>Database time</w:t>
            </w:r>
          </w:p>
        </w:tc>
        <w:tc>
          <w:tcPr>
            <w:tcW w:type="dxa" w:w="3855"/>
            <w:shd w:val="clear" w:color="auto" w:fill="FAFBFD"/>
          </w:tcPr>
          <w:p>
            <w:pPr>
              <w:spacing w:after="20" w:before="20"/>
            </w:pPr>
            <w:r/>
            <w:r>
              <w:rPr>
                <w:rFonts w:ascii="Calibri" w:hAnsi="Calibri"/>
                <w:b w:val="0"/>
                <w:i w:val="0"/>
                <w:color w:val="334E68"/>
                <w:sz w:val="17"/>
              </w:rPr>
              <w:t>Time spent in database requests</w:t>
            </w:r>
          </w:p>
        </w:tc>
        <w:tc>
          <w:tcPr>
            <w:tcW w:type="dxa" w:w="4048"/>
            <w:shd w:val="clear" w:color="auto" w:fill="FAFBFD"/>
          </w:tcPr>
          <w:p>
            <w:pPr>
              <w:spacing w:after="20" w:before="20"/>
            </w:pPr>
            <w:r/>
            <w:r>
              <w:rPr>
                <w:rFonts w:ascii="Calibri" w:hAnsi="Calibri"/>
                <w:b w:val="0"/>
                <w:i w:val="0"/>
                <w:color w:val="334E68"/>
                <w:sz w:val="17"/>
              </w:rPr>
              <w:t>The single most useful split: high DB time points to the database, network or SQL, not to ABAP</w:t>
            </w:r>
          </w:p>
        </w:tc>
      </w:tr>
      <w:tr>
        <w:trPr>
          <w:cantSplit/>
        </w:trPr>
        <w:tc>
          <w:tcPr>
            <w:tcW w:type="dxa" w:w="1735"/>
          </w:tcPr>
          <w:p>
            <w:pPr>
              <w:spacing w:after="20" w:before="20"/>
            </w:pPr>
            <w:r/>
            <w:r>
              <w:rPr>
                <w:rFonts w:ascii="Calibri" w:hAnsi="Calibri"/>
                <w:b/>
                <w:i w:val="0"/>
                <w:color w:val="334E68"/>
                <w:sz w:val="17"/>
              </w:rPr>
              <w:t>CPU time</w:t>
            </w:r>
          </w:p>
        </w:tc>
        <w:tc>
          <w:tcPr>
            <w:tcW w:type="dxa" w:w="3855"/>
          </w:tcPr>
          <w:p>
            <w:pPr>
              <w:spacing w:after="20" w:before="20"/>
            </w:pPr>
            <w:r/>
            <w:r>
              <w:rPr>
                <w:rFonts w:ascii="Calibri" w:hAnsi="Calibri"/>
                <w:b w:val="0"/>
                <w:i w:val="0"/>
                <w:color w:val="334E68"/>
                <w:sz w:val="17"/>
              </w:rPr>
              <w:t>Time spent executing on the application server CPU</w:t>
            </w:r>
          </w:p>
        </w:tc>
        <w:tc>
          <w:tcPr>
            <w:tcW w:type="dxa" w:w="4048"/>
          </w:tcPr>
          <w:p>
            <w:pPr>
              <w:spacing w:after="20" w:before="20"/>
            </w:pPr>
            <w:r/>
            <w:r>
              <w:rPr>
                <w:rFonts w:ascii="Calibri" w:hAnsi="Calibri"/>
                <w:b w:val="0"/>
                <w:i w:val="0"/>
                <w:color w:val="334E68"/>
                <w:sz w:val="17"/>
              </w:rPr>
              <w:t>High CPU time with normal DB time points to code, volume or under-sized compute</w:t>
            </w:r>
          </w:p>
        </w:tc>
      </w:tr>
      <w:tr>
        <w:trPr>
          <w:cantSplit/>
        </w:trPr>
        <w:tc>
          <w:tcPr>
            <w:tcW w:type="dxa" w:w="1735"/>
            <w:shd w:val="clear" w:color="auto" w:fill="FAFBFD"/>
          </w:tcPr>
          <w:p>
            <w:pPr>
              <w:spacing w:after="20" w:before="20"/>
            </w:pPr>
            <w:r/>
            <w:r>
              <w:rPr>
                <w:rFonts w:ascii="Calibri" w:hAnsi="Calibri"/>
                <w:b/>
                <w:i w:val="0"/>
                <w:color w:val="334E68"/>
                <w:sz w:val="17"/>
              </w:rPr>
              <w:t>Wait time</w:t>
            </w:r>
          </w:p>
        </w:tc>
        <w:tc>
          <w:tcPr>
            <w:tcW w:type="dxa" w:w="3855"/>
            <w:shd w:val="clear" w:color="auto" w:fill="FAFBFD"/>
          </w:tcPr>
          <w:p>
            <w:pPr>
              <w:spacing w:after="20" w:before="20"/>
            </w:pPr>
            <w:r/>
            <w:r>
              <w:rPr>
                <w:rFonts w:ascii="Calibri" w:hAnsi="Calibri"/>
                <w:b w:val="0"/>
                <w:i w:val="0"/>
                <w:color w:val="334E68"/>
                <w:sz w:val="17"/>
              </w:rPr>
              <w:t>Time waiting for resources: roll, paging, enqueue, RFC, dispatcher</w:t>
            </w:r>
          </w:p>
        </w:tc>
        <w:tc>
          <w:tcPr>
            <w:tcW w:type="dxa" w:w="4048"/>
            <w:shd w:val="clear" w:color="auto" w:fill="FAFBFD"/>
          </w:tcPr>
          <w:p>
            <w:pPr>
              <w:spacing w:after="20" w:before="20"/>
            </w:pPr>
            <w:r/>
            <w:r>
              <w:rPr>
                <w:rFonts w:ascii="Calibri" w:hAnsi="Calibri"/>
                <w:b w:val="0"/>
                <w:i w:val="0"/>
                <w:color w:val="334E68"/>
                <w:sz w:val="17"/>
              </w:rPr>
              <w:t>High wait time is a resource or dependency problem — check memory and external systems</w:t>
            </w:r>
          </w:p>
        </w:tc>
      </w:tr>
      <w:tr>
        <w:trPr>
          <w:cantSplit/>
        </w:trPr>
        <w:tc>
          <w:tcPr>
            <w:tcW w:type="dxa" w:w="1735"/>
          </w:tcPr>
          <w:p>
            <w:pPr>
              <w:spacing w:after="20" w:before="20"/>
            </w:pPr>
            <w:r/>
            <w:r>
              <w:rPr>
                <w:rFonts w:ascii="Calibri" w:hAnsi="Calibri"/>
                <w:b/>
                <w:i w:val="0"/>
                <w:color w:val="334E68"/>
                <w:sz w:val="17"/>
              </w:rPr>
              <w:t>Workload / steps</w:t>
            </w:r>
          </w:p>
        </w:tc>
        <w:tc>
          <w:tcPr>
            <w:tcW w:type="dxa" w:w="3855"/>
          </w:tcPr>
          <w:p>
            <w:pPr>
              <w:spacing w:after="20" w:before="20"/>
            </w:pPr>
            <w:r/>
            <w:r>
              <w:rPr>
                <w:rFonts w:ascii="Calibri" w:hAnsi="Calibri"/>
                <w:b w:val="0"/>
                <w:i w:val="0"/>
                <w:color w:val="334E68"/>
                <w:sz w:val="17"/>
              </w:rPr>
              <w:t>Number of dialog steps, background and RFC steps</w:t>
            </w:r>
          </w:p>
        </w:tc>
        <w:tc>
          <w:tcPr>
            <w:tcW w:type="dxa" w:w="4048"/>
          </w:tcPr>
          <w:p>
            <w:pPr>
              <w:spacing w:after="20" w:before="20"/>
            </w:pPr>
            <w:r/>
            <w:r>
              <w:rPr>
                <w:rFonts w:ascii="Calibri" w:hAnsi="Calibri"/>
                <w:b w:val="0"/>
                <w:i w:val="0"/>
                <w:color w:val="334E68"/>
                <w:sz w:val="17"/>
              </w:rPr>
              <w:t>Confirms you are comparing equivalent load, not a quiet day against a peak day</w:t>
            </w:r>
          </w:p>
        </w:tc>
      </w:tr>
      <w:tr>
        <w:trPr>
          <w:cantSplit/>
        </w:trPr>
        <w:tc>
          <w:tcPr>
            <w:tcW w:type="dxa" w:w="1735"/>
            <w:shd w:val="clear" w:color="auto" w:fill="FAFBFD"/>
          </w:tcPr>
          <w:p>
            <w:pPr>
              <w:spacing w:after="20" w:before="20"/>
            </w:pPr>
            <w:r/>
            <w:r>
              <w:rPr>
                <w:rFonts w:ascii="Calibri" w:hAnsi="Calibri"/>
                <w:b/>
                <w:i w:val="0"/>
                <w:color w:val="334E68"/>
                <w:sz w:val="17"/>
              </w:rPr>
              <w:t>User activity</w:t>
            </w:r>
          </w:p>
        </w:tc>
        <w:tc>
          <w:tcPr>
            <w:tcW w:type="dxa" w:w="3855"/>
            <w:shd w:val="clear" w:color="auto" w:fill="FAFBFD"/>
          </w:tcPr>
          <w:p>
            <w:pPr>
              <w:spacing w:after="20" w:before="20"/>
            </w:pPr>
            <w:r/>
            <w:r>
              <w:rPr>
                <w:rFonts w:ascii="Calibri" w:hAnsi="Calibri"/>
                <w:b w:val="0"/>
                <w:i w:val="0"/>
                <w:color w:val="334E68"/>
                <w:sz w:val="17"/>
              </w:rPr>
              <w:t>Active users and their distribution</w:t>
            </w:r>
          </w:p>
        </w:tc>
        <w:tc>
          <w:tcPr>
            <w:tcW w:type="dxa" w:w="4048"/>
            <w:shd w:val="clear" w:color="auto" w:fill="FAFBFD"/>
          </w:tcPr>
          <w:p>
            <w:pPr>
              <w:spacing w:after="20" w:before="20"/>
            </w:pPr>
            <w:r/>
            <w:r>
              <w:rPr>
                <w:rFonts w:ascii="Calibri" w:hAnsi="Calibri"/>
                <w:b w:val="0"/>
                <w:i w:val="0"/>
                <w:color w:val="334E68"/>
                <w:sz w:val="17"/>
              </w:rPr>
              <w:t>Explains load differences and identifies who to interview about slowness</w:t>
            </w:r>
          </w:p>
        </w:tc>
      </w:tr>
    </w:tbl>
    <w:p>
      <w:pPr>
        <w:spacing w:after="40"/>
      </w:pPr>
    </w:p>
    <w:p>
      <w:pPr>
        <w:spacing w:after="40"/>
        <w:ind w:left="351" w:hanging="227"/>
      </w:pPr>
      <w:r>
        <w:rPr>
          <w:rFonts w:ascii="Calibri" w:hAnsi="Calibri"/>
          <w:b/>
          <w:color w:val="1B4F86"/>
          <w:sz w:val="19"/>
        </w:rPr>
        <w:t xml:space="preserve">▪  </w:t>
      </w:r>
      <w:r>
        <w:rPr>
          <w:rFonts w:ascii="Calibri" w:hAnsi="Calibri"/>
          <w:b w:val="0"/>
          <w:i w:val="0"/>
          <w:color w:val="334E68"/>
          <w:sz w:val="19"/>
        </w:rPr>
        <w:t>Analyse daily, weekly and monthly views: a single day is noise, a month shows the trend and the peaks.</w:t>
      </w:r>
    </w:p>
    <w:p>
      <w:pPr>
        <w:spacing w:after="40"/>
        <w:ind w:left="351" w:hanging="227"/>
      </w:pPr>
      <w:r>
        <w:rPr>
          <w:rFonts w:ascii="Calibri" w:hAnsi="Calibri"/>
          <w:b/>
          <w:color w:val="1B4F86"/>
          <w:sz w:val="19"/>
        </w:rPr>
        <w:t xml:space="preserve">▪  </w:t>
      </w:r>
      <w:r>
        <w:rPr>
          <w:rFonts w:ascii="Calibri" w:hAnsi="Calibri"/>
          <w:b w:val="0"/>
          <w:i w:val="0"/>
          <w:color w:val="334E68"/>
          <w:sz w:val="19"/>
        </w:rPr>
        <w:t>Compare like with like — same day type, same time window, same workload mix.</w:t>
      </w:r>
    </w:p>
    <w:p>
      <w:pPr>
        <w:spacing w:after="40"/>
        <w:ind w:left="351" w:hanging="227"/>
      </w:pPr>
      <w:r>
        <w:rPr>
          <w:rFonts w:ascii="Calibri" w:hAnsi="Calibri"/>
          <w:b/>
          <w:color w:val="1B4F86"/>
          <w:sz w:val="19"/>
        </w:rPr>
        <w:t xml:space="preserve">▪  </w:t>
      </w:r>
      <w:r>
        <w:rPr>
          <w:rFonts w:ascii="Calibri" w:hAnsi="Calibri"/>
          <w:b w:val="0"/>
          <w:i w:val="0"/>
          <w:color w:val="334E68"/>
          <w:sz w:val="19"/>
        </w:rPr>
        <w:t>Record the top transactions by response time and by total load; they become your re-test list after any change.</w:t>
      </w:r>
    </w:p>
    <w:p>
      <w:pPr>
        <w:spacing w:after="40"/>
        <w:ind w:left="351" w:hanging="227"/>
      </w:pPr>
      <w:r>
        <w:rPr>
          <w:rFonts w:ascii="Calibri" w:hAnsi="Calibri"/>
          <w:b/>
          <w:color w:val="1B4F86"/>
          <w:sz w:val="19"/>
        </w:rPr>
        <w:t xml:space="preserve">▪  </w:t>
      </w:r>
      <w:r>
        <w:rPr>
          <w:rFonts w:ascii="Consolas" w:hAnsi="Consolas"/>
          <w:b w:val="0"/>
          <w:i w:val="0"/>
          <w:color w:val="123A63"/>
          <w:sz w:val="19"/>
          <w:shd w:val="clear" w:color="auto" w:fill="EEF2F7"/>
        </w:rPr>
        <w:t>ST03N</w:t>
      </w:r>
      <w:r>
        <w:rPr>
          <w:rFonts w:ascii="Calibri" w:hAnsi="Calibri"/>
          <w:b w:val="0"/>
          <w:i w:val="0"/>
          <w:color w:val="334E68"/>
          <w:sz w:val="19"/>
        </w:rPr>
        <w:t xml:space="preserve"> is the current workload transaction; </w:t>
      </w:r>
      <w:r>
        <w:rPr>
          <w:rFonts w:ascii="Consolas" w:hAnsi="Consolas"/>
          <w:b w:val="0"/>
          <w:i w:val="0"/>
          <w:color w:val="123A63"/>
          <w:sz w:val="19"/>
          <w:shd w:val="clear" w:color="auto" w:fill="EEF2F7"/>
        </w:rPr>
        <w:t>ST03</w:t>
      </w:r>
      <w:r>
        <w:rPr>
          <w:rFonts w:ascii="Calibri" w:hAnsi="Calibri"/>
          <w:b w:val="0"/>
          <w:i w:val="0"/>
          <w:color w:val="334E68"/>
          <w:sz w:val="19"/>
        </w:rPr>
        <w:t xml:space="preserve"> is retained here because the source material and many runbooks still reference it.</w:t>
      </w:r>
    </w:p>
    <w:p>
      <w:pPr>
        <w:pStyle w:val="Heading2"/>
        <w:pBdr>
          <w:bottom w:val="single" w:sz="6" w:space="3" w:color="E8EDF3"/>
        </w:pBdr>
      </w:pPr>
      <w:r>
        <w:rPr>
          <w:rFonts w:ascii="Calibri" w:hAnsi="Calibri"/>
          <w:b/>
          <w:color w:val="0F2B4C"/>
          <w:sz w:val="26"/>
        </w:rPr>
        <w:t>8.4  STAD — detailed statistical records</w:t>
      </w:r>
    </w:p>
    <w:p>
      <w:r>
        <w:rPr>
          <w:rFonts w:ascii="Calibri" w:hAnsi="Calibri"/>
          <w:b w:val="0"/>
          <w:i w:val="0"/>
          <w:color w:val="334E68"/>
          <w:sz w:val="20"/>
        </w:rPr>
        <w:t xml:space="preserve">Where ST03/ST03N gives you aggregates, </w:t>
      </w:r>
      <w:r>
        <w:rPr>
          <w:rFonts w:ascii="Consolas" w:hAnsi="Consolas"/>
          <w:b w:val="0"/>
          <w:i w:val="0"/>
          <w:color w:val="123A63"/>
          <w:sz w:val="20"/>
          <w:shd w:val="clear" w:color="auto" w:fill="EEF2F7"/>
        </w:rPr>
        <w:t>STAD</w:t>
      </w:r>
      <w:r>
        <w:rPr>
          <w:rFonts w:ascii="Calibri" w:hAnsi="Calibri"/>
          <w:b w:val="0"/>
          <w:i w:val="0"/>
          <w:color w:val="334E68"/>
          <w:sz w:val="20"/>
        </w:rPr>
        <w:t xml:space="preserve"> gives you the individual statistical records behind them. Use it to answer “which specific step, for which user, at which time, and where did the time go?”</w:t>
      </w:r>
    </w:p>
    <w:p>
      <w:pPr>
        <w:spacing w:after="60" w:before="160"/>
        <w:keepNext/>
      </w:pPr>
      <w:r>
        <w:rPr>
          <w:rFonts w:ascii="Calibri" w:hAnsi="Calibri"/>
          <w:b/>
          <w:color w:val="5B7288"/>
          <w:sz w:val="15"/>
        </w:rPr>
        <w:t>STAD ANALYSIS TARGETS</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506"/>
        <w:gridCol w:w="7132"/>
      </w:tblGrid>
      <w:tr>
        <w:trPr>
          <w:tblHeader/>
          <w:cantSplit/>
        </w:trPr>
        <w:tc>
          <w:tcPr>
            <w:tcW w:type="dxa" w:w="2506"/>
            <w:shd w:val="clear" w:color="auto" w:fill="0F2B4C"/>
          </w:tcPr>
          <w:p>
            <w:pPr>
              <w:spacing w:after="20" w:before="20"/>
            </w:pPr>
            <w:r/>
            <w:r>
              <w:rPr>
                <w:rFonts w:ascii="Calibri" w:hAnsi="Calibri"/>
                <w:b/>
                <w:color w:val="FFFFFF"/>
                <w:sz w:val="17"/>
              </w:rPr>
              <w:t>Analysis goal</w:t>
            </w:r>
          </w:p>
        </w:tc>
        <w:tc>
          <w:tcPr>
            <w:tcW w:type="dxa" w:w="7132"/>
            <w:shd w:val="clear" w:color="auto" w:fill="0F2B4C"/>
          </w:tcPr>
          <w:p>
            <w:pPr>
              <w:spacing w:after="20" w:before="20"/>
            </w:pPr>
            <w:r/>
            <w:r>
              <w:rPr>
                <w:rFonts w:ascii="Calibri" w:hAnsi="Calibri"/>
                <w:b/>
                <w:color w:val="FFFFFF"/>
                <w:sz w:val="17"/>
              </w:rPr>
              <w:t>What to look for in STAD</w:t>
            </w:r>
          </w:p>
        </w:tc>
      </w:tr>
      <w:tr>
        <w:trPr>
          <w:cantSplit/>
        </w:trPr>
        <w:tc>
          <w:tcPr>
            <w:tcW w:type="dxa" w:w="2506"/>
          </w:tcPr>
          <w:p>
            <w:pPr>
              <w:spacing w:after="20" w:before="20"/>
            </w:pPr>
            <w:r/>
            <w:r>
              <w:rPr>
                <w:rFonts w:ascii="Calibri" w:hAnsi="Calibri"/>
                <w:b/>
                <w:i w:val="0"/>
                <w:color w:val="334E68"/>
                <w:sz w:val="17"/>
              </w:rPr>
              <w:t>Slow transactions</w:t>
            </w:r>
          </w:p>
        </w:tc>
        <w:tc>
          <w:tcPr>
            <w:tcW w:type="dxa" w:w="7132"/>
          </w:tcPr>
          <w:p>
            <w:pPr>
              <w:spacing w:after="20" w:before="20"/>
            </w:pPr>
            <w:r/>
            <w:r>
              <w:rPr>
                <w:rFonts w:ascii="Calibri" w:hAnsi="Calibri"/>
                <w:b w:val="0"/>
                <w:i w:val="0"/>
                <w:color w:val="334E68"/>
                <w:sz w:val="17"/>
              </w:rPr>
              <w:t>Records with the highest response time, grouped by transaction code</w:t>
            </w:r>
          </w:p>
        </w:tc>
      </w:tr>
      <w:tr>
        <w:trPr>
          <w:cantSplit/>
        </w:trPr>
        <w:tc>
          <w:tcPr>
            <w:tcW w:type="dxa" w:w="2506"/>
            <w:shd w:val="clear" w:color="auto" w:fill="FAFBFD"/>
          </w:tcPr>
          <w:p>
            <w:pPr>
              <w:spacing w:after="20" w:before="20"/>
            </w:pPr>
            <w:r/>
            <w:r>
              <w:rPr>
                <w:rFonts w:ascii="Calibri" w:hAnsi="Calibri"/>
                <w:b/>
                <w:i w:val="0"/>
                <w:color w:val="334E68"/>
                <w:sz w:val="17"/>
              </w:rPr>
              <w:t>Long response times</w:t>
            </w:r>
          </w:p>
        </w:tc>
        <w:tc>
          <w:tcPr>
            <w:tcW w:type="dxa" w:w="7132"/>
            <w:shd w:val="clear" w:color="auto" w:fill="FAFBFD"/>
          </w:tcPr>
          <w:p>
            <w:pPr>
              <w:spacing w:after="20" w:before="20"/>
            </w:pPr>
            <w:r/>
            <w:r>
              <w:rPr>
                <w:rFonts w:ascii="Calibri" w:hAnsi="Calibri"/>
                <w:b w:val="0"/>
                <w:i w:val="0"/>
                <w:color w:val="334E68"/>
                <w:sz w:val="17"/>
              </w:rPr>
              <w:t>Distribution of response time — a few extreme records or a general shift</w:t>
            </w:r>
          </w:p>
        </w:tc>
      </w:tr>
      <w:tr>
        <w:trPr>
          <w:cantSplit/>
        </w:trPr>
        <w:tc>
          <w:tcPr>
            <w:tcW w:type="dxa" w:w="2506"/>
          </w:tcPr>
          <w:p>
            <w:pPr>
              <w:spacing w:after="20" w:before="20"/>
            </w:pPr>
            <w:r/>
            <w:r>
              <w:rPr>
                <w:rFonts w:ascii="Calibri" w:hAnsi="Calibri"/>
                <w:b/>
                <w:i w:val="0"/>
                <w:color w:val="334E68"/>
                <w:sz w:val="17"/>
              </w:rPr>
              <w:t>Database-intensive activity</w:t>
            </w:r>
          </w:p>
        </w:tc>
        <w:tc>
          <w:tcPr>
            <w:tcW w:type="dxa" w:w="7132"/>
          </w:tcPr>
          <w:p>
            <w:pPr>
              <w:spacing w:after="20" w:before="20"/>
            </w:pPr>
            <w:r/>
            <w:r>
              <w:rPr>
                <w:rFonts w:ascii="Calibri" w:hAnsi="Calibri"/>
                <w:b w:val="0"/>
                <w:i w:val="0"/>
                <w:color w:val="334E68"/>
                <w:sz w:val="17"/>
              </w:rPr>
              <w:t>High DB time relative to response time; number of DB requests per step; sequential reads</w:t>
            </w:r>
          </w:p>
        </w:tc>
      </w:tr>
      <w:tr>
        <w:trPr>
          <w:cantSplit/>
        </w:trPr>
        <w:tc>
          <w:tcPr>
            <w:tcW w:type="dxa" w:w="2506"/>
            <w:shd w:val="clear" w:color="auto" w:fill="FAFBFD"/>
          </w:tcPr>
          <w:p>
            <w:pPr>
              <w:spacing w:after="20" w:before="20"/>
            </w:pPr>
            <w:r/>
            <w:r>
              <w:rPr>
                <w:rFonts w:ascii="Calibri" w:hAnsi="Calibri"/>
                <w:b/>
                <w:i w:val="0"/>
                <w:color w:val="334E68"/>
                <w:sz w:val="17"/>
              </w:rPr>
              <w:t>CPU-intensive activity</w:t>
            </w:r>
          </w:p>
        </w:tc>
        <w:tc>
          <w:tcPr>
            <w:tcW w:type="dxa" w:w="7132"/>
            <w:shd w:val="clear" w:color="auto" w:fill="FAFBFD"/>
          </w:tcPr>
          <w:p>
            <w:pPr>
              <w:spacing w:after="20" w:before="20"/>
            </w:pPr>
            <w:r/>
            <w:r>
              <w:rPr>
                <w:rFonts w:ascii="Calibri" w:hAnsi="Calibri"/>
                <w:b w:val="0"/>
                <w:i w:val="0"/>
                <w:color w:val="334E68"/>
                <w:sz w:val="17"/>
              </w:rPr>
              <w:t>High CPU time relative to response time, often with low DB time</w:t>
            </w:r>
          </w:p>
        </w:tc>
      </w:tr>
      <w:tr>
        <w:trPr>
          <w:cantSplit/>
        </w:trPr>
        <w:tc>
          <w:tcPr>
            <w:tcW w:type="dxa" w:w="2506"/>
          </w:tcPr>
          <w:p>
            <w:pPr>
              <w:spacing w:after="20" w:before="20"/>
            </w:pPr>
            <w:r/>
            <w:r>
              <w:rPr>
                <w:rFonts w:ascii="Calibri" w:hAnsi="Calibri"/>
                <w:b/>
                <w:i w:val="0"/>
                <w:color w:val="334E68"/>
                <w:sz w:val="17"/>
              </w:rPr>
              <w:t>User-specific workload</w:t>
            </w:r>
          </w:p>
        </w:tc>
        <w:tc>
          <w:tcPr>
            <w:tcW w:type="dxa" w:w="7132"/>
          </w:tcPr>
          <w:p>
            <w:pPr>
              <w:spacing w:after="20" w:before="20"/>
            </w:pPr>
            <w:r/>
            <w:r>
              <w:rPr>
                <w:rFonts w:ascii="Calibri" w:hAnsi="Calibri"/>
                <w:b w:val="0"/>
                <w:i w:val="0"/>
                <w:color w:val="334E68"/>
                <w:sz w:val="17"/>
              </w:rPr>
              <w:t>Records by user — identifies a single heavy session, a broken client, or a report run ad hoc</w:t>
            </w:r>
          </w:p>
        </w:tc>
      </w:tr>
      <w:tr>
        <w:trPr>
          <w:cantSplit/>
        </w:trPr>
        <w:tc>
          <w:tcPr>
            <w:tcW w:type="dxa" w:w="2506"/>
            <w:shd w:val="clear" w:color="auto" w:fill="FAFBFD"/>
          </w:tcPr>
          <w:p>
            <w:pPr>
              <w:spacing w:after="20" w:before="20"/>
            </w:pPr>
            <w:r/>
            <w:r>
              <w:rPr>
                <w:rFonts w:ascii="Calibri" w:hAnsi="Calibri"/>
                <w:b/>
                <w:i w:val="0"/>
                <w:color w:val="334E68"/>
                <w:sz w:val="17"/>
              </w:rPr>
              <w:t>Performance bottlenecks</w:t>
            </w:r>
          </w:p>
        </w:tc>
        <w:tc>
          <w:tcPr>
            <w:tcW w:type="dxa" w:w="7132"/>
            <w:shd w:val="clear" w:color="auto" w:fill="FAFBFD"/>
          </w:tcPr>
          <w:p>
            <w:pPr>
              <w:spacing w:after="20" w:before="20"/>
            </w:pPr>
            <w:r/>
            <w:r>
              <w:rPr>
                <w:rFonts w:ascii="Calibri" w:hAnsi="Calibri"/>
                <w:b w:val="0"/>
                <w:i w:val="0"/>
                <w:color w:val="334E68"/>
                <w:sz w:val="17"/>
              </w:rPr>
              <w:t>Roll/wait time, enqueue time, RFC time, and spool time as separate components</w:t>
            </w:r>
          </w:p>
        </w:tc>
      </w:tr>
    </w:tbl>
    <w:p>
      <w:pPr>
        <w:spacing w:after="40"/>
      </w:pPr>
    </w:p>
    <w:p>
      <w:pPr>
        <w:spacing w:before="180" w:after="40"/>
        <w:shd w:val="clear" w:color="auto" w:fill="FFFDF5"/>
        <w:pBdr>
          <w:left w:val="single" w:sz="6" w:space="6" w:color="D9A520"/>
          <w:top w:val="single" w:sz="6" w:space="6" w:color="D9A520"/>
          <w:right w:val="single" w:sz="6" w:space="6" w:color="D9A520"/>
        </w:pBdr>
        <w:keepNext/>
      </w:pPr>
      <w:r>
        <w:rPr>
          <w:rFonts w:ascii="Calibri" w:hAnsi="Calibri"/>
          <w:b/>
          <w:color w:val="D9A520"/>
          <w:sz w:val="16"/>
        </w:rPr>
        <w:t>THRESHOLD CAUTION</w:t>
      </w:r>
    </w:p>
    <w:p>
      <w:pPr>
        <w:spacing w:after="40"/>
        <w:ind w:left="170"/>
        <w:shd w:val="clear" w:color="auto" w:fill="FFFDF5"/>
        <w:pBdr>
          <w:left w:val="single" w:sz="6" w:space="6" w:color="D9A520"/>
          <w:bottom w:val="single" w:sz="6" w:space="6" w:color="D9A520"/>
          <w:right w:val="single" w:sz="6" w:space="6" w:color="D9A520"/>
        </w:pBdr>
      </w:pPr>
      <w:r>
        <w:rPr>
          <w:rFonts w:ascii="Calibri" w:hAnsi="Calibri"/>
          <w:b w:val="0"/>
          <w:i w:val="0"/>
          <w:color w:val="334E68"/>
          <w:sz w:val="18"/>
        </w:rPr>
        <w:t xml:space="preserve">The source training referenced approximately </w:t>
      </w:r>
      <w:r>
        <w:rPr>
          <w:rFonts w:ascii="Calibri" w:hAnsi="Calibri"/>
          <w:b/>
          <w:i w:val="0"/>
          <w:color w:val="334E68"/>
          <w:sz w:val="18"/>
        </w:rPr>
        <w:t>1200 ms</w:t>
      </w:r>
      <w:r>
        <w:rPr>
          <w:rFonts w:ascii="Calibri" w:hAnsi="Calibri"/>
          <w:b w:val="0"/>
          <w:i w:val="0"/>
          <w:color w:val="334E68"/>
          <w:sz w:val="18"/>
        </w:rPr>
        <w:t xml:space="preserve"> response time and </w:t>
      </w:r>
      <w:r>
        <w:rPr>
          <w:rFonts w:ascii="Calibri" w:hAnsi="Calibri"/>
          <w:b/>
          <w:i w:val="0"/>
          <w:color w:val="334E68"/>
          <w:sz w:val="18"/>
        </w:rPr>
        <w:t>40%</w:t>
      </w:r>
      <w:r>
        <w:rPr>
          <w:rFonts w:ascii="Calibri" w:hAnsi="Calibri"/>
          <w:b w:val="0"/>
          <w:i w:val="0"/>
          <w:color w:val="334E68"/>
          <w:sz w:val="18"/>
        </w:rPr>
        <w:t xml:space="preserve"> average database request time as discussion/reference values. These are teaching aids, not standards. Validate them against the applicable SAP and client baseline — and against the measured source performance for the same system — before using them as production alerting thresholds. </w:t>
      </w:r>
      <w:r>
        <w:rPr>
          <w:rFonts w:ascii="Calibri" w:hAnsi="Calibri"/>
          <w:b w:val="0"/>
          <w:i w:val="0"/>
          <w:color w:val="334E68"/>
          <w:sz w:val="18"/>
        </w:rPr>
        <w:t>Validate</w:t>
      </w:r>
    </w:p>
    <w:p>
      <w:pPr>
        <w:pStyle w:val="Heading2"/>
        <w:pBdr>
          <w:bottom w:val="single" w:sz="6" w:space="3" w:color="E8EDF3"/>
        </w:pBdr>
      </w:pPr>
      <w:r>
        <w:rPr>
          <w:rFonts w:ascii="Calibri" w:hAnsi="Calibri"/>
          <w:b/>
          <w:color w:val="0F2B4C"/>
          <w:sz w:val="26"/>
        </w:rPr>
        <w:t>8.5  Triage path</w:t>
      </w:r>
    </w:p>
    <w:p>
      <w:pPr>
        <w:spacing w:after="40"/>
        <w:ind w:left="578" w:hanging="227"/>
      </w:pPr>
      <w:r>
        <w:rPr>
          <w:rFonts w:ascii="Calibri" w:hAnsi="Calibri"/>
          <w:b/>
          <w:color w:val="0F2B4C"/>
          <w:sz w:val="19"/>
        </w:rPr>
        <w:t xml:space="preserve">1.  </w:t>
      </w:r>
      <w:r>
        <w:rPr>
          <w:rFonts w:ascii="Calibri" w:hAnsi="Calibri"/>
          <w:b w:val="0"/>
          <w:i w:val="0"/>
          <w:color w:val="334E68"/>
          <w:sz w:val="19"/>
        </w:rPr>
        <w:t>Reproduce or evidence the symptom: which transaction, which user, which time window, how often.</w:t>
      </w:r>
    </w:p>
    <w:p>
      <w:pPr>
        <w:spacing w:after="40"/>
        <w:ind w:left="578" w:hanging="227"/>
      </w:pPr>
      <w:r>
        <w:rPr>
          <w:rFonts w:ascii="Calibri" w:hAnsi="Calibri"/>
          <w:b/>
          <w:color w:val="0F2B4C"/>
          <w:sz w:val="19"/>
        </w:rPr>
        <w:t xml:space="preserve">2.  </w:t>
      </w:r>
      <w:r>
        <w:rPr>
          <w:rFonts w:ascii="Calibri" w:hAnsi="Calibri"/>
          <w:b w:val="0"/>
          <w:i w:val="0"/>
          <w:color w:val="334E68"/>
          <w:sz w:val="19"/>
        </w:rPr>
        <w:t xml:space="preserve">Check the aggregate view in </w:t>
      </w:r>
      <w:r>
        <w:rPr>
          <w:rFonts w:ascii="Consolas" w:hAnsi="Consolas"/>
          <w:b w:val="0"/>
          <w:i w:val="0"/>
          <w:color w:val="123A63"/>
          <w:sz w:val="19"/>
          <w:shd w:val="clear" w:color="auto" w:fill="EEF2F7"/>
        </w:rPr>
        <w:t>ST03</w:t>
      </w:r>
      <w:r>
        <w:rPr>
          <w:rFonts w:ascii="Calibri" w:hAnsi="Calibri"/>
          <w:b w:val="0"/>
          <w:i w:val="0"/>
          <w:color w:val="334E68"/>
          <w:sz w:val="19"/>
        </w:rPr>
        <w:t>/</w:t>
      </w:r>
      <w:r>
        <w:rPr>
          <w:rFonts w:ascii="Consolas" w:hAnsi="Consolas"/>
          <w:b w:val="0"/>
          <w:i w:val="0"/>
          <w:color w:val="123A63"/>
          <w:sz w:val="19"/>
          <w:shd w:val="clear" w:color="auto" w:fill="EEF2F7"/>
        </w:rPr>
        <w:t>ST03N</w:t>
      </w:r>
      <w:r>
        <w:rPr>
          <w:rFonts w:ascii="Calibri" w:hAnsi="Calibri"/>
          <w:b w:val="0"/>
          <w:i w:val="0"/>
          <w:color w:val="334E68"/>
          <w:sz w:val="19"/>
        </w:rPr>
        <w:t xml:space="preserve"> and compare it with the pre-migration baseline for the same period type.</w:t>
      </w:r>
    </w:p>
    <w:p>
      <w:pPr>
        <w:spacing w:after="40"/>
        <w:ind w:left="578" w:hanging="227"/>
      </w:pPr>
      <w:r>
        <w:rPr>
          <w:rFonts w:ascii="Calibri" w:hAnsi="Calibri"/>
          <w:b/>
          <w:color w:val="0F2B4C"/>
          <w:sz w:val="19"/>
        </w:rPr>
        <w:t xml:space="preserve">3.  </w:t>
      </w:r>
      <w:r>
        <w:rPr>
          <w:rFonts w:ascii="Calibri" w:hAnsi="Calibri"/>
          <w:b w:val="0"/>
          <w:i w:val="0"/>
          <w:color w:val="334E68"/>
          <w:sz w:val="19"/>
        </w:rPr>
        <w:t>Split the time: database, CPU, wait, roll, RFC. This decides which team owns the investigation.</w:t>
      </w:r>
    </w:p>
    <w:p>
      <w:pPr>
        <w:spacing w:after="40"/>
        <w:ind w:left="578" w:hanging="227"/>
      </w:pPr>
      <w:r>
        <w:rPr>
          <w:rFonts w:ascii="Calibri" w:hAnsi="Calibri"/>
          <w:b/>
          <w:color w:val="0F2B4C"/>
          <w:sz w:val="19"/>
        </w:rPr>
        <w:t xml:space="preserve">4.  </w:t>
      </w:r>
      <w:r>
        <w:rPr>
          <w:rFonts w:ascii="Calibri" w:hAnsi="Calibri"/>
          <w:b w:val="0"/>
          <w:i w:val="0"/>
          <w:color w:val="334E68"/>
          <w:sz w:val="19"/>
        </w:rPr>
        <w:t xml:space="preserve">Drill into </w:t>
      </w:r>
      <w:r>
        <w:rPr>
          <w:rFonts w:ascii="Consolas" w:hAnsi="Consolas"/>
          <w:b w:val="0"/>
          <w:i w:val="0"/>
          <w:color w:val="123A63"/>
          <w:sz w:val="19"/>
          <w:shd w:val="clear" w:color="auto" w:fill="EEF2F7"/>
        </w:rPr>
        <w:t>STAD</w:t>
      </w:r>
      <w:r>
        <w:rPr>
          <w:rFonts w:ascii="Calibri" w:hAnsi="Calibri"/>
          <w:b w:val="0"/>
          <w:i w:val="0"/>
          <w:color w:val="334E68"/>
          <w:sz w:val="19"/>
        </w:rPr>
        <w:t xml:space="preserve"> for the specific slow records.</w:t>
      </w:r>
    </w:p>
    <w:p>
      <w:pPr>
        <w:spacing w:after="40"/>
        <w:ind w:left="578" w:hanging="227"/>
      </w:pPr>
      <w:r>
        <w:rPr>
          <w:rFonts w:ascii="Calibri" w:hAnsi="Calibri"/>
          <w:b/>
          <w:color w:val="0F2B4C"/>
          <w:sz w:val="19"/>
        </w:rPr>
        <w:t xml:space="preserve">5.  </w:t>
      </w:r>
      <w:r>
        <w:rPr>
          <w:rFonts w:ascii="Calibri" w:hAnsi="Calibri"/>
          <w:b w:val="0"/>
          <w:i w:val="0"/>
          <w:color w:val="334E68"/>
          <w:sz w:val="19"/>
        </w:rPr>
        <w:t xml:space="preserve">If memory is implicated, check </w:t>
      </w:r>
      <w:r>
        <w:rPr>
          <w:rFonts w:ascii="Consolas" w:hAnsi="Consolas"/>
          <w:b w:val="0"/>
          <w:i w:val="0"/>
          <w:color w:val="123A63"/>
          <w:sz w:val="19"/>
          <w:shd w:val="clear" w:color="auto" w:fill="EEF2F7"/>
        </w:rPr>
        <w:t>ST02</w:t>
      </w:r>
      <w:r>
        <w:rPr>
          <w:rFonts w:ascii="Calibri" w:hAnsi="Calibri"/>
          <w:b w:val="0"/>
          <w:i w:val="0"/>
          <w:color w:val="334E68"/>
          <w:sz w:val="19"/>
        </w:rPr>
        <w:t>: EM, heap/private, roll, paging, buffer hit ratios.</w:t>
      </w:r>
    </w:p>
    <w:p>
      <w:pPr>
        <w:spacing w:after="40"/>
        <w:ind w:left="578" w:hanging="227"/>
      </w:pPr>
      <w:r>
        <w:rPr>
          <w:rFonts w:ascii="Calibri" w:hAnsi="Calibri"/>
          <w:b/>
          <w:color w:val="0F2B4C"/>
          <w:sz w:val="19"/>
        </w:rPr>
        <w:t xml:space="preserve">6.  </w:t>
      </w:r>
      <w:r>
        <w:rPr>
          <w:rFonts w:ascii="Calibri" w:hAnsi="Calibri"/>
          <w:b w:val="0"/>
          <w:i w:val="0"/>
          <w:color w:val="334E68"/>
          <w:sz w:val="19"/>
        </w:rPr>
        <w:t>Check the non-SAP layer when the split points there: database statistics and SQL, network latency to the DB, storage throughput, host CPU and memory pressure.</w:t>
      </w:r>
    </w:p>
    <w:p>
      <w:pPr>
        <w:spacing w:after="40"/>
        <w:ind w:left="578" w:hanging="227"/>
      </w:pPr>
      <w:r>
        <w:rPr>
          <w:rFonts w:ascii="Calibri" w:hAnsi="Calibri"/>
          <w:b/>
          <w:color w:val="0F2B4C"/>
          <w:sz w:val="19"/>
        </w:rPr>
        <w:t xml:space="preserve">7.  </w:t>
      </w:r>
      <w:r>
        <w:rPr>
          <w:rFonts w:ascii="Calibri" w:hAnsi="Calibri"/>
          <w:b w:val="0"/>
          <w:i w:val="0"/>
          <w:color w:val="334E68"/>
          <w:sz w:val="19"/>
        </w:rPr>
        <w:t>Identify the root cause and agree the fix with the owning team (DBA, ABAP, Linux, network).</w:t>
      </w:r>
    </w:p>
    <w:p>
      <w:pPr>
        <w:spacing w:after="40"/>
        <w:ind w:left="578" w:hanging="227"/>
      </w:pPr>
      <w:r>
        <w:rPr>
          <w:rFonts w:ascii="Calibri" w:hAnsi="Calibri"/>
          <w:b/>
          <w:color w:val="0F2B4C"/>
          <w:sz w:val="19"/>
        </w:rPr>
        <w:t xml:space="preserve">8.  </w:t>
      </w:r>
      <w:r>
        <w:rPr>
          <w:rFonts w:ascii="Calibri" w:hAnsi="Calibri"/>
          <w:b w:val="0"/>
          <w:i w:val="0"/>
          <w:color w:val="334E68"/>
          <w:sz w:val="19"/>
        </w:rPr>
        <w:t>Apply the fix through the approved change route, then re-measure against the baseline.</w:t>
      </w:r>
    </w:p>
    <w:p>
      <w:pPr>
        <w:spacing w:after="40"/>
        <w:ind w:left="578" w:hanging="227"/>
      </w:pPr>
      <w:r>
        <w:rPr>
          <w:rFonts w:ascii="Calibri" w:hAnsi="Calibri"/>
          <w:b/>
          <w:color w:val="0F2B4C"/>
          <w:sz w:val="19"/>
        </w:rPr>
        <w:t xml:space="preserve">9.  </w:t>
      </w:r>
      <w:r>
        <w:rPr>
          <w:rFonts w:ascii="Calibri" w:hAnsi="Calibri"/>
          <w:b w:val="0"/>
          <w:i w:val="0"/>
          <w:color w:val="334E68"/>
          <w:sz w:val="19"/>
        </w:rPr>
        <w:t>Record before/after evidence and close the item.</w:t>
      </w:r>
    </w:p>
    <w:p>
      <w:pPr>
        <w:spacing w:after="60" w:before="160"/>
        <w:keepNext/>
      </w:pPr>
      <w:r>
        <w:rPr>
          <w:rFonts w:ascii="Calibri" w:hAnsi="Calibri"/>
          <w:b/>
          <w:color w:val="5B7288"/>
          <w:sz w:val="15"/>
        </w:rPr>
        <w:t>FROM SYMPTOM TO OWNER</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120"/>
        <w:gridCol w:w="5204"/>
        <w:gridCol w:w="2313"/>
      </w:tblGrid>
      <w:tr>
        <w:trPr>
          <w:tblHeader/>
          <w:cantSplit/>
        </w:trPr>
        <w:tc>
          <w:tcPr>
            <w:tcW w:type="dxa" w:w="2120"/>
            <w:shd w:val="clear" w:color="auto" w:fill="0F2B4C"/>
          </w:tcPr>
          <w:p>
            <w:pPr>
              <w:spacing w:after="20" w:before="20"/>
            </w:pPr>
            <w:r/>
            <w:r>
              <w:rPr>
                <w:rFonts w:ascii="Calibri" w:hAnsi="Calibri"/>
                <w:b/>
                <w:color w:val="FFFFFF"/>
                <w:sz w:val="17"/>
              </w:rPr>
              <w:t>Time component dominates</w:t>
            </w:r>
          </w:p>
        </w:tc>
        <w:tc>
          <w:tcPr>
            <w:tcW w:type="dxa" w:w="5204"/>
            <w:shd w:val="clear" w:color="auto" w:fill="0F2B4C"/>
          </w:tcPr>
          <w:p>
            <w:pPr>
              <w:spacing w:after="20" w:before="20"/>
            </w:pPr>
            <w:r/>
            <w:r>
              <w:rPr>
                <w:rFonts w:ascii="Calibri" w:hAnsi="Calibri"/>
                <w:b/>
                <w:color w:val="FFFFFF"/>
                <w:sz w:val="17"/>
              </w:rPr>
              <w:t>Look at</w:t>
            </w:r>
          </w:p>
        </w:tc>
        <w:tc>
          <w:tcPr>
            <w:tcW w:type="dxa" w:w="2313"/>
            <w:shd w:val="clear" w:color="auto" w:fill="0F2B4C"/>
          </w:tcPr>
          <w:p>
            <w:pPr>
              <w:spacing w:after="20" w:before="20"/>
            </w:pPr>
            <w:r/>
            <w:r>
              <w:rPr>
                <w:rFonts w:ascii="Calibri" w:hAnsi="Calibri"/>
                <w:b/>
                <w:color w:val="FFFFFF"/>
                <w:sz w:val="17"/>
              </w:rPr>
              <w:t>Usual owner</w:t>
            </w:r>
          </w:p>
        </w:tc>
      </w:tr>
      <w:tr>
        <w:trPr>
          <w:cantSplit/>
        </w:trPr>
        <w:tc>
          <w:tcPr>
            <w:tcW w:type="dxa" w:w="2120"/>
          </w:tcPr>
          <w:p>
            <w:pPr>
              <w:spacing w:after="20" w:before="20"/>
            </w:pPr>
            <w:r/>
            <w:r>
              <w:rPr>
                <w:rFonts w:ascii="Calibri" w:hAnsi="Calibri"/>
                <w:b/>
                <w:i w:val="0"/>
                <w:color w:val="334E68"/>
                <w:sz w:val="17"/>
              </w:rPr>
              <w:t>Database time</w:t>
            </w:r>
          </w:p>
        </w:tc>
        <w:tc>
          <w:tcPr>
            <w:tcW w:type="dxa" w:w="5204"/>
          </w:tcPr>
          <w:p>
            <w:pPr>
              <w:spacing w:after="20" w:before="20"/>
            </w:pPr>
            <w:r/>
            <w:r>
              <w:rPr>
                <w:rFonts w:ascii="Calibri" w:hAnsi="Calibri"/>
                <w:b w:val="0"/>
                <w:i w:val="0"/>
                <w:color w:val="334E68"/>
                <w:sz w:val="17"/>
              </w:rPr>
              <w:t>SQL and access path, missing or stale statistics/indexes, DB parameters, network latency to the DB, storage throughput</w:t>
            </w:r>
          </w:p>
        </w:tc>
        <w:tc>
          <w:tcPr>
            <w:tcW w:type="dxa" w:w="2313"/>
          </w:tcPr>
          <w:p>
            <w:pPr>
              <w:spacing w:after="20" w:before="20"/>
            </w:pPr>
            <w:r/>
            <w:r>
              <w:rPr>
                <w:rFonts w:ascii="Calibri" w:hAnsi="Calibri"/>
                <w:b w:val="0"/>
                <w:i w:val="0"/>
                <w:color w:val="334E68"/>
                <w:sz w:val="17"/>
              </w:rPr>
              <w:t>DBA (with ABAP for access paths)</w:t>
            </w:r>
          </w:p>
        </w:tc>
      </w:tr>
      <w:tr>
        <w:trPr>
          <w:cantSplit/>
        </w:trPr>
        <w:tc>
          <w:tcPr>
            <w:tcW w:type="dxa" w:w="2120"/>
            <w:shd w:val="clear" w:color="auto" w:fill="FAFBFD"/>
          </w:tcPr>
          <w:p>
            <w:pPr>
              <w:spacing w:after="20" w:before="20"/>
            </w:pPr>
            <w:r/>
            <w:r>
              <w:rPr>
                <w:rFonts w:ascii="Calibri" w:hAnsi="Calibri"/>
                <w:b/>
                <w:i w:val="0"/>
                <w:color w:val="334E68"/>
                <w:sz w:val="17"/>
              </w:rPr>
              <w:t>CPU time</w:t>
            </w:r>
          </w:p>
        </w:tc>
        <w:tc>
          <w:tcPr>
            <w:tcW w:type="dxa" w:w="5204"/>
            <w:shd w:val="clear" w:color="auto" w:fill="FAFBFD"/>
          </w:tcPr>
          <w:p>
            <w:pPr>
              <w:spacing w:after="20" w:before="20"/>
            </w:pPr>
            <w:r/>
            <w:r>
              <w:rPr>
                <w:rFonts w:ascii="Calibri" w:hAnsi="Calibri"/>
                <w:b w:val="0"/>
                <w:i w:val="0"/>
                <w:color w:val="334E68"/>
                <w:sz w:val="17"/>
              </w:rPr>
              <w:t>Custom code, volume of data processed, loop and internal-table behaviour, under-sized instance type</w:t>
            </w:r>
          </w:p>
        </w:tc>
        <w:tc>
          <w:tcPr>
            <w:tcW w:type="dxa" w:w="2313"/>
            <w:shd w:val="clear" w:color="auto" w:fill="FAFBFD"/>
          </w:tcPr>
          <w:p>
            <w:pPr>
              <w:spacing w:after="20" w:before="20"/>
            </w:pPr>
            <w:r/>
            <w:r>
              <w:rPr>
                <w:rFonts w:ascii="Calibri" w:hAnsi="Calibri"/>
                <w:b w:val="0"/>
                <w:i w:val="0"/>
                <w:color w:val="334E68"/>
                <w:sz w:val="17"/>
              </w:rPr>
              <w:t>ABAP / application team</w:t>
            </w:r>
          </w:p>
        </w:tc>
      </w:tr>
      <w:tr>
        <w:trPr>
          <w:cantSplit/>
        </w:trPr>
        <w:tc>
          <w:tcPr>
            <w:tcW w:type="dxa" w:w="2120"/>
          </w:tcPr>
          <w:p>
            <w:pPr>
              <w:spacing w:after="20" w:before="20"/>
            </w:pPr>
            <w:r/>
            <w:r>
              <w:rPr>
                <w:rFonts w:ascii="Calibri" w:hAnsi="Calibri"/>
                <w:b/>
                <w:i w:val="0"/>
                <w:color w:val="334E68"/>
                <w:sz w:val="17"/>
              </w:rPr>
              <w:t>Wait time</w:t>
            </w:r>
          </w:p>
        </w:tc>
        <w:tc>
          <w:tcPr>
            <w:tcW w:type="dxa" w:w="5204"/>
          </w:tcPr>
          <w:p>
            <w:pPr>
              <w:spacing w:after="20" w:before="20"/>
            </w:pPr>
            <w:r/>
            <w:r>
              <w:rPr>
                <w:rFonts w:ascii="Calibri" w:hAnsi="Calibri"/>
                <w:b w:val="0"/>
                <w:i w:val="0"/>
                <w:color w:val="334E68"/>
                <w:sz w:val="17"/>
              </w:rPr>
              <w:t>Roll and paging behaviour, EM/heap configuration, enqueue contention, slow RFC destinations</w:t>
            </w:r>
          </w:p>
        </w:tc>
        <w:tc>
          <w:tcPr>
            <w:tcW w:type="dxa" w:w="2313"/>
          </w:tcPr>
          <w:p>
            <w:pPr>
              <w:spacing w:after="20" w:before="20"/>
            </w:pPr>
            <w:r/>
            <w:r>
              <w:rPr>
                <w:rFonts w:ascii="Calibri" w:hAnsi="Calibri"/>
                <w:b w:val="0"/>
                <w:i w:val="0"/>
                <w:color w:val="334E68"/>
                <w:sz w:val="17"/>
              </w:rPr>
              <w:t>Basis (with the interface owner)</w:t>
            </w:r>
          </w:p>
        </w:tc>
      </w:tr>
      <w:tr>
        <w:trPr>
          <w:cantSplit/>
        </w:trPr>
        <w:tc>
          <w:tcPr>
            <w:tcW w:type="dxa" w:w="2120"/>
            <w:shd w:val="clear" w:color="auto" w:fill="FAFBFD"/>
          </w:tcPr>
          <w:p>
            <w:pPr>
              <w:spacing w:after="20" w:before="20"/>
            </w:pPr>
            <w:r/>
            <w:r>
              <w:rPr>
                <w:rFonts w:ascii="Calibri" w:hAnsi="Calibri"/>
                <w:b/>
                <w:i w:val="0"/>
                <w:color w:val="334E68"/>
                <w:sz w:val="17"/>
              </w:rPr>
              <w:t>Roll time</w:t>
            </w:r>
          </w:p>
        </w:tc>
        <w:tc>
          <w:tcPr>
            <w:tcW w:type="dxa" w:w="5204"/>
            <w:shd w:val="clear" w:color="auto" w:fill="FAFBFD"/>
          </w:tcPr>
          <w:p>
            <w:pPr>
              <w:spacing w:after="20" w:before="20"/>
            </w:pPr>
            <w:r/>
            <w:r>
              <w:rPr>
                <w:rFonts w:ascii="Calibri" w:hAnsi="Calibri"/>
                <w:b w:val="0"/>
                <w:i w:val="0"/>
                <w:color w:val="334E68"/>
                <w:sz w:val="17"/>
              </w:rPr>
              <w:t>Roll area sizing, number of dialog steps, context size</w:t>
            </w:r>
          </w:p>
        </w:tc>
        <w:tc>
          <w:tcPr>
            <w:tcW w:type="dxa" w:w="2313"/>
            <w:shd w:val="clear" w:color="auto" w:fill="FAFBFD"/>
          </w:tcPr>
          <w:p>
            <w:pPr>
              <w:spacing w:after="20" w:before="20"/>
            </w:pPr>
            <w:r/>
            <w:r>
              <w:rPr>
                <w:rFonts w:ascii="Calibri" w:hAnsi="Calibri"/>
                <w:b w:val="0"/>
                <w:i w:val="0"/>
                <w:color w:val="334E68"/>
                <w:sz w:val="17"/>
              </w:rPr>
              <w:t>Basis</w:t>
            </w:r>
          </w:p>
        </w:tc>
      </w:tr>
      <w:tr>
        <w:trPr>
          <w:cantSplit/>
        </w:trPr>
        <w:tc>
          <w:tcPr>
            <w:tcW w:type="dxa" w:w="2120"/>
          </w:tcPr>
          <w:p>
            <w:pPr>
              <w:spacing w:after="20" w:before="20"/>
            </w:pPr>
            <w:r/>
            <w:r>
              <w:rPr>
                <w:rFonts w:ascii="Calibri" w:hAnsi="Calibri"/>
                <w:b/>
                <w:i w:val="0"/>
                <w:color w:val="334E68"/>
                <w:sz w:val="17"/>
              </w:rPr>
              <w:t>RFC / external time</w:t>
            </w:r>
          </w:p>
        </w:tc>
        <w:tc>
          <w:tcPr>
            <w:tcW w:type="dxa" w:w="5204"/>
          </w:tcPr>
          <w:p>
            <w:pPr>
              <w:spacing w:after="20" w:before="20"/>
            </w:pPr>
            <w:r/>
            <w:r>
              <w:rPr>
                <w:rFonts w:ascii="Calibri" w:hAnsi="Calibri"/>
                <w:b w:val="0"/>
                <w:i w:val="0"/>
                <w:color w:val="334E68"/>
                <w:sz w:val="17"/>
              </w:rPr>
              <w:t>Destination response, middleware, partner system, network path</w:t>
            </w:r>
          </w:p>
        </w:tc>
        <w:tc>
          <w:tcPr>
            <w:tcW w:type="dxa" w:w="2313"/>
          </w:tcPr>
          <w:p>
            <w:pPr>
              <w:spacing w:after="20" w:before="20"/>
            </w:pPr>
            <w:r/>
            <w:r>
              <w:rPr>
                <w:rFonts w:ascii="Calibri" w:hAnsi="Calibri"/>
                <w:b w:val="0"/>
                <w:i w:val="0"/>
                <w:color w:val="334E68"/>
                <w:sz w:val="17"/>
              </w:rPr>
              <w:t>Interface owner + network</w:t>
            </w:r>
          </w:p>
        </w:tc>
      </w:tr>
      <w:tr>
        <w:trPr>
          <w:cantSplit/>
        </w:trPr>
        <w:tc>
          <w:tcPr>
            <w:tcW w:type="dxa" w:w="2120"/>
            <w:shd w:val="clear" w:color="auto" w:fill="FAFBFD"/>
          </w:tcPr>
          <w:p>
            <w:pPr>
              <w:spacing w:after="20" w:before="20"/>
            </w:pPr>
            <w:r/>
            <w:r>
              <w:rPr>
                <w:rFonts w:ascii="Calibri" w:hAnsi="Calibri"/>
                <w:b/>
                <w:i w:val="0"/>
                <w:color w:val="334E68"/>
                <w:sz w:val="17"/>
              </w:rPr>
              <w:t>Spool time</w:t>
            </w:r>
          </w:p>
        </w:tc>
        <w:tc>
          <w:tcPr>
            <w:tcW w:type="dxa" w:w="5204"/>
            <w:shd w:val="clear" w:color="auto" w:fill="FAFBFD"/>
          </w:tcPr>
          <w:p>
            <w:pPr>
              <w:spacing w:after="20" w:before="20"/>
            </w:pPr>
            <w:r/>
            <w:r>
              <w:rPr>
                <w:rFonts w:ascii="Calibri" w:hAnsi="Calibri"/>
                <w:b w:val="0"/>
                <w:i w:val="0"/>
                <w:color w:val="334E68"/>
                <w:sz w:val="17"/>
              </w:rPr>
              <w:t>Spool server, device type, output volume, printer availability</w:t>
            </w:r>
          </w:p>
        </w:tc>
        <w:tc>
          <w:tcPr>
            <w:tcW w:type="dxa" w:w="2313"/>
            <w:shd w:val="clear" w:color="auto" w:fill="FAFBFD"/>
          </w:tcPr>
          <w:p>
            <w:pPr>
              <w:spacing w:after="20" w:before="20"/>
            </w:pPr>
            <w:r/>
            <w:r>
              <w:rPr>
                <w:rFonts w:ascii="Calibri" w:hAnsi="Calibri"/>
                <w:b w:val="0"/>
                <w:i w:val="0"/>
                <w:color w:val="334E68"/>
                <w:sz w:val="17"/>
              </w:rPr>
              <w:t>Basis</w:t>
            </w:r>
          </w:p>
        </w:tc>
      </w:tr>
    </w:tbl>
    <w:p>
      <w:pPr>
        <w:spacing w:after="40"/>
      </w:pPr>
    </w:p>
    <w:p>
      <w:pPr>
        <w:pStyle w:val="Heading2"/>
        <w:pBdr>
          <w:bottom w:val="single" w:sz="6" w:space="3" w:color="E8EDF3"/>
        </w:pBdr>
      </w:pPr>
      <w:r>
        <w:rPr>
          <w:rFonts w:ascii="Calibri" w:hAnsi="Calibri"/>
          <w:b/>
          <w:color w:val="0F2B4C"/>
          <w:sz w:val="26"/>
        </w:rPr>
        <w:t>8.6  Module 5 readiness checklist</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530"/>
        <w:gridCol w:w="1542"/>
        <w:gridCol w:w="308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530"/>
            <w:shd w:val="clear" w:color="auto" w:fill="0F2B4C"/>
          </w:tcPr>
          <w:p>
            <w:pPr>
              <w:spacing w:after="20" w:before="20"/>
            </w:pPr>
            <w:r/>
            <w:r>
              <w:rPr>
                <w:rFonts w:ascii="Calibri" w:hAnsi="Calibri"/>
                <w:b/>
                <w:color w:val="FFFFFF"/>
                <w:sz w:val="17"/>
              </w:rPr>
              <w:t>Check</w:t>
            </w:r>
          </w:p>
        </w:tc>
        <w:tc>
          <w:tcPr>
            <w:tcW w:type="dxa" w:w="1542"/>
            <w:shd w:val="clear" w:color="auto" w:fill="0F2B4C"/>
          </w:tcPr>
          <w:p>
            <w:pPr>
              <w:spacing w:after="20" w:before="20"/>
            </w:pPr>
            <w:r/>
            <w:r>
              <w:rPr>
                <w:rFonts w:ascii="Calibri" w:hAnsi="Calibri"/>
                <w:b/>
                <w:color w:val="FFFFFF"/>
                <w:sz w:val="17"/>
              </w:rPr>
              <w:t>Status</w:t>
            </w:r>
          </w:p>
        </w:tc>
        <w:tc>
          <w:tcPr>
            <w:tcW w:type="dxa" w:w="3084"/>
            <w:shd w:val="clear" w:color="auto" w:fill="0F2B4C"/>
          </w:tcPr>
          <w:p>
            <w:pPr>
              <w:spacing w:after="20" w:before="20"/>
            </w:pPr>
            <w:r/>
            <w:r>
              <w:rPr>
                <w:rFonts w:ascii="Calibri" w:hAnsi="Calibri"/>
                <w:b/>
                <w:color w:val="FFFFFF"/>
                <w:sz w:val="17"/>
              </w:rPr>
              <w:t>Evidence / remarks</w:t>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ST02 captured on source and target: EM, heap/private, roll, paging</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Buffer utilisation and hit ratio recorded for each buffer</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ST03/ST03N daily, weekly and monthly views captured on source and target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Response, DB, CPU and wait times compared with the baseline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STAD samples captured for the slowest transactions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Top transactions by response time and total load listed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Bottleneck classified by dominant time component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Root cause identified with the owning team (not a parameter guess)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Any RZ11 runtime change mirrored in RZ10 or formally withdrawn</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Profile parameter sets compared between source and target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Reference thresholds validated against the client baseline before alerting use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Before/after evidence attached to the change record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bl>
    <w:p>
      <w:pPr>
        <w:spacing w:after="40"/>
      </w:pPr>
    </w:p>
    <w:p>
      <w:r>
        <w:br w:type="page"/>
      </w:r>
    </w:p>
    <w:p>
      <w:pPr>
        <w:spacing w:after="20"/>
      </w:pPr>
      <w:r>
        <w:rPr>
          <w:rFonts w:ascii="Calibri" w:hAnsi="Calibri"/>
          <w:b/>
          <w:color w:val="1B4F86"/>
          <w:sz w:val="16"/>
        </w:rPr>
        <w:t>MODULE 6 · SECTION 9</w:t>
      </w:r>
    </w:p>
    <w:p>
      <w:pPr>
        <w:pStyle w:val="Heading1"/>
        <w:pBdr>
          <w:bottom w:val="single" w:sz="12" w:space="5" w:color="1B4F86"/>
        </w:pBdr>
        <w:spacing w:after="160"/>
      </w:pPr>
      <w:r>
        <w:rPr>
          <w:rFonts w:ascii="Calibri Light" w:hAnsi="Calibri Light"/>
          <w:b/>
          <w:color w:val="0F2B4C"/>
          <w:sz w:val="38"/>
        </w:rPr>
        <w:t>9  Module 6 — Oracle database migration and switchover</w:t>
      </w:r>
    </w:p>
    <w:p>
      <w:pPr>
        <w:spacing w:after="200"/>
      </w:pPr>
      <w:r>
        <w:rPr>
          <w:rFonts w:ascii="Calibri" w:hAnsi="Calibri"/>
          <w:i/>
          <w:color w:val="5B7288"/>
          <w:sz w:val="21"/>
        </w:rPr>
        <w:t>The Oracle scenario covered in the training moves the database by building a standby in AWS, synchronising it with Data Guard, then performing a planned switchover during the cutover window.</w:t>
      </w:r>
    </w:p>
    <w:p>
      <w:pPr>
        <w:spacing w:before="160" w:after="80"/>
        <w:jc w:val="center"/>
        <w:keepNext/>
      </w:pPr>
      <w:r>
        <w:drawing>
          <wp:inline xmlns:a="http://schemas.openxmlformats.org/drawingml/2006/main" xmlns:pic="http://schemas.openxmlformats.org/drawingml/2006/picture">
            <wp:extent cx="6083999" cy="4351749"/>
            <wp:docPr id="6" name="Picture 6"/>
            <wp:cNvGraphicFramePr>
              <a:graphicFrameLocks noChangeAspect="1"/>
            </wp:cNvGraphicFramePr>
            <a:graphic>
              <a:graphicData uri="http://schemas.openxmlformats.org/drawingml/2006/picture">
                <pic:pic>
                  <pic:nvPicPr>
                    <pic:cNvPr id="0" name="d5-oracle-dataguard.png"/>
                    <pic:cNvPicPr/>
                  </pic:nvPicPr>
                  <pic:blipFill>
                    <a:blip r:embed="rId16"/>
                    <a:stretch>
                      <a:fillRect/>
                    </a:stretch>
                  </pic:blipFill>
                  <pic:spPr>
                    <a:xfrm>
                      <a:off x="0" y="0"/>
                      <a:ext cx="6083999" cy="4351749"/>
                    </a:xfrm>
                    <a:prstGeom prst="rect"/>
                  </pic:spPr>
                </pic:pic>
              </a:graphicData>
            </a:graphic>
          </wp:inline>
        </w:drawing>
      </w:r>
    </w:p>
    <w:p>
      <w:pPr>
        <w:spacing w:after="240"/>
      </w:pPr>
      <w:r>
        <w:rPr>
          <w:rFonts w:ascii="Calibri" w:hAnsi="Calibri"/>
          <w:i/>
          <w:color w:val="5B7288"/>
          <w:sz w:val="17"/>
        </w:rPr>
        <w:t>Figure 5. Data Guard switchover sequence. Redo flows from the source primary to the target standby throughout the project; SCN values are compared to prove synchronisation; a snapshot creates the rollback point; the roles are swapped only after evidence and approval; and the new primary is validated with DBVERIFY, RMAN and the OEM agent before it is accepted.</w:t>
      </w:r>
    </w:p>
    <w:p>
      <w:pPr>
        <w:pStyle w:val="Heading2"/>
        <w:pBdr>
          <w:bottom w:val="single" w:sz="6" w:space="3" w:color="E8EDF3"/>
        </w:pBdr>
      </w:pPr>
      <w:r>
        <w:rPr>
          <w:rFonts w:ascii="Calibri" w:hAnsi="Calibri"/>
          <w:b/>
          <w:color w:val="0F2B4C"/>
          <w:sz w:val="26"/>
        </w:rPr>
        <w:t>9.1  Oracle Data Guard in the migration scenario</w:t>
      </w:r>
    </w:p>
    <w:p>
      <w:pPr>
        <w:spacing w:after="40"/>
        <w:ind w:left="351" w:hanging="227"/>
      </w:pPr>
      <w:r>
        <w:rPr>
          <w:rFonts w:ascii="Calibri" w:hAnsi="Calibri"/>
          <w:b/>
          <w:color w:val="1B4F86"/>
          <w:sz w:val="19"/>
        </w:rPr>
        <w:t xml:space="preserve">▪  </w:t>
      </w:r>
      <w:r>
        <w:rPr>
          <w:rFonts w:ascii="Calibri" w:hAnsi="Calibri"/>
          <w:b w:val="0"/>
          <w:i w:val="0"/>
          <w:color w:val="334E68"/>
          <w:sz w:val="19"/>
        </w:rPr>
        <w:t>Source primary and target standby are synchronized using Oracle Data Guard.</w:t>
      </w:r>
    </w:p>
    <w:p>
      <w:pPr>
        <w:spacing w:after="40"/>
        <w:ind w:left="351" w:hanging="227"/>
      </w:pPr>
      <w:r>
        <w:rPr>
          <w:rFonts w:ascii="Calibri" w:hAnsi="Calibri"/>
          <w:b/>
          <w:color w:val="1B4F86"/>
          <w:sz w:val="19"/>
        </w:rPr>
        <w:t xml:space="preserve">▪  </w:t>
      </w:r>
      <w:r>
        <w:rPr>
          <w:rFonts w:ascii="Calibri" w:hAnsi="Calibri"/>
          <w:b w:val="0"/>
          <w:i w:val="0"/>
          <w:color w:val="334E68"/>
          <w:sz w:val="19"/>
        </w:rPr>
        <w:t>Log switching and synchronization are reviewed before switchover — apply lag must be zero (or within the agreed tolerance) at the moment of the change.</w:t>
      </w:r>
    </w:p>
    <w:p>
      <w:pPr>
        <w:spacing w:after="40"/>
        <w:ind w:left="351" w:hanging="227"/>
      </w:pPr>
      <w:r>
        <w:rPr>
          <w:rFonts w:ascii="Calibri" w:hAnsi="Calibri"/>
          <w:b/>
          <w:color w:val="1B4F86"/>
          <w:sz w:val="19"/>
        </w:rPr>
        <w:t xml:space="preserve">▪  </w:t>
      </w:r>
      <w:r>
        <w:rPr>
          <w:rFonts w:ascii="Calibri" w:hAnsi="Calibri"/>
          <w:b w:val="0"/>
          <w:i w:val="0"/>
          <w:color w:val="334E68"/>
          <w:sz w:val="19"/>
        </w:rPr>
        <w:t>Source and target System Change Number (SCN) values are compared to verify synchronization and data consistency.</w:t>
      </w:r>
    </w:p>
    <w:p>
      <w:pPr>
        <w:spacing w:after="40"/>
        <w:ind w:left="351" w:hanging="227"/>
      </w:pPr>
      <w:r>
        <w:rPr>
          <w:rFonts w:ascii="Calibri" w:hAnsi="Calibri"/>
          <w:b/>
          <w:color w:val="1B4F86"/>
          <w:sz w:val="19"/>
        </w:rPr>
        <w:t xml:space="preserve">▪  </w:t>
      </w:r>
      <w:r>
        <w:rPr>
          <w:rFonts w:ascii="Calibri" w:hAnsi="Calibri"/>
          <w:b w:val="0"/>
          <w:i w:val="0"/>
          <w:color w:val="334E68"/>
          <w:sz w:val="19"/>
        </w:rPr>
        <w:t>Evidence must be captured and attached to the relevant Jira/change ticket for approval.</w:t>
      </w:r>
    </w:p>
    <w:p>
      <w:pPr>
        <w:spacing w:after="40"/>
        <w:ind w:left="351" w:hanging="227"/>
      </w:pPr>
      <w:r>
        <w:rPr>
          <w:rFonts w:ascii="Calibri" w:hAnsi="Calibri"/>
          <w:b/>
          <w:color w:val="1B4F86"/>
          <w:sz w:val="19"/>
        </w:rPr>
        <w:t xml:space="preserve">▪  </w:t>
      </w:r>
      <w:r>
        <w:rPr>
          <w:rFonts w:ascii="Calibri" w:hAnsi="Calibri"/>
          <w:b w:val="0"/>
          <w:i w:val="0"/>
          <w:color w:val="334E68"/>
          <w:sz w:val="19"/>
        </w:rPr>
        <w:t>After successful validation, the source is shut down and the target standby is activated as the new primary.</w:t>
      </w:r>
    </w:p>
    <w:p>
      <w:pPr>
        <w:spacing w:after="60" w:before="160"/>
        <w:keepNext/>
      </w:pPr>
      <w:r>
        <w:rPr>
          <w:rFonts w:ascii="Calibri" w:hAnsi="Calibri"/>
          <w:b/>
          <w:color w:val="5B7288"/>
          <w:sz w:val="15"/>
        </w:rPr>
        <w:t>DATA GUARD VOCABULARY</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1735"/>
        <w:gridCol w:w="3855"/>
        <w:gridCol w:w="4048"/>
      </w:tblGrid>
      <w:tr>
        <w:trPr>
          <w:tblHeader/>
          <w:cantSplit/>
        </w:trPr>
        <w:tc>
          <w:tcPr>
            <w:tcW w:type="dxa" w:w="1735"/>
            <w:shd w:val="clear" w:color="auto" w:fill="0F2B4C"/>
          </w:tcPr>
          <w:p>
            <w:pPr>
              <w:spacing w:after="20" w:before="20"/>
            </w:pPr>
            <w:r/>
            <w:r>
              <w:rPr>
                <w:rFonts w:ascii="Calibri" w:hAnsi="Calibri"/>
                <w:b/>
                <w:color w:val="FFFFFF"/>
                <w:sz w:val="17"/>
              </w:rPr>
              <w:t>Concept</w:t>
            </w:r>
          </w:p>
        </w:tc>
        <w:tc>
          <w:tcPr>
            <w:tcW w:type="dxa" w:w="3855"/>
            <w:shd w:val="clear" w:color="auto" w:fill="0F2B4C"/>
          </w:tcPr>
          <w:p>
            <w:pPr>
              <w:spacing w:after="20" w:before="20"/>
            </w:pPr>
            <w:r/>
            <w:r>
              <w:rPr>
                <w:rFonts w:ascii="Calibri" w:hAnsi="Calibri"/>
                <w:b/>
                <w:color w:val="FFFFFF"/>
                <w:sz w:val="17"/>
              </w:rPr>
              <w:t>Meaning</w:t>
            </w:r>
          </w:p>
        </w:tc>
        <w:tc>
          <w:tcPr>
            <w:tcW w:type="dxa" w:w="4048"/>
            <w:shd w:val="clear" w:color="auto" w:fill="0F2B4C"/>
          </w:tcPr>
          <w:p>
            <w:pPr>
              <w:spacing w:after="20" w:before="20"/>
            </w:pPr>
            <w:r/>
            <w:r>
              <w:rPr>
                <w:rFonts w:ascii="Calibri" w:hAnsi="Calibri"/>
                <w:b/>
                <w:color w:val="FFFFFF"/>
                <w:sz w:val="17"/>
              </w:rPr>
              <w:t>Why it matters at cutover</w:t>
            </w:r>
          </w:p>
        </w:tc>
      </w:tr>
      <w:tr>
        <w:trPr>
          <w:cantSplit/>
        </w:trPr>
        <w:tc>
          <w:tcPr>
            <w:tcW w:type="dxa" w:w="1735"/>
          </w:tcPr>
          <w:p>
            <w:pPr>
              <w:spacing w:after="20" w:before="20"/>
            </w:pPr>
            <w:r/>
            <w:r>
              <w:rPr>
                <w:rFonts w:ascii="Calibri" w:hAnsi="Calibri"/>
                <w:b/>
                <w:i w:val="0"/>
                <w:color w:val="334E68"/>
                <w:sz w:val="17"/>
              </w:rPr>
              <w:t>Primary</w:t>
            </w:r>
          </w:p>
        </w:tc>
        <w:tc>
          <w:tcPr>
            <w:tcW w:type="dxa" w:w="3855"/>
          </w:tcPr>
          <w:p>
            <w:pPr>
              <w:spacing w:after="20" w:before="20"/>
            </w:pPr>
            <w:r/>
            <w:r>
              <w:rPr>
                <w:rFonts w:ascii="Calibri" w:hAnsi="Calibri"/>
                <w:b w:val="0"/>
                <w:i w:val="0"/>
                <w:color w:val="334E68"/>
                <w:sz w:val="17"/>
              </w:rPr>
              <w:t>The database that accepts writes and generates redo</w:t>
            </w:r>
          </w:p>
        </w:tc>
        <w:tc>
          <w:tcPr>
            <w:tcW w:type="dxa" w:w="4048"/>
          </w:tcPr>
          <w:p>
            <w:pPr>
              <w:spacing w:after="20" w:before="20"/>
            </w:pPr>
            <w:r/>
            <w:r>
              <w:rPr>
                <w:rFonts w:ascii="Calibri" w:hAnsi="Calibri"/>
                <w:b w:val="0"/>
                <w:i w:val="0"/>
                <w:color w:val="334E68"/>
                <w:sz w:val="17"/>
              </w:rPr>
              <w:t>The source is primary until the switchover moment</w:t>
            </w:r>
          </w:p>
        </w:tc>
      </w:tr>
      <w:tr>
        <w:trPr>
          <w:cantSplit/>
        </w:trPr>
        <w:tc>
          <w:tcPr>
            <w:tcW w:type="dxa" w:w="1735"/>
            <w:shd w:val="clear" w:color="auto" w:fill="FAFBFD"/>
          </w:tcPr>
          <w:p>
            <w:pPr>
              <w:spacing w:after="20" w:before="20"/>
            </w:pPr>
            <w:r/>
            <w:r>
              <w:rPr>
                <w:rFonts w:ascii="Calibri" w:hAnsi="Calibri"/>
                <w:b/>
                <w:i w:val="0"/>
                <w:color w:val="334E68"/>
                <w:sz w:val="17"/>
              </w:rPr>
              <w:t>Physical standby</w:t>
            </w:r>
          </w:p>
        </w:tc>
        <w:tc>
          <w:tcPr>
            <w:tcW w:type="dxa" w:w="3855"/>
            <w:shd w:val="clear" w:color="auto" w:fill="FAFBFD"/>
          </w:tcPr>
          <w:p>
            <w:pPr>
              <w:spacing w:after="20" w:before="20"/>
            </w:pPr>
            <w:r/>
            <w:r>
              <w:rPr>
                <w:rFonts w:ascii="Calibri" w:hAnsi="Calibri"/>
                <w:b w:val="0"/>
                <w:i w:val="0"/>
                <w:color w:val="334E68"/>
                <w:sz w:val="17"/>
              </w:rPr>
              <w:t>A copy of the primary kept current by applying shipped redo</w:t>
            </w:r>
          </w:p>
        </w:tc>
        <w:tc>
          <w:tcPr>
            <w:tcW w:type="dxa" w:w="4048"/>
            <w:shd w:val="clear" w:color="auto" w:fill="FAFBFD"/>
          </w:tcPr>
          <w:p>
            <w:pPr>
              <w:spacing w:after="20" w:before="20"/>
            </w:pPr>
            <w:r/>
            <w:r>
              <w:rPr>
                <w:rFonts w:ascii="Calibri" w:hAnsi="Calibri"/>
                <w:b w:val="0"/>
                <w:i w:val="0"/>
                <w:color w:val="334E68"/>
                <w:sz w:val="17"/>
              </w:rPr>
              <w:t>The migration target during the project phase</w:t>
            </w:r>
          </w:p>
        </w:tc>
      </w:tr>
      <w:tr>
        <w:trPr>
          <w:cantSplit/>
        </w:trPr>
        <w:tc>
          <w:tcPr>
            <w:tcW w:type="dxa" w:w="1735"/>
          </w:tcPr>
          <w:p>
            <w:pPr>
              <w:spacing w:after="20" w:before="20"/>
            </w:pPr>
            <w:r/>
            <w:r>
              <w:rPr>
                <w:rFonts w:ascii="Calibri" w:hAnsi="Calibri"/>
                <w:b/>
                <w:i w:val="0"/>
                <w:color w:val="334E68"/>
                <w:sz w:val="17"/>
              </w:rPr>
              <w:t>Redo transport</w:t>
            </w:r>
          </w:p>
        </w:tc>
        <w:tc>
          <w:tcPr>
            <w:tcW w:type="dxa" w:w="3855"/>
          </w:tcPr>
          <w:p>
            <w:pPr>
              <w:spacing w:after="20" w:before="20"/>
            </w:pPr>
            <w:r/>
            <w:r>
              <w:rPr>
                <w:rFonts w:ascii="Calibri" w:hAnsi="Calibri"/>
                <w:b w:val="0"/>
                <w:i w:val="0"/>
                <w:color w:val="334E68"/>
                <w:sz w:val="17"/>
              </w:rPr>
              <w:t>Shipping of redo from primary to standby</w:t>
            </w:r>
          </w:p>
        </w:tc>
        <w:tc>
          <w:tcPr>
            <w:tcW w:type="dxa" w:w="4048"/>
          </w:tcPr>
          <w:p>
            <w:pPr>
              <w:spacing w:after="20" w:before="20"/>
            </w:pPr>
            <w:r/>
            <w:r>
              <w:rPr>
                <w:rFonts w:ascii="Calibri" w:hAnsi="Calibri"/>
                <w:b w:val="0"/>
                <w:i w:val="0"/>
                <w:color w:val="334E68"/>
                <w:sz w:val="17"/>
              </w:rPr>
              <w:t>A break here silently widens the gap between source and target</w:t>
            </w:r>
          </w:p>
        </w:tc>
      </w:tr>
      <w:tr>
        <w:trPr>
          <w:cantSplit/>
        </w:trPr>
        <w:tc>
          <w:tcPr>
            <w:tcW w:type="dxa" w:w="1735"/>
            <w:shd w:val="clear" w:color="auto" w:fill="FAFBFD"/>
          </w:tcPr>
          <w:p>
            <w:pPr>
              <w:spacing w:after="20" w:before="20"/>
            </w:pPr>
            <w:r/>
            <w:r>
              <w:rPr>
                <w:rFonts w:ascii="Calibri" w:hAnsi="Calibri"/>
                <w:b/>
                <w:i w:val="0"/>
                <w:color w:val="334E68"/>
                <w:sz w:val="17"/>
              </w:rPr>
              <w:t>Managed recovery (apply)</w:t>
            </w:r>
          </w:p>
        </w:tc>
        <w:tc>
          <w:tcPr>
            <w:tcW w:type="dxa" w:w="3855"/>
            <w:shd w:val="clear" w:color="auto" w:fill="FAFBFD"/>
          </w:tcPr>
          <w:p>
            <w:pPr>
              <w:spacing w:after="20" w:before="20"/>
            </w:pPr>
            <w:r/>
            <w:r>
              <w:rPr>
                <w:rFonts w:ascii="Calibri" w:hAnsi="Calibri"/>
                <w:b w:val="0"/>
                <w:i w:val="0"/>
                <w:color w:val="334E68"/>
                <w:sz w:val="17"/>
              </w:rPr>
              <w:t>Standby process applying received redo</w:t>
            </w:r>
          </w:p>
        </w:tc>
        <w:tc>
          <w:tcPr>
            <w:tcW w:type="dxa" w:w="4048"/>
            <w:shd w:val="clear" w:color="auto" w:fill="FAFBFD"/>
          </w:tcPr>
          <w:p>
            <w:pPr>
              <w:spacing w:after="20" w:before="20"/>
            </w:pPr>
            <w:r/>
            <w:r>
              <w:rPr>
                <w:rFonts w:ascii="Calibri" w:hAnsi="Calibri"/>
                <w:b w:val="0"/>
                <w:i w:val="0"/>
                <w:color w:val="334E68"/>
                <w:sz w:val="17"/>
              </w:rPr>
              <w:t>Apply lag is the number to watch before switchover</w:t>
            </w:r>
          </w:p>
        </w:tc>
      </w:tr>
      <w:tr>
        <w:trPr>
          <w:cantSplit/>
        </w:trPr>
        <w:tc>
          <w:tcPr>
            <w:tcW w:type="dxa" w:w="1735"/>
          </w:tcPr>
          <w:p>
            <w:pPr>
              <w:spacing w:after="20" w:before="20"/>
            </w:pPr>
            <w:r/>
            <w:r>
              <w:rPr>
                <w:rFonts w:ascii="Calibri" w:hAnsi="Calibri"/>
                <w:b/>
                <w:i w:val="0"/>
                <w:color w:val="334E68"/>
                <w:sz w:val="17"/>
              </w:rPr>
              <w:t>SCN (System Change Number)</w:t>
            </w:r>
          </w:p>
        </w:tc>
        <w:tc>
          <w:tcPr>
            <w:tcW w:type="dxa" w:w="3855"/>
          </w:tcPr>
          <w:p>
            <w:pPr>
              <w:spacing w:after="20" w:before="20"/>
            </w:pPr>
            <w:r/>
            <w:r>
              <w:rPr>
                <w:rFonts w:ascii="Calibri" w:hAnsi="Calibri"/>
                <w:b w:val="0"/>
                <w:i w:val="0"/>
                <w:color w:val="334E68"/>
                <w:sz w:val="17"/>
              </w:rPr>
              <w:t>A logical point-in-time marker for the database</w:t>
            </w:r>
          </w:p>
        </w:tc>
        <w:tc>
          <w:tcPr>
            <w:tcW w:type="dxa" w:w="4048"/>
          </w:tcPr>
          <w:p>
            <w:pPr>
              <w:spacing w:after="20" w:before="20"/>
            </w:pPr>
            <w:r/>
            <w:r>
              <w:rPr>
                <w:rFonts w:ascii="Calibri" w:hAnsi="Calibri"/>
                <w:b w:val="0"/>
                <w:i w:val="0"/>
                <w:color w:val="334E68"/>
                <w:sz w:val="17"/>
              </w:rPr>
              <w:t>Comparing source and target SCN proves the data is consistent</w:t>
            </w:r>
          </w:p>
        </w:tc>
      </w:tr>
      <w:tr>
        <w:trPr>
          <w:cantSplit/>
        </w:trPr>
        <w:tc>
          <w:tcPr>
            <w:tcW w:type="dxa" w:w="1735"/>
            <w:shd w:val="clear" w:color="auto" w:fill="FAFBFD"/>
          </w:tcPr>
          <w:p>
            <w:pPr>
              <w:spacing w:after="20" w:before="20"/>
            </w:pPr>
            <w:r/>
            <w:r>
              <w:rPr>
                <w:rFonts w:ascii="Calibri" w:hAnsi="Calibri"/>
                <w:b/>
                <w:i w:val="0"/>
                <w:color w:val="334E68"/>
                <w:sz w:val="17"/>
              </w:rPr>
              <w:t>Log switch / archive</w:t>
            </w:r>
          </w:p>
        </w:tc>
        <w:tc>
          <w:tcPr>
            <w:tcW w:type="dxa" w:w="3855"/>
            <w:shd w:val="clear" w:color="auto" w:fill="FAFBFD"/>
          </w:tcPr>
          <w:p>
            <w:pPr>
              <w:spacing w:after="20" w:before="20"/>
            </w:pPr>
            <w:r/>
            <w:r>
              <w:rPr>
                <w:rFonts w:ascii="Calibri" w:hAnsi="Calibri"/>
                <w:b w:val="0"/>
                <w:i w:val="0"/>
                <w:color w:val="334E68"/>
                <w:sz w:val="17"/>
              </w:rPr>
              <w:t>Closing and archiving the current redo log</w:t>
            </w:r>
          </w:p>
        </w:tc>
        <w:tc>
          <w:tcPr>
            <w:tcW w:type="dxa" w:w="4048"/>
            <w:shd w:val="clear" w:color="auto" w:fill="FAFBFD"/>
          </w:tcPr>
          <w:p>
            <w:pPr>
              <w:spacing w:after="20" w:before="20"/>
            </w:pPr>
            <w:r/>
            <w:r>
              <w:rPr>
                <w:rFonts w:ascii="Calibri" w:hAnsi="Calibri"/>
                <w:b w:val="0"/>
                <w:i w:val="0"/>
                <w:color w:val="334E68"/>
                <w:sz w:val="17"/>
              </w:rPr>
              <w:t>Forcing log switches confirms the pipeline is live, not stalled</w:t>
            </w:r>
          </w:p>
        </w:tc>
      </w:tr>
      <w:tr>
        <w:trPr>
          <w:cantSplit/>
        </w:trPr>
        <w:tc>
          <w:tcPr>
            <w:tcW w:type="dxa" w:w="1735"/>
          </w:tcPr>
          <w:p>
            <w:pPr>
              <w:spacing w:after="20" w:before="20"/>
            </w:pPr>
            <w:r/>
            <w:r>
              <w:rPr>
                <w:rFonts w:ascii="Calibri" w:hAnsi="Calibri"/>
                <w:b/>
                <w:i w:val="0"/>
                <w:color w:val="334E68"/>
                <w:sz w:val="17"/>
              </w:rPr>
              <w:t>Switchover</w:t>
            </w:r>
          </w:p>
        </w:tc>
        <w:tc>
          <w:tcPr>
            <w:tcW w:type="dxa" w:w="3855"/>
          </w:tcPr>
          <w:p>
            <w:pPr>
              <w:spacing w:after="20" w:before="20"/>
            </w:pPr>
            <w:r/>
            <w:r>
              <w:rPr>
                <w:rFonts w:ascii="Calibri" w:hAnsi="Calibri"/>
                <w:b w:val="0"/>
                <w:i w:val="0"/>
                <w:color w:val="334E68"/>
                <w:sz w:val="17"/>
              </w:rPr>
              <w:t>Planned, reversible role swap between primary and standby</w:t>
            </w:r>
          </w:p>
        </w:tc>
        <w:tc>
          <w:tcPr>
            <w:tcW w:type="dxa" w:w="4048"/>
          </w:tcPr>
          <w:p>
            <w:pPr>
              <w:spacing w:after="20" w:before="20"/>
            </w:pPr>
            <w:r/>
            <w:r>
              <w:rPr>
                <w:rFonts w:ascii="Calibri" w:hAnsi="Calibri"/>
                <w:b w:val="0"/>
                <w:i w:val="0"/>
                <w:color w:val="334E68"/>
                <w:sz w:val="17"/>
              </w:rPr>
              <w:t>The migration mechanism in this scenario</w:t>
            </w:r>
          </w:p>
        </w:tc>
      </w:tr>
      <w:tr>
        <w:trPr>
          <w:cantSplit/>
        </w:trPr>
        <w:tc>
          <w:tcPr>
            <w:tcW w:type="dxa" w:w="1735"/>
            <w:shd w:val="clear" w:color="auto" w:fill="FAFBFD"/>
          </w:tcPr>
          <w:p>
            <w:pPr>
              <w:spacing w:after="20" w:before="20"/>
            </w:pPr>
            <w:r/>
            <w:r>
              <w:rPr>
                <w:rFonts w:ascii="Calibri" w:hAnsi="Calibri"/>
                <w:b/>
                <w:i w:val="0"/>
                <w:color w:val="334E68"/>
                <w:sz w:val="17"/>
              </w:rPr>
              <w:t>Failover</w:t>
            </w:r>
          </w:p>
        </w:tc>
        <w:tc>
          <w:tcPr>
            <w:tcW w:type="dxa" w:w="3855"/>
            <w:shd w:val="clear" w:color="auto" w:fill="FAFBFD"/>
          </w:tcPr>
          <w:p>
            <w:pPr>
              <w:spacing w:after="20" w:before="20"/>
            </w:pPr>
            <w:r/>
            <w:r>
              <w:rPr>
                <w:rFonts w:ascii="Calibri" w:hAnsi="Calibri"/>
                <w:b w:val="0"/>
                <w:i w:val="0"/>
                <w:color w:val="334E68"/>
                <w:sz w:val="17"/>
              </w:rPr>
              <w:t>Unplanned promotion of the standby after a primary failure</w:t>
            </w:r>
          </w:p>
        </w:tc>
        <w:tc>
          <w:tcPr>
            <w:tcW w:type="dxa" w:w="4048"/>
            <w:shd w:val="clear" w:color="auto" w:fill="FAFBFD"/>
          </w:tcPr>
          <w:p>
            <w:pPr>
              <w:spacing w:after="20" w:before="20"/>
            </w:pPr>
            <w:r/>
            <w:r>
              <w:rPr>
                <w:rFonts w:ascii="Calibri" w:hAnsi="Calibri"/>
                <w:b w:val="0"/>
                <w:i w:val="0"/>
                <w:color w:val="334E68"/>
                <w:sz w:val="17"/>
              </w:rPr>
              <w:t>Not reversible in the same way — this is DR, not migration</w:t>
            </w:r>
          </w:p>
        </w:tc>
      </w:tr>
      <w:tr>
        <w:trPr>
          <w:cantSplit/>
        </w:trPr>
        <w:tc>
          <w:tcPr>
            <w:tcW w:type="dxa" w:w="1735"/>
          </w:tcPr>
          <w:p>
            <w:pPr>
              <w:spacing w:after="20" w:before="20"/>
            </w:pPr>
            <w:r/>
            <w:r>
              <w:rPr>
                <w:rFonts w:ascii="Calibri" w:hAnsi="Calibri"/>
                <w:b/>
                <w:i w:val="0"/>
                <w:color w:val="334E68"/>
                <w:sz w:val="17"/>
              </w:rPr>
              <w:t>Data Guard Broker</w:t>
            </w:r>
          </w:p>
        </w:tc>
        <w:tc>
          <w:tcPr>
            <w:tcW w:type="dxa" w:w="3855"/>
          </w:tcPr>
          <w:p>
            <w:pPr>
              <w:spacing w:after="20" w:before="20"/>
            </w:pPr>
            <w:r/>
            <w:r>
              <w:rPr>
                <w:rFonts w:ascii="Calibri" w:hAnsi="Calibri"/>
                <w:b w:val="0"/>
                <w:i w:val="0"/>
                <w:color w:val="334E68"/>
                <w:sz w:val="17"/>
              </w:rPr>
              <w:t>Management layer that coordinates Data Guard configuration and operations</w:t>
            </w:r>
          </w:p>
        </w:tc>
        <w:tc>
          <w:tcPr>
            <w:tcW w:type="dxa" w:w="4048"/>
          </w:tcPr>
          <w:p>
            <w:pPr>
              <w:spacing w:after="20" w:before="20"/>
            </w:pPr>
            <w:r/>
            <w:r>
              <w:rPr>
                <w:rFonts w:ascii="Calibri" w:hAnsi="Calibri"/>
                <w:b w:val="0"/>
                <w:i w:val="0"/>
                <w:color w:val="334E68"/>
                <w:sz w:val="17"/>
              </w:rPr>
              <w:t>Simplifies and standardises the switchover where it is used</w:t>
            </w:r>
          </w:p>
        </w:tc>
      </w:tr>
      <w:tr>
        <w:trPr>
          <w:cantSplit/>
        </w:trPr>
        <w:tc>
          <w:tcPr>
            <w:tcW w:type="dxa" w:w="1735"/>
            <w:shd w:val="clear" w:color="auto" w:fill="FAFBFD"/>
          </w:tcPr>
          <w:p>
            <w:pPr>
              <w:spacing w:after="20" w:before="20"/>
            </w:pPr>
            <w:r/>
            <w:r>
              <w:rPr>
                <w:rFonts w:ascii="Calibri" w:hAnsi="Calibri"/>
                <w:b/>
                <w:i w:val="0"/>
                <w:color w:val="334E68"/>
                <w:sz w:val="17"/>
              </w:rPr>
              <w:t>Observer node</w:t>
            </w:r>
          </w:p>
        </w:tc>
        <w:tc>
          <w:tcPr>
            <w:tcW w:type="dxa" w:w="3855"/>
            <w:shd w:val="clear" w:color="auto" w:fill="FAFBFD"/>
          </w:tcPr>
          <w:p>
            <w:pPr>
              <w:spacing w:after="20" w:before="20"/>
            </w:pPr>
            <w:r/>
            <w:r>
              <w:rPr>
                <w:rFonts w:ascii="Calibri" w:hAnsi="Calibri"/>
                <w:b w:val="0"/>
                <w:i w:val="0"/>
                <w:color w:val="334E68"/>
                <w:sz w:val="17"/>
              </w:rPr>
              <w:t>Independent node that monitors the configuration (used with fast-start failover)</w:t>
            </w:r>
          </w:p>
        </w:tc>
        <w:tc>
          <w:tcPr>
            <w:tcW w:type="dxa" w:w="4048"/>
            <w:shd w:val="clear" w:color="auto" w:fill="FAFBFD"/>
          </w:tcPr>
          <w:p>
            <w:pPr>
              <w:spacing w:after="20" w:before="20"/>
            </w:pPr>
            <w:r/>
            <w:r>
              <w:rPr>
                <w:rFonts w:ascii="Calibri" w:hAnsi="Calibri"/>
                <w:b w:val="0"/>
                <w:i w:val="0"/>
                <w:color w:val="334E68"/>
                <w:sz w:val="17"/>
              </w:rPr>
              <w:t>Required for HA environments where automatic failover is designed</w:t>
            </w:r>
          </w:p>
        </w:tc>
      </w:tr>
    </w:tbl>
    <w:p>
      <w:pPr>
        <w:spacing w:after="40"/>
      </w:pP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SWITCHOVER VERSUS FAILOVER</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 xml:space="preserve">A </w:t>
      </w:r>
      <w:r>
        <w:rPr>
          <w:rFonts w:ascii="Calibri" w:hAnsi="Calibri"/>
          <w:b/>
          <w:i w:val="0"/>
          <w:color w:val="334E68"/>
          <w:sz w:val="18"/>
        </w:rPr>
        <w:t>switchover</w:t>
      </w:r>
      <w:r>
        <w:rPr>
          <w:rFonts w:ascii="Calibri" w:hAnsi="Calibri"/>
          <w:b w:val="0"/>
          <w:i w:val="0"/>
          <w:color w:val="334E68"/>
          <w:sz w:val="18"/>
        </w:rPr>
        <w:t xml:space="preserve"> is planned and reversible: both databases end the operation in a valid role, and you can switch back. A </w:t>
      </w:r>
      <w:r>
        <w:rPr>
          <w:rFonts w:ascii="Calibri" w:hAnsi="Calibri"/>
          <w:b/>
          <w:i w:val="0"/>
          <w:color w:val="334E68"/>
          <w:sz w:val="18"/>
        </w:rPr>
        <w:t>failover</w:t>
      </w:r>
      <w:r>
        <w:rPr>
          <w:rFonts w:ascii="Calibri" w:hAnsi="Calibri"/>
          <w:b w:val="0"/>
          <w:i w:val="0"/>
          <w:color w:val="334E68"/>
          <w:sz w:val="18"/>
        </w:rPr>
        <w:t xml:space="preserve"> is a disaster-recovery action: the standby becomes primary and the old primary usually needs rebuilding. Migration uses switchover. Confusing the two in a runbook is how a reversible operation becomes an unrecoverable one.</w:t>
      </w:r>
    </w:p>
    <w:p>
      <w:pPr>
        <w:pStyle w:val="Heading2"/>
        <w:pBdr>
          <w:bottom w:val="single" w:sz="6" w:space="3" w:color="E8EDF3"/>
        </w:pBdr>
      </w:pPr>
      <w:r>
        <w:rPr>
          <w:rFonts w:ascii="Calibri" w:hAnsi="Calibri"/>
          <w:b/>
          <w:color w:val="0F2B4C"/>
          <w:sz w:val="26"/>
        </w:rPr>
        <w:t>9.2  Oracle configuration checks</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530"/>
        <w:gridCol w:w="1542"/>
        <w:gridCol w:w="308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530"/>
            <w:shd w:val="clear" w:color="auto" w:fill="0F2B4C"/>
          </w:tcPr>
          <w:p>
            <w:pPr>
              <w:spacing w:after="20" w:before="20"/>
            </w:pPr>
            <w:r/>
            <w:r>
              <w:rPr>
                <w:rFonts w:ascii="Calibri" w:hAnsi="Calibri"/>
                <w:b/>
                <w:color w:val="FFFFFF"/>
                <w:sz w:val="17"/>
              </w:rPr>
              <w:t>Check</w:t>
            </w:r>
          </w:p>
        </w:tc>
        <w:tc>
          <w:tcPr>
            <w:tcW w:type="dxa" w:w="1542"/>
            <w:shd w:val="clear" w:color="auto" w:fill="0F2B4C"/>
          </w:tcPr>
          <w:p>
            <w:pPr>
              <w:spacing w:after="20" w:before="20"/>
            </w:pPr>
            <w:r/>
            <w:r>
              <w:rPr>
                <w:rFonts w:ascii="Calibri" w:hAnsi="Calibri"/>
                <w:b/>
                <w:color w:val="FFFFFF"/>
                <w:sz w:val="17"/>
              </w:rPr>
              <w:t>Status</w:t>
            </w:r>
          </w:p>
        </w:tc>
        <w:tc>
          <w:tcPr>
            <w:tcW w:type="dxa" w:w="3084"/>
            <w:shd w:val="clear" w:color="auto" w:fill="0F2B4C"/>
          </w:tcPr>
          <w:p>
            <w:pPr>
              <w:spacing w:after="20" w:before="20"/>
            </w:pPr>
            <w:r/>
            <w:r>
              <w:rPr>
                <w:rFonts w:ascii="Calibri" w:hAnsi="Calibri"/>
                <w:b/>
                <w:color w:val="FFFFFF"/>
                <w:sz w:val="17"/>
              </w:rPr>
              <w:t>Evidence / remarks</w:t>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SQL*Net and listener configuration validated on source and target (tnsnames, listener.ora, service names)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Listener registered services confirmed and reachable from the SAP application hosts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Data Guard parameters validated (log archive destinations, transport/apply settings)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SID-specific settings confirmed (SID, ORACLE_HOME, environment files, profile entries)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Data Guard Broker configuration reviewed (where Broker is used)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Observer-node configuration reviewed for HA environments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Required source/target patch-level alignment confirmed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Archive log mode and destination space validated on both sides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Password files, wallets and credentials available to the DBA team</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Network path and latency between source and target measured and acceptable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Character set, national character set and database options match</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bl>
    <w:p>
      <w:pPr>
        <w:spacing w:after="40"/>
      </w:pPr>
    </w:p>
    <w:p>
      <w:pPr>
        <w:pStyle w:val="Heading2"/>
        <w:pBdr>
          <w:bottom w:val="single" w:sz="6" w:space="3" w:color="E8EDF3"/>
        </w:pBdr>
      </w:pPr>
      <w:r>
        <w:rPr>
          <w:rFonts w:ascii="Calibri" w:hAnsi="Calibri"/>
          <w:b/>
          <w:color w:val="0F2B4C"/>
          <w:sz w:val="26"/>
        </w:rPr>
        <w:t>9.3  Switchover sequence</w:t>
      </w:r>
    </w:p>
    <w:p>
      <w:pPr>
        <w:spacing w:after="40"/>
        <w:ind w:left="578" w:hanging="227"/>
      </w:pPr>
      <w:r>
        <w:rPr>
          <w:rFonts w:ascii="Calibri" w:hAnsi="Calibri"/>
          <w:b/>
          <w:color w:val="0F2B4C"/>
          <w:sz w:val="19"/>
        </w:rPr>
        <w:t xml:space="preserve">1.  </w:t>
      </w:r>
      <w:r>
        <w:rPr>
          <w:rFonts w:ascii="Calibri" w:hAnsi="Calibri"/>
          <w:b w:val="0"/>
          <w:i w:val="0"/>
          <w:color w:val="334E68"/>
          <w:sz w:val="19"/>
        </w:rPr>
        <w:t>Complete pre-checks: listener, SQL*Net, Data Guard parameters, SID settings, Broker, observer node, patch alignment.</w:t>
      </w:r>
    </w:p>
    <w:p>
      <w:pPr>
        <w:spacing w:after="40"/>
        <w:ind w:left="578" w:hanging="227"/>
      </w:pPr>
      <w:r>
        <w:rPr>
          <w:rFonts w:ascii="Calibri" w:hAnsi="Calibri"/>
          <w:b/>
          <w:color w:val="0F2B4C"/>
          <w:sz w:val="19"/>
        </w:rPr>
        <w:t xml:space="preserve">2.  </w:t>
      </w:r>
      <w:r>
        <w:rPr>
          <w:rFonts w:ascii="Calibri" w:hAnsi="Calibri"/>
          <w:b w:val="0"/>
          <w:i w:val="0"/>
          <w:color w:val="334E68"/>
          <w:sz w:val="19"/>
        </w:rPr>
        <w:t>Review log switching and apply status; confirm the standby is applying with no gap.</w:t>
      </w:r>
    </w:p>
    <w:p>
      <w:pPr>
        <w:spacing w:after="40"/>
        <w:ind w:left="578" w:hanging="227"/>
      </w:pPr>
      <w:r>
        <w:rPr>
          <w:rFonts w:ascii="Calibri" w:hAnsi="Calibri"/>
          <w:b/>
          <w:color w:val="0F2B4C"/>
          <w:sz w:val="19"/>
        </w:rPr>
        <w:t xml:space="preserve">3.  </w:t>
      </w:r>
      <w:r>
        <w:rPr>
          <w:rFonts w:ascii="Calibri" w:hAnsi="Calibri"/>
          <w:b w:val="0"/>
          <w:i w:val="0"/>
          <w:color w:val="334E68"/>
          <w:sz w:val="19"/>
        </w:rPr>
        <w:t>Compare source and target SCN values and record both.</w:t>
      </w:r>
    </w:p>
    <w:p>
      <w:pPr>
        <w:spacing w:after="40"/>
        <w:ind w:left="578" w:hanging="227"/>
      </w:pPr>
      <w:r>
        <w:rPr>
          <w:rFonts w:ascii="Calibri" w:hAnsi="Calibri"/>
          <w:b/>
          <w:color w:val="0F2B4C"/>
          <w:sz w:val="19"/>
        </w:rPr>
        <w:t xml:space="preserve">4.  </w:t>
      </w:r>
      <w:r>
        <w:rPr>
          <w:rFonts w:ascii="Calibri" w:hAnsi="Calibri"/>
          <w:b w:val="0"/>
          <w:i w:val="0"/>
          <w:color w:val="334E68"/>
          <w:sz w:val="19"/>
        </w:rPr>
        <w:t>Capture evidence and attach it to the Jira/change ticket; obtain approval.</w:t>
      </w:r>
    </w:p>
    <w:p>
      <w:pPr>
        <w:spacing w:after="40"/>
        <w:ind w:left="578" w:hanging="227"/>
      </w:pPr>
      <w:r>
        <w:rPr>
          <w:rFonts w:ascii="Calibri" w:hAnsi="Calibri"/>
          <w:b/>
          <w:color w:val="0F2B4C"/>
          <w:sz w:val="19"/>
        </w:rPr>
        <w:t xml:space="preserve">5.  </w:t>
      </w:r>
      <w:r>
        <w:rPr>
          <w:rFonts w:ascii="Calibri" w:hAnsi="Calibri"/>
          <w:b w:val="0"/>
          <w:i w:val="0"/>
          <w:color w:val="334E68"/>
          <w:sz w:val="19"/>
        </w:rPr>
        <w:t>Take the AWS disk-level snapshot of the target to establish the rollback recovery point.</w:t>
      </w:r>
    </w:p>
    <w:p>
      <w:pPr>
        <w:spacing w:after="40"/>
        <w:ind w:left="578" w:hanging="227"/>
      </w:pPr>
      <w:r>
        <w:rPr>
          <w:rFonts w:ascii="Calibri" w:hAnsi="Calibri"/>
          <w:b/>
          <w:color w:val="0F2B4C"/>
          <w:sz w:val="19"/>
        </w:rPr>
        <w:t xml:space="preserve">6.  </w:t>
      </w:r>
      <w:r>
        <w:rPr>
          <w:rFonts w:ascii="Calibri" w:hAnsi="Calibri"/>
          <w:b w:val="0"/>
          <w:i w:val="0"/>
          <w:color w:val="334E68"/>
          <w:sz w:val="19"/>
        </w:rPr>
        <w:t>Confirm application shutdown is complete and the DBA handover has been accepted.</w:t>
      </w:r>
    </w:p>
    <w:p>
      <w:pPr>
        <w:spacing w:after="40"/>
        <w:ind w:left="578" w:hanging="227"/>
      </w:pPr>
      <w:r>
        <w:rPr>
          <w:rFonts w:ascii="Calibri" w:hAnsi="Calibri"/>
          <w:b/>
          <w:color w:val="0F2B4C"/>
          <w:sz w:val="19"/>
        </w:rPr>
        <w:t xml:space="preserve">7.  </w:t>
      </w:r>
      <w:r>
        <w:rPr>
          <w:rFonts w:ascii="Calibri" w:hAnsi="Calibri"/>
          <w:b w:val="0"/>
          <w:i w:val="0"/>
          <w:color w:val="334E68"/>
          <w:sz w:val="19"/>
        </w:rPr>
        <w:t>Shut down / close the source primary as designed.</w:t>
      </w:r>
    </w:p>
    <w:p>
      <w:pPr>
        <w:spacing w:after="40"/>
        <w:ind w:left="578" w:hanging="227"/>
      </w:pPr>
      <w:r>
        <w:rPr>
          <w:rFonts w:ascii="Calibri" w:hAnsi="Calibri"/>
          <w:b/>
          <w:color w:val="0F2B4C"/>
          <w:sz w:val="19"/>
        </w:rPr>
        <w:t xml:space="preserve">8.  </w:t>
      </w:r>
      <w:r>
        <w:rPr>
          <w:rFonts w:ascii="Calibri" w:hAnsi="Calibri"/>
          <w:b w:val="0"/>
          <w:i w:val="0"/>
          <w:color w:val="334E68"/>
          <w:sz w:val="19"/>
        </w:rPr>
        <w:t>Perform the switchover and activate the target standby as the new primary.</w:t>
      </w:r>
    </w:p>
    <w:p>
      <w:pPr>
        <w:spacing w:after="40"/>
        <w:ind w:left="578" w:hanging="227"/>
      </w:pPr>
      <w:r>
        <w:rPr>
          <w:rFonts w:ascii="Calibri" w:hAnsi="Calibri"/>
          <w:b/>
          <w:color w:val="0F2B4C"/>
          <w:sz w:val="19"/>
        </w:rPr>
        <w:t xml:space="preserve">9.  </w:t>
      </w:r>
      <w:r>
        <w:rPr>
          <w:rFonts w:ascii="Calibri" w:hAnsi="Calibri"/>
          <w:b w:val="0"/>
          <w:i w:val="0"/>
          <w:color w:val="334E68"/>
          <w:sz w:val="19"/>
        </w:rPr>
        <w:t>Open the new primary and validate it: services registered, listener responding, SAP can connect.</w:t>
      </w:r>
    </w:p>
    <w:p>
      <w:pPr>
        <w:spacing w:after="40"/>
        <w:ind w:left="578" w:hanging="227"/>
      </w:pPr>
      <w:r>
        <w:rPr>
          <w:rFonts w:ascii="Calibri" w:hAnsi="Calibri"/>
          <w:b/>
          <w:color w:val="0F2B4C"/>
          <w:sz w:val="19"/>
        </w:rPr>
        <w:t xml:space="preserve">10.  </w:t>
      </w:r>
      <w:r>
        <w:rPr>
          <w:rFonts w:ascii="Calibri" w:hAnsi="Calibri"/>
          <w:b w:val="0"/>
          <w:i w:val="0"/>
          <w:color w:val="334E68"/>
          <w:sz w:val="19"/>
        </w:rPr>
        <w:t xml:space="preserve">Run </w:t>
      </w:r>
      <w:r>
        <w:rPr>
          <w:rFonts w:ascii="Consolas" w:hAnsi="Consolas"/>
          <w:b w:val="0"/>
          <w:i w:val="0"/>
          <w:color w:val="123A63"/>
          <w:sz w:val="19"/>
          <w:shd w:val="clear" w:color="auto" w:fill="EEF2F7"/>
        </w:rPr>
        <w:t>DBVERIFY</w:t>
      </w:r>
      <w:r>
        <w:rPr>
          <w:rFonts w:ascii="Calibri" w:hAnsi="Calibri"/>
          <w:b w:val="0"/>
          <w:i w:val="0"/>
          <w:color w:val="334E68"/>
          <w:sz w:val="19"/>
        </w:rPr>
        <w:t xml:space="preserve"> to check for database block corruption.</w:t>
      </w:r>
    </w:p>
    <w:p>
      <w:pPr>
        <w:spacing w:after="40"/>
        <w:ind w:left="578" w:hanging="227"/>
      </w:pPr>
      <w:r>
        <w:rPr>
          <w:rFonts w:ascii="Calibri" w:hAnsi="Calibri"/>
          <w:b/>
          <w:color w:val="0F2B4C"/>
          <w:sz w:val="19"/>
        </w:rPr>
        <w:t xml:space="preserve">11.  </w:t>
      </w:r>
      <w:r>
        <w:rPr>
          <w:rFonts w:ascii="Calibri" w:hAnsi="Calibri"/>
          <w:b w:val="0"/>
          <w:i w:val="0"/>
          <w:color w:val="334E68"/>
          <w:sz w:val="19"/>
        </w:rPr>
        <w:t xml:space="preserve">Take an Oracle </w:t>
      </w:r>
      <w:r>
        <w:rPr>
          <w:rFonts w:ascii="Consolas" w:hAnsi="Consolas"/>
          <w:b w:val="0"/>
          <w:i w:val="0"/>
          <w:color w:val="123A63"/>
          <w:sz w:val="19"/>
          <w:shd w:val="clear" w:color="auto" w:fill="EEF2F7"/>
        </w:rPr>
        <w:t>RMAN</w:t>
      </w:r>
      <w:r>
        <w:rPr>
          <w:rFonts w:ascii="Calibri" w:hAnsi="Calibri"/>
          <w:b w:val="0"/>
          <w:i w:val="0"/>
          <w:color w:val="334E68"/>
          <w:sz w:val="19"/>
        </w:rPr>
        <w:t xml:space="preserve"> backup after successful validation.</w:t>
      </w:r>
    </w:p>
    <w:p>
      <w:pPr>
        <w:spacing w:after="40"/>
        <w:ind w:left="578" w:hanging="227"/>
      </w:pPr>
      <w:r>
        <w:rPr>
          <w:rFonts w:ascii="Calibri" w:hAnsi="Calibri"/>
          <w:b/>
          <w:color w:val="0F2B4C"/>
          <w:sz w:val="19"/>
        </w:rPr>
        <w:t xml:space="preserve">12.  </w:t>
      </w:r>
      <w:r>
        <w:rPr>
          <w:rFonts w:ascii="Calibri" w:hAnsi="Calibri"/>
          <w:b w:val="0"/>
          <w:i w:val="0"/>
          <w:color w:val="334E68"/>
          <w:sz w:val="19"/>
        </w:rPr>
        <w:t>Install or verify the OEM agent in production where applicable.</w:t>
      </w:r>
    </w:p>
    <w:p>
      <w:pPr>
        <w:spacing w:after="40"/>
        <w:ind w:left="578" w:hanging="227"/>
      </w:pPr>
      <w:r>
        <w:rPr>
          <w:rFonts w:ascii="Calibri" w:hAnsi="Calibri"/>
          <w:b/>
          <w:color w:val="0F2B4C"/>
          <w:sz w:val="19"/>
        </w:rPr>
        <w:t xml:space="preserve">13.  </w:t>
      </w:r>
      <w:r>
        <w:rPr>
          <w:rFonts w:ascii="Calibri" w:hAnsi="Calibri"/>
          <w:b w:val="0"/>
          <w:i w:val="0"/>
          <w:color w:val="334E68"/>
          <w:sz w:val="19"/>
        </w:rPr>
        <w:t>Hand back to Basis for the DNS/IPAM update and SAP-side validation.</w:t>
      </w:r>
    </w:p>
    <w:p>
      <w:pPr>
        <w:spacing w:before="120" w:after="120"/>
        <w:ind w:left="170"/>
        <w:shd w:val="clear" w:color="auto" w:fill="0E2340"/>
        <w:pBdr>
          <w:left w:val="single" w:sz="18" w:space="4" w:color="1B4F86"/>
        </w:pBdr>
      </w:pPr>
      <w:r>
        <w:rPr>
          <w:rFonts w:ascii="Consolas" w:hAnsi="Consolas"/>
          <w:color w:val="7FA2C8"/>
          <w:sz w:val="16"/>
        </w:rPr>
        <w:t>-- Synchronisation evidence typically captured before switchover (illustrative)SELECT database_role, open_mode, current_scn FROM v$database;-- run on BOTH source and target; compare current_scnSELECT process, status, thread#, sequence#, block# FROM v$managed_standby;-- confirm MRP0 is APPLYING_LOG and no gap remains-- On the target after switchover: block integrity and backupdbv file=&lt;datafile&gt; blocksize=&lt;size&gt;      # expect: no corrupt blocks listedrman target /  → BACKUP DATABASE PLUS ARCHIVELOG;-- Exact syntax (DGMGRL SWITCHOVER, ALTER DATABASE commands, Broker config)-- comes from the project runbook and the Oracle version in use.</w:t>
      </w:r>
    </w:p>
    <w:p>
      <w:pPr>
        <w:spacing w:before="180" w:after="40"/>
        <w:shd w:val="clear" w:color="auto" w:fill="FFFDF5"/>
        <w:pBdr>
          <w:left w:val="single" w:sz="6" w:space="6" w:color="D9A520"/>
          <w:top w:val="single" w:sz="6" w:space="6" w:color="D9A520"/>
          <w:right w:val="single" w:sz="6" w:space="6" w:color="D9A520"/>
        </w:pBdr>
        <w:keepNext/>
      </w:pPr>
      <w:r>
        <w:rPr>
          <w:rFonts w:ascii="Calibri" w:hAnsi="Calibri"/>
          <w:b/>
          <w:color w:val="D9A520"/>
          <w:sz w:val="16"/>
        </w:rPr>
        <w:t>SNAPSHOT TIMING</w:t>
      </w:r>
    </w:p>
    <w:p>
      <w:pPr>
        <w:spacing w:after="40"/>
        <w:ind w:left="170"/>
        <w:shd w:val="clear" w:color="auto" w:fill="FFFDF5"/>
        <w:pBdr>
          <w:left w:val="single" w:sz="6" w:space="6" w:color="D9A520"/>
          <w:bottom w:val="single" w:sz="6" w:space="6" w:color="D9A520"/>
          <w:right w:val="single" w:sz="6" w:space="6" w:color="D9A520"/>
        </w:pBdr>
      </w:pPr>
      <w:r>
        <w:rPr>
          <w:rFonts w:ascii="Calibri" w:hAnsi="Calibri"/>
          <w:b w:val="0"/>
          <w:i w:val="0"/>
          <w:color w:val="334E68"/>
          <w:sz w:val="18"/>
        </w:rPr>
        <w:t xml:space="preserve">The snapshot must be taken </w:t>
      </w:r>
      <w:r>
        <w:rPr>
          <w:rFonts w:ascii="Calibri" w:hAnsi="Calibri"/>
          <w:b/>
          <w:i w:val="0"/>
          <w:color w:val="334E68"/>
          <w:sz w:val="18"/>
        </w:rPr>
        <w:t>after</w:t>
      </w:r>
      <w:r>
        <w:rPr>
          <w:rFonts w:ascii="Calibri" w:hAnsi="Calibri"/>
          <w:b w:val="0"/>
          <w:i w:val="0"/>
          <w:color w:val="334E68"/>
          <w:sz w:val="18"/>
        </w:rPr>
        <w:t xml:space="preserve"> the standby is fully synchronised and </w:t>
      </w:r>
      <w:r>
        <w:rPr>
          <w:rFonts w:ascii="Calibri" w:hAnsi="Calibri"/>
          <w:b/>
          <w:i w:val="0"/>
          <w:color w:val="334E68"/>
          <w:sz w:val="18"/>
        </w:rPr>
        <w:t>before</w:t>
      </w:r>
      <w:r>
        <w:rPr>
          <w:rFonts w:ascii="Calibri" w:hAnsi="Calibri"/>
          <w:b w:val="0"/>
          <w:i w:val="0"/>
          <w:color w:val="334E68"/>
          <w:sz w:val="18"/>
        </w:rPr>
        <w:t xml:space="preserve"> the role change. Taken too early it is not a consistent recovery point; taken after the switchover it protects nothing. Also confirm whether the project requires an application-consistent snapshot (quiesced database) or accepts a crash-consistent one for this purpose — that decision belongs to the DBA lead and must be recorded. </w:t>
      </w:r>
      <w:r>
        <w:rPr>
          <w:rFonts w:ascii="Calibri" w:hAnsi="Calibri"/>
          <w:b w:val="0"/>
          <w:i w:val="0"/>
          <w:color w:val="334E68"/>
          <w:sz w:val="18"/>
        </w:rPr>
        <w:t>Validate</w:t>
      </w:r>
    </w:p>
    <w:p>
      <w:pPr>
        <w:pStyle w:val="Heading2"/>
        <w:pBdr>
          <w:bottom w:val="single" w:sz="6" w:space="3" w:color="E8EDF3"/>
        </w:pBdr>
      </w:pPr>
      <w:r>
        <w:rPr>
          <w:rFonts w:ascii="Calibri" w:hAnsi="Calibri"/>
          <w:b/>
          <w:color w:val="0F2B4C"/>
          <w:sz w:val="26"/>
        </w:rPr>
        <w:t>9.4  Backup and rollback protection</w:t>
      </w:r>
    </w:p>
    <w:p>
      <w:pPr>
        <w:spacing w:after="60" w:before="160"/>
        <w:keepNext/>
      </w:pPr>
      <w:r>
        <w:rPr>
          <w:rFonts w:ascii="Calibri" w:hAnsi="Calibri"/>
          <w:b/>
          <w:color w:val="5B7288"/>
          <w:sz w:val="15"/>
        </w:rPr>
        <w:t>POST-SWITCHOVER PROTECTION SEQUENCE</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891"/>
        <w:gridCol w:w="3662"/>
        <w:gridCol w:w="3084"/>
      </w:tblGrid>
      <w:tr>
        <w:trPr>
          <w:tblHeader/>
          <w:cantSplit/>
        </w:trPr>
        <w:tc>
          <w:tcPr>
            <w:tcW w:type="dxa" w:w="2891"/>
            <w:shd w:val="clear" w:color="auto" w:fill="0F2B4C"/>
          </w:tcPr>
          <w:p>
            <w:pPr>
              <w:spacing w:after="20" w:before="20"/>
            </w:pPr>
            <w:r/>
            <w:r>
              <w:rPr>
                <w:rFonts w:ascii="Calibri" w:hAnsi="Calibri"/>
                <w:b/>
                <w:color w:val="FFFFFF"/>
                <w:sz w:val="17"/>
              </w:rPr>
              <w:t>Step</w:t>
            </w:r>
          </w:p>
        </w:tc>
        <w:tc>
          <w:tcPr>
            <w:tcW w:type="dxa" w:w="3662"/>
            <w:shd w:val="clear" w:color="auto" w:fill="0F2B4C"/>
          </w:tcPr>
          <w:p>
            <w:pPr>
              <w:spacing w:after="20" w:before="20"/>
            </w:pPr>
            <w:r/>
            <w:r>
              <w:rPr>
                <w:rFonts w:ascii="Calibri" w:hAnsi="Calibri"/>
                <w:b/>
                <w:color w:val="FFFFFF"/>
                <w:sz w:val="17"/>
              </w:rPr>
              <w:t>Purpose</w:t>
            </w:r>
          </w:p>
        </w:tc>
        <w:tc>
          <w:tcPr>
            <w:tcW w:type="dxa" w:w="3084"/>
            <w:shd w:val="clear" w:color="auto" w:fill="0F2B4C"/>
          </w:tcPr>
          <w:p>
            <w:pPr>
              <w:spacing w:after="20" w:before="20"/>
            </w:pPr>
            <w:r/>
            <w:r>
              <w:rPr>
                <w:rFonts w:ascii="Calibri" w:hAnsi="Calibri"/>
                <w:b/>
                <w:color w:val="FFFFFF"/>
                <w:sz w:val="17"/>
              </w:rPr>
              <w:t>Evidence</w:t>
            </w:r>
          </w:p>
        </w:tc>
      </w:tr>
      <w:tr>
        <w:trPr>
          <w:cantSplit/>
        </w:trPr>
        <w:tc>
          <w:tcPr>
            <w:tcW w:type="dxa" w:w="2891"/>
          </w:tcPr>
          <w:p>
            <w:pPr>
              <w:spacing w:after="20" w:before="20"/>
            </w:pPr>
            <w:r/>
            <w:r>
              <w:rPr>
                <w:rFonts w:ascii="Calibri" w:hAnsi="Calibri"/>
                <w:b/>
                <w:i w:val="0"/>
                <w:color w:val="334E68"/>
                <w:sz w:val="17"/>
              </w:rPr>
              <w:t>AWS disk-level snapshot before subsequent activities</w:t>
            </w:r>
          </w:p>
        </w:tc>
        <w:tc>
          <w:tcPr>
            <w:tcW w:type="dxa" w:w="3662"/>
          </w:tcPr>
          <w:p>
            <w:pPr>
              <w:spacing w:after="20" w:before="20"/>
            </w:pPr>
            <w:r/>
            <w:r>
              <w:rPr>
                <w:rFonts w:ascii="Calibri" w:hAnsi="Calibri"/>
                <w:b w:val="0"/>
                <w:i w:val="0"/>
                <w:color w:val="334E68"/>
                <w:sz w:val="17"/>
              </w:rPr>
              <w:t>Establishes the rollback recovery point</w:t>
            </w:r>
          </w:p>
        </w:tc>
        <w:tc>
          <w:tcPr>
            <w:tcW w:type="dxa" w:w="3084"/>
          </w:tcPr>
          <w:p>
            <w:pPr>
              <w:spacing w:after="20" w:before="20"/>
            </w:pPr>
            <w:r/>
            <w:r>
              <w:rPr>
                <w:rFonts w:ascii="Calibri" w:hAnsi="Calibri"/>
                <w:b w:val="0"/>
                <w:i w:val="0"/>
                <w:color w:val="334E68"/>
                <w:sz w:val="17"/>
              </w:rPr>
              <w:t>Snapshot ID, timestamp, volume list</w:t>
            </w:r>
          </w:p>
        </w:tc>
      </w:tr>
      <w:tr>
        <w:trPr>
          <w:cantSplit/>
        </w:trPr>
        <w:tc>
          <w:tcPr>
            <w:tcW w:type="dxa" w:w="2891"/>
            <w:shd w:val="clear" w:color="auto" w:fill="FAFBFD"/>
          </w:tcPr>
          <w:p>
            <w:pPr>
              <w:spacing w:after="20" w:before="20"/>
            </w:pPr>
            <w:r/>
            <w:r>
              <w:rPr>
                <w:rFonts w:ascii="Calibri" w:hAnsi="Calibri"/>
                <w:b/>
                <w:i w:val="0"/>
                <w:color w:val="334E68"/>
                <w:sz w:val="17"/>
              </w:rPr>
              <w:t>Validate the new primary after switchover</w:t>
            </w:r>
          </w:p>
        </w:tc>
        <w:tc>
          <w:tcPr>
            <w:tcW w:type="dxa" w:w="3662"/>
            <w:shd w:val="clear" w:color="auto" w:fill="FAFBFD"/>
          </w:tcPr>
          <w:p>
            <w:pPr>
              <w:spacing w:after="20" w:before="20"/>
            </w:pPr>
            <w:r/>
            <w:r>
              <w:rPr>
                <w:rFonts w:ascii="Calibri" w:hAnsi="Calibri"/>
                <w:b w:val="0"/>
                <w:i w:val="0"/>
                <w:color w:val="334E68"/>
                <w:sz w:val="17"/>
              </w:rPr>
              <w:t>Confirms the database is open, services are registered and SAP can connect</w:t>
            </w:r>
          </w:p>
        </w:tc>
        <w:tc>
          <w:tcPr>
            <w:tcW w:type="dxa" w:w="3084"/>
            <w:shd w:val="clear" w:color="auto" w:fill="FAFBFD"/>
          </w:tcPr>
          <w:p>
            <w:pPr>
              <w:spacing w:after="20" w:before="20"/>
            </w:pPr>
            <w:r/>
            <w:r>
              <w:rPr>
                <w:rFonts w:ascii="Calibri" w:hAnsi="Calibri"/>
                <w:b w:val="0"/>
                <w:i w:val="0"/>
                <w:color w:val="334E68"/>
                <w:sz w:val="17"/>
              </w:rPr>
              <w:t>Listener/services output, connection test</w:t>
            </w:r>
          </w:p>
        </w:tc>
      </w:tr>
      <w:tr>
        <w:trPr>
          <w:cantSplit/>
        </w:trPr>
        <w:tc>
          <w:tcPr>
            <w:tcW w:type="dxa" w:w="2891"/>
          </w:tcPr>
          <w:p>
            <w:pPr>
              <w:spacing w:after="20" w:before="20"/>
            </w:pPr>
            <w:r/>
            <w:r>
              <w:rPr>
                <w:rFonts w:ascii="Calibri" w:hAnsi="Calibri"/>
                <w:b/>
                <w:i w:val="0"/>
                <w:color w:val="334E68"/>
                <w:sz w:val="17"/>
              </w:rPr>
              <w:t xml:space="preserve">Run Oracle </w:t>
            </w:r>
            <w:r>
              <w:rPr>
                <w:rFonts w:ascii="Consolas" w:hAnsi="Consolas"/>
                <w:b/>
                <w:i w:val="0"/>
                <w:color w:val="123A63"/>
                <w:sz w:val="17"/>
                <w:shd w:val="clear" w:color="auto" w:fill="EEF2F7"/>
              </w:rPr>
              <w:t>DBVERIFY</w:t>
            </w:r>
          </w:p>
        </w:tc>
        <w:tc>
          <w:tcPr>
            <w:tcW w:type="dxa" w:w="3662"/>
          </w:tcPr>
          <w:p>
            <w:pPr>
              <w:spacing w:after="20" w:before="20"/>
            </w:pPr>
            <w:r/>
            <w:r>
              <w:rPr>
                <w:rFonts w:ascii="Calibri" w:hAnsi="Calibri"/>
                <w:b w:val="0"/>
                <w:i w:val="0"/>
                <w:color w:val="334E68"/>
                <w:sz w:val="17"/>
              </w:rPr>
              <w:t>Checks for database block corruption in datafiles</w:t>
            </w:r>
          </w:p>
        </w:tc>
        <w:tc>
          <w:tcPr>
            <w:tcW w:type="dxa" w:w="3084"/>
          </w:tcPr>
          <w:p>
            <w:pPr>
              <w:spacing w:after="20" w:before="20"/>
            </w:pPr>
            <w:r/>
            <w:r>
              <w:rPr>
                <w:rFonts w:ascii="Calibri" w:hAnsi="Calibri"/>
                <w:b w:val="0"/>
                <w:i w:val="0"/>
                <w:color w:val="334E68"/>
                <w:sz w:val="17"/>
              </w:rPr>
              <w:t>DBVERIFY output with no corrupted blocks</w:t>
            </w:r>
          </w:p>
        </w:tc>
      </w:tr>
      <w:tr>
        <w:trPr>
          <w:cantSplit/>
        </w:trPr>
        <w:tc>
          <w:tcPr>
            <w:tcW w:type="dxa" w:w="2891"/>
            <w:shd w:val="clear" w:color="auto" w:fill="FAFBFD"/>
          </w:tcPr>
          <w:p>
            <w:pPr>
              <w:spacing w:after="20" w:before="20"/>
            </w:pPr>
            <w:r/>
            <w:r>
              <w:rPr>
                <w:rFonts w:ascii="Calibri" w:hAnsi="Calibri"/>
                <w:b/>
                <w:i w:val="0"/>
                <w:color w:val="334E68"/>
                <w:sz w:val="17"/>
              </w:rPr>
              <w:t xml:space="preserve">Take an Oracle </w:t>
            </w:r>
            <w:r>
              <w:rPr>
                <w:rFonts w:ascii="Consolas" w:hAnsi="Consolas"/>
                <w:b/>
                <w:i w:val="0"/>
                <w:color w:val="123A63"/>
                <w:sz w:val="17"/>
                <w:shd w:val="clear" w:color="auto" w:fill="EEF2F7"/>
              </w:rPr>
              <w:t>RMAN</w:t>
            </w:r>
            <w:r>
              <w:rPr>
                <w:rFonts w:ascii="Calibri" w:hAnsi="Calibri"/>
                <w:b/>
                <w:i w:val="0"/>
                <w:color w:val="334E68"/>
                <w:sz w:val="17"/>
              </w:rPr>
              <w:t xml:space="preserve"> backup</w:t>
            </w:r>
          </w:p>
        </w:tc>
        <w:tc>
          <w:tcPr>
            <w:tcW w:type="dxa" w:w="3662"/>
            <w:shd w:val="clear" w:color="auto" w:fill="FAFBFD"/>
          </w:tcPr>
          <w:p>
            <w:pPr>
              <w:spacing w:after="20" w:before="20"/>
            </w:pPr>
            <w:r/>
            <w:r>
              <w:rPr>
                <w:rFonts w:ascii="Calibri" w:hAnsi="Calibri"/>
                <w:b w:val="0"/>
                <w:i w:val="0"/>
                <w:color w:val="334E68"/>
                <w:sz w:val="17"/>
              </w:rPr>
              <w:t>Creates the first backup of the new primary and a fresh recovery baseline</w:t>
            </w:r>
          </w:p>
        </w:tc>
        <w:tc>
          <w:tcPr>
            <w:tcW w:type="dxa" w:w="3084"/>
            <w:shd w:val="clear" w:color="auto" w:fill="FAFBFD"/>
          </w:tcPr>
          <w:p>
            <w:pPr>
              <w:spacing w:after="20" w:before="20"/>
            </w:pPr>
            <w:r/>
            <w:r>
              <w:rPr>
                <w:rFonts w:ascii="Calibri" w:hAnsi="Calibri"/>
                <w:b w:val="0"/>
                <w:i w:val="0"/>
                <w:color w:val="334E68"/>
                <w:sz w:val="17"/>
              </w:rPr>
              <w:t>RMAN log, backup piece list, completion status</w:t>
            </w:r>
          </w:p>
        </w:tc>
      </w:tr>
      <w:tr>
        <w:trPr>
          <w:cantSplit/>
        </w:trPr>
        <w:tc>
          <w:tcPr>
            <w:tcW w:type="dxa" w:w="2891"/>
          </w:tcPr>
          <w:p>
            <w:pPr>
              <w:spacing w:after="20" w:before="20"/>
            </w:pPr>
            <w:r/>
            <w:r>
              <w:rPr>
                <w:rFonts w:ascii="Calibri" w:hAnsi="Calibri"/>
                <w:b/>
                <w:i w:val="0"/>
                <w:color w:val="334E68"/>
                <w:sz w:val="17"/>
              </w:rPr>
              <w:t>Install / verify the OEM agent in production</w:t>
            </w:r>
          </w:p>
        </w:tc>
        <w:tc>
          <w:tcPr>
            <w:tcW w:type="dxa" w:w="3662"/>
          </w:tcPr>
          <w:p>
            <w:pPr>
              <w:spacing w:after="20" w:before="20"/>
            </w:pPr>
            <w:r/>
            <w:r>
              <w:rPr>
                <w:rFonts w:ascii="Calibri" w:hAnsi="Calibri"/>
                <w:b w:val="0"/>
                <w:i w:val="0"/>
                <w:color w:val="334E68"/>
                <w:sz w:val="17"/>
              </w:rPr>
              <w:t>Restores monitoring and alerting coverage on the new primary</w:t>
            </w:r>
          </w:p>
        </w:tc>
        <w:tc>
          <w:tcPr>
            <w:tcW w:type="dxa" w:w="3084"/>
          </w:tcPr>
          <w:p>
            <w:pPr>
              <w:spacing w:after="20" w:before="20"/>
            </w:pPr>
            <w:r/>
            <w:r>
              <w:rPr>
                <w:rFonts w:ascii="Calibri" w:hAnsi="Calibri"/>
                <w:b w:val="0"/>
                <w:i w:val="0"/>
                <w:color w:val="334E68"/>
                <w:sz w:val="17"/>
              </w:rPr>
              <w:t>Agent status, target visible in the monitoring console</w:t>
            </w:r>
          </w:p>
        </w:tc>
      </w:tr>
    </w:tbl>
    <w:p>
      <w:pPr>
        <w:spacing w:after="40"/>
      </w:pPr>
    </w:p>
    <w:p>
      <w:pPr>
        <w:pStyle w:val="Heading2"/>
        <w:pBdr>
          <w:bottom w:val="single" w:sz="6" w:space="3" w:color="E8EDF3"/>
        </w:pBdr>
      </w:pPr>
      <w:r>
        <w:rPr>
          <w:rFonts w:ascii="Calibri" w:hAnsi="Calibri"/>
          <w:b/>
          <w:color w:val="0F2B4C"/>
          <w:sz w:val="26"/>
        </w:rPr>
        <w:t>9.5  DNS and IPAM after database switchover</w:t>
      </w:r>
    </w:p>
    <w:p>
      <w:pPr>
        <w:spacing w:after="40"/>
        <w:ind w:left="351" w:hanging="227"/>
      </w:pPr>
      <w:r>
        <w:rPr>
          <w:rFonts w:ascii="Calibri" w:hAnsi="Calibri"/>
          <w:b/>
          <w:color w:val="1B4F86"/>
          <w:sz w:val="19"/>
        </w:rPr>
        <w:t xml:space="preserve">▪  </w:t>
      </w:r>
      <w:r>
        <w:rPr>
          <w:rFonts w:ascii="Calibri" w:hAnsi="Calibri"/>
          <w:b w:val="0"/>
          <w:i w:val="0"/>
          <w:color w:val="334E68"/>
          <w:sz w:val="19"/>
        </w:rPr>
        <w:t xml:space="preserve">The </w:t>
      </w:r>
      <w:r>
        <w:rPr>
          <w:rFonts w:ascii="Calibri" w:hAnsi="Calibri"/>
          <w:b/>
          <w:i w:val="0"/>
          <w:color w:val="334E68"/>
          <w:sz w:val="19"/>
        </w:rPr>
        <w:t>virtual hostname remains unchanged</w:t>
      </w:r>
      <w:r>
        <w:rPr>
          <w:rFonts w:ascii="Calibri" w:hAnsi="Calibri"/>
          <w:b w:val="0"/>
          <w:i w:val="0"/>
          <w:color w:val="334E68"/>
          <w:sz w:val="19"/>
        </w:rPr>
        <w:t xml:space="preserve"> according to the migration design — SAP continues to address the database by the same name.</w:t>
      </w:r>
    </w:p>
    <w:p>
      <w:pPr>
        <w:spacing w:after="40"/>
        <w:ind w:left="351" w:hanging="227"/>
      </w:pPr>
      <w:r>
        <w:rPr>
          <w:rFonts w:ascii="Calibri" w:hAnsi="Calibri"/>
          <w:b/>
          <w:color w:val="1B4F86"/>
          <w:sz w:val="19"/>
        </w:rPr>
        <w:t xml:space="preserve">▪  </w:t>
      </w:r>
      <w:r>
        <w:rPr>
          <w:rFonts w:ascii="Calibri" w:hAnsi="Calibri"/>
          <w:b w:val="0"/>
          <w:i w:val="0"/>
          <w:color w:val="334E68"/>
          <w:sz w:val="19"/>
        </w:rPr>
        <w:t xml:space="preserve">The </w:t>
      </w:r>
      <w:r>
        <w:rPr>
          <w:rFonts w:ascii="Calibri" w:hAnsi="Calibri"/>
          <w:b/>
          <w:i w:val="0"/>
          <w:color w:val="334E68"/>
          <w:sz w:val="19"/>
        </w:rPr>
        <w:t>target IP is updated</w:t>
      </w:r>
      <w:r>
        <w:rPr>
          <w:rFonts w:ascii="Calibri" w:hAnsi="Calibri"/>
          <w:b w:val="0"/>
          <w:i w:val="0"/>
          <w:color w:val="334E68"/>
          <w:sz w:val="19"/>
        </w:rPr>
        <w:t xml:space="preserve"> in DNS/IPAM.</w:t>
      </w:r>
    </w:p>
    <w:p>
      <w:pPr>
        <w:spacing w:after="40"/>
        <w:ind w:left="351" w:hanging="227"/>
      </w:pPr>
      <w:r>
        <w:rPr>
          <w:rFonts w:ascii="Calibri" w:hAnsi="Calibri"/>
          <w:b/>
          <w:color w:val="1B4F86"/>
          <w:sz w:val="19"/>
        </w:rPr>
        <w:t xml:space="preserve">▪  </w:t>
      </w:r>
      <w:r>
        <w:rPr>
          <w:rFonts w:ascii="Calibri" w:hAnsi="Calibri"/>
          <w:b/>
          <w:i w:val="0"/>
          <w:color w:val="334E68"/>
          <w:sz w:val="19"/>
        </w:rPr>
        <w:t>CNAME entries are updated</w:t>
      </w:r>
      <w:r>
        <w:rPr>
          <w:rFonts w:ascii="Calibri" w:hAnsi="Calibri"/>
          <w:b w:val="0"/>
          <w:i w:val="0"/>
          <w:color w:val="334E68"/>
          <w:sz w:val="19"/>
        </w:rPr>
        <w:t xml:space="preserve"> to point to the correct target environment.</w:t>
      </w:r>
    </w:p>
    <w:p>
      <w:pPr>
        <w:spacing w:after="40"/>
        <w:ind w:left="351" w:hanging="227"/>
      </w:pPr>
      <w:r>
        <w:rPr>
          <w:rFonts w:ascii="Calibri" w:hAnsi="Calibri"/>
          <w:b/>
          <w:color w:val="1B4F86"/>
          <w:sz w:val="19"/>
        </w:rPr>
        <w:t xml:space="preserve">▪  </w:t>
      </w:r>
      <w:r>
        <w:rPr>
          <w:rFonts w:ascii="Calibri" w:hAnsi="Calibri"/>
          <w:b w:val="0"/>
          <w:i w:val="0"/>
          <w:color w:val="334E68"/>
          <w:sz w:val="19"/>
        </w:rPr>
        <w:t>Verify hostname and IP resolution from every consumer: SAP application hosts, interfaces, backup and monitoring systems.</w:t>
      </w:r>
    </w:p>
    <w:p>
      <w:pPr>
        <w:spacing w:after="40"/>
        <w:ind w:left="351" w:hanging="227"/>
      </w:pPr>
      <w:r>
        <w:rPr>
          <w:rFonts w:ascii="Calibri" w:hAnsi="Calibri"/>
          <w:b/>
          <w:color w:val="1B4F86"/>
          <w:sz w:val="19"/>
        </w:rPr>
        <w:t xml:space="preserve">▪  </w:t>
      </w:r>
      <w:r>
        <w:rPr>
          <w:rFonts w:ascii="Calibri" w:hAnsi="Calibri"/>
          <w:b w:val="0"/>
          <w:i w:val="0"/>
          <w:color w:val="334E68"/>
          <w:sz w:val="19"/>
        </w:rPr>
        <w:t xml:space="preserve">Clean obsolete host-file entries — a stale </w:t>
      </w:r>
      <w:r>
        <w:rPr>
          <w:rFonts w:ascii="Consolas" w:hAnsi="Consolas"/>
          <w:b w:val="0"/>
          <w:i w:val="0"/>
          <w:color w:val="123A63"/>
          <w:sz w:val="19"/>
          <w:shd w:val="clear" w:color="auto" w:fill="EEF2F7"/>
        </w:rPr>
        <w:t>/etc/hosts</w:t>
      </w:r>
      <w:r>
        <w:rPr>
          <w:rFonts w:ascii="Calibri" w:hAnsi="Calibri"/>
          <w:b w:val="0"/>
          <w:i w:val="0"/>
          <w:color w:val="334E68"/>
          <w:sz w:val="19"/>
        </w:rPr>
        <w:t xml:space="preserve"> line overrides DNS and silently reconnects you to the source.</w:t>
      </w:r>
    </w:p>
    <w:p>
      <w:pPr>
        <w:spacing w:before="120" w:after="120"/>
        <w:ind w:left="170"/>
        <w:shd w:val="clear" w:color="auto" w:fill="0E2340"/>
        <w:pBdr>
          <w:left w:val="single" w:sz="18" w:space="4" w:color="1B4F86"/>
        </w:pBdr>
      </w:pPr>
      <w:r>
        <w:rPr>
          <w:rFonts w:ascii="Consolas" w:hAnsi="Consolas"/>
          <w:color w:val="7FA2C8"/>
          <w:sz w:val="16"/>
        </w:rPr>
        <w:t># Resolution checks from an SAP application hostgetent hosts &lt;virtual-db-hostname&gt;      # must return the NEW target IPnslookup &lt;virtual-db-hostname&gt;         # confirm the CNAME chaingrep -n &lt;virtual-db-hostname&gt; /etc/hosts  # must be empty or correct# then prove the SAP side sees the same databaseR3trans -d                             # expect return code 0000</w:t>
      </w:r>
    </w:p>
    <w:p>
      <w:pPr>
        <w:spacing w:before="180" w:after="40"/>
        <w:shd w:val="clear" w:color="auto" w:fill="FFFBFB"/>
        <w:pBdr>
          <w:left w:val="single" w:sz="6" w:space="6" w:color="C8434B"/>
          <w:top w:val="single" w:sz="6" w:space="6" w:color="C8434B"/>
          <w:right w:val="single" w:sz="6" w:space="6" w:color="C8434B"/>
        </w:pBdr>
        <w:keepNext/>
      </w:pPr>
      <w:r>
        <w:rPr>
          <w:rFonts w:ascii="Calibri" w:hAnsi="Calibri"/>
          <w:b/>
          <w:color w:val="C8434B"/>
          <w:sz w:val="16"/>
        </w:rPr>
        <w:t>CACHE AND CONNECTION POOLING</w:t>
      </w:r>
    </w:p>
    <w:p>
      <w:pPr>
        <w:spacing w:after="40"/>
        <w:ind w:left="170"/>
        <w:shd w:val="clear" w:color="auto" w:fill="FFFBFB"/>
        <w:pBdr>
          <w:left w:val="single" w:sz="6" w:space="6" w:color="C8434B"/>
          <w:bottom w:val="single" w:sz="6" w:space="6" w:color="C8434B"/>
          <w:right w:val="single" w:sz="6" w:space="6" w:color="C8434B"/>
        </w:pBdr>
      </w:pPr>
      <w:r>
        <w:rPr>
          <w:rFonts w:ascii="Calibri" w:hAnsi="Calibri"/>
          <w:b w:val="0"/>
          <w:i w:val="0"/>
          <w:color w:val="334E68"/>
          <w:sz w:val="18"/>
        </w:rPr>
        <w:t>DNS TTL, name-service caching and pooled database connections can keep a system talking to the old IP after the record changes. Reduce TTL ahead of cutover as designed, restart the affected services, and verify with an actual connection test (</w:t>
      </w:r>
      <w:r>
        <w:rPr>
          <w:rFonts w:ascii="Consolas" w:hAnsi="Consolas"/>
          <w:b w:val="0"/>
          <w:i w:val="0"/>
          <w:color w:val="123A63"/>
          <w:sz w:val="18"/>
          <w:shd w:val="clear" w:color="auto" w:fill="EEF2F7"/>
        </w:rPr>
        <w:t>R3trans -d</w:t>
      </w:r>
      <w:r>
        <w:rPr>
          <w:rFonts w:ascii="Calibri" w:hAnsi="Calibri"/>
          <w:b w:val="0"/>
          <w:i w:val="0"/>
          <w:color w:val="334E68"/>
          <w:sz w:val="18"/>
        </w:rPr>
        <w:t>) rather than by reading the DNS record.</w:t>
      </w:r>
    </w:p>
    <w:p>
      <w:pPr>
        <w:pStyle w:val="Heading2"/>
        <w:pBdr>
          <w:bottom w:val="single" w:sz="6" w:space="3" w:color="E8EDF3"/>
        </w:pBdr>
      </w:pPr>
      <w:r>
        <w:rPr>
          <w:rFonts w:ascii="Calibri" w:hAnsi="Calibri"/>
          <w:b/>
          <w:color w:val="0F2B4C"/>
          <w:sz w:val="26"/>
        </w:rPr>
        <w:t>9.6  Module 6 readiness checklist</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530"/>
        <w:gridCol w:w="1542"/>
        <w:gridCol w:w="308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530"/>
            <w:shd w:val="clear" w:color="auto" w:fill="0F2B4C"/>
          </w:tcPr>
          <w:p>
            <w:pPr>
              <w:spacing w:after="20" w:before="20"/>
            </w:pPr>
            <w:r/>
            <w:r>
              <w:rPr>
                <w:rFonts w:ascii="Calibri" w:hAnsi="Calibri"/>
                <w:b/>
                <w:color w:val="FFFFFF"/>
                <w:sz w:val="17"/>
              </w:rPr>
              <w:t>Check</w:t>
            </w:r>
          </w:p>
        </w:tc>
        <w:tc>
          <w:tcPr>
            <w:tcW w:type="dxa" w:w="1542"/>
            <w:shd w:val="clear" w:color="auto" w:fill="0F2B4C"/>
          </w:tcPr>
          <w:p>
            <w:pPr>
              <w:spacing w:after="20" w:before="20"/>
            </w:pPr>
            <w:r/>
            <w:r>
              <w:rPr>
                <w:rFonts w:ascii="Calibri" w:hAnsi="Calibri"/>
                <w:b/>
                <w:color w:val="FFFFFF"/>
                <w:sz w:val="17"/>
              </w:rPr>
              <w:t>Status</w:t>
            </w:r>
          </w:p>
        </w:tc>
        <w:tc>
          <w:tcPr>
            <w:tcW w:type="dxa" w:w="3084"/>
            <w:shd w:val="clear" w:color="auto" w:fill="0F2B4C"/>
          </w:tcPr>
          <w:p>
            <w:pPr>
              <w:spacing w:after="20" w:before="20"/>
            </w:pPr>
            <w:r/>
            <w:r>
              <w:rPr>
                <w:rFonts w:ascii="Calibri" w:hAnsi="Calibri"/>
                <w:b/>
                <w:color w:val="FFFFFF"/>
                <w:sz w:val="17"/>
              </w:rPr>
              <w:t>Evidence / remarks</w:t>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Data Guard configured and applying with zero gap</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Listener, SQL*Net and service names validated on both sides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Data Guard parameters and Broker configuration reviewed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Observer node configured for HA environments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Source and target patch levels aligned as required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Log switching tested and reviewed before switchover</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Source and target SCN compared and recorded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Evidence attached to the Jira/change ticket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Approval obtained before production changes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AWS disk-level snapshot taken at the correct point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Application shutdown and DBA handover confirmed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Switchover executed and new primary validated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DBVERIFY completed with no corruption found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RMAN backup of the new primary completed successfully</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OEM agent installed/verified in production where applicable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Virtual hostname unchanged; target IP and CNAME updated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Resolution verified from every consumer host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Obsolete host-file entries cleaned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R3trans -d returns 0000 from the application host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Rollback path tested or rehearsed and still available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bl>
    <w:p>
      <w:pPr>
        <w:spacing w:after="40"/>
      </w:pPr>
    </w:p>
    <w:p>
      <w:r>
        <w:br w:type="page"/>
      </w:r>
    </w:p>
    <w:p>
      <w:pPr>
        <w:spacing w:after="20"/>
      </w:pPr>
      <w:r>
        <w:rPr>
          <w:rFonts w:ascii="Calibri" w:hAnsi="Calibri"/>
          <w:b/>
          <w:color w:val="1B4F86"/>
          <w:sz w:val="16"/>
        </w:rPr>
        <w:t>MODULE 7 · SECTION 10</w:t>
      </w:r>
    </w:p>
    <w:p>
      <w:pPr>
        <w:pStyle w:val="Heading1"/>
        <w:pBdr>
          <w:bottom w:val="single" w:sz="12" w:space="5" w:color="1B4F86"/>
        </w:pBdr>
        <w:spacing w:after="160"/>
      </w:pPr>
      <w:r>
        <w:rPr>
          <w:rFonts w:ascii="Calibri Light" w:hAnsi="Calibri Light"/>
          <w:b/>
          <w:color w:val="0F2B4C"/>
          <w:sz w:val="38"/>
        </w:rPr>
        <w:t>10  Module 7 — Cutover, Go/No-Go, rollback and hypercare</w:t>
      </w:r>
    </w:p>
    <w:p>
      <w:pPr>
        <w:spacing w:after="200"/>
      </w:pPr>
      <w:r>
        <w:rPr>
          <w:rFonts w:ascii="Calibri" w:hAnsi="Calibri"/>
          <w:i/>
          <w:color w:val="5B7288"/>
          <w:sz w:val="21"/>
        </w:rPr>
        <w:t>Cutover is the execution of everything the previous modules prepared. It succeeds when the sequence is boring: no surprises, no improvisation, evidence at each handover, and a decision gate that is allowed to say no.</w:t>
      </w:r>
    </w:p>
    <w:p>
      <w:pPr>
        <w:spacing w:before="160" w:after="80"/>
        <w:jc w:val="center"/>
        <w:keepNext/>
      </w:pPr>
      <w:r>
        <w:drawing>
          <wp:inline xmlns:a="http://schemas.openxmlformats.org/drawingml/2006/main" xmlns:pic="http://schemas.openxmlformats.org/drawingml/2006/picture">
            <wp:extent cx="6083999" cy="4224999"/>
            <wp:docPr id="7" name="Picture 7"/>
            <wp:cNvGraphicFramePr>
              <a:graphicFrameLocks noChangeAspect="1"/>
            </wp:cNvGraphicFramePr>
            <a:graphic>
              <a:graphicData uri="http://schemas.openxmlformats.org/drawingml/2006/picture">
                <pic:pic>
                  <pic:nvPicPr>
                    <pic:cNvPr id="0" name="d6-cutover.png"/>
                    <pic:cNvPicPr/>
                  </pic:nvPicPr>
                  <pic:blipFill>
                    <a:blip r:embed="rId17"/>
                    <a:stretch>
                      <a:fillRect/>
                    </a:stretch>
                  </pic:blipFill>
                  <pic:spPr>
                    <a:xfrm>
                      <a:off x="0" y="0"/>
                      <a:ext cx="6083999" cy="4224999"/>
                    </a:xfrm>
                    <a:prstGeom prst="rect"/>
                  </pic:spPr>
                </pic:pic>
              </a:graphicData>
            </a:graphic>
          </wp:inline>
        </w:drawing>
      </w:r>
    </w:p>
    <w:p>
      <w:pPr>
        <w:spacing w:after="240"/>
      </w:pPr>
      <w:r>
        <w:rPr>
          <w:rFonts w:ascii="Calibri" w:hAnsi="Calibri"/>
          <w:i/>
          <w:color w:val="5B7288"/>
          <w:sz w:val="17"/>
        </w:rPr>
        <w:t>Figure 6. Cutover lane sequence. Application stops and hands over to the DBA; the DBA completes backup, snapshot, switchover or recovery and validation; Basis performs post-processing and starts SAP only after R3trans -d returns 0000; the functional team tests; and the Go/No-Go gate decides release or rollback.</w:t>
      </w:r>
    </w:p>
    <w:p>
      <w:pPr>
        <w:pStyle w:val="Heading2"/>
        <w:pBdr>
          <w:bottom w:val="single" w:sz="6" w:space="3" w:color="E8EDF3"/>
        </w:pBdr>
      </w:pPr>
      <w:r>
        <w:rPr>
          <w:rFonts w:ascii="Calibri" w:hAnsi="Calibri"/>
          <w:b/>
          <w:color w:val="0F2B4C"/>
          <w:sz w:val="26"/>
        </w:rPr>
        <w:t>10.1  Cooldown and cutover preparation</w:t>
      </w:r>
    </w:p>
    <w:p>
      <w:pPr>
        <w:spacing w:after="40"/>
        <w:ind w:left="351" w:hanging="227"/>
      </w:pPr>
      <w:r>
        <w:rPr>
          <w:rFonts w:ascii="Calibri" w:hAnsi="Calibri"/>
          <w:b/>
          <w:color w:val="1B4F86"/>
          <w:sz w:val="19"/>
        </w:rPr>
        <w:t xml:space="preserve">▪  </w:t>
      </w:r>
      <w:r>
        <w:rPr>
          <w:rFonts w:ascii="Calibri" w:hAnsi="Calibri"/>
          <w:b w:val="0"/>
          <w:i w:val="0"/>
          <w:color w:val="334E68"/>
          <w:sz w:val="19"/>
        </w:rPr>
        <w:t>Complete cooldown/ramp-up activities as defined by the project (for example reduced load, frozen changes, batch blackout).</w:t>
      </w:r>
    </w:p>
    <w:p>
      <w:pPr>
        <w:spacing w:after="40"/>
        <w:ind w:left="351" w:hanging="227"/>
      </w:pPr>
      <w:r>
        <w:rPr>
          <w:rFonts w:ascii="Calibri" w:hAnsi="Calibri"/>
          <w:b/>
          <w:color w:val="1B4F86"/>
          <w:sz w:val="19"/>
        </w:rPr>
        <w:t xml:space="preserve">▪  </w:t>
      </w:r>
      <w:r>
        <w:rPr>
          <w:rFonts w:ascii="Calibri" w:hAnsi="Calibri"/>
          <w:b w:val="0"/>
          <w:i w:val="0"/>
          <w:color w:val="334E68"/>
          <w:sz w:val="19"/>
        </w:rPr>
        <w:t>Shut down the application and associated web services as required.</w:t>
      </w:r>
    </w:p>
    <w:p>
      <w:pPr>
        <w:spacing w:after="40"/>
        <w:ind w:left="351" w:hanging="227"/>
      </w:pPr>
      <w:r>
        <w:rPr>
          <w:rFonts w:ascii="Calibri" w:hAnsi="Calibri"/>
          <w:b/>
          <w:color w:val="1B4F86"/>
          <w:sz w:val="19"/>
        </w:rPr>
        <w:t xml:space="preserve">▪  </w:t>
      </w:r>
      <w:r>
        <w:rPr>
          <w:rFonts w:ascii="Calibri" w:hAnsi="Calibri"/>
          <w:b w:val="0"/>
          <w:i w:val="0"/>
          <w:color w:val="334E68"/>
          <w:sz w:val="19"/>
        </w:rPr>
        <w:t xml:space="preserve">Hand over database-related activities to the DBA team </w:t>
      </w:r>
      <w:r>
        <w:rPr>
          <w:rFonts w:ascii="Calibri" w:hAnsi="Calibri"/>
          <w:b/>
          <w:i w:val="0"/>
          <w:color w:val="334E68"/>
          <w:sz w:val="19"/>
        </w:rPr>
        <w:t>after</w:t>
      </w:r>
      <w:r>
        <w:rPr>
          <w:rFonts w:ascii="Calibri" w:hAnsi="Calibri"/>
          <w:b w:val="0"/>
          <w:i w:val="0"/>
          <w:color w:val="334E68"/>
          <w:sz w:val="19"/>
        </w:rPr>
        <w:t xml:space="preserve"> application shutdown, and get that handover acknowledged.</w:t>
      </w:r>
    </w:p>
    <w:p>
      <w:pPr>
        <w:spacing w:after="40"/>
        <w:ind w:left="351" w:hanging="227"/>
      </w:pPr>
      <w:r>
        <w:rPr>
          <w:rFonts w:ascii="Calibri" w:hAnsi="Calibri"/>
          <w:b/>
          <w:color w:val="1B4F86"/>
          <w:sz w:val="19"/>
        </w:rPr>
        <w:t xml:space="preserve">▪  </w:t>
      </w:r>
      <w:r>
        <w:rPr>
          <w:rFonts w:ascii="Calibri" w:hAnsi="Calibri"/>
          <w:b w:val="0"/>
          <w:i w:val="0"/>
          <w:color w:val="334E68"/>
          <w:sz w:val="19"/>
        </w:rPr>
        <w:t xml:space="preserve">Confirm all required evidence and approvals are ready </w:t>
      </w:r>
      <w:r>
        <w:rPr>
          <w:rFonts w:ascii="Calibri" w:hAnsi="Calibri"/>
          <w:b/>
          <w:i w:val="0"/>
          <w:color w:val="334E68"/>
          <w:sz w:val="19"/>
        </w:rPr>
        <w:t>before</w:t>
      </w:r>
      <w:r>
        <w:rPr>
          <w:rFonts w:ascii="Calibri" w:hAnsi="Calibri"/>
          <w:b w:val="0"/>
          <w:i w:val="0"/>
          <w:color w:val="334E68"/>
          <w:sz w:val="19"/>
        </w:rPr>
        <w:t xml:space="preserve"> the window opens, not during it.</w:t>
      </w:r>
    </w:p>
    <w:p>
      <w:pPr>
        <w:spacing w:after="40"/>
        <w:ind w:left="351" w:hanging="227"/>
      </w:pPr>
      <w:r>
        <w:rPr>
          <w:rFonts w:ascii="Calibri" w:hAnsi="Calibri"/>
          <w:b/>
          <w:color w:val="1B4F86"/>
          <w:sz w:val="19"/>
        </w:rPr>
        <w:t xml:space="preserve">▪  </w:t>
      </w:r>
      <w:r>
        <w:rPr>
          <w:rFonts w:ascii="Calibri" w:hAnsi="Calibri"/>
          <w:b w:val="0"/>
          <w:i w:val="0"/>
          <w:color w:val="334E68"/>
          <w:sz w:val="19"/>
        </w:rPr>
        <w:t>Confirm the rollback point exists and the rollback owner is on the bridge.</w:t>
      </w:r>
    </w:p>
    <w:p>
      <w:pPr>
        <w:spacing w:after="40"/>
        <w:ind w:left="351" w:hanging="227"/>
      </w:pPr>
      <w:r>
        <w:rPr>
          <w:rFonts w:ascii="Calibri" w:hAnsi="Calibri"/>
          <w:b/>
          <w:color w:val="1B4F86"/>
          <w:sz w:val="19"/>
        </w:rPr>
        <w:t xml:space="preserve">▪  </w:t>
      </w:r>
      <w:r>
        <w:rPr>
          <w:rFonts w:ascii="Calibri" w:hAnsi="Calibri"/>
          <w:b w:val="0"/>
          <w:i w:val="0"/>
          <w:color w:val="334E68"/>
          <w:sz w:val="19"/>
        </w:rPr>
        <w:t>Confirm the window, the checkpoint times and the latest safe point-of-no-return.</w:t>
      </w:r>
    </w:p>
    <w:p>
      <w:pPr>
        <w:spacing w:before="180" w:after="40"/>
        <w:shd w:val="clear" w:color="auto" w:fill="FFFDF5"/>
        <w:pBdr>
          <w:left w:val="single" w:sz="6" w:space="6" w:color="D9A520"/>
          <w:top w:val="single" w:sz="6" w:space="6" w:color="D9A520"/>
          <w:right w:val="single" w:sz="6" w:space="6" w:color="D9A520"/>
        </w:pBdr>
        <w:keepNext/>
      </w:pPr>
      <w:r>
        <w:rPr>
          <w:rFonts w:ascii="Calibri" w:hAnsi="Calibri"/>
          <w:b/>
          <w:color w:val="D9A520"/>
          <w:sz w:val="16"/>
        </w:rPr>
        <w:t>DEFINE THE POINT OF NO RETURN</w:t>
      </w:r>
    </w:p>
    <w:p>
      <w:pPr>
        <w:spacing w:after="40"/>
        <w:ind w:left="170"/>
        <w:shd w:val="clear" w:color="auto" w:fill="FFFDF5"/>
        <w:pBdr>
          <w:left w:val="single" w:sz="6" w:space="6" w:color="D9A520"/>
          <w:bottom w:val="single" w:sz="6" w:space="6" w:color="D9A520"/>
          <w:right w:val="single" w:sz="6" w:space="6" w:color="D9A520"/>
        </w:pBdr>
      </w:pPr>
      <w:r>
        <w:rPr>
          <w:rFonts w:ascii="Calibri" w:hAnsi="Calibri"/>
          <w:b w:val="0"/>
          <w:i w:val="0"/>
          <w:color w:val="334E68"/>
          <w:sz w:val="18"/>
        </w:rPr>
        <w:t>Every cutover has a moment after which rollback becomes expensive or impossible — typically after the source has been changed, decommissioned, or after new business data has been created on the target. Agree that point in advance, announce it on the bridge when you pass it, and make sure the Go/No-Go decision happens before it.</w:t>
      </w:r>
    </w:p>
    <w:p>
      <w:pPr>
        <w:pStyle w:val="Heading2"/>
        <w:pBdr>
          <w:bottom w:val="single" w:sz="6" w:space="3" w:color="E8EDF3"/>
        </w:pBdr>
      </w:pPr>
      <w:r>
        <w:rPr>
          <w:rFonts w:ascii="Calibri" w:hAnsi="Calibri"/>
          <w:b/>
          <w:color w:val="0F2B4C"/>
          <w:sz w:val="26"/>
        </w:rPr>
        <w:t>10.2  SAP Basis post-processing</w:t>
      </w:r>
    </w:p>
    <w:p>
      <w:pPr>
        <w:spacing w:after="60" w:before="160"/>
        <w:keepNext/>
      </w:pPr>
      <w:r>
        <w:rPr>
          <w:rFonts w:ascii="Calibri" w:hAnsi="Calibri"/>
          <w:b/>
          <w:color w:val="5B7288"/>
          <w:sz w:val="15"/>
        </w:rPr>
        <w:t>BASIS POST-PROCESSING SEQUENCE</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3662"/>
        <w:gridCol w:w="549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3662"/>
            <w:shd w:val="clear" w:color="auto" w:fill="0F2B4C"/>
          </w:tcPr>
          <w:p>
            <w:pPr>
              <w:spacing w:after="20" w:before="20"/>
            </w:pPr>
            <w:r/>
            <w:r>
              <w:rPr>
                <w:rFonts w:ascii="Calibri" w:hAnsi="Calibri"/>
                <w:b/>
                <w:color w:val="FFFFFF"/>
                <w:sz w:val="17"/>
              </w:rPr>
              <w:t>Activity</w:t>
            </w:r>
          </w:p>
        </w:tc>
        <w:tc>
          <w:tcPr>
            <w:tcW w:type="dxa" w:w="5494"/>
            <w:shd w:val="clear" w:color="auto" w:fill="0F2B4C"/>
          </w:tcPr>
          <w:p>
            <w:pPr>
              <w:spacing w:after="20" w:before="20"/>
            </w:pPr>
            <w:r/>
            <w:r>
              <w:rPr>
                <w:rFonts w:ascii="Calibri" w:hAnsi="Calibri"/>
                <w:b/>
                <w:color w:val="FFFFFF"/>
                <w:sz w:val="17"/>
              </w:rPr>
              <w:t>Detail and acceptance</w:t>
            </w:r>
          </w:p>
        </w:tc>
      </w:tr>
      <w:tr>
        <w:trPr>
          <w:cantSplit/>
        </w:trPr>
        <w:tc>
          <w:tcPr>
            <w:tcW w:type="dxa" w:w="482"/>
          </w:tcPr>
          <w:p>
            <w:pPr>
              <w:spacing w:after="20" w:before="20"/>
            </w:pPr>
            <w:r/>
            <w:r>
              <w:rPr>
                <w:rFonts w:ascii="Calibri" w:hAnsi="Calibri"/>
                <w:b/>
                <w:i w:val="0"/>
                <w:color w:val="334E68"/>
                <w:sz w:val="17"/>
              </w:rPr>
              <w:t>1</w:t>
            </w:r>
          </w:p>
        </w:tc>
        <w:tc>
          <w:tcPr>
            <w:tcW w:type="dxa" w:w="3662"/>
          </w:tcPr>
          <w:p>
            <w:pPr>
              <w:spacing w:after="20" w:before="20"/>
            </w:pPr>
            <w:r/>
            <w:r>
              <w:rPr>
                <w:rFonts w:ascii="Calibri" w:hAnsi="Calibri"/>
                <w:b w:val="0"/>
                <w:i w:val="0"/>
                <w:color w:val="334E68"/>
                <w:sz w:val="17"/>
              </w:rPr>
              <w:t xml:space="preserve">Synchronize the SAP global directory using </w:t>
            </w:r>
            <w:r>
              <w:rPr>
                <w:rFonts w:ascii="Consolas" w:hAnsi="Consolas"/>
                <w:b w:val="0"/>
                <w:i w:val="0"/>
                <w:color w:val="123A63"/>
                <w:sz w:val="17"/>
                <w:shd w:val="clear" w:color="auto" w:fill="EEF2F7"/>
              </w:rPr>
              <w:t>rsync</w:t>
            </w:r>
          </w:p>
        </w:tc>
        <w:tc>
          <w:tcPr>
            <w:tcW w:type="dxa" w:w="5494"/>
          </w:tcPr>
          <w:p>
            <w:pPr>
              <w:spacing w:after="20" w:before="20"/>
            </w:pPr>
            <w:r/>
            <w:r>
              <w:rPr>
                <w:rFonts w:ascii="Calibri" w:hAnsi="Calibri"/>
                <w:b w:val="0"/>
                <w:i w:val="0"/>
                <w:color w:val="334E68"/>
                <w:sz w:val="17"/>
              </w:rPr>
              <w:t>Global directories (for example transport, interface and shared directories) copied and compared; permissions and ownership preserved</w:t>
            </w:r>
          </w:p>
        </w:tc>
      </w:tr>
      <w:tr>
        <w:trPr>
          <w:cantSplit/>
        </w:trPr>
        <w:tc>
          <w:tcPr>
            <w:tcW w:type="dxa" w:w="482"/>
            <w:shd w:val="clear" w:color="auto" w:fill="FAFBFD"/>
          </w:tcPr>
          <w:p>
            <w:pPr>
              <w:spacing w:after="20" w:before="20"/>
            </w:pPr>
            <w:r/>
            <w:r>
              <w:rPr>
                <w:rFonts w:ascii="Calibri" w:hAnsi="Calibri"/>
                <w:b/>
                <w:i w:val="0"/>
                <w:color w:val="334E68"/>
                <w:sz w:val="17"/>
              </w:rPr>
              <w:t>2</w:t>
            </w:r>
          </w:p>
        </w:tc>
        <w:tc>
          <w:tcPr>
            <w:tcW w:type="dxa" w:w="3662"/>
            <w:shd w:val="clear" w:color="auto" w:fill="FAFBFD"/>
          </w:tcPr>
          <w:p>
            <w:pPr>
              <w:spacing w:after="20" w:before="20"/>
            </w:pPr>
            <w:r/>
            <w:r>
              <w:rPr>
                <w:rFonts w:ascii="Calibri" w:hAnsi="Calibri"/>
                <w:b w:val="0"/>
                <w:i w:val="0"/>
                <w:color w:val="334E68"/>
                <w:sz w:val="17"/>
              </w:rPr>
              <w:t>Clean and validate host-file / IPAM entries</w:t>
            </w:r>
          </w:p>
        </w:tc>
        <w:tc>
          <w:tcPr>
            <w:tcW w:type="dxa" w:w="5494"/>
            <w:shd w:val="clear" w:color="auto" w:fill="FAFBFD"/>
          </w:tcPr>
          <w:p>
            <w:pPr>
              <w:spacing w:after="20" w:before="20"/>
            </w:pPr>
            <w:r/>
            <w:r>
              <w:rPr>
                <w:rFonts w:ascii="Calibri" w:hAnsi="Calibri"/>
                <w:b w:val="0"/>
                <w:i w:val="0"/>
                <w:color w:val="334E68"/>
                <w:sz w:val="17"/>
              </w:rPr>
              <w:t xml:space="preserve">No stale source IPs; virtual hostname resolves to the new target; </w:t>
            </w:r>
            <w:r>
              <w:rPr>
                <w:rFonts w:ascii="Consolas" w:hAnsi="Consolas"/>
                <w:b w:val="0"/>
                <w:i w:val="0"/>
                <w:color w:val="123A63"/>
                <w:sz w:val="17"/>
                <w:shd w:val="clear" w:color="auto" w:fill="EEF2F7"/>
              </w:rPr>
              <w:t>/etc/hosts</w:t>
            </w:r>
            <w:r>
              <w:rPr>
                <w:rFonts w:ascii="Calibri" w:hAnsi="Calibri"/>
                <w:b w:val="0"/>
                <w:i w:val="0"/>
                <w:color w:val="334E68"/>
                <w:sz w:val="17"/>
              </w:rPr>
              <w:t xml:space="preserve"> and </w:t>
            </w:r>
            <w:r>
              <w:rPr>
                <w:rFonts w:ascii="Consolas" w:hAnsi="Consolas"/>
                <w:b w:val="0"/>
                <w:i w:val="0"/>
                <w:color w:val="123A63"/>
                <w:sz w:val="17"/>
                <w:shd w:val="clear" w:color="auto" w:fill="EEF2F7"/>
              </w:rPr>
              <w:t>/etc/services</w:t>
            </w:r>
            <w:r>
              <w:rPr>
                <w:rFonts w:ascii="Calibri" w:hAnsi="Calibri"/>
                <w:b w:val="0"/>
                <w:i w:val="0"/>
                <w:color w:val="334E68"/>
                <w:sz w:val="17"/>
              </w:rPr>
              <w:t xml:space="preserve"> correct</w:t>
            </w:r>
          </w:p>
        </w:tc>
      </w:tr>
      <w:tr>
        <w:trPr>
          <w:cantSplit/>
        </w:trPr>
        <w:tc>
          <w:tcPr>
            <w:tcW w:type="dxa" w:w="482"/>
          </w:tcPr>
          <w:p>
            <w:pPr>
              <w:spacing w:after="20" w:before="20"/>
            </w:pPr>
            <w:r/>
            <w:r>
              <w:rPr>
                <w:rFonts w:ascii="Calibri" w:hAnsi="Calibri"/>
                <w:b/>
                <w:i w:val="0"/>
                <w:color w:val="334E68"/>
                <w:sz w:val="17"/>
              </w:rPr>
              <w:t>3</w:t>
            </w:r>
          </w:p>
        </w:tc>
        <w:tc>
          <w:tcPr>
            <w:tcW w:type="dxa" w:w="3662"/>
          </w:tcPr>
          <w:p>
            <w:pPr>
              <w:spacing w:after="20" w:before="20"/>
            </w:pPr>
            <w:r/>
            <w:r>
              <w:rPr>
                <w:rFonts w:ascii="Calibri" w:hAnsi="Calibri"/>
                <w:b w:val="0"/>
                <w:i w:val="0"/>
                <w:color w:val="334E68"/>
                <w:sz w:val="17"/>
              </w:rPr>
              <w:t>Validate SAP profile parameters</w:t>
            </w:r>
          </w:p>
        </w:tc>
        <w:tc>
          <w:tcPr>
            <w:tcW w:type="dxa" w:w="5494"/>
          </w:tcPr>
          <w:p>
            <w:pPr>
              <w:spacing w:after="20" w:before="20"/>
            </w:pPr>
            <w:r/>
            <w:r>
              <w:rPr>
                <w:rFonts w:ascii="Calibri" w:hAnsi="Calibri"/>
                <w:b w:val="0"/>
                <w:i w:val="0"/>
                <w:color w:val="334E68"/>
                <w:sz w:val="17"/>
              </w:rPr>
              <w:t>Instance and default profiles match the target design; hostname, DB host, instance numbers and migration-specific parameters correct</w:t>
            </w:r>
          </w:p>
        </w:tc>
      </w:tr>
      <w:tr>
        <w:trPr>
          <w:cantSplit/>
        </w:trPr>
        <w:tc>
          <w:tcPr>
            <w:tcW w:type="dxa" w:w="482"/>
            <w:shd w:val="clear" w:color="auto" w:fill="FAFBFD"/>
          </w:tcPr>
          <w:p>
            <w:pPr>
              <w:spacing w:after="20" w:before="20"/>
            </w:pPr>
            <w:r/>
            <w:r>
              <w:rPr>
                <w:rFonts w:ascii="Calibri" w:hAnsi="Calibri"/>
                <w:b/>
                <w:i w:val="0"/>
                <w:color w:val="334E68"/>
                <w:sz w:val="17"/>
              </w:rPr>
              <w:t>4</w:t>
            </w:r>
          </w:p>
        </w:tc>
        <w:tc>
          <w:tcPr>
            <w:tcW w:type="dxa" w:w="3662"/>
            <w:shd w:val="clear" w:color="auto" w:fill="FAFBFD"/>
          </w:tcPr>
          <w:p>
            <w:pPr>
              <w:spacing w:after="20" w:before="20"/>
            </w:pPr>
            <w:r/>
            <w:r>
              <w:rPr>
                <w:rFonts w:ascii="Calibri" w:hAnsi="Calibri"/>
                <w:b w:val="0"/>
                <w:i w:val="0"/>
                <w:color w:val="334E68"/>
                <w:sz w:val="17"/>
              </w:rPr>
              <w:t>Validate webMethods / RFC connections</w:t>
            </w:r>
          </w:p>
        </w:tc>
        <w:tc>
          <w:tcPr>
            <w:tcW w:type="dxa" w:w="5494"/>
            <w:shd w:val="clear" w:color="auto" w:fill="FAFBFD"/>
          </w:tcPr>
          <w:p>
            <w:pPr>
              <w:spacing w:after="20" w:before="20"/>
            </w:pPr>
            <w:r/>
            <w:r>
              <w:rPr>
                <w:rFonts w:ascii="Calibri" w:hAnsi="Calibri"/>
                <w:b w:val="0"/>
                <w:i w:val="0"/>
                <w:color w:val="334E68"/>
                <w:sz w:val="17"/>
              </w:rPr>
              <w:t>Each documented integration reachable and authenticated; middleware endpoints repointed where required</w:t>
            </w:r>
          </w:p>
        </w:tc>
      </w:tr>
      <w:tr>
        <w:trPr>
          <w:cantSplit/>
        </w:trPr>
        <w:tc>
          <w:tcPr>
            <w:tcW w:type="dxa" w:w="482"/>
          </w:tcPr>
          <w:p>
            <w:pPr>
              <w:spacing w:after="20" w:before="20"/>
            </w:pPr>
            <w:r/>
            <w:r>
              <w:rPr>
                <w:rFonts w:ascii="Calibri" w:hAnsi="Calibri"/>
                <w:b/>
                <w:i w:val="0"/>
                <w:color w:val="334E68"/>
                <w:sz w:val="17"/>
              </w:rPr>
              <w:t>5</w:t>
            </w:r>
          </w:p>
        </w:tc>
        <w:tc>
          <w:tcPr>
            <w:tcW w:type="dxa" w:w="3662"/>
          </w:tcPr>
          <w:p>
            <w:pPr>
              <w:spacing w:after="20" w:before="20"/>
            </w:pPr>
            <w:r/>
            <w:r>
              <w:rPr>
                <w:rFonts w:ascii="Calibri" w:hAnsi="Calibri"/>
                <w:b w:val="0"/>
                <w:i w:val="0"/>
                <w:color w:val="334E68"/>
                <w:sz w:val="17"/>
              </w:rPr>
              <w:t>Verify SAP kernel permissions and required SAP/Oracle root scripts</w:t>
            </w:r>
          </w:p>
        </w:tc>
        <w:tc>
          <w:tcPr>
            <w:tcW w:type="dxa" w:w="5494"/>
          </w:tcPr>
          <w:p>
            <w:pPr>
              <w:spacing w:after="20" w:before="20"/>
            </w:pPr>
            <w:r/>
            <w:r>
              <w:rPr>
                <w:rFonts w:ascii="Calibri" w:hAnsi="Calibri"/>
                <w:b w:val="0"/>
                <w:i w:val="0"/>
                <w:color w:val="334E68"/>
                <w:sz w:val="17"/>
              </w:rPr>
              <w:t xml:space="preserve">Kernel executable permissions correct; </w:t>
            </w:r>
            <w:r>
              <w:rPr>
                <w:rFonts w:ascii="Consolas" w:hAnsi="Consolas"/>
                <w:b w:val="0"/>
                <w:i w:val="0"/>
                <w:color w:val="123A63"/>
                <w:sz w:val="17"/>
                <w:shd w:val="clear" w:color="auto" w:fill="EEF2F7"/>
              </w:rPr>
              <w:t>saproot.sh</w:t>
            </w:r>
            <w:r>
              <w:rPr>
                <w:rFonts w:ascii="Calibri" w:hAnsi="Calibri"/>
                <w:b w:val="0"/>
                <w:i w:val="0"/>
                <w:color w:val="334E68"/>
                <w:sz w:val="17"/>
              </w:rPr>
              <w:t xml:space="preserve"> / Oracle root scripts executed as designed </w:t>
            </w:r>
            <w:r>
              <w:rPr>
                <w:rFonts w:ascii="Calibri" w:hAnsi="Calibri"/>
                <w:b w:val="0"/>
                <w:i w:val="0"/>
                <w:color w:val="334E68"/>
                <w:sz w:val="17"/>
              </w:rPr>
              <w:t>source term</w:t>
            </w:r>
          </w:p>
        </w:tc>
      </w:tr>
      <w:tr>
        <w:trPr>
          <w:cantSplit/>
        </w:trPr>
        <w:tc>
          <w:tcPr>
            <w:tcW w:type="dxa" w:w="482"/>
            <w:shd w:val="clear" w:color="auto" w:fill="FAFBFD"/>
          </w:tcPr>
          <w:p>
            <w:pPr>
              <w:spacing w:after="20" w:before="20"/>
            </w:pPr>
            <w:r/>
            <w:r>
              <w:rPr>
                <w:rFonts w:ascii="Calibri" w:hAnsi="Calibri"/>
                <w:b/>
                <w:i w:val="0"/>
                <w:color w:val="334E68"/>
                <w:sz w:val="17"/>
              </w:rPr>
              <w:t>6</w:t>
            </w:r>
          </w:p>
        </w:tc>
        <w:tc>
          <w:tcPr>
            <w:tcW w:type="dxa" w:w="3662"/>
            <w:shd w:val="clear" w:color="auto" w:fill="FAFBFD"/>
          </w:tcPr>
          <w:p>
            <w:pPr>
              <w:spacing w:after="20" w:before="20"/>
            </w:pPr>
            <w:r/>
            <w:r>
              <w:rPr>
                <w:rFonts w:ascii="Calibri" w:hAnsi="Calibri"/>
                <w:b w:val="0"/>
                <w:i w:val="0"/>
                <w:color w:val="334E68"/>
                <w:sz w:val="17"/>
              </w:rPr>
              <w:t xml:space="preserve">Run </w:t>
            </w:r>
            <w:r>
              <w:rPr>
                <w:rFonts w:ascii="Consolas" w:hAnsi="Consolas"/>
                <w:b w:val="0"/>
                <w:i w:val="0"/>
                <w:color w:val="123A63"/>
                <w:sz w:val="17"/>
                <w:shd w:val="clear" w:color="auto" w:fill="EEF2F7"/>
              </w:rPr>
              <w:t>R3trans -d</w:t>
            </w:r>
            <w:r>
              <w:rPr>
                <w:rFonts w:ascii="Calibri" w:hAnsi="Calibri"/>
                <w:b w:val="0"/>
                <w:i w:val="0"/>
                <w:color w:val="334E68"/>
                <w:sz w:val="17"/>
              </w:rPr>
              <w:t xml:space="preserve"> and confirm return code </w:t>
            </w:r>
            <w:r>
              <w:rPr>
                <w:rFonts w:ascii="Consolas" w:hAnsi="Consolas"/>
                <w:b w:val="0"/>
                <w:i w:val="0"/>
                <w:color w:val="123A63"/>
                <w:sz w:val="17"/>
                <w:shd w:val="clear" w:color="auto" w:fill="EEF2F7"/>
              </w:rPr>
              <w:t>0000</w:t>
            </w:r>
            <w:r>
              <w:rPr>
                <w:rFonts w:ascii="Calibri" w:hAnsi="Calibri"/>
                <w:b w:val="0"/>
                <w:i w:val="0"/>
                <w:color w:val="334E68"/>
                <w:sz w:val="17"/>
              </w:rPr>
              <w:t xml:space="preserve"> before starting SAP</w:t>
            </w:r>
          </w:p>
        </w:tc>
        <w:tc>
          <w:tcPr>
            <w:tcW w:type="dxa" w:w="5494"/>
            <w:shd w:val="clear" w:color="auto" w:fill="FAFBFD"/>
          </w:tcPr>
          <w:p>
            <w:pPr>
              <w:spacing w:after="20" w:before="20"/>
            </w:pPr>
            <w:r/>
            <w:r>
              <w:rPr>
                <w:rFonts w:ascii="Calibri" w:hAnsi="Calibri"/>
                <w:b w:val="0"/>
                <w:i w:val="0"/>
                <w:color w:val="334E68"/>
                <w:sz w:val="17"/>
              </w:rPr>
              <w:t>The definitive SAP-to-database connectivity check. Any other code must be diagnosed before SAP is started</w:t>
            </w:r>
          </w:p>
        </w:tc>
      </w:tr>
      <w:tr>
        <w:trPr>
          <w:cantSplit/>
        </w:trPr>
        <w:tc>
          <w:tcPr>
            <w:tcW w:type="dxa" w:w="482"/>
          </w:tcPr>
          <w:p>
            <w:pPr>
              <w:spacing w:after="20" w:before="20"/>
            </w:pPr>
            <w:r/>
            <w:r>
              <w:rPr>
                <w:rFonts w:ascii="Calibri" w:hAnsi="Calibri"/>
                <w:b/>
                <w:i w:val="0"/>
                <w:color w:val="334E68"/>
                <w:sz w:val="17"/>
              </w:rPr>
              <w:t>7</w:t>
            </w:r>
          </w:p>
        </w:tc>
        <w:tc>
          <w:tcPr>
            <w:tcW w:type="dxa" w:w="3662"/>
          </w:tcPr>
          <w:p>
            <w:pPr>
              <w:spacing w:after="20" w:before="20"/>
            </w:pPr>
            <w:r/>
            <w:r>
              <w:rPr>
                <w:rFonts w:ascii="Calibri" w:hAnsi="Calibri"/>
                <w:b w:val="0"/>
                <w:i w:val="0"/>
                <w:color w:val="334E68"/>
                <w:sz w:val="17"/>
              </w:rPr>
              <w:t>Start SAP using the appropriate SAP utilities</w:t>
            </w:r>
          </w:p>
        </w:tc>
        <w:tc>
          <w:tcPr>
            <w:tcW w:type="dxa" w:w="5494"/>
          </w:tcPr>
          <w:p>
            <w:pPr>
              <w:spacing w:after="20" w:before="20"/>
            </w:pPr>
            <w:r/>
            <w:r>
              <w:rPr>
                <w:rFonts w:ascii="Consolas" w:hAnsi="Consolas"/>
                <w:b w:val="0"/>
                <w:i w:val="0"/>
                <w:color w:val="123A63"/>
                <w:sz w:val="17"/>
                <w:shd w:val="clear" w:color="auto" w:fill="EEF2F7"/>
              </w:rPr>
              <w:t>sapstart</w:t>
            </w:r>
            <w:r>
              <w:rPr>
                <w:rFonts w:ascii="Calibri" w:hAnsi="Calibri"/>
                <w:b w:val="0"/>
                <w:i w:val="0"/>
                <w:color w:val="334E68"/>
                <w:sz w:val="17"/>
              </w:rPr>
              <w:t>/</w:t>
            </w:r>
            <w:r>
              <w:rPr>
                <w:rFonts w:ascii="Consolas" w:hAnsi="Consolas"/>
                <w:b w:val="0"/>
                <w:i w:val="0"/>
                <w:color w:val="123A63"/>
                <w:sz w:val="17"/>
                <w:shd w:val="clear" w:color="auto" w:fill="EEF2F7"/>
              </w:rPr>
              <w:t>sapcontrol</w:t>
            </w:r>
            <w:r>
              <w:rPr>
                <w:rFonts w:ascii="Calibri" w:hAnsi="Calibri"/>
                <w:b w:val="0"/>
                <w:i w:val="0"/>
                <w:color w:val="334E68"/>
                <w:sz w:val="17"/>
              </w:rPr>
              <w:t xml:space="preserve"> or the project's start mechanism; instances registered and work processes green</w:t>
            </w:r>
          </w:p>
        </w:tc>
      </w:tr>
      <w:tr>
        <w:trPr>
          <w:cantSplit/>
        </w:trPr>
        <w:tc>
          <w:tcPr>
            <w:tcW w:type="dxa" w:w="482"/>
            <w:shd w:val="clear" w:color="auto" w:fill="FAFBFD"/>
          </w:tcPr>
          <w:p>
            <w:pPr>
              <w:spacing w:after="20" w:before="20"/>
            </w:pPr>
            <w:r/>
            <w:r>
              <w:rPr>
                <w:rFonts w:ascii="Calibri" w:hAnsi="Calibri"/>
                <w:b/>
                <w:i w:val="0"/>
                <w:color w:val="334E68"/>
                <w:sz w:val="17"/>
              </w:rPr>
              <w:t>8</w:t>
            </w:r>
          </w:p>
        </w:tc>
        <w:tc>
          <w:tcPr>
            <w:tcW w:type="dxa" w:w="3662"/>
            <w:shd w:val="clear" w:color="auto" w:fill="FAFBFD"/>
          </w:tcPr>
          <w:p>
            <w:pPr>
              <w:spacing w:after="20" w:before="20"/>
            </w:pPr>
            <w:r/>
            <w:r>
              <w:rPr>
                <w:rFonts w:ascii="Calibri" w:hAnsi="Calibri"/>
                <w:b w:val="0"/>
                <w:i w:val="0"/>
                <w:color w:val="334E68"/>
                <w:sz w:val="17"/>
              </w:rPr>
              <w:t>Validate SNC / SSO and certificates</w:t>
            </w:r>
          </w:p>
        </w:tc>
        <w:tc>
          <w:tcPr>
            <w:tcW w:type="dxa" w:w="5494"/>
            <w:shd w:val="clear" w:color="auto" w:fill="FAFBFD"/>
          </w:tcPr>
          <w:p>
            <w:pPr>
              <w:spacing w:after="20" w:before="20"/>
            </w:pPr>
            <w:r/>
            <w:r>
              <w:rPr>
                <w:rFonts w:ascii="Calibri" w:hAnsi="Calibri"/>
                <w:b w:val="0"/>
                <w:i w:val="0"/>
                <w:color w:val="334E68"/>
                <w:sz w:val="17"/>
              </w:rPr>
              <w:t>SNC handshake succeeds, SSO logon works, certificates valid for the new hostnames and domains</w:t>
            </w:r>
          </w:p>
        </w:tc>
      </w:tr>
      <w:tr>
        <w:trPr>
          <w:cantSplit/>
        </w:trPr>
        <w:tc>
          <w:tcPr>
            <w:tcW w:type="dxa" w:w="482"/>
          </w:tcPr>
          <w:p>
            <w:pPr>
              <w:spacing w:after="20" w:before="20"/>
            </w:pPr>
            <w:r/>
            <w:r>
              <w:rPr>
                <w:rFonts w:ascii="Calibri" w:hAnsi="Calibri"/>
                <w:b/>
                <w:i w:val="0"/>
                <w:color w:val="334E68"/>
                <w:sz w:val="17"/>
              </w:rPr>
              <w:t>9</w:t>
            </w:r>
          </w:p>
        </w:tc>
        <w:tc>
          <w:tcPr>
            <w:tcW w:type="dxa" w:w="3662"/>
          </w:tcPr>
          <w:p>
            <w:pPr>
              <w:spacing w:after="20" w:before="20"/>
            </w:pPr>
            <w:r/>
            <w:r>
              <w:rPr>
                <w:rFonts w:ascii="Calibri" w:hAnsi="Calibri"/>
                <w:b w:val="0"/>
                <w:i w:val="0"/>
                <w:color w:val="334E68"/>
                <w:sz w:val="17"/>
              </w:rPr>
              <w:t>Validate Gateway and external connectivity</w:t>
            </w:r>
          </w:p>
        </w:tc>
        <w:tc>
          <w:tcPr>
            <w:tcW w:type="dxa" w:w="5494"/>
          </w:tcPr>
          <w:p>
            <w:pPr>
              <w:spacing w:after="20" w:before="20"/>
            </w:pPr>
            <w:r/>
            <w:r>
              <w:rPr>
                <w:rFonts w:ascii="Consolas" w:hAnsi="Consolas"/>
                <w:b w:val="0"/>
                <w:i w:val="0"/>
                <w:color w:val="123A63"/>
                <w:sz w:val="17"/>
                <w:shd w:val="clear" w:color="auto" w:fill="EEF2F7"/>
              </w:rPr>
              <w:t>SMGW</w:t>
            </w:r>
            <w:r>
              <w:rPr>
                <w:rFonts w:ascii="Calibri" w:hAnsi="Calibri"/>
                <w:b w:val="0"/>
                <w:i w:val="0"/>
                <w:color w:val="334E68"/>
                <w:sz w:val="17"/>
              </w:rPr>
              <w:t xml:space="preserve"> connections as expected; external partners can reach the gateway as designed</w:t>
            </w:r>
          </w:p>
        </w:tc>
      </w:tr>
      <w:tr>
        <w:trPr>
          <w:cantSplit/>
        </w:trPr>
        <w:tc>
          <w:tcPr>
            <w:tcW w:type="dxa" w:w="482"/>
            <w:shd w:val="clear" w:color="auto" w:fill="FAFBFD"/>
          </w:tcPr>
          <w:p>
            <w:pPr>
              <w:spacing w:after="20" w:before="20"/>
            </w:pPr>
            <w:r/>
            <w:r>
              <w:rPr>
                <w:rFonts w:ascii="Calibri" w:hAnsi="Calibri"/>
                <w:b/>
                <w:i w:val="0"/>
                <w:color w:val="334E68"/>
                <w:sz w:val="17"/>
              </w:rPr>
              <w:t>10</w:t>
            </w:r>
          </w:p>
        </w:tc>
        <w:tc>
          <w:tcPr>
            <w:tcW w:type="dxa" w:w="3662"/>
            <w:shd w:val="clear" w:color="auto" w:fill="FAFBFD"/>
          </w:tcPr>
          <w:p>
            <w:pPr>
              <w:spacing w:after="20" w:before="20"/>
            </w:pPr>
            <w:r/>
            <w:r>
              <w:rPr>
                <w:rFonts w:ascii="Calibri" w:hAnsi="Calibri"/>
                <w:b w:val="0"/>
                <w:i w:val="0"/>
                <w:color w:val="334E68"/>
                <w:sz w:val="17"/>
              </w:rPr>
              <w:t xml:space="preserve">Import OS profiles through </w:t>
            </w:r>
            <w:r>
              <w:rPr>
                <w:rFonts w:ascii="Consolas" w:hAnsi="Consolas"/>
                <w:b w:val="0"/>
                <w:i w:val="0"/>
                <w:color w:val="123A63"/>
                <w:sz w:val="17"/>
                <w:shd w:val="clear" w:color="auto" w:fill="EEF2F7"/>
              </w:rPr>
              <w:t>RZ10</w:t>
            </w:r>
            <w:r>
              <w:rPr>
                <w:rFonts w:ascii="Calibri" w:hAnsi="Calibri"/>
                <w:b w:val="0"/>
                <w:i w:val="0"/>
                <w:color w:val="334E68"/>
                <w:sz w:val="17"/>
              </w:rPr>
              <w:t xml:space="preserve"> where applicable</w:t>
            </w:r>
          </w:p>
        </w:tc>
        <w:tc>
          <w:tcPr>
            <w:tcW w:type="dxa" w:w="5494"/>
            <w:shd w:val="clear" w:color="auto" w:fill="FAFBFD"/>
          </w:tcPr>
          <w:p>
            <w:pPr>
              <w:spacing w:after="20" w:before="20"/>
            </w:pPr>
            <w:r/>
            <w:r>
              <w:rPr>
                <w:rFonts w:ascii="Calibri" w:hAnsi="Calibri"/>
                <w:b w:val="0"/>
                <w:i w:val="0"/>
                <w:color w:val="334E68"/>
                <w:sz w:val="17"/>
              </w:rPr>
              <w:t>Profiles imported and activated; activation and restart behaviour understood</w:t>
            </w:r>
          </w:p>
        </w:tc>
      </w:tr>
    </w:tbl>
    <w:p>
      <w:pPr>
        <w:spacing w:after="40"/>
      </w:pPr>
    </w:p>
    <w:p>
      <w:pPr>
        <w:spacing w:before="120" w:after="120"/>
        <w:ind w:left="170"/>
        <w:shd w:val="clear" w:color="auto" w:fill="0E2340"/>
        <w:pBdr>
          <w:left w:val="single" w:sz="18" w:space="4" w:color="1B4F86"/>
        </w:pBdr>
      </w:pPr>
      <w:r>
        <w:rPr>
          <w:rFonts w:ascii="Consolas" w:hAnsi="Consolas"/>
          <w:color w:val="7FA2C8"/>
          <w:sz w:val="16"/>
        </w:rPr>
        <w:t># The check that gates SAP startsu - &amp;lt;sid&amp;gt;admR3trans -d          # expect: "R3trans finished (0000)"# If it does not return 0000, read the trace before retrying:cat trans.log        # look for DB connect, auth or library errors# Common non-zero codes to recognise (confirm against your release):#   0000 success · 0004 general error · 0012 database connect failed#   0018 no database authorization / wrong credentials</w:t>
      </w:r>
    </w:p>
    <w:p>
      <w:pPr>
        <w:spacing w:before="180" w:after="40"/>
        <w:shd w:val="clear" w:color="auto" w:fill="FFFBFB"/>
        <w:pBdr>
          <w:left w:val="single" w:sz="6" w:space="6" w:color="C8434B"/>
          <w:top w:val="single" w:sz="6" w:space="6" w:color="C8434B"/>
          <w:right w:val="single" w:sz="6" w:space="6" w:color="C8434B"/>
        </w:pBdr>
        <w:keepNext/>
      </w:pPr>
      <w:r>
        <w:rPr>
          <w:rFonts w:ascii="Calibri" w:hAnsi="Calibri"/>
          <w:b/>
          <w:color w:val="C8434B"/>
          <w:sz w:val="16"/>
        </w:rPr>
        <w:t>ORDER MATTERS</w:t>
      </w:r>
    </w:p>
    <w:p>
      <w:pPr>
        <w:spacing w:after="40"/>
        <w:ind w:left="170"/>
        <w:shd w:val="clear" w:color="auto" w:fill="FFFBFB"/>
        <w:pBdr>
          <w:left w:val="single" w:sz="6" w:space="6" w:color="C8434B"/>
          <w:bottom w:val="single" w:sz="6" w:space="6" w:color="C8434B"/>
          <w:right w:val="single" w:sz="6" w:space="6" w:color="C8434B"/>
        </w:pBdr>
      </w:pPr>
      <w:r>
        <w:rPr>
          <w:rFonts w:ascii="Calibri" w:hAnsi="Calibri"/>
          <w:b w:val="0"/>
          <w:i w:val="0"/>
          <w:color w:val="334E68"/>
          <w:sz w:val="18"/>
        </w:rPr>
        <w:t xml:space="preserve">Starting SAP before </w:t>
      </w:r>
      <w:r>
        <w:rPr>
          <w:rFonts w:ascii="Consolas" w:hAnsi="Consolas"/>
          <w:b w:val="0"/>
          <w:i w:val="0"/>
          <w:color w:val="123A63"/>
          <w:sz w:val="18"/>
          <w:shd w:val="clear" w:color="auto" w:fill="EEF2F7"/>
        </w:rPr>
        <w:t>R3trans -d</w:t>
      </w:r>
      <w:r>
        <w:rPr>
          <w:rFonts w:ascii="Calibri" w:hAnsi="Calibri"/>
          <w:b w:val="0"/>
          <w:i w:val="0"/>
          <w:color w:val="334E68"/>
          <w:sz w:val="18"/>
        </w:rPr>
        <w:t xml:space="preserve"> returns </w:t>
      </w:r>
      <w:r>
        <w:rPr>
          <w:rFonts w:ascii="Consolas" w:hAnsi="Consolas"/>
          <w:b w:val="0"/>
          <w:i w:val="0"/>
          <w:color w:val="123A63"/>
          <w:sz w:val="18"/>
          <w:shd w:val="clear" w:color="auto" w:fill="EEF2F7"/>
        </w:rPr>
        <w:t>0000</w:t>
      </w:r>
      <w:r>
        <w:rPr>
          <w:rFonts w:ascii="Calibri" w:hAnsi="Calibri"/>
          <w:b w:val="0"/>
          <w:i w:val="0"/>
          <w:color w:val="334E68"/>
          <w:sz w:val="18"/>
        </w:rPr>
        <w:t xml:space="preserve"> produces a wall of secondary errors in the work process traces that hides the real cause, wastes window time, and can leave the system in a state that needs a clean restart. Diagnose the database connection first, every time.</w:t>
      </w:r>
    </w:p>
    <w:p>
      <w:pPr>
        <w:pStyle w:val="Heading2"/>
        <w:pBdr>
          <w:bottom w:val="single" w:sz="6" w:space="3" w:color="E8EDF3"/>
        </w:pBdr>
      </w:pPr>
      <w:r>
        <w:rPr>
          <w:rFonts w:ascii="Calibri" w:hAnsi="Calibri"/>
          <w:b/>
          <w:color w:val="0F2B4C"/>
          <w:sz w:val="26"/>
        </w:rPr>
        <w:t>10.3  Application and functional validation</w:t>
      </w:r>
    </w:p>
    <w:p>
      <w:pPr>
        <w:spacing w:after="40"/>
        <w:ind w:left="351" w:hanging="227"/>
      </w:pPr>
      <w:r>
        <w:rPr>
          <w:rFonts w:ascii="Calibri" w:hAnsi="Calibri"/>
          <w:b/>
          <w:color w:val="1B4F86"/>
          <w:sz w:val="19"/>
        </w:rPr>
        <w:t xml:space="preserve">▪  </w:t>
      </w:r>
      <w:r>
        <w:rPr>
          <w:rFonts w:ascii="Calibri" w:hAnsi="Calibri"/>
          <w:b w:val="0"/>
          <w:i w:val="0"/>
          <w:color w:val="334E68"/>
          <w:sz w:val="19"/>
        </w:rPr>
        <w:t xml:space="preserve">Validate RFC, webMethods, MuleSoft, MBox and other documented integrations </w:t>
      </w:r>
      <w:r>
        <w:rPr>
          <w:rFonts w:ascii="Calibri" w:hAnsi="Calibri"/>
          <w:b w:val="0"/>
          <w:i w:val="0"/>
          <w:color w:val="334E68"/>
          <w:sz w:val="19"/>
        </w:rPr>
        <w:t>source term</w:t>
      </w:r>
      <w:r>
        <w:rPr>
          <w:rFonts w:ascii="Calibri" w:hAnsi="Calibri"/>
          <w:b w:val="0"/>
          <w:i w:val="0"/>
          <w:color w:val="334E68"/>
          <w:sz w:val="19"/>
        </w:rPr>
        <w:t>.</w:t>
      </w:r>
    </w:p>
    <w:p>
      <w:pPr>
        <w:spacing w:after="40"/>
        <w:ind w:left="351" w:hanging="227"/>
      </w:pPr>
      <w:r>
        <w:rPr>
          <w:rFonts w:ascii="Calibri" w:hAnsi="Calibri"/>
          <w:b/>
          <w:color w:val="1B4F86"/>
          <w:sz w:val="19"/>
        </w:rPr>
        <w:t xml:space="preserve">▪  </w:t>
      </w:r>
      <w:r>
        <w:rPr>
          <w:rFonts w:ascii="Calibri" w:hAnsi="Calibri"/>
          <w:b w:val="0"/>
          <w:i w:val="0"/>
          <w:color w:val="334E68"/>
          <w:sz w:val="19"/>
        </w:rPr>
        <w:t>Verify inbound and outbound interfaces and application directories.</w:t>
      </w:r>
    </w:p>
    <w:p>
      <w:pPr>
        <w:spacing w:after="40"/>
        <w:ind w:left="351" w:hanging="227"/>
      </w:pPr>
      <w:r>
        <w:rPr>
          <w:rFonts w:ascii="Calibri" w:hAnsi="Calibri"/>
          <w:b/>
          <w:color w:val="1B4F86"/>
          <w:sz w:val="19"/>
        </w:rPr>
        <w:t xml:space="preserve">▪  </w:t>
      </w:r>
      <w:r>
        <w:rPr>
          <w:rFonts w:ascii="Calibri" w:hAnsi="Calibri"/>
          <w:b w:val="0"/>
          <w:i w:val="0"/>
          <w:color w:val="334E68"/>
          <w:sz w:val="19"/>
        </w:rPr>
        <w:t xml:space="preserve">Validate printers through </w:t>
      </w:r>
      <w:r>
        <w:rPr>
          <w:rFonts w:ascii="Consolas" w:hAnsi="Consolas"/>
          <w:b w:val="0"/>
          <w:i w:val="0"/>
          <w:color w:val="123A63"/>
          <w:sz w:val="19"/>
          <w:shd w:val="clear" w:color="auto" w:fill="EEF2F7"/>
        </w:rPr>
        <w:t>SPAD</w:t>
      </w:r>
      <w:r>
        <w:rPr>
          <w:rFonts w:ascii="Calibri" w:hAnsi="Calibri"/>
          <w:b w:val="0"/>
          <w:i w:val="0"/>
          <w:color w:val="334E68"/>
          <w:sz w:val="19"/>
        </w:rPr>
        <w:t xml:space="preserve"> (device type, output device, host printer, test page).</w:t>
      </w:r>
    </w:p>
    <w:p>
      <w:pPr>
        <w:spacing w:after="40"/>
        <w:ind w:left="351" w:hanging="227"/>
      </w:pPr>
      <w:r>
        <w:rPr>
          <w:rFonts w:ascii="Calibri" w:hAnsi="Calibri"/>
          <w:b/>
          <w:color w:val="1B4F86"/>
          <w:sz w:val="19"/>
        </w:rPr>
        <w:t xml:space="preserve">▪  </w:t>
      </w:r>
      <w:r>
        <w:rPr>
          <w:rFonts w:ascii="Calibri" w:hAnsi="Calibri"/>
          <w:b w:val="0"/>
          <w:i w:val="0"/>
          <w:color w:val="334E68"/>
          <w:sz w:val="19"/>
        </w:rPr>
        <w:t>The functional team executes business transaction tests and captures evidence — this is their call, not Basis's.</w:t>
      </w:r>
    </w:p>
    <w:p>
      <w:pPr>
        <w:spacing w:after="40"/>
        <w:ind w:left="351" w:hanging="227"/>
      </w:pPr>
      <w:r>
        <w:rPr>
          <w:rFonts w:ascii="Calibri" w:hAnsi="Calibri"/>
          <w:b/>
          <w:color w:val="1B4F86"/>
          <w:sz w:val="19"/>
        </w:rPr>
        <w:t xml:space="preserve">▪  </w:t>
      </w:r>
      <w:r>
        <w:rPr>
          <w:rFonts w:ascii="Calibri" w:hAnsi="Calibri"/>
          <w:b w:val="0"/>
          <w:i w:val="0"/>
          <w:color w:val="334E68"/>
          <w:sz w:val="19"/>
        </w:rPr>
        <w:t xml:space="preserve">Update Type 3 RFC passwords where required </w:t>
      </w:r>
      <w:r>
        <w:rPr>
          <w:rFonts w:ascii="Calibri" w:hAnsi="Calibri"/>
          <w:b w:val="0"/>
          <w:i w:val="0"/>
          <w:color w:val="334E68"/>
          <w:sz w:val="19"/>
        </w:rPr>
        <w:t>source term</w:t>
      </w:r>
      <w:r>
        <w:rPr>
          <w:rFonts w:ascii="Calibri" w:hAnsi="Calibri"/>
          <w:b w:val="0"/>
          <w:i w:val="0"/>
          <w:color w:val="334E68"/>
          <w:sz w:val="19"/>
        </w:rPr>
        <w:t>.</w:t>
      </w:r>
    </w:p>
    <w:p>
      <w:pPr>
        <w:spacing w:after="40"/>
        <w:ind w:left="351" w:hanging="227"/>
      </w:pPr>
      <w:r>
        <w:rPr>
          <w:rFonts w:ascii="Calibri" w:hAnsi="Calibri"/>
          <w:b/>
          <w:color w:val="1B4F86"/>
          <w:sz w:val="19"/>
        </w:rPr>
        <w:t xml:space="preserve">▪  </w:t>
      </w:r>
      <w:r>
        <w:rPr>
          <w:rFonts w:ascii="Calibri" w:hAnsi="Calibri"/>
          <w:b w:val="0"/>
          <w:i w:val="0"/>
          <w:color w:val="334E68"/>
          <w:sz w:val="19"/>
        </w:rPr>
        <w:t>Validate the ChaRM test cycle and transport-management functionality as applicable.</w:t>
      </w:r>
    </w:p>
    <w:p>
      <w:pPr>
        <w:spacing w:after="60" w:before="160"/>
        <w:keepNext/>
      </w:pPr>
      <w:r>
        <w:rPr>
          <w:rFonts w:ascii="Calibri" w:hAnsi="Calibri"/>
          <w:b/>
          <w:color w:val="5B7288"/>
          <w:sz w:val="15"/>
        </w:rPr>
        <w:t>FUNCTIONAL VALIDATION OWNERSHIP</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506"/>
        <w:gridCol w:w="2120"/>
        <w:gridCol w:w="5012"/>
      </w:tblGrid>
      <w:tr>
        <w:trPr>
          <w:tblHeader/>
          <w:cantSplit/>
        </w:trPr>
        <w:tc>
          <w:tcPr>
            <w:tcW w:type="dxa" w:w="2506"/>
            <w:shd w:val="clear" w:color="auto" w:fill="0F2B4C"/>
          </w:tcPr>
          <w:p>
            <w:pPr>
              <w:spacing w:after="20" w:before="20"/>
            </w:pPr>
            <w:r/>
            <w:r>
              <w:rPr>
                <w:rFonts w:ascii="Calibri" w:hAnsi="Calibri"/>
                <w:b/>
                <w:color w:val="FFFFFF"/>
                <w:sz w:val="17"/>
              </w:rPr>
              <w:t>Validation area</w:t>
            </w:r>
          </w:p>
        </w:tc>
        <w:tc>
          <w:tcPr>
            <w:tcW w:type="dxa" w:w="2120"/>
            <w:shd w:val="clear" w:color="auto" w:fill="0F2B4C"/>
          </w:tcPr>
          <w:p>
            <w:pPr>
              <w:spacing w:after="20" w:before="20"/>
            </w:pPr>
            <w:r/>
            <w:r>
              <w:rPr>
                <w:rFonts w:ascii="Calibri" w:hAnsi="Calibri"/>
                <w:b/>
                <w:color w:val="FFFFFF"/>
                <w:sz w:val="17"/>
              </w:rPr>
              <w:t>Owner</w:t>
            </w:r>
          </w:p>
        </w:tc>
        <w:tc>
          <w:tcPr>
            <w:tcW w:type="dxa" w:w="5012"/>
            <w:shd w:val="clear" w:color="auto" w:fill="0F2B4C"/>
          </w:tcPr>
          <w:p>
            <w:pPr>
              <w:spacing w:after="20" w:before="20"/>
            </w:pPr>
            <w:r/>
            <w:r>
              <w:rPr>
                <w:rFonts w:ascii="Calibri" w:hAnsi="Calibri"/>
                <w:b/>
                <w:color w:val="FFFFFF"/>
                <w:sz w:val="17"/>
              </w:rPr>
              <w:t>Typical evidence</w:t>
            </w:r>
          </w:p>
        </w:tc>
      </w:tr>
      <w:tr>
        <w:trPr>
          <w:cantSplit/>
        </w:trPr>
        <w:tc>
          <w:tcPr>
            <w:tcW w:type="dxa" w:w="2506"/>
          </w:tcPr>
          <w:p>
            <w:pPr>
              <w:spacing w:after="20" w:before="20"/>
            </w:pPr>
            <w:r/>
            <w:r>
              <w:rPr>
                <w:rFonts w:ascii="Calibri" w:hAnsi="Calibri"/>
                <w:b/>
                <w:i w:val="0"/>
                <w:color w:val="334E68"/>
                <w:sz w:val="17"/>
              </w:rPr>
              <w:t>RFC and middleware interfaces</w:t>
            </w:r>
          </w:p>
        </w:tc>
        <w:tc>
          <w:tcPr>
            <w:tcW w:type="dxa" w:w="2120"/>
          </w:tcPr>
          <w:p>
            <w:pPr>
              <w:spacing w:after="20" w:before="20"/>
            </w:pPr>
            <w:r/>
            <w:r>
              <w:rPr>
                <w:rFonts w:ascii="Calibri" w:hAnsi="Calibri"/>
                <w:b w:val="0"/>
                <w:i w:val="0"/>
                <w:color w:val="334E68"/>
                <w:sz w:val="17"/>
              </w:rPr>
              <w:t>Basis + interface owner</w:t>
            </w:r>
          </w:p>
        </w:tc>
        <w:tc>
          <w:tcPr>
            <w:tcW w:type="dxa" w:w="5012"/>
          </w:tcPr>
          <w:p>
            <w:pPr>
              <w:spacing w:after="20" w:before="20"/>
            </w:pPr>
            <w:r/>
            <w:r>
              <w:rPr>
                <w:rFonts w:ascii="Consolas" w:hAnsi="Consolas"/>
                <w:b w:val="0"/>
                <w:i w:val="0"/>
                <w:color w:val="123A63"/>
                <w:sz w:val="17"/>
                <w:shd w:val="clear" w:color="auto" w:fill="EEF2F7"/>
              </w:rPr>
              <w:t>SM59</w:t>
            </w:r>
            <w:r>
              <w:rPr>
                <w:rFonts w:ascii="Calibri" w:hAnsi="Calibri"/>
                <w:b w:val="0"/>
                <w:i w:val="0"/>
                <w:color w:val="334E68"/>
                <w:sz w:val="17"/>
              </w:rPr>
              <w:t xml:space="preserve"> test results, middleware logs, message flow screenshots</w:t>
            </w:r>
          </w:p>
        </w:tc>
      </w:tr>
      <w:tr>
        <w:trPr>
          <w:cantSplit/>
        </w:trPr>
        <w:tc>
          <w:tcPr>
            <w:tcW w:type="dxa" w:w="2506"/>
            <w:shd w:val="clear" w:color="auto" w:fill="FAFBFD"/>
          </w:tcPr>
          <w:p>
            <w:pPr>
              <w:spacing w:after="20" w:before="20"/>
            </w:pPr>
            <w:r/>
            <w:r>
              <w:rPr>
                <w:rFonts w:ascii="Calibri" w:hAnsi="Calibri"/>
                <w:b/>
                <w:i w:val="0"/>
                <w:color w:val="334E68"/>
                <w:sz w:val="17"/>
              </w:rPr>
              <w:t>Inbound / outbound file interfaces</w:t>
            </w:r>
          </w:p>
        </w:tc>
        <w:tc>
          <w:tcPr>
            <w:tcW w:type="dxa" w:w="2120"/>
            <w:shd w:val="clear" w:color="auto" w:fill="FAFBFD"/>
          </w:tcPr>
          <w:p>
            <w:pPr>
              <w:spacing w:after="20" w:before="20"/>
            </w:pPr>
            <w:r/>
            <w:r>
              <w:rPr>
                <w:rFonts w:ascii="Calibri" w:hAnsi="Calibri"/>
                <w:b w:val="0"/>
                <w:i w:val="0"/>
                <w:color w:val="334E68"/>
                <w:sz w:val="17"/>
              </w:rPr>
              <w:t>Application + Basis</w:t>
            </w:r>
          </w:p>
        </w:tc>
        <w:tc>
          <w:tcPr>
            <w:tcW w:type="dxa" w:w="5012"/>
            <w:shd w:val="clear" w:color="auto" w:fill="FAFBFD"/>
          </w:tcPr>
          <w:p>
            <w:pPr>
              <w:spacing w:after="20" w:before="20"/>
            </w:pPr>
            <w:r/>
            <w:r>
              <w:rPr>
                <w:rFonts w:ascii="Consolas" w:hAnsi="Consolas"/>
                <w:b w:val="0"/>
                <w:i w:val="0"/>
                <w:color w:val="123A63"/>
                <w:sz w:val="17"/>
                <w:shd w:val="clear" w:color="auto" w:fill="EEF2F7"/>
              </w:rPr>
              <w:t>AL11</w:t>
            </w:r>
            <w:r>
              <w:rPr>
                <w:rFonts w:ascii="Calibri" w:hAnsi="Calibri"/>
                <w:b w:val="0"/>
                <w:i w:val="0"/>
                <w:color w:val="334E68"/>
                <w:sz w:val="17"/>
              </w:rPr>
              <w:t xml:space="preserve"> listings, transferred file counts, timestamps</w:t>
            </w:r>
          </w:p>
        </w:tc>
      </w:tr>
      <w:tr>
        <w:trPr>
          <w:cantSplit/>
        </w:trPr>
        <w:tc>
          <w:tcPr>
            <w:tcW w:type="dxa" w:w="2506"/>
          </w:tcPr>
          <w:p>
            <w:pPr>
              <w:spacing w:after="20" w:before="20"/>
            </w:pPr>
            <w:r/>
            <w:r>
              <w:rPr>
                <w:rFonts w:ascii="Calibri" w:hAnsi="Calibri"/>
                <w:b/>
                <w:i w:val="0"/>
                <w:color w:val="334E68"/>
                <w:sz w:val="17"/>
              </w:rPr>
              <w:t>Printers and spool</w:t>
            </w:r>
          </w:p>
        </w:tc>
        <w:tc>
          <w:tcPr>
            <w:tcW w:type="dxa" w:w="2120"/>
          </w:tcPr>
          <w:p>
            <w:pPr>
              <w:spacing w:after="20" w:before="20"/>
            </w:pPr>
            <w:r/>
            <w:r>
              <w:rPr>
                <w:rFonts w:ascii="Calibri" w:hAnsi="Calibri"/>
                <w:b w:val="0"/>
                <w:i w:val="0"/>
                <w:color w:val="334E68"/>
                <w:sz w:val="17"/>
              </w:rPr>
              <w:t>Basis</w:t>
            </w:r>
          </w:p>
        </w:tc>
        <w:tc>
          <w:tcPr>
            <w:tcW w:type="dxa" w:w="5012"/>
          </w:tcPr>
          <w:p>
            <w:pPr>
              <w:spacing w:after="20" w:before="20"/>
            </w:pPr>
            <w:r/>
            <w:r>
              <w:rPr>
                <w:rFonts w:ascii="Consolas" w:hAnsi="Consolas"/>
                <w:b w:val="0"/>
                <w:i w:val="0"/>
                <w:color w:val="123A63"/>
                <w:sz w:val="17"/>
                <w:shd w:val="clear" w:color="auto" w:fill="EEF2F7"/>
              </w:rPr>
              <w:t>SPAD</w:t>
            </w:r>
            <w:r>
              <w:rPr>
                <w:rFonts w:ascii="Calibri" w:hAnsi="Calibri"/>
                <w:b w:val="0"/>
                <w:i w:val="0"/>
                <w:color w:val="334E68"/>
                <w:sz w:val="17"/>
              </w:rPr>
              <w:t xml:space="preserve"> configuration, test page output, </w:t>
            </w:r>
            <w:r>
              <w:rPr>
                <w:rFonts w:ascii="Consolas" w:hAnsi="Consolas"/>
                <w:b w:val="0"/>
                <w:i w:val="0"/>
                <w:color w:val="123A63"/>
                <w:sz w:val="17"/>
                <w:shd w:val="clear" w:color="auto" w:fill="EEF2F7"/>
              </w:rPr>
              <w:t>SP01</w:t>
            </w:r>
            <w:r>
              <w:rPr>
                <w:rFonts w:ascii="Calibri" w:hAnsi="Calibri"/>
                <w:b w:val="0"/>
                <w:i w:val="0"/>
                <w:color w:val="334E68"/>
                <w:sz w:val="17"/>
              </w:rPr>
              <w:t xml:space="preserve"> spool requests</w:t>
            </w:r>
          </w:p>
        </w:tc>
      </w:tr>
      <w:tr>
        <w:trPr>
          <w:cantSplit/>
        </w:trPr>
        <w:tc>
          <w:tcPr>
            <w:tcW w:type="dxa" w:w="2506"/>
            <w:shd w:val="clear" w:color="auto" w:fill="FAFBFD"/>
          </w:tcPr>
          <w:p>
            <w:pPr>
              <w:spacing w:after="20" w:before="20"/>
            </w:pPr>
            <w:r/>
            <w:r>
              <w:rPr>
                <w:rFonts w:ascii="Calibri" w:hAnsi="Calibri"/>
                <w:b/>
                <w:i w:val="0"/>
                <w:color w:val="334E68"/>
                <w:sz w:val="17"/>
              </w:rPr>
              <w:t>Business transactions</w:t>
            </w:r>
          </w:p>
        </w:tc>
        <w:tc>
          <w:tcPr>
            <w:tcW w:type="dxa" w:w="2120"/>
            <w:shd w:val="clear" w:color="auto" w:fill="FAFBFD"/>
          </w:tcPr>
          <w:p>
            <w:pPr>
              <w:spacing w:after="20" w:before="20"/>
            </w:pPr>
            <w:r/>
            <w:r>
              <w:rPr>
                <w:rFonts w:ascii="Calibri" w:hAnsi="Calibri"/>
                <w:b w:val="0"/>
                <w:i w:val="0"/>
                <w:color w:val="334E68"/>
                <w:sz w:val="17"/>
              </w:rPr>
              <w:t>Functional team</w:t>
            </w:r>
          </w:p>
        </w:tc>
        <w:tc>
          <w:tcPr>
            <w:tcW w:type="dxa" w:w="5012"/>
            <w:shd w:val="clear" w:color="auto" w:fill="FAFBFD"/>
          </w:tcPr>
          <w:p>
            <w:pPr>
              <w:spacing w:after="20" w:before="20"/>
            </w:pPr>
            <w:r/>
            <w:r>
              <w:rPr>
                <w:rFonts w:ascii="Calibri" w:hAnsi="Calibri"/>
                <w:b w:val="0"/>
                <w:i w:val="0"/>
                <w:color w:val="334E68"/>
                <w:sz w:val="17"/>
              </w:rPr>
              <w:t>Named test scripts with pass/fail per transaction and screenshot evidence</w:t>
            </w:r>
          </w:p>
        </w:tc>
      </w:tr>
      <w:tr>
        <w:trPr>
          <w:cantSplit/>
        </w:trPr>
        <w:tc>
          <w:tcPr>
            <w:tcW w:type="dxa" w:w="2506"/>
          </w:tcPr>
          <w:p>
            <w:pPr>
              <w:spacing w:after="20" w:before="20"/>
            </w:pPr>
            <w:r/>
            <w:r>
              <w:rPr>
                <w:rFonts w:ascii="Calibri" w:hAnsi="Calibri"/>
                <w:b/>
                <w:i w:val="0"/>
                <w:color w:val="334E68"/>
                <w:sz w:val="17"/>
              </w:rPr>
              <w:t>Transports / ChaRM</w:t>
            </w:r>
          </w:p>
        </w:tc>
        <w:tc>
          <w:tcPr>
            <w:tcW w:type="dxa" w:w="2120"/>
          </w:tcPr>
          <w:p>
            <w:pPr>
              <w:spacing w:after="20" w:before="20"/>
            </w:pPr>
            <w:r/>
            <w:r>
              <w:rPr>
                <w:rFonts w:ascii="Calibri" w:hAnsi="Calibri"/>
                <w:b w:val="0"/>
                <w:i w:val="0"/>
                <w:color w:val="334E68"/>
                <w:sz w:val="17"/>
              </w:rPr>
              <w:t>Basis + release manager</w:t>
            </w:r>
          </w:p>
        </w:tc>
        <w:tc>
          <w:tcPr>
            <w:tcW w:type="dxa" w:w="5012"/>
          </w:tcPr>
          <w:p>
            <w:pPr>
              <w:spacing w:after="20" w:before="20"/>
            </w:pPr>
            <w:r/>
            <w:r>
              <w:rPr>
                <w:rFonts w:ascii="Calibri" w:hAnsi="Calibri"/>
                <w:b w:val="0"/>
                <w:i w:val="0"/>
                <w:color w:val="334E68"/>
                <w:sz w:val="17"/>
              </w:rPr>
              <w:t>Successful test import, ChaRM cycle status, route validation</w:t>
            </w:r>
          </w:p>
        </w:tc>
      </w:tr>
      <w:tr>
        <w:trPr>
          <w:cantSplit/>
        </w:trPr>
        <w:tc>
          <w:tcPr>
            <w:tcW w:type="dxa" w:w="2506"/>
            <w:shd w:val="clear" w:color="auto" w:fill="FAFBFD"/>
          </w:tcPr>
          <w:p>
            <w:pPr>
              <w:spacing w:after="20" w:before="20"/>
            </w:pPr>
            <w:r/>
            <w:r>
              <w:rPr>
                <w:rFonts w:ascii="Calibri" w:hAnsi="Calibri"/>
                <w:b/>
                <w:i w:val="0"/>
                <w:color w:val="334E68"/>
                <w:sz w:val="17"/>
              </w:rPr>
              <w:t>Authorisations and SSO</w:t>
            </w:r>
          </w:p>
        </w:tc>
        <w:tc>
          <w:tcPr>
            <w:tcW w:type="dxa" w:w="2120"/>
            <w:shd w:val="clear" w:color="auto" w:fill="FAFBFD"/>
          </w:tcPr>
          <w:p>
            <w:pPr>
              <w:spacing w:after="20" w:before="20"/>
            </w:pPr>
            <w:r/>
            <w:r>
              <w:rPr>
                <w:rFonts w:ascii="Calibri" w:hAnsi="Calibri"/>
                <w:b w:val="0"/>
                <w:i w:val="0"/>
                <w:color w:val="334E68"/>
                <w:sz w:val="17"/>
              </w:rPr>
              <w:t>Security + Basis</w:t>
            </w:r>
          </w:p>
        </w:tc>
        <w:tc>
          <w:tcPr>
            <w:tcW w:type="dxa" w:w="5012"/>
            <w:shd w:val="clear" w:color="auto" w:fill="FAFBFD"/>
          </w:tcPr>
          <w:p>
            <w:pPr>
              <w:spacing w:after="20" w:before="20"/>
            </w:pPr>
            <w:r/>
            <w:r>
              <w:rPr>
                <w:rFonts w:ascii="Calibri" w:hAnsi="Calibri"/>
                <w:b w:val="0"/>
                <w:i w:val="0"/>
                <w:color w:val="334E68"/>
                <w:sz w:val="17"/>
              </w:rPr>
              <w:t>Representative user logons per role, SSO success, SNC status</w:t>
            </w:r>
          </w:p>
        </w:tc>
      </w:tr>
      <w:tr>
        <w:trPr>
          <w:cantSplit/>
        </w:trPr>
        <w:tc>
          <w:tcPr>
            <w:tcW w:type="dxa" w:w="2506"/>
          </w:tcPr>
          <w:p>
            <w:pPr>
              <w:spacing w:after="20" w:before="20"/>
            </w:pPr>
            <w:r/>
            <w:r>
              <w:rPr>
                <w:rFonts w:ascii="Calibri" w:hAnsi="Calibri"/>
                <w:b/>
                <w:i w:val="0"/>
                <w:color w:val="334E68"/>
                <w:sz w:val="17"/>
              </w:rPr>
              <w:t>Background jobs</w:t>
            </w:r>
          </w:p>
        </w:tc>
        <w:tc>
          <w:tcPr>
            <w:tcW w:type="dxa" w:w="2120"/>
          </w:tcPr>
          <w:p>
            <w:pPr>
              <w:spacing w:after="20" w:before="20"/>
            </w:pPr>
            <w:r/>
            <w:r>
              <w:rPr>
                <w:rFonts w:ascii="Calibri" w:hAnsi="Calibri"/>
                <w:b w:val="0"/>
                <w:i w:val="0"/>
                <w:color w:val="334E68"/>
                <w:sz w:val="17"/>
              </w:rPr>
              <w:t>Basis + job owner</w:t>
            </w:r>
          </w:p>
        </w:tc>
        <w:tc>
          <w:tcPr>
            <w:tcW w:type="dxa" w:w="5012"/>
          </w:tcPr>
          <w:p>
            <w:pPr>
              <w:spacing w:after="20" w:before="20"/>
            </w:pPr>
            <w:r/>
            <w:r>
              <w:rPr>
                <w:rFonts w:ascii="Calibri" w:hAnsi="Calibri"/>
                <w:b w:val="0"/>
                <w:i w:val="0"/>
                <w:color w:val="334E68"/>
                <w:sz w:val="17"/>
              </w:rPr>
              <w:t>Job list with release status; a sample job run successfully</w:t>
            </w:r>
          </w:p>
        </w:tc>
      </w:tr>
      <w:tr>
        <w:trPr>
          <w:cantSplit/>
        </w:trPr>
        <w:tc>
          <w:tcPr>
            <w:tcW w:type="dxa" w:w="2506"/>
            <w:shd w:val="clear" w:color="auto" w:fill="FAFBFD"/>
          </w:tcPr>
          <w:p>
            <w:pPr>
              <w:spacing w:after="20" w:before="20"/>
            </w:pPr>
            <w:r/>
            <w:r>
              <w:rPr>
                <w:rFonts w:ascii="Calibri" w:hAnsi="Calibri"/>
                <w:b/>
                <w:i w:val="0"/>
                <w:color w:val="334E68"/>
                <w:sz w:val="17"/>
              </w:rPr>
              <w:t>Interfaces to external partners</w:t>
            </w:r>
          </w:p>
        </w:tc>
        <w:tc>
          <w:tcPr>
            <w:tcW w:type="dxa" w:w="2120"/>
            <w:shd w:val="clear" w:color="auto" w:fill="FAFBFD"/>
          </w:tcPr>
          <w:p>
            <w:pPr>
              <w:spacing w:after="20" w:before="20"/>
            </w:pPr>
            <w:r/>
            <w:r>
              <w:rPr>
                <w:rFonts w:ascii="Calibri" w:hAnsi="Calibri"/>
                <w:b w:val="0"/>
                <w:i w:val="0"/>
                <w:color w:val="334E68"/>
                <w:sz w:val="17"/>
              </w:rPr>
              <w:t>Interface owner</w:t>
            </w:r>
          </w:p>
        </w:tc>
        <w:tc>
          <w:tcPr>
            <w:tcW w:type="dxa" w:w="5012"/>
            <w:shd w:val="clear" w:color="auto" w:fill="FAFBFD"/>
          </w:tcPr>
          <w:p>
            <w:pPr>
              <w:spacing w:after="20" w:before="20"/>
            </w:pPr>
            <w:r/>
            <w:r>
              <w:rPr>
                <w:rFonts w:ascii="Calibri" w:hAnsi="Calibri"/>
                <w:b w:val="0"/>
                <w:i w:val="0"/>
                <w:color w:val="334E68"/>
                <w:sz w:val="17"/>
              </w:rPr>
              <w:t>Partner confirmation or successful test exchange</w:t>
            </w:r>
          </w:p>
        </w:tc>
      </w:tr>
    </w:tbl>
    <w:p>
      <w:pPr>
        <w:spacing w:after="40"/>
      </w:pPr>
    </w:p>
    <w:p>
      <w:pPr>
        <w:pStyle w:val="Heading2"/>
        <w:pBdr>
          <w:bottom w:val="single" w:sz="6" w:space="3" w:color="E8EDF3"/>
        </w:pBdr>
      </w:pPr>
      <w:r>
        <w:rPr>
          <w:rFonts w:ascii="Calibri" w:hAnsi="Calibri"/>
          <w:b/>
          <w:color w:val="0F2B4C"/>
          <w:sz w:val="26"/>
        </w:rPr>
        <w:t>10.4  Go/No-Go gate</w:t>
      </w:r>
    </w:p>
    <w:p>
      <w:pPr>
        <w:spacing w:after="40"/>
        <w:ind w:left="578" w:hanging="227"/>
      </w:pPr>
      <w:r>
        <w:rPr>
          <w:rFonts w:ascii="Calibri" w:hAnsi="Calibri"/>
          <w:b/>
          <w:color w:val="0F2B4C"/>
          <w:sz w:val="19"/>
        </w:rPr>
        <w:t xml:space="preserve">1.  </w:t>
      </w:r>
      <w:r>
        <w:rPr>
          <w:rFonts w:ascii="Calibri" w:hAnsi="Calibri"/>
          <w:b w:val="0"/>
          <w:i w:val="0"/>
          <w:color w:val="334E68"/>
          <w:sz w:val="19"/>
        </w:rPr>
        <w:t>Collect technical and functional evidence into one pack, indexed by checklist item.</w:t>
      </w:r>
    </w:p>
    <w:p>
      <w:pPr>
        <w:spacing w:after="40"/>
        <w:ind w:left="578" w:hanging="227"/>
      </w:pPr>
      <w:r>
        <w:rPr>
          <w:rFonts w:ascii="Calibri" w:hAnsi="Calibri"/>
          <w:b/>
          <w:color w:val="0F2B4C"/>
          <w:sz w:val="19"/>
        </w:rPr>
        <w:t xml:space="preserve">2.  </w:t>
      </w:r>
      <w:r>
        <w:rPr>
          <w:rFonts w:ascii="Calibri" w:hAnsi="Calibri"/>
          <w:b w:val="0"/>
          <w:i w:val="0"/>
          <w:color w:val="334E68"/>
          <w:sz w:val="19"/>
        </w:rPr>
        <w:t xml:space="preserve">Complete ADPU and relevant quality-assurance sign-offs </w:t>
      </w:r>
      <w:r>
        <w:rPr>
          <w:rFonts w:ascii="Calibri" w:hAnsi="Calibri"/>
          <w:b w:val="0"/>
          <w:i w:val="0"/>
          <w:color w:val="334E68"/>
          <w:sz w:val="19"/>
        </w:rPr>
        <w:t>source term</w:t>
      </w:r>
      <w:r>
        <w:rPr>
          <w:rFonts w:ascii="Calibri" w:hAnsi="Calibri"/>
          <w:b w:val="0"/>
          <w:i w:val="0"/>
          <w:color w:val="334E68"/>
          <w:sz w:val="19"/>
        </w:rPr>
        <w:t>.</w:t>
      </w:r>
    </w:p>
    <w:p>
      <w:pPr>
        <w:spacing w:after="40"/>
        <w:ind w:left="578" w:hanging="227"/>
      </w:pPr>
      <w:r>
        <w:rPr>
          <w:rFonts w:ascii="Calibri" w:hAnsi="Calibri"/>
          <w:b/>
          <w:color w:val="0F2B4C"/>
          <w:sz w:val="19"/>
        </w:rPr>
        <w:t xml:space="preserve">3.  </w:t>
      </w:r>
      <w:r>
        <w:rPr>
          <w:rFonts w:ascii="Calibri" w:hAnsi="Calibri"/>
          <w:b w:val="0"/>
          <w:i w:val="0"/>
          <w:color w:val="334E68"/>
          <w:sz w:val="19"/>
        </w:rPr>
        <w:t>Obtain confirmation from Basis, application, functional and system-owner teams — by name, not by silence.</w:t>
      </w:r>
    </w:p>
    <w:p>
      <w:pPr>
        <w:spacing w:after="40"/>
        <w:ind w:left="578" w:hanging="227"/>
      </w:pPr>
      <w:r>
        <w:rPr>
          <w:rFonts w:ascii="Calibri" w:hAnsi="Calibri"/>
          <w:b/>
          <w:color w:val="0F2B4C"/>
          <w:sz w:val="19"/>
        </w:rPr>
        <w:t xml:space="preserve">4.  </w:t>
      </w:r>
      <w:r>
        <w:rPr>
          <w:rFonts w:ascii="Calibri" w:hAnsi="Calibri"/>
          <w:b w:val="0"/>
          <w:i w:val="0"/>
          <w:color w:val="334E68"/>
          <w:sz w:val="19"/>
        </w:rPr>
        <w:t>Project management and stakeholders review the checklist, the open items and the rollback readiness.</w:t>
      </w:r>
    </w:p>
    <w:p>
      <w:pPr>
        <w:spacing w:after="40"/>
        <w:ind w:left="578" w:hanging="227"/>
      </w:pPr>
      <w:r>
        <w:rPr>
          <w:rFonts w:ascii="Calibri" w:hAnsi="Calibri"/>
          <w:b/>
          <w:color w:val="0F2B4C"/>
          <w:sz w:val="19"/>
        </w:rPr>
        <w:t xml:space="preserve">5.  </w:t>
      </w:r>
      <w:r>
        <w:rPr>
          <w:rFonts w:ascii="Calibri" w:hAnsi="Calibri"/>
          <w:b w:val="0"/>
          <w:i w:val="0"/>
          <w:color w:val="334E68"/>
          <w:sz w:val="19"/>
        </w:rPr>
        <w:t>Release the system only after the required approvals and an explicit Go decision.</w:t>
      </w:r>
    </w:p>
    <w:p>
      <w:pPr>
        <w:spacing w:after="60" w:before="160"/>
        <w:keepNext/>
      </w:pPr>
      <w:r>
        <w:rPr>
          <w:rFonts w:ascii="Calibri" w:hAnsi="Calibri"/>
          <w:b/>
          <w:color w:val="5B7288"/>
          <w:sz w:val="15"/>
        </w:rPr>
        <w:t>GO/NO-GO INPUTS</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313"/>
        <w:gridCol w:w="7325"/>
      </w:tblGrid>
      <w:tr>
        <w:trPr>
          <w:tblHeader/>
          <w:cantSplit/>
        </w:trPr>
        <w:tc>
          <w:tcPr>
            <w:tcW w:type="dxa" w:w="2313"/>
            <w:shd w:val="clear" w:color="auto" w:fill="0F2B4C"/>
          </w:tcPr>
          <w:p>
            <w:pPr>
              <w:spacing w:after="20" w:before="20"/>
            </w:pPr>
            <w:r/>
            <w:r>
              <w:rPr>
                <w:rFonts w:ascii="Calibri" w:hAnsi="Calibri"/>
                <w:b/>
                <w:color w:val="FFFFFF"/>
                <w:sz w:val="17"/>
              </w:rPr>
              <w:t>Gate input</w:t>
            </w:r>
          </w:p>
        </w:tc>
        <w:tc>
          <w:tcPr>
            <w:tcW w:type="dxa" w:w="7325"/>
            <w:shd w:val="clear" w:color="auto" w:fill="0F2B4C"/>
          </w:tcPr>
          <w:p>
            <w:pPr>
              <w:spacing w:after="20" w:before="20"/>
            </w:pPr>
            <w:r/>
            <w:r>
              <w:rPr>
                <w:rFonts w:ascii="Calibri" w:hAnsi="Calibri"/>
                <w:b/>
                <w:color w:val="FFFFFF"/>
                <w:sz w:val="17"/>
              </w:rPr>
              <w:t>What must be true to vote Go</w:t>
            </w:r>
          </w:p>
        </w:tc>
      </w:tr>
      <w:tr>
        <w:trPr>
          <w:cantSplit/>
        </w:trPr>
        <w:tc>
          <w:tcPr>
            <w:tcW w:type="dxa" w:w="2313"/>
          </w:tcPr>
          <w:p>
            <w:pPr>
              <w:spacing w:after="20" w:before="20"/>
            </w:pPr>
            <w:r/>
            <w:r>
              <w:rPr>
                <w:rFonts w:ascii="Calibri" w:hAnsi="Calibri"/>
                <w:b/>
                <w:i w:val="0"/>
                <w:color w:val="334E68"/>
                <w:sz w:val="17"/>
              </w:rPr>
              <w:t>Technical validation</w:t>
            </w:r>
          </w:p>
        </w:tc>
        <w:tc>
          <w:tcPr>
            <w:tcW w:type="dxa" w:w="7325"/>
          </w:tcPr>
          <w:p>
            <w:pPr>
              <w:spacing w:after="20" w:before="20"/>
            </w:pPr>
            <w:r/>
            <w:r>
              <w:rPr>
                <w:rFonts w:ascii="Calibri" w:hAnsi="Calibri"/>
                <w:b w:val="0"/>
                <w:i w:val="0"/>
                <w:color w:val="334E68"/>
                <w:sz w:val="17"/>
              </w:rPr>
              <w:t>All Module 4 and Module 6 checks complete or formally deferred with an owner, impact and date</w:t>
            </w:r>
          </w:p>
        </w:tc>
      </w:tr>
      <w:tr>
        <w:trPr>
          <w:cantSplit/>
        </w:trPr>
        <w:tc>
          <w:tcPr>
            <w:tcW w:type="dxa" w:w="2313"/>
            <w:shd w:val="clear" w:color="auto" w:fill="FAFBFD"/>
          </w:tcPr>
          <w:p>
            <w:pPr>
              <w:spacing w:after="20" w:before="20"/>
            </w:pPr>
            <w:r/>
            <w:r>
              <w:rPr>
                <w:rFonts w:ascii="Calibri" w:hAnsi="Calibri"/>
                <w:b/>
                <w:i w:val="0"/>
                <w:color w:val="334E68"/>
                <w:sz w:val="17"/>
              </w:rPr>
              <w:t>Functional validation</w:t>
            </w:r>
          </w:p>
        </w:tc>
        <w:tc>
          <w:tcPr>
            <w:tcW w:type="dxa" w:w="7325"/>
            <w:shd w:val="clear" w:color="auto" w:fill="FAFBFD"/>
          </w:tcPr>
          <w:p>
            <w:pPr>
              <w:spacing w:after="20" w:before="20"/>
            </w:pPr>
            <w:r/>
            <w:r>
              <w:rPr>
                <w:rFonts w:ascii="Calibri" w:hAnsi="Calibri"/>
                <w:b w:val="0"/>
                <w:i w:val="0"/>
                <w:color w:val="334E68"/>
                <w:sz w:val="17"/>
              </w:rPr>
              <w:t>Named business transactions tested and passed by the functional team</w:t>
            </w:r>
          </w:p>
        </w:tc>
      </w:tr>
      <w:tr>
        <w:trPr>
          <w:cantSplit/>
        </w:trPr>
        <w:tc>
          <w:tcPr>
            <w:tcW w:type="dxa" w:w="2313"/>
          </w:tcPr>
          <w:p>
            <w:pPr>
              <w:spacing w:after="20" w:before="20"/>
            </w:pPr>
            <w:r/>
            <w:r>
              <w:rPr>
                <w:rFonts w:ascii="Calibri" w:hAnsi="Calibri"/>
                <w:b/>
                <w:i w:val="0"/>
                <w:color w:val="334E68"/>
                <w:sz w:val="17"/>
              </w:rPr>
              <w:t>Evidence</w:t>
            </w:r>
          </w:p>
        </w:tc>
        <w:tc>
          <w:tcPr>
            <w:tcW w:type="dxa" w:w="7325"/>
          </w:tcPr>
          <w:p>
            <w:pPr>
              <w:spacing w:after="20" w:before="20"/>
            </w:pPr>
            <w:r/>
            <w:r>
              <w:rPr>
                <w:rFonts w:ascii="Calibri" w:hAnsi="Calibri"/>
                <w:b w:val="0"/>
                <w:i w:val="0"/>
                <w:color w:val="334E68"/>
                <w:sz w:val="17"/>
              </w:rPr>
              <w:t>Source and target evidence captured, compared, and attached to the change record</w:t>
            </w:r>
          </w:p>
        </w:tc>
      </w:tr>
      <w:tr>
        <w:trPr>
          <w:cantSplit/>
        </w:trPr>
        <w:tc>
          <w:tcPr>
            <w:tcW w:type="dxa" w:w="2313"/>
            <w:shd w:val="clear" w:color="auto" w:fill="FAFBFD"/>
          </w:tcPr>
          <w:p>
            <w:pPr>
              <w:spacing w:after="20" w:before="20"/>
            </w:pPr>
            <w:r/>
            <w:r>
              <w:rPr>
                <w:rFonts w:ascii="Calibri" w:hAnsi="Calibri"/>
                <w:b/>
                <w:i w:val="0"/>
                <w:color w:val="334E68"/>
                <w:sz w:val="17"/>
              </w:rPr>
              <w:t>Rollback readiness</w:t>
            </w:r>
          </w:p>
        </w:tc>
        <w:tc>
          <w:tcPr>
            <w:tcW w:type="dxa" w:w="7325"/>
            <w:shd w:val="clear" w:color="auto" w:fill="FAFBFD"/>
          </w:tcPr>
          <w:p>
            <w:pPr>
              <w:spacing w:after="20" w:before="20"/>
            </w:pPr>
            <w:r/>
            <w:r>
              <w:rPr>
                <w:rFonts w:ascii="Calibri" w:hAnsi="Calibri"/>
                <w:b w:val="0"/>
                <w:i w:val="0"/>
                <w:color w:val="334E68"/>
                <w:sz w:val="17"/>
              </w:rPr>
              <w:t>Snapshot and/or final backup verified, DNS rollback path defined, rollback owner present</w:t>
            </w:r>
          </w:p>
        </w:tc>
      </w:tr>
      <w:tr>
        <w:trPr>
          <w:cantSplit/>
        </w:trPr>
        <w:tc>
          <w:tcPr>
            <w:tcW w:type="dxa" w:w="2313"/>
          </w:tcPr>
          <w:p>
            <w:pPr>
              <w:spacing w:after="20" w:before="20"/>
            </w:pPr>
            <w:r/>
            <w:r>
              <w:rPr>
                <w:rFonts w:ascii="Calibri" w:hAnsi="Calibri"/>
                <w:b/>
                <w:i w:val="0"/>
                <w:color w:val="334E68"/>
                <w:sz w:val="17"/>
              </w:rPr>
              <w:t>Approvals</w:t>
            </w:r>
          </w:p>
        </w:tc>
        <w:tc>
          <w:tcPr>
            <w:tcW w:type="dxa" w:w="7325"/>
          </w:tcPr>
          <w:p>
            <w:pPr>
              <w:spacing w:after="20" w:before="20"/>
            </w:pPr>
            <w:r/>
            <w:r>
              <w:rPr>
                <w:rFonts w:ascii="Calibri" w:hAnsi="Calibri"/>
                <w:b w:val="0"/>
                <w:i w:val="0"/>
                <w:color w:val="334E68"/>
                <w:sz w:val="17"/>
              </w:rPr>
              <w:t>Basis, application, functional, system owner, PMO — all recorded</w:t>
            </w:r>
          </w:p>
        </w:tc>
      </w:tr>
      <w:tr>
        <w:trPr>
          <w:cantSplit/>
        </w:trPr>
        <w:tc>
          <w:tcPr>
            <w:tcW w:type="dxa" w:w="2313"/>
            <w:shd w:val="clear" w:color="auto" w:fill="FAFBFD"/>
          </w:tcPr>
          <w:p>
            <w:pPr>
              <w:spacing w:after="20" w:before="20"/>
            </w:pPr>
            <w:r/>
            <w:r>
              <w:rPr>
                <w:rFonts w:ascii="Calibri" w:hAnsi="Calibri"/>
                <w:b/>
                <w:i w:val="0"/>
                <w:color w:val="334E68"/>
                <w:sz w:val="17"/>
              </w:rPr>
              <w:t>Open risks</w:t>
            </w:r>
          </w:p>
        </w:tc>
        <w:tc>
          <w:tcPr>
            <w:tcW w:type="dxa" w:w="7325"/>
            <w:shd w:val="clear" w:color="auto" w:fill="FAFBFD"/>
          </w:tcPr>
          <w:p>
            <w:pPr>
              <w:spacing w:after="20" w:before="20"/>
            </w:pPr>
            <w:r/>
            <w:r>
              <w:rPr>
                <w:rFonts w:ascii="Calibri" w:hAnsi="Calibri"/>
                <w:b w:val="0"/>
                <w:i w:val="0"/>
                <w:color w:val="334E68"/>
                <w:sz w:val="17"/>
              </w:rPr>
              <w:t>Every open item classified by severity with an agreed mitigation; no unexplained critical item</w:t>
            </w:r>
          </w:p>
        </w:tc>
      </w:tr>
      <w:tr>
        <w:trPr>
          <w:cantSplit/>
        </w:trPr>
        <w:tc>
          <w:tcPr>
            <w:tcW w:type="dxa" w:w="2313"/>
          </w:tcPr>
          <w:p>
            <w:pPr>
              <w:spacing w:after="20" w:before="20"/>
            </w:pPr>
            <w:r/>
            <w:r>
              <w:rPr>
                <w:rFonts w:ascii="Calibri" w:hAnsi="Calibri"/>
                <w:b/>
                <w:i w:val="0"/>
                <w:color w:val="334E68"/>
                <w:sz w:val="17"/>
              </w:rPr>
              <w:t>Support readiness</w:t>
            </w:r>
          </w:p>
        </w:tc>
        <w:tc>
          <w:tcPr>
            <w:tcW w:type="dxa" w:w="7325"/>
          </w:tcPr>
          <w:p>
            <w:pPr>
              <w:spacing w:after="20" w:before="20"/>
            </w:pPr>
            <w:r/>
            <w:r>
              <w:rPr>
                <w:rFonts w:ascii="Calibri" w:hAnsi="Calibri"/>
                <w:b w:val="0"/>
                <w:i w:val="0"/>
                <w:color w:val="334E68"/>
                <w:sz w:val="17"/>
              </w:rPr>
              <w:t>Hypercare roster, escalation path and ticket routing configured</w:t>
            </w:r>
          </w:p>
        </w:tc>
      </w:tr>
    </w:tbl>
    <w:p>
      <w:pPr>
        <w:spacing w:after="40"/>
      </w:pPr>
    </w:p>
    <w:p>
      <w:pPr>
        <w:spacing w:before="180" w:after="40"/>
        <w:shd w:val="clear" w:color="auto" w:fill="F8FCF9"/>
        <w:pBdr>
          <w:left w:val="single" w:sz="6" w:space="6" w:color="3D9A5F"/>
          <w:top w:val="single" w:sz="6" w:space="6" w:color="3D9A5F"/>
          <w:right w:val="single" w:sz="6" w:space="6" w:color="3D9A5F"/>
        </w:pBdr>
        <w:keepNext/>
      </w:pPr>
      <w:r>
        <w:rPr>
          <w:rFonts w:ascii="Calibri" w:hAnsi="Calibri"/>
          <w:b/>
          <w:color w:val="3D9A5F"/>
          <w:sz w:val="16"/>
        </w:rPr>
        <w:t>A NO-GO IS A SUCCESS WHEN THE EVIDENCE SUPPORTS IT</w:t>
      </w:r>
    </w:p>
    <w:p>
      <w:pPr>
        <w:spacing w:after="40"/>
        <w:ind w:left="170"/>
        <w:shd w:val="clear" w:color="auto" w:fill="F8FCF9"/>
        <w:pBdr>
          <w:left w:val="single" w:sz="6" w:space="6" w:color="3D9A5F"/>
          <w:bottom w:val="single" w:sz="6" w:space="6" w:color="3D9A5F"/>
          <w:right w:val="single" w:sz="6" w:space="6" w:color="3D9A5F"/>
        </w:pBdr>
      </w:pPr>
      <w:r>
        <w:rPr>
          <w:rFonts w:ascii="Calibri" w:hAnsi="Calibri"/>
          <w:b w:val="0"/>
          <w:i w:val="0"/>
          <w:color w:val="334E68"/>
          <w:sz w:val="18"/>
        </w:rPr>
        <w:t>The gate exists to protect the business, not to approve the project's schedule. Presenting a clean No-Go with documented reasons is professional execution. Presenting a Go with open critical items is how migrations become incidents.</w:t>
      </w:r>
    </w:p>
    <w:p>
      <w:pPr>
        <w:pStyle w:val="Heading2"/>
        <w:pBdr>
          <w:bottom w:val="single" w:sz="6" w:space="3" w:color="E8EDF3"/>
        </w:pBdr>
      </w:pPr>
      <w:r>
        <w:rPr>
          <w:rFonts w:ascii="Calibri" w:hAnsi="Calibri"/>
          <w:b/>
          <w:color w:val="0F2B4C"/>
          <w:sz w:val="26"/>
        </w:rPr>
        <w:t>10.5  Rollback</w:t>
      </w:r>
    </w:p>
    <w:p>
      <w:pPr>
        <w:spacing w:after="40"/>
        <w:ind w:left="351" w:hanging="227"/>
      </w:pPr>
      <w:r>
        <w:rPr>
          <w:rFonts w:ascii="Calibri" w:hAnsi="Calibri"/>
          <w:b/>
          <w:color w:val="1B4F86"/>
          <w:sz w:val="19"/>
        </w:rPr>
        <w:t xml:space="preserve">▪  </w:t>
      </w:r>
      <w:r>
        <w:rPr>
          <w:rFonts w:ascii="Calibri" w:hAnsi="Calibri"/>
          <w:b w:val="0"/>
          <w:i w:val="0"/>
          <w:color w:val="334E68"/>
          <w:sz w:val="19"/>
        </w:rPr>
        <w:t xml:space="preserve">If a No-Go decision is made, or a critical issue prevents safe cutover, execute the </w:t>
      </w:r>
      <w:r>
        <w:rPr>
          <w:rFonts w:ascii="Calibri" w:hAnsi="Calibri"/>
          <w:b/>
          <w:i w:val="0"/>
          <w:color w:val="334E68"/>
          <w:sz w:val="19"/>
        </w:rPr>
        <w:t>agreed</w:t>
      </w:r>
      <w:r>
        <w:rPr>
          <w:rFonts w:ascii="Calibri" w:hAnsi="Calibri"/>
          <w:b w:val="0"/>
          <w:i w:val="0"/>
          <w:color w:val="334E68"/>
          <w:sz w:val="19"/>
        </w:rPr>
        <w:t xml:space="preserve"> rollback procedure — the one rehearsed before the window.</w:t>
      </w:r>
    </w:p>
    <w:p>
      <w:pPr>
        <w:spacing w:after="40"/>
        <w:ind w:left="351" w:hanging="227"/>
      </w:pPr>
      <w:r>
        <w:rPr>
          <w:rFonts w:ascii="Calibri" w:hAnsi="Calibri"/>
          <w:b/>
          <w:color w:val="1B4F86"/>
          <w:sz w:val="19"/>
        </w:rPr>
        <w:t xml:space="preserve">▪  </w:t>
      </w:r>
      <w:r>
        <w:rPr>
          <w:rFonts w:ascii="Calibri" w:hAnsi="Calibri"/>
          <w:b w:val="0"/>
          <w:i w:val="0"/>
          <w:color w:val="334E68"/>
          <w:sz w:val="19"/>
        </w:rPr>
        <w:t>Typical technical path: restore the snapshot or recover the source, revert DNS/CNAME to the source, restart the source database and SAP, re-validate connectivity, then re-open the incident path.</w:t>
      </w:r>
    </w:p>
    <w:p>
      <w:pPr>
        <w:spacing w:after="40"/>
        <w:ind w:left="351" w:hanging="227"/>
      </w:pPr>
      <w:r>
        <w:rPr>
          <w:rFonts w:ascii="Calibri" w:hAnsi="Calibri"/>
          <w:b/>
          <w:color w:val="1B4F86"/>
          <w:sz w:val="19"/>
        </w:rPr>
        <w:t xml:space="preserve">▪  </w:t>
      </w:r>
      <w:r>
        <w:rPr>
          <w:rFonts w:ascii="Calibri" w:hAnsi="Calibri"/>
          <w:b w:val="0"/>
          <w:i w:val="0"/>
          <w:color w:val="334E68"/>
          <w:sz w:val="19"/>
        </w:rPr>
        <w:t>Announce the decision, the time and the reason on the bridge and in the change record.</w:t>
      </w:r>
    </w:p>
    <w:p>
      <w:pPr>
        <w:spacing w:after="40"/>
        <w:ind w:left="351" w:hanging="227"/>
      </w:pPr>
      <w:r>
        <w:rPr>
          <w:rFonts w:ascii="Calibri" w:hAnsi="Calibri"/>
          <w:b/>
          <w:color w:val="1B4F86"/>
          <w:sz w:val="19"/>
        </w:rPr>
        <w:t xml:space="preserve">▪  </w:t>
      </w:r>
      <w:r>
        <w:rPr>
          <w:rFonts w:ascii="Calibri" w:hAnsi="Calibri"/>
          <w:b w:val="0"/>
          <w:i w:val="0"/>
          <w:color w:val="334E68"/>
          <w:sz w:val="19"/>
        </w:rPr>
        <w:t>Preserve all evidence from the failed attempt — it is the input to the next attempt.</w:t>
      </w:r>
    </w:p>
    <w:p>
      <w:pPr>
        <w:spacing w:after="40"/>
        <w:ind w:left="351" w:hanging="227"/>
      </w:pPr>
      <w:r>
        <w:rPr>
          <w:rFonts w:ascii="Calibri" w:hAnsi="Calibri"/>
          <w:b/>
          <w:color w:val="1B4F86"/>
          <w:sz w:val="19"/>
        </w:rPr>
        <w:t xml:space="preserve">▪  </w:t>
      </w:r>
      <w:r>
        <w:rPr>
          <w:rFonts w:ascii="Calibri" w:hAnsi="Calibri"/>
          <w:b w:val="0"/>
          <w:i w:val="0"/>
          <w:color w:val="334E68"/>
          <w:sz w:val="19"/>
        </w:rPr>
        <w:t>Confirm with the business which data (if any) was created on the target and how it will be handled.</w:t>
      </w:r>
    </w:p>
    <w:p>
      <w:pPr>
        <w:pStyle w:val="Heading2"/>
        <w:pBdr>
          <w:bottom w:val="single" w:sz="6" w:space="3" w:color="E8EDF3"/>
        </w:pBdr>
      </w:pPr>
      <w:r>
        <w:rPr>
          <w:rFonts w:ascii="Calibri" w:hAnsi="Calibri"/>
          <w:b/>
          <w:color w:val="0F2B4C"/>
          <w:sz w:val="26"/>
        </w:rPr>
        <w:t>10.6  Go-live and hypercare</w:t>
      </w:r>
    </w:p>
    <w:p>
      <w:pPr>
        <w:spacing w:after="40"/>
        <w:ind w:left="578" w:hanging="227"/>
      </w:pPr>
      <w:r>
        <w:rPr>
          <w:rFonts w:ascii="Calibri" w:hAnsi="Calibri"/>
          <w:b/>
          <w:color w:val="0F2B4C"/>
          <w:sz w:val="19"/>
        </w:rPr>
        <w:t xml:space="preserve">1.  </w:t>
      </w:r>
      <w:r>
        <w:rPr>
          <w:rFonts w:ascii="Calibri" w:hAnsi="Calibri"/>
          <w:b w:val="0"/>
          <w:i w:val="0"/>
          <w:color w:val="334E68"/>
          <w:sz w:val="19"/>
        </w:rPr>
        <w:t>Following Go, unlock users as required (and only the intended user population).</w:t>
      </w:r>
    </w:p>
    <w:p>
      <w:pPr>
        <w:spacing w:after="40"/>
        <w:ind w:left="578" w:hanging="227"/>
      </w:pPr>
      <w:r>
        <w:rPr>
          <w:rFonts w:ascii="Calibri" w:hAnsi="Calibri"/>
          <w:b/>
          <w:color w:val="0F2B4C"/>
          <w:sz w:val="19"/>
        </w:rPr>
        <w:t xml:space="preserve">2.  </w:t>
      </w:r>
      <w:r>
        <w:rPr>
          <w:rFonts w:ascii="Calibri" w:hAnsi="Calibri"/>
          <w:b w:val="0"/>
          <w:i w:val="0"/>
          <w:color w:val="334E68"/>
          <w:sz w:val="19"/>
        </w:rPr>
        <w:t>Resume background jobs and Control-M activities with the relevant teams — in the agreed order, not all at once.</w:t>
      </w:r>
    </w:p>
    <w:p>
      <w:pPr>
        <w:spacing w:after="40"/>
        <w:ind w:left="578" w:hanging="227"/>
      </w:pPr>
      <w:r>
        <w:rPr>
          <w:rFonts w:ascii="Calibri" w:hAnsi="Calibri"/>
          <w:b/>
          <w:color w:val="0F2B4C"/>
          <w:sz w:val="19"/>
        </w:rPr>
        <w:t xml:space="preserve">3.  </w:t>
      </w:r>
      <w:r>
        <w:rPr>
          <w:rFonts w:ascii="Calibri" w:hAnsi="Calibri"/>
          <w:b w:val="0"/>
          <w:i w:val="0"/>
          <w:color w:val="334E68"/>
          <w:sz w:val="19"/>
        </w:rPr>
        <w:t xml:space="preserve">Complete remaining EDG / SAProuter configuration as applicable </w:t>
      </w:r>
      <w:r>
        <w:rPr>
          <w:rFonts w:ascii="Calibri" w:hAnsi="Calibri"/>
          <w:b w:val="0"/>
          <w:i w:val="0"/>
          <w:color w:val="334E68"/>
          <w:sz w:val="19"/>
        </w:rPr>
        <w:t>source term</w:t>
      </w:r>
      <w:r>
        <w:rPr>
          <w:rFonts w:ascii="Calibri" w:hAnsi="Calibri"/>
          <w:b w:val="0"/>
          <w:i w:val="0"/>
          <w:color w:val="334E68"/>
          <w:sz w:val="19"/>
        </w:rPr>
        <w:t>.</w:t>
      </w:r>
    </w:p>
    <w:p>
      <w:pPr>
        <w:spacing w:after="40"/>
        <w:ind w:left="578" w:hanging="227"/>
      </w:pPr>
      <w:r>
        <w:rPr>
          <w:rFonts w:ascii="Calibri" w:hAnsi="Calibri"/>
          <w:b/>
          <w:color w:val="0F2B4C"/>
          <w:sz w:val="19"/>
        </w:rPr>
        <w:t xml:space="preserve">4.  </w:t>
      </w:r>
      <w:r>
        <w:rPr>
          <w:rFonts w:ascii="Calibri" w:hAnsi="Calibri"/>
          <w:b w:val="0"/>
          <w:i w:val="0"/>
          <w:color w:val="334E68"/>
          <w:sz w:val="19"/>
        </w:rPr>
        <w:t xml:space="preserve">Provide </w:t>
      </w:r>
      <w:r>
        <w:rPr>
          <w:rFonts w:ascii="Calibri" w:hAnsi="Calibri"/>
          <w:b/>
          <w:i w:val="0"/>
          <w:color w:val="334E68"/>
          <w:sz w:val="19"/>
        </w:rPr>
        <w:t>15 days</w:t>
      </w:r>
      <w:r>
        <w:rPr>
          <w:rFonts w:ascii="Calibri" w:hAnsi="Calibri"/>
          <w:b w:val="0"/>
          <w:i w:val="0"/>
          <w:color w:val="334E68"/>
          <w:sz w:val="19"/>
        </w:rPr>
        <w:t xml:space="preserve"> of hypercare, with a named roster and an escalation path.</w:t>
      </w:r>
    </w:p>
    <w:p>
      <w:pPr>
        <w:spacing w:after="40"/>
        <w:ind w:left="578" w:hanging="227"/>
      </w:pPr>
      <w:r>
        <w:rPr>
          <w:rFonts w:ascii="Calibri" w:hAnsi="Calibri"/>
          <w:b/>
          <w:color w:val="0F2B4C"/>
          <w:sz w:val="19"/>
        </w:rPr>
        <w:t xml:space="preserve">5.  </w:t>
      </w:r>
      <w:r>
        <w:rPr>
          <w:rFonts w:ascii="Calibri" w:hAnsi="Calibri"/>
          <w:b w:val="0"/>
          <w:i w:val="0"/>
          <w:color w:val="334E68"/>
          <w:sz w:val="19"/>
        </w:rPr>
        <w:t>Classify each issue as migration-related or pre-existing and route it to the responsible support team.</w:t>
      </w:r>
    </w:p>
    <w:p>
      <w:pPr>
        <w:spacing w:after="40"/>
        <w:ind w:left="578" w:hanging="227"/>
      </w:pPr>
      <w:r>
        <w:rPr>
          <w:rFonts w:ascii="Calibri" w:hAnsi="Calibri"/>
          <w:b/>
          <w:color w:val="0F2B4C"/>
          <w:sz w:val="19"/>
        </w:rPr>
        <w:t xml:space="preserve">6.  </w:t>
      </w:r>
      <w:r>
        <w:rPr>
          <w:rFonts w:ascii="Calibri" w:hAnsi="Calibri"/>
          <w:b w:val="0"/>
          <w:i w:val="0"/>
          <w:color w:val="334E68"/>
          <w:sz w:val="19"/>
        </w:rPr>
        <w:t>Monitor the leading indicators daily: short dumps, failed jobs, failed interfaces, response time versus baseline, memory, database growth, backup success.</w:t>
      </w:r>
    </w:p>
    <w:p>
      <w:pPr>
        <w:spacing w:after="40"/>
        <w:ind w:left="578" w:hanging="227"/>
      </w:pPr>
      <w:r>
        <w:rPr>
          <w:rFonts w:ascii="Calibri" w:hAnsi="Calibri"/>
          <w:b/>
          <w:color w:val="0F2B4C"/>
          <w:sz w:val="19"/>
        </w:rPr>
        <w:t xml:space="preserve">7.  </w:t>
      </w:r>
      <w:r>
        <w:rPr>
          <w:rFonts w:ascii="Calibri" w:hAnsi="Calibri"/>
          <w:b w:val="0"/>
          <w:i w:val="0"/>
          <w:color w:val="334E68"/>
          <w:sz w:val="19"/>
        </w:rPr>
        <w:t>Hold a daily hypercare call, track issues to closure, and report trend rather than incident count alone.</w:t>
      </w:r>
    </w:p>
    <w:p>
      <w:pPr>
        <w:spacing w:after="40"/>
        <w:ind w:left="578" w:hanging="227"/>
      </w:pPr>
      <w:r>
        <w:rPr>
          <w:rFonts w:ascii="Calibri" w:hAnsi="Calibri"/>
          <w:b/>
          <w:color w:val="0F2B4C"/>
          <w:sz w:val="19"/>
        </w:rPr>
        <w:t xml:space="preserve">8.  </w:t>
      </w:r>
      <w:r>
        <w:rPr>
          <w:rFonts w:ascii="Calibri" w:hAnsi="Calibri"/>
          <w:b w:val="0"/>
          <w:i w:val="0"/>
          <w:color w:val="334E68"/>
          <w:sz w:val="19"/>
        </w:rPr>
        <w:t>Close hypercare formally: exit criteria met, open items transferred to BAU support with owners, evidence archived.</w:t>
      </w:r>
    </w:p>
    <w:p>
      <w:pPr>
        <w:spacing w:after="60" w:before="160"/>
        <w:keepNext/>
      </w:pPr>
      <w:r>
        <w:rPr>
          <w:rFonts w:ascii="Calibri" w:hAnsi="Calibri"/>
          <w:b/>
          <w:color w:val="5B7288"/>
          <w:sz w:val="15"/>
        </w:rPr>
        <w:t>DAILY HYPERCARE MONITORING SET</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313"/>
        <w:gridCol w:w="2506"/>
        <w:gridCol w:w="4819"/>
      </w:tblGrid>
      <w:tr>
        <w:trPr>
          <w:tblHeader/>
          <w:cantSplit/>
        </w:trPr>
        <w:tc>
          <w:tcPr>
            <w:tcW w:type="dxa" w:w="2313"/>
            <w:shd w:val="clear" w:color="auto" w:fill="0F2B4C"/>
          </w:tcPr>
          <w:p>
            <w:pPr>
              <w:spacing w:after="20" w:before="20"/>
            </w:pPr>
            <w:r/>
            <w:r>
              <w:rPr>
                <w:rFonts w:ascii="Calibri" w:hAnsi="Calibri"/>
                <w:b/>
                <w:color w:val="FFFFFF"/>
                <w:sz w:val="17"/>
              </w:rPr>
              <w:t>Hypercare indicator</w:t>
            </w:r>
          </w:p>
        </w:tc>
        <w:tc>
          <w:tcPr>
            <w:tcW w:type="dxa" w:w="2506"/>
            <w:shd w:val="clear" w:color="auto" w:fill="0F2B4C"/>
          </w:tcPr>
          <w:p>
            <w:pPr>
              <w:spacing w:after="20" w:before="20"/>
            </w:pPr>
            <w:r/>
            <w:r>
              <w:rPr>
                <w:rFonts w:ascii="Calibri" w:hAnsi="Calibri"/>
                <w:b/>
                <w:color w:val="FFFFFF"/>
                <w:sz w:val="17"/>
              </w:rPr>
              <w:t>Source</w:t>
            </w:r>
          </w:p>
        </w:tc>
        <w:tc>
          <w:tcPr>
            <w:tcW w:type="dxa" w:w="4819"/>
            <w:shd w:val="clear" w:color="auto" w:fill="0F2B4C"/>
          </w:tcPr>
          <w:p>
            <w:pPr>
              <w:spacing w:after="20" w:before="20"/>
            </w:pPr>
            <w:r/>
            <w:r>
              <w:rPr>
                <w:rFonts w:ascii="Calibri" w:hAnsi="Calibri"/>
                <w:b/>
                <w:color w:val="FFFFFF"/>
                <w:sz w:val="17"/>
              </w:rPr>
              <w:t>What a bad trend looks like</w:t>
            </w:r>
          </w:p>
        </w:tc>
      </w:tr>
      <w:tr>
        <w:trPr>
          <w:cantSplit/>
        </w:trPr>
        <w:tc>
          <w:tcPr>
            <w:tcW w:type="dxa" w:w="2313"/>
          </w:tcPr>
          <w:p>
            <w:pPr>
              <w:spacing w:after="20" w:before="20"/>
            </w:pPr>
            <w:r/>
            <w:r>
              <w:rPr>
                <w:rFonts w:ascii="Calibri" w:hAnsi="Calibri"/>
                <w:b/>
                <w:i w:val="0"/>
                <w:color w:val="334E68"/>
                <w:sz w:val="17"/>
              </w:rPr>
              <w:t>Short dumps and runtime errors</w:t>
            </w:r>
          </w:p>
        </w:tc>
        <w:tc>
          <w:tcPr>
            <w:tcW w:type="dxa" w:w="2506"/>
          </w:tcPr>
          <w:p>
            <w:pPr>
              <w:spacing w:after="20" w:before="20"/>
            </w:pPr>
            <w:r/>
            <w:r>
              <w:rPr>
                <w:rFonts w:ascii="Consolas" w:hAnsi="Consolas"/>
                <w:b w:val="0"/>
                <w:i w:val="0"/>
                <w:color w:val="123A63"/>
                <w:sz w:val="17"/>
                <w:shd w:val="clear" w:color="auto" w:fill="EEF2F7"/>
              </w:rPr>
              <w:t>ST22</w:t>
            </w:r>
          </w:p>
        </w:tc>
        <w:tc>
          <w:tcPr>
            <w:tcW w:type="dxa" w:w="4819"/>
          </w:tcPr>
          <w:p>
            <w:pPr>
              <w:spacing w:after="20" w:before="20"/>
            </w:pPr>
            <w:r/>
            <w:r>
              <w:rPr>
                <w:rFonts w:ascii="Calibri" w:hAnsi="Calibri"/>
                <w:b w:val="0"/>
                <w:i w:val="0"/>
                <w:color w:val="334E68"/>
                <w:sz w:val="17"/>
              </w:rPr>
              <w:t>New dump types appearing after go-live, or a rising count for a known dump</w:t>
            </w:r>
          </w:p>
        </w:tc>
      </w:tr>
      <w:tr>
        <w:trPr>
          <w:cantSplit/>
        </w:trPr>
        <w:tc>
          <w:tcPr>
            <w:tcW w:type="dxa" w:w="2313"/>
            <w:shd w:val="clear" w:color="auto" w:fill="FAFBFD"/>
          </w:tcPr>
          <w:p>
            <w:pPr>
              <w:spacing w:after="20" w:before="20"/>
            </w:pPr>
            <w:r/>
            <w:r>
              <w:rPr>
                <w:rFonts w:ascii="Calibri" w:hAnsi="Calibri"/>
                <w:b/>
                <w:i w:val="0"/>
                <w:color w:val="334E68"/>
                <w:sz w:val="17"/>
              </w:rPr>
              <w:t>Failed background jobs</w:t>
            </w:r>
          </w:p>
        </w:tc>
        <w:tc>
          <w:tcPr>
            <w:tcW w:type="dxa" w:w="2506"/>
            <w:shd w:val="clear" w:color="auto" w:fill="FAFBFD"/>
          </w:tcPr>
          <w:p>
            <w:pPr>
              <w:spacing w:after="20" w:before="20"/>
            </w:pPr>
            <w:r/>
            <w:r>
              <w:rPr>
                <w:rFonts w:ascii="Consolas" w:hAnsi="Consolas"/>
                <w:b w:val="0"/>
                <w:i w:val="0"/>
                <w:color w:val="123A63"/>
                <w:sz w:val="17"/>
                <w:shd w:val="clear" w:color="auto" w:fill="EEF2F7"/>
              </w:rPr>
              <w:t>SM37</w:t>
            </w:r>
            <w:r>
              <w:rPr>
                <w:rFonts w:ascii="Calibri" w:hAnsi="Calibri"/>
                <w:b w:val="0"/>
                <w:i w:val="0"/>
                <w:color w:val="334E68"/>
                <w:sz w:val="17"/>
              </w:rPr>
              <w:t>, Control-M</w:t>
            </w:r>
          </w:p>
        </w:tc>
        <w:tc>
          <w:tcPr>
            <w:tcW w:type="dxa" w:w="4819"/>
            <w:shd w:val="clear" w:color="auto" w:fill="FAFBFD"/>
          </w:tcPr>
          <w:p>
            <w:pPr>
              <w:spacing w:after="20" w:before="20"/>
            </w:pPr>
            <w:r/>
            <w:r>
              <w:rPr>
                <w:rFonts w:ascii="Calibri" w:hAnsi="Calibri"/>
                <w:b w:val="0"/>
                <w:i w:val="0"/>
                <w:color w:val="334E68"/>
                <w:sz w:val="17"/>
              </w:rPr>
              <w:t>Jobs cancelled that previously succeeded; jobs not scheduled at all</w:t>
            </w:r>
          </w:p>
        </w:tc>
      </w:tr>
      <w:tr>
        <w:trPr>
          <w:cantSplit/>
        </w:trPr>
        <w:tc>
          <w:tcPr>
            <w:tcW w:type="dxa" w:w="2313"/>
          </w:tcPr>
          <w:p>
            <w:pPr>
              <w:spacing w:after="20" w:before="20"/>
            </w:pPr>
            <w:r/>
            <w:r>
              <w:rPr>
                <w:rFonts w:ascii="Calibri" w:hAnsi="Calibri"/>
                <w:b/>
                <w:i w:val="0"/>
                <w:color w:val="334E68"/>
                <w:sz w:val="17"/>
              </w:rPr>
              <w:t>Failed interfaces / IDocs</w:t>
            </w:r>
          </w:p>
        </w:tc>
        <w:tc>
          <w:tcPr>
            <w:tcW w:type="dxa" w:w="2506"/>
          </w:tcPr>
          <w:p>
            <w:pPr>
              <w:spacing w:after="20" w:before="20"/>
            </w:pPr>
            <w:r/>
            <w:r>
              <w:rPr>
                <w:rFonts w:ascii="Consolas" w:hAnsi="Consolas"/>
                <w:b w:val="0"/>
                <w:i w:val="0"/>
                <w:color w:val="123A63"/>
                <w:sz w:val="17"/>
                <w:shd w:val="clear" w:color="auto" w:fill="EEF2F7"/>
              </w:rPr>
              <w:t>SM59</w:t>
            </w:r>
            <w:r>
              <w:rPr>
                <w:rFonts w:ascii="Calibri" w:hAnsi="Calibri"/>
                <w:b w:val="0"/>
                <w:i w:val="0"/>
                <w:color w:val="334E68"/>
                <w:sz w:val="17"/>
              </w:rPr>
              <w:t xml:space="preserve">, </w:t>
            </w:r>
            <w:r>
              <w:rPr>
                <w:rFonts w:ascii="Consolas" w:hAnsi="Consolas"/>
                <w:b w:val="0"/>
                <w:i w:val="0"/>
                <w:color w:val="123A63"/>
                <w:sz w:val="17"/>
                <w:shd w:val="clear" w:color="auto" w:fill="EEF2F7"/>
              </w:rPr>
              <w:t>WE02</w:t>
            </w:r>
            <w:r>
              <w:rPr>
                <w:rFonts w:ascii="Calibri" w:hAnsi="Calibri"/>
                <w:b w:val="0"/>
                <w:i w:val="0"/>
                <w:color w:val="334E68"/>
                <w:sz w:val="17"/>
              </w:rPr>
              <w:t>/</w:t>
            </w:r>
            <w:r>
              <w:rPr>
                <w:rFonts w:ascii="Consolas" w:hAnsi="Consolas"/>
                <w:b w:val="0"/>
                <w:i w:val="0"/>
                <w:color w:val="123A63"/>
                <w:sz w:val="17"/>
                <w:shd w:val="clear" w:color="auto" w:fill="EEF2F7"/>
              </w:rPr>
              <w:t>BD87</w:t>
            </w:r>
            <w:r>
              <w:rPr>
                <w:rFonts w:ascii="Calibri" w:hAnsi="Calibri"/>
                <w:b w:val="0"/>
                <w:i w:val="0"/>
                <w:color w:val="334E68"/>
                <w:sz w:val="17"/>
              </w:rPr>
              <w:t>, middleware</w:t>
            </w:r>
          </w:p>
        </w:tc>
        <w:tc>
          <w:tcPr>
            <w:tcW w:type="dxa" w:w="4819"/>
          </w:tcPr>
          <w:p>
            <w:pPr>
              <w:spacing w:after="20" w:before="20"/>
            </w:pPr>
            <w:r/>
            <w:r>
              <w:rPr>
                <w:rFonts w:ascii="Calibri" w:hAnsi="Calibri"/>
                <w:b w:val="0"/>
                <w:i w:val="0"/>
                <w:color w:val="334E68"/>
                <w:sz w:val="17"/>
              </w:rPr>
              <w:t>Rising error status, retries not clearing, partner timeouts</w:t>
            </w:r>
          </w:p>
        </w:tc>
      </w:tr>
      <w:tr>
        <w:trPr>
          <w:cantSplit/>
        </w:trPr>
        <w:tc>
          <w:tcPr>
            <w:tcW w:type="dxa" w:w="2313"/>
            <w:shd w:val="clear" w:color="auto" w:fill="FAFBFD"/>
          </w:tcPr>
          <w:p>
            <w:pPr>
              <w:spacing w:after="20" w:before="20"/>
            </w:pPr>
            <w:r/>
            <w:r>
              <w:rPr>
                <w:rFonts w:ascii="Calibri" w:hAnsi="Calibri"/>
                <w:b/>
                <w:i w:val="0"/>
                <w:color w:val="334E68"/>
                <w:sz w:val="17"/>
              </w:rPr>
              <w:t>Response time</w:t>
            </w:r>
          </w:p>
        </w:tc>
        <w:tc>
          <w:tcPr>
            <w:tcW w:type="dxa" w:w="2506"/>
            <w:shd w:val="clear" w:color="auto" w:fill="FAFBFD"/>
          </w:tcPr>
          <w:p>
            <w:pPr>
              <w:spacing w:after="20" w:before="20"/>
            </w:pPr>
            <w:r/>
            <w:r>
              <w:rPr>
                <w:rFonts w:ascii="Consolas" w:hAnsi="Consolas"/>
                <w:b w:val="0"/>
                <w:i w:val="0"/>
                <w:color w:val="123A63"/>
                <w:sz w:val="17"/>
                <w:shd w:val="clear" w:color="auto" w:fill="EEF2F7"/>
              </w:rPr>
              <w:t>ST03</w:t>
            </w:r>
            <w:r>
              <w:rPr>
                <w:rFonts w:ascii="Calibri" w:hAnsi="Calibri"/>
                <w:b w:val="0"/>
                <w:i w:val="0"/>
                <w:color w:val="334E68"/>
                <w:sz w:val="17"/>
              </w:rPr>
              <w:t>/</w:t>
            </w:r>
            <w:r>
              <w:rPr>
                <w:rFonts w:ascii="Consolas" w:hAnsi="Consolas"/>
                <w:b w:val="0"/>
                <w:i w:val="0"/>
                <w:color w:val="123A63"/>
                <w:sz w:val="17"/>
                <w:shd w:val="clear" w:color="auto" w:fill="EEF2F7"/>
              </w:rPr>
              <w:t>ST03N</w:t>
            </w:r>
          </w:p>
        </w:tc>
        <w:tc>
          <w:tcPr>
            <w:tcW w:type="dxa" w:w="4819"/>
            <w:shd w:val="clear" w:color="auto" w:fill="FAFBFD"/>
          </w:tcPr>
          <w:p>
            <w:pPr>
              <w:spacing w:after="20" w:before="20"/>
            </w:pPr>
            <w:r/>
            <w:r>
              <w:rPr>
                <w:rFonts w:ascii="Calibri" w:hAnsi="Calibri"/>
                <w:b w:val="0"/>
                <w:i w:val="0"/>
                <w:color w:val="334E68"/>
                <w:sz w:val="17"/>
              </w:rPr>
              <w:t>Sustained increase over the pre-migration baseline for the same period type</w:t>
            </w:r>
          </w:p>
        </w:tc>
      </w:tr>
      <w:tr>
        <w:trPr>
          <w:cantSplit/>
        </w:trPr>
        <w:tc>
          <w:tcPr>
            <w:tcW w:type="dxa" w:w="2313"/>
          </w:tcPr>
          <w:p>
            <w:pPr>
              <w:spacing w:after="20" w:before="20"/>
            </w:pPr>
            <w:r/>
            <w:r>
              <w:rPr>
                <w:rFonts w:ascii="Calibri" w:hAnsi="Calibri"/>
                <w:b/>
                <w:i w:val="0"/>
                <w:color w:val="334E68"/>
                <w:sz w:val="17"/>
              </w:rPr>
              <w:t>Memory behaviour</w:t>
            </w:r>
          </w:p>
        </w:tc>
        <w:tc>
          <w:tcPr>
            <w:tcW w:type="dxa" w:w="2506"/>
          </w:tcPr>
          <w:p>
            <w:pPr>
              <w:spacing w:after="20" w:before="20"/>
            </w:pPr>
            <w:r/>
            <w:r>
              <w:rPr>
                <w:rFonts w:ascii="Consolas" w:hAnsi="Consolas"/>
                <w:b w:val="0"/>
                <w:i w:val="0"/>
                <w:color w:val="123A63"/>
                <w:sz w:val="17"/>
                <w:shd w:val="clear" w:color="auto" w:fill="EEF2F7"/>
              </w:rPr>
              <w:t>ST02</w:t>
            </w:r>
          </w:p>
        </w:tc>
        <w:tc>
          <w:tcPr>
            <w:tcW w:type="dxa" w:w="4819"/>
          </w:tcPr>
          <w:p>
            <w:pPr>
              <w:spacing w:after="20" w:before="20"/>
            </w:pPr>
            <w:r/>
            <w:r>
              <w:rPr>
                <w:rFonts w:ascii="Calibri" w:hAnsi="Calibri"/>
                <w:b w:val="0"/>
                <w:i w:val="0"/>
                <w:color w:val="334E68"/>
                <w:sz w:val="17"/>
              </w:rPr>
              <w:t>Processes moving to PRIVATE mode, rising paging or swap counts</w:t>
            </w:r>
          </w:p>
        </w:tc>
      </w:tr>
      <w:tr>
        <w:trPr>
          <w:cantSplit/>
        </w:trPr>
        <w:tc>
          <w:tcPr>
            <w:tcW w:type="dxa" w:w="2313"/>
            <w:shd w:val="clear" w:color="auto" w:fill="FAFBFD"/>
          </w:tcPr>
          <w:p>
            <w:pPr>
              <w:spacing w:after="20" w:before="20"/>
            </w:pPr>
            <w:r/>
            <w:r>
              <w:rPr>
                <w:rFonts w:ascii="Calibri" w:hAnsi="Calibri"/>
                <w:b/>
                <w:i w:val="0"/>
                <w:color w:val="334E68"/>
                <w:sz w:val="17"/>
              </w:rPr>
              <w:t>Database health</w:t>
            </w:r>
          </w:p>
        </w:tc>
        <w:tc>
          <w:tcPr>
            <w:tcW w:type="dxa" w:w="2506"/>
            <w:shd w:val="clear" w:color="auto" w:fill="FAFBFD"/>
          </w:tcPr>
          <w:p>
            <w:pPr>
              <w:spacing w:after="20" w:before="20"/>
            </w:pPr>
            <w:r/>
            <w:r>
              <w:rPr>
                <w:rFonts w:ascii="Consolas" w:hAnsi="Consolas"/>
                <w:b w:val="0"/>
                <w:i w:val="0"/>
                <w:color w:val="123A63"/>
                <w:sz w:val="17"/>
                <w:shd w:val="clear" w:color="auto" w:fill="EEF2F7"/>
              </w:rPr>
              <w:t>DB02</w:t>
            </w:r>
            <w:r>
              <w:rPr>
                <w:rFonts w:ascii="Calibri" w:hAnsi="Calibri"/>
                <w:b w:val="0"/>
                <w:i w:val="0"/>
                <w:color w:val="334E68"/>
                <w:sz w:val="17"/>
              </w:rPr>
              <w:t>, DB alert log</w:t>
            </w:r>
          </w:p>
        </w:tc>
        <w:tc>
          <w:tcPr>
            <w:tcW w:type="dxa" w:w="4819"/>
            <w:shd w:val="clear" w:color="auto" w:fill="FAFBFD"/>
          </w:tcPr>
          <w:p>
            <w:pPr>
              <w:spacing w:after="20" w:before="20"/>
            </w:pPr>
            <w:r/>
            <w:r>
              <w:rPr>
                <w:rFonts w:ascii="Calibri" w:hAnsi="Calibri"/>
                <w:b w:val="0"/>
                <w:i w:val="0"/>
                <w:color w:val="334E68"/>
                <w:sz w:val="17"/>
              </w:rPr>
              <w:t>Tablespace growth beyond forecast, archive destination filling, backup failures</w:t>
            </w:r>
          </w:p>
        </w:tc>
      </w:tr>
      <w:tr>
        <w:trPr>
          <w:cantSplit/>
        </w:trPr>
        <w:tc>
          <w:tcPr>
            <w:tcW w:type="dxa" w:w="2313"/>
          </w:tcPr>
          <w:p>
            <w:pPr>
              <w:spacing w:after="20" w:before="20"/>
            </w:pPr>
            <w:r/>
            <w:r>
              <w:rPr>
                <w:rFonts w:ascii="Calibri" w:hAnsi="Calibri"/>
                <w:b/>
                <w:i w:val="0"/>
                <w:color w:val="334E68"/>
                <w:sz w:val="17"/>
              </w:rPr>
              <w:t>Update errors</w:t>
            </w:r>
          </w:p>
        </w:tc>
        <w:tc>
          <w:tcPr>
            <w:tcW w:type="dxa" w:w="2506"/>
          </w:tcPr>
          <w:p>
            <w:pPr>
              <w:spacing w:after="20" w:before="20"/>
            </w:pPr>
            <w:r/>
            <w:r>
              <w:rPr>
                <w:rFonts w:ascii="Consolas" w:hAnsi="Consolas"/>
                <w:b w:val="0"/>
                <w:i w:val="0"/>
                <w:color w:val="123A63"/>
                <w:sz w:val="17"/>
                <w:shd w:val="clear" w:color="auto" w:fill="EEF2F7"/>
              </w:rPr>
              <w:t>SM13</w:t>
            </w:r>
          </w:p>
        </w:tc>
        <w:tc>
          <w:tcPr>
            <w:tcW w:type="dxa" w:w="4819"/>
          </w:tcPr>
          <w:p>
            <w:pPr>
              <w:spacing w:after="20" w:before="20"/>
            </w:pPr>
            <w:r/>
            <w:r>
              <w:rPr>
                <w:rFonts w:ascii="Calibri" w:hAnsi="Calibri"/>
                <w:b w:val="0"/>
                <w:i w:val="0"/>
                <w:color w:val="334E68"/>
                <w:sz w:val="17"/>
              </w:rPr>
              <w:t>Update records stuck or failed — a business-visible data problem</w:t>
            </w:r>
          </w:p>
        </w:tc>
      </w:tr>
      <w:tr>
        <w:trPr>
          <w:cantSplit/>
        </w:trPr>
        <w:tc>
          <w:tcPr>
            <w:tcW w:type="dxa" w:w="2313"/>
            <w:shd w:val="clear" w:color="auto" w:fill="FAFBFD"/>
          </w:tcPr>
          <w:p>
            <w:pPr>
              <w:spacing w:after="20" w:before="20"/>
            </w:pPr>
            <w:r/>
            <w:r>
              <w:rPr>
                <w:rFonts w:ascii="Calibri" w:hAnsi="Calibri"/>
                <w:b/>
                <w:i w:val="0"/>
                <w:color w:val="334E68"/>
                <w:sz w:val="17"/>
              </w:rPr>
              <w:t>Locks and enqueue</w:t>
            </w:r>
          </w:p>
        </w:tc>
        <w:tc>
          <w:tcPr>
            <w:tcW w:type="dxa" w:w="2506"/>
            <w:shd w:val="clear" w:color="auto" w:fill="FAFBFD"/>
          </w:tcPr>
          <w:p>
            <w:pPr>
              <w:spacing w:after="20" w:before="20"/>
            </w:pPr>
            <w:r/>
            <w:r>
              <w:rPr>
                <w:rFonts w:ascii="Consolas" w:hAnsi="Consolas"/>
                <w:b w:val="0"/>
                <w:i w:val="0"/>
                <w:color w:val="123A63"/>
                <w:sz w:val="17"/>
                <w:shd w:val="clear" w:color="auto" w:fill="EEF2F7"/>
              </w:rPr>
              <w:t>SM12</w:t>
            </w:r>
          </w:p>
        </w:tc>
        <w:tc>
          <w:tcPr>
            <w:tcW w:type="dxa" w:w="4819"/>
            <w:shd w:val="clear" w:color="auto" w:fill="FAFBFD"/>
          </w:tcPr>
          <w:p>
            <w:pPr>
              <w:spacing w:after="20" w:before="20"/>
            </w:pPr>
            <w:r/>
            <w:r>
              <w:rPr>
                <w:rFonts w:ascii="Calibri" w:hAnsi="Calibri"/>
                <w:b w:val="0"/>
                <w:i w:val="0"/>
                <w:color w:val="334E68"/>
                <w:sz w:val="17"/>
              </w:rPr>
              <w:t>Stale or growing lock entries after go-live</w:t>
            </w:r>
          </w:p>
        </w:tc>
      </w:tr>
      <w:tr>
        <w:trPr>
          <w:cantSplit/>
        </w:trPr>
        <w:tc>
          <w:tcPr>
            <w:tcW w:type="dxa" w:w="2313"/>
          </w:tcPr>
          <w:p>
            <w:pPr>
              <w:spacing w:after="20" w:before="20"/>
            </w:pPr>
            <w:r/>
            <w:r>
              <w:rPr>
                <w:rFonts w:ascii="Calibri" w:hAnsi="Calibri"/>
                <w:b/>
                <w:i w:val="0"/>
                <w:color w:val="334E68"/>
                <w:sz w:val="17"/>
              </w:rPr>
              <w:t>Security and certificates</w:t>
            </w:r>
          </w:p>
        </w:tc>
        <w:tc>
          <w:tcPr>
            <w:tcW w:type="dxa" w:w="2506"/>
          </w:tcPr>
          <w:p>
            <w:pPr>
              <w:spacing w:after="20" w:before="20"/>
            </w:pPr>
            <w:r/>
            <w:r>
              <w:rPr>
                <w:rFonts w:ascii="Consolas" w:hAnsi="Consolas"/>
                <w:b w:val="0"/>
                <w:i w:val="0"/>
                <w:color w:val="123A63"/>
                <w:sz w:val="17"/>
                <w:shd w:val="clear" w:color="auto" w:fill="EEF2F7"/>
              </w:rPr>
              <w:t>STRUST</w:t>
            </w:r>
            <w:r>
              <w:rPr>
                <w:rFonts w:ascii="Calibri" w:hAnsi="Calibri"/>
                <w:b w:val="0"/>
                <w:i w:val="0"/>
                <w:color w:val="334E68"/>
                <w:sz w:val="17"/>
              </w:rPr>
              <w:t>, SNC</w:t>
            </w:r>
          </w:p>
        </w:tc>
        <w:tc>
          <w:tcPr>
            <w:tcW w:type="dxa" w:w="4819"/>
          </w:tcPr>
          <w:p>
            <w:pPr>
              <w:spacing w:after="20" w:before="20"/>
            </w:pPr>
            <w:r/>
            <w:r>
              <w:rPr>
                <w:rFonts w:ascii="Calibri" w:hAnsi="Calibri"/>
                <w:b w:val="0"/>
                <w:i w:val="0"/>
                <w:color w:val="334E68"/>
                <w:sz w:val="17"/>
              </w:rPr>
              <w:t>Certificate expiring soon, SNC handshake failures, SSO fallbacks</w:t>
            </w:r>
          </w:p>
        </w:tc>
      </w:tr>
      <w:tr>
        <w:trPr>
          <w:cantSplit/>
        </w:trPr>
        <w:tc>
          <w:tcPr>
            <w:tcW w:type="dxa" w:w="2313"/>
            <w:shd w:val="clear" w:color="auto" w:fill="FAFBFD"/>
          </w:tcPr>
          <w:p>
            <w:pPr>
              <w:spacing w:after="20" w:before="20"/>
            </w:pPr>
            <w:r/>
            <w:r>
              <w:rPr>
                <w:rFonts w:ascii="Calibri" w:hAnsi="Calibri"/>
                <w:b/>
                <w:i w:val="0"/>
                <w:color w:val="334E68"/>
                <w:sz w:val="17"/>
              </w:rPr>
              <w:t>Backup success</w:t>
            </w:r>
          </w:p>
        </w:tc>
        <w:tc>
          <w:tcPr>
            <w:tcW w:type="dxa" w:w="2506"/>
            <w:shd w:val="clear" w:color="auto" w:fill="FAFBFD"/>
          </w:tcPr>
          <w:p>
            <w:pPr>
              <w:spacing w:after="20" w:before="20"/>
            </w:pPr>
            <w:r/>
            <w:r>
              <w:rPr>
                <w:rFonts w:ascii="Calibri" w:hAnsi="Calibri"/>
                <w:b w:val="0"/>
                <w:i w:val="0"/>
                <w:color w:val="334E68"/>
                <w:sz w:val="17"/>
              </w:rPr>
              <w:t xml:space="preserve">Backup tool, </w:t>
            </w:r>
            <w:r>
              <w:rPr>
                <w:rFonts w:ascii="Consolas" w:hAnsi="Consolas"/>
                <w:b w:val="0"/>
                <w:i w:val="0"/>
                <w:color w:val="123A63"/>
                <w:sz w:val="17"/>
                <w:shd w:val="clear" w:color="auto" w:fill="EEF2F7"/>
              </w:rPr>
              <w:t>DB02</w:t>
            </w:r>
          </w:p>
        </w:tc>
        <w:tc>
          <w:tcPr>
            <w:tcW w:type="dxa" w:w="4819"/>
            <w:shd w:val="clear" w:color="auto" w:fill="FAFBFD"/>
          </w:tcPr>
          <w:p>
            <w:pPr>
              <w:spacing w:after="20" w:before="20"/>
            </w:pPr>
            <w:r/>
            <w:r>
              <w:rPr>
                <w:rFonts w:ascii="Calibri" w:hAnsi="Calibri"/>
                <w:b w:val="0"/>
                <w:i w:val="0"/>
                <w:color w:val="334E68"/>
                <w:sz w:val="17"/>
              </w:rPr>
              <w:t>First backup on the target failing or running far longer than the test</w:t>
            </w:r>
          </w:p>
        </w:tc>
      </w:tr>
    </w:tbl>
    <w:p>
      <w:pPr>
        <w:spacing w:after="40"/>
      </w:pP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ISSUE CLASSIFICATION DURING HYPERCARE</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Compare each issue against the pre-migration baseline before assigning it. “Was this working before?” is answerable only if Module 1 recorded the answer. Migration-related issues go to the migration/owning team under the project process; pre-existing issues go to BAU support with the baseline evidence attached.</w:t>
      </w:r>
    </w:p>
    <w:p>
      <w:pPr>
        <w:pStyle w:val="Heading2"/>
        <w:pBdr>
          <w:bottom w:val="single" w:sz="6" w:space="3" w:color="E8EDF3"/>
        </w:pBdr>
      </w:pPr>
      <w:r>
        <w:rPr>
          <w:rFonts w:ascii="Calibri" w:hAnsi="Calibri"/>
          <w:b/>
          <w:color w:val="0F2B4C"/>
          <w:sz w:val="26"/>
        </w:rPr>
        <w:t>10.7  Cutover readiness checklist</w:t>
      </w:r>
    </w:p>
    <w:p>
      <w:r>
        <w:rPr>
          <w:rFonts w:ascii="Calibri" w:hAnsi="Calibri"/>
          <w:b w:val="0"/>
          <w:i w:val="0"/>
          <w:color w:val="334E68"/>
          <w:sz w:val="20"/>
        </w:rPr>
        <w:t xml:space="preserve">This is the short list used on the bridge. The full consolidated version is in </w:t>
      </w:r>
      <w:r>
        <w:rPr>
          <w:rFonts w:ascii="Calibri" w:hAnsi="Calibri"/>
          <w:b w:val="0"/>
          <w:i w:val="0"/>
          <w:color w:val="1B4F86"/>
          <w:sz w:val="20"/>
        </w:rPr>
        <w:t>Section 12.5</w:t>
      </w:r>
      <w:r>
        <w:rPr>
          <w:rFonts w:ascii="Calibri" w:hAnsi="Calibri"/>
          <w:b w:val="0"/>
          <w:i w:val="0"/>
          <w:color w:val="334E68"/>
          <w:sz w:val="20"/>
        </w:rPr>
        <w:t>.</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530"/>
        <w:gridCol w:w="1542"/>
        <w:gridCol w:w="308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530"/>
            <w:shd w:val="clear" w:color="auto" w:fill="0F2B4C"/>
          </w:tcPr>
          <w:p>
            <w:pPr>
              <w:spacing w:after="20" w:before="20"/>
            </w:pPr>
            <w:r/>
            <w:r>
              <w:rPr>
                <w:rFonts w:ascii="Calibri" w:hAnsi="Calibri"/>
                <w:b/>
                <w:color w:val="FFFFFF"/>
                <w:sz w:val="17"/>
              </w:rPr>
              <w:t>Check</w:t>
            </w:r>
          </w:p>
        </w:tc>
        <w:tc>
          <w:tcPr>
            <w:tcW w:type="dxa" w:w="1542"/>
            <w:shd w:val="clear" w:color="auto" w:fill="0F2B4C"/>
          </w:tcPr>
          <w:p>
            <w:pPr>
              <w:spacing w:after="20" w:before="20"/>
            </w:pPr>
            <w:r/>
            <w:r>
              <w:rPr>
                <w:rFonts w:ascii="Calibri" w:hAnsi="Calibri"/>
                <w:b/>
                <w:color w:val="FFFFFF"/>
                <w:sz w:val="17"/>
              </w:rPr>
              <w:t>Status</w:t>
            </w:r>
          </w:p>
        </w:tc>
        <w:tc>
          <w:tcPr>
            <w:tcW w:type="dxa" w:w="3084"/>
            <w:shd w:val="clear" w:color="auto" w:fill="0F2B4C"/>
          </w:tcPr>
          <w:p>
            <w:pPr>
              <w:spacing w:after="20" w:before="20"/>
            </w:pPr>
            <w:r/>
            <w:r>
              <w:rPr>
                <w:rFonts w:ascii="Calibri" w:hAnsi="Calibri"/>
                <w:b/>
                <w:color w:val="FFFFFF"/>
                <w:sz w:val="17"/>
              </w:rPr>
              <w:t>Evidence / remarks</w:t>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Cooldown / ramp-up activities complete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Application and web services shut down</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DBA handover acknowledged after application shutdown</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Final backup and snapshot completed and verified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Source/target synchronization confirmed (SCN or equivalent)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Switchover or recovery executed successfully</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DBVERIFY and RMAN completed (Oracle scenario)</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SAP global directory synchronized with rsync</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Host-file and IPAM entries cleaned and validated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Profile parameters validated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Kernel permissions and root scripts verified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R3trans -d returns 0000</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SAP started; instances registered and processes green</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SNC / SSO and certificates validated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Gateway and external connectivity validated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RFC, webMethods, MuleSoft, MBox interfaces validated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Printers validated through SPAD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Functional business transaction tests passed with evidence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Type 3 RFC passwords updated where required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ChaRM / transport management validated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Go/No-Go inputs complete; decision recorded with named approvers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Users unlocked after Go</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Background jobs and Control-M resumed with the owning teams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EDG / SAProuter configuration completed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Hypercare roster, escalation path and daily monitoring live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Rollback path available until the migration is declared safe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bl>
    <w:p>
      <w:pPr>
        <w:spacing w:after="40"/>
      </w:pPr>
    </w:p>
    <w:p>
      <w:r>
        <w:br w:type="page"/>
      </w:r>
    </w:p>
    <w:p>
      <w:pPr>
        <w:spacing w:after="20"/>
      </w:pPr>
      <w:r>
        <w:rPr>
          <w:rFonts w:ascii="Calibri" w:hAnsi="Calibri"/>
          <w:b/>
          <w:color w:val="1B4F86"/>
          <w:sz w:val="16"/>
        </w:rPr>
        <w:t>SECTION 11 · REFERENCE</w:t>
      </w:r>
    </w:p>
    <w:p>
      <w:pPr>
        <w:pStyle w:val="Heading1"/>
        <w:pBdr>
          <w:bottom w:val="single" w:sz="12" w:space="5" w:color="1B4F86"/>
        </w:pBdr>
        <w:spacing w:after="160"/>
      </w:pPr>
      <w:r>
        <w:rPr>
          <w:rFonts w:ascii="Calibri Light" w:hAnsi="Calibri Light"/>
          <w:b/>
          <w:color w:val="0F2B4C"/>
          <w:sz w:val="38"/>
        </w:rPr>
        <w:t>11  SAP transaction and technology quick reference</w:t>
      </w:r>
    </w:p>
    <w:p>
      <w:pPr>
        <w:spacing w:after="200"/>
      </w:pPr>
      <w:r>
        <w:rPr>
          <w:rFonts w:ascii="Calibri" w:hAnsi="Calibri"/>
          <w:i/>
          <w:color w:val="5B7288"/>
          <w:sz w:val="21"/>
        </w:rPr>
        <w:t>The working vocabulary of a migration. Learn what each item proves — a transaction you cannot interpret produces a screenshot, not evidence.</w:t>
      </w:r>
    </w:p>
    <w:p>
      <w:pPr>
        <w:pStyle w:val="Heading2"/>
        <w:pBdr>
          <w:bottom w:val="single" w:sz="6" w:space="3" w:color="E8EDF3"/>
        </w:pBdr>
      </w:pPr>
      <w:r>
        <w:rPr>
          <w:rFonts w:ascii="Calibri" w:hAnsi="Calibri"/>
          <w:b/>
          <w:color w:val="0F2B4C"/>
          <w:sz w:val="26"/>
        </w:rPr>
        <w:t>11.1  SAP transactions</w:t>
      </w:r>
    </w:p>
    <w:p>
      <w:pPr>
        <w:spacing w:after="60" w:before="160"/>
        <w:keepNext/>
      </w:pPr>
      <w:r>
        <w:rPr>
          <w:rFonts w:ascii="Calibri" w:hAnsi="Calibri"/>
          <w:b/>
          <w:color w:val="5B7288"/>
          <w:sz w:val="15"/>
        </w:rPr>
        <w:t>SAP TRANSACTION REFERENCE</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1446"/>
        <w:gridCol w:w="2602"/>
        <w:gridCol w:w="4433"/>
        <w:gridCol w:w="1157"/>
      </w:tblGrid>
      <w:tr>
        <w:trPr>
          <w:tblHeader/>
          <w:cantSplit/>
        </w:trPr>
        <w:tc>
          <w:tcPr>
            <w:tcW w:type="dxa" w:w="1446"/>
            <w:shd w:val="clear" w:color="auto" w:fill="0F2B4C"/>
          </w:tcPr>
          <w:p>
            <w:pPr>
              <w:spacing w:after="20" w:before="20"/>
            </w:pPr>
            <w:r/>
            <w:r>
              <w:rPr>
                <w:rFonts w:ascii="Calibri" w:hAnsi="Calibri"/>
                <w:b/>
                <w:color w:val="FFFFFF"/>
                <w:sz w:val="17"/>
              </w:rPr>
              <w:t>Transaction</w:t>
            </w:r>
          </w:p>
        </w:tc>
        <w:tc>
          <w:tcPr>
            <w:tcW w:type="dxa" w:w="2602"/>
            <w:shd w:val="clear" w:color="auto" w:fill="0F2B4C"/>
          </w:tcPr>
          <w:p>
            <w:pPr>
              <w:spacing w:after="20" w:before="20"/>
            </w:pPr>
            <w:r/>
            <w:r>
              <w:rPr>
                <w:rFonts w:ascii="Calibri" w:hAnsi="Calibri"/>
                <w:b/>
                <w:color w:val="FFFFFF"/>
                <w:sz w:val="17"/>
              </w:rPr>
              <w:t>Purpose in this training</w:t>
            </w:r>
          </w:p>
        </w:tc>
        <w:tc>
          <w:tcPr>
            <w:tcW w:type="dxa" w:w="4433"/>
            <w:shd w:val="clear" w:color="auto" w:fill="0F2B4C"/>
          </w:tcPr>
          <w:p>
            <w:pPr>
              <w:spacing w:after="20" w:before="20"/>
            </w:pPr>
            <w:r/>
            <w:r>
              <w:rPr>
                <w:rFonts w:ascii="Calibri" w:hAnsi="Calibri"/>
                <w:b/>
                <w:color w:val="FFFFFF"/>
                <w:sz w:val="17"/>
              </w:rPr>
              <w:t>What you check</w:t>
            </w:r>
          </w:p>
        </w:tc>
        <w:tc>
          <w:tcPr>
            <w:tcW w:type="dxa" w:w="1157"/>
            <w:shd w:val="clear" w:color="auto" w:fill="0F2B4C"/>
          </w:tcPr>
          <w:p>
            <w:pPr>
              <w:spacing w:after="20" w:before="20"/>
            </w:pPr>
            <w:r/>
            <w:r>
              <w:rPr>
                <w:rFonts w:ascii="Calibri" w:hAnsi="Calibri"/>
                <w:b/>
                <w:color w:val="FFFFFF"/>
                <w:sz w:val="17"/>
              </w:rPr>
              <w:t>Module</w:t>
            </w:r>
          </w:p>
        </w:tc>
      </w:tr>
      <w:tr>
        <w:trPr>
          <w:cantSplit/>
        </w:trPr>
        <w:tc>
          <w:tcPr>
            <w:tcW w:type="dxa" w:w="1446"/>
          </w:tcPr>
          <w:p>
            <w:pPr>
              <w:spacing w:after="20" w:before="20"/>
            </w:pPr>
            <w:r/>
            <w:r>
              <w:rPr>
                <w:rFonts w:ascii="Consolas" w:hAnsi="Consolas"/>
                <w:b/>
                <w:i w:val="0"/>
                <w:color w:val="123A63"/>
                <w:sz w:val="17"/>
                <w:shd w:val="clear" w:color="auto" w:fill="EEF2F7"/>
              </w:rPr>
              <w:t>ST03</w:t>
            </w:r>
            <w:r>
              <w:rPr>
                <w:rFonts w:ascii="Calibri" w:hAnsi="Calibri"/>
                <w:b/>
                <w:i w:val="0"/>
                <w:color w:val="334E68"/>
                <w:sz w:val="17"/>
              </w:rPr>
              <w:t xml:space="preserve"> / </w:t>
            </w:r>
            <w:r>
              <w:rPr>
                <w:rFonts w:ascii="Consolas" w:hAnsi="Consolas"/>
                <w:b/>
                <w:i w:val="0"/>
                <w:color w:val="123A63"/>
                <w:sz w:val="17"/>
                <w:shd w:val="clear" w:color="auto" w:fill="EEF2F7"/>
              </w:rPr>
              <w:t>ST03N</w:t>
            </w:r>
          </w:p>
        </w:tc>
        <w:tc>
          <w:tcPr>
            <w:tcW w:type="dxa" w:w="2602"/>
          </w:tcPr>
          <w:p>
            <w:pPr>
              <w:spacing w:after="20" w:before="20"/>
            </w:pPr>
            <w:r/>
            <w:r>
              <w:rPr>
                <w:rFonts w:ascii="Calibri" w:hAnsi="Calibri"/>
                <w:b w:val="0"/>
                <w:i w:val="0"/>
                <w:color w:val="334E68"/>
                <w:sz w:val="17"/>
              </w:rPr>
              <w:t>Workload and performance analysis</w:t>
            </w:r>
          </w:p>
        </w:tc>
        <w:tc>
          <w:tcPr>
            <w:tcW w:type="dxa" w:w="4433"/>
          </w:tcPr>
          <w:p>
            <w:pPr>
              <w:spacing w:after="20" w:before="20"/>
            </w:pPr>
            <w:r/>
            <w:r>
              <w:rPr>
                <w:rFonts w:ascii="Calibri" w:hAnsi="Calibri"/>
                <w:b w:val="0"/>
                <w:i w:val="0"/>
                <w:color w:val="334E68"/>
                <w:sz w:val="17"/>
              </w:rPr>
              <w:t>Response, DB, CPU and wait time; steps and users; daily/weekly/monthly trend</w:t>
            </w:r>
          </w:p>
        </w:tc>
        <w:tc>
          <w:tcPr>
            <w:tcW w:type="dxa" w:w="1157"/>
          </w:tcPr>
          <w:p>
            <w:pPr>
              <w:spacing w:after="20" w:before="20"/>
            </w:pPr>
            <w:r/>
            <w:r>
              <w:rPr>
                <w:rFonts w:ascii="Calibri" w:hAnsi="Calibri"/>
                <w:b w:val="0"/>
                <w:i w:val="0"/>
                <w:color w:val="334E68"/>
                <w:sz w:val="17"/>
              </w:rPr>
              <w:t>5</w:t>
            </w:r>
          </w:p>
        </w:tc>
      </w:tr>
      <w:tr>
        <w:trPr>
          <w:cantSplit/>
        </w:trPr>
        <w:tc>
          <w:tcPr>
            <w:tcW w:type="dxa" w:w="1446"/>
            <w:shd w:val="clear" w:color="auto" w:fill="FAFBFD"/>
          </w:tcPr>
          <w:p>
            <w:pPr>
              <w:spacing w:after="20" w:before="20"/>
            </w:pPr>
            <w:r/>
            <w:r>
              <w:rPr>
                <w:rFonts w:ascii="Consolas" w:hAnsi="Consolas"/>
                <w:b/>
                <w:i w:val="0"/>
                <w:color w:val="123A63"/>
                <w:sz w:val="17"/>
                <w:shd w:val="clear" w:color="auto" w:fill="EEF2F7"/>
              </w:rPr>
              <w:t>STAD</w:t>
            </w:r>
          </w:p>
        </w:tc>
        <w:tc>
          <w:tcPr>
            <w:tcW w:type="dxa" w:w="2602"/>
            <w:shd w:val="clear" w:color="auto" w:fill="FAFBFD"/>
          </w:tcPr>
          <w:p>
            <w:pPr>
              <w:spacing w:after="20" w:before="20"/>
            </w:pPr>
            <w:r/>
            <w:r>
              <w:rPr>
                <w:rFonts w:ascii="Calibri" w:hAnsi="Calibri"/>
                <w:b w:val="0"/>
                <w:i w:val="0"/>
                <w:color w:val="334E68"/>
                <w:sz w:val="17"/>
              </w:rPr>
              <w:t>Detailed transaction and user-level performance analysis</w:t>
            </w:r>
          </w:p>
        </w:tc>
        <w:tc>
          <w:tcPr>
            <w:tcW w:type="dxa" w:w="4433"/>
            <w:shd w:val="clear" w:color="auto" w:fill="FAFBFD"/>
          </w:tcPr>
          <w:p>
            <w:pPr>
              <w:spacing w:after="20" w:before="20"/>
            </w:pPr>
            <w:r/>
            <w:r>
              <w:rPr>
                <w:rFonts w:ascii="Calibri" w:hAnsi="Calibri"/>
                <w:b w:val="0"/>
                <w:i w:val="0"/>
                <w:color w:val="334E68"/>
                <w:sz w:val="17"/>
              </w:rPr>
              <w:t>Individual statistical records behind the aggregates: the slow steps and where the time went</w:t>
            </w:r>
          </w:p>
        </w:tc>
        <w:tc>
          <w:tcPr>
            <w:tcW w:type="dxa" w:w="1157"/>
            <w:shd w:val="clear" w:color="auto" w:fill="FAFBFD"/>
          </w:tcPr>
          <w:p>
            <w:pPr>
              <w:spacing w:after="20" w:before="20"/>
            </w:pPr>
            <w:r/>
            <w:r>
              <w:rPr>
                <w:rFonts w:ascii="Calibri" w:hAnsi="Calibri"/>
                <w:b w:val="0"/>
                <w:i w:val="0"/>
                <w:color w:val="334E68"/>
                <w:sz w:val="17"/>
              </w:rPr>
              <w:t>5</w:t>
            </w:r>
          </w:p>
        </w:tc>
      </w:tr>
      <w:tr>
        <w:trPr>
          <w:cantSplit/>
        </w:trPr>
        <w:tc>
          <w:tcPr>
            <w:tcW w:type="dxa" w:w="1446"/>
          </w:tcPr>
          <w:p>
            <w:pPr>
              <w:spacing w:after="20" w:before="20"/>
            </w:pPr>
            <w:r/>
            <w:r>
              <w:rPr>
                <w:rFonts w:ascii="Consolas" w:hAnsi="Consolas"/>
                <w:b/>
                <w:i w:val="0"/>
                <w:color w:val="123A63"/>
                <w:sz w:val="17"/>
                <w:shd w:val="clear" w:color="auto" w:fill="EEF2F7"/>
              </w:rPr>
              <w:t>ST02</w:t>
            </w:r>
          </w:p>
        </w:tc>
        <w:tc>
          <w:tcPr>
            <w:tcW w:type="dxa" w:w="2602"/>
          </w:tcPr>
          <w:p>
            <w:pPr>
              <w:spacing w:after="20" w:before="20"/>
            </w:pPr>
            <w:r/>
            <w:r>
              <w:rPr>
                <w:rFonts w:ascii="Calibri" w:hAnsi="Calibri"/>
                <w:b w:val="0"/>
                <w:i w:val="0"/>
                <w:color w:val="334E68"/>
                <w:sz w:val="17"/>
              </w:rPr>
              <w:t>SAP memory and buffer monitoring</w:t>
            </w:r>
          </w:p>
        </w:tc>
        <w:tc>
          <w:tcPr>
            <w:tcW w:type="dxa" w:w="4433"/>
          </w:tcPr>
          <w:p>
            <w:pPr>
              <w:spacing w:after="20" w:before="20"/>
            </w:pPr>
            <w:r/>
            <w:r>
              <w:rPr>
                <w:rFonts w:ascii="Calibri" w:hAnsi="Calibri"/>
                <w:b w:val="0"/>
                <w:i w:val="0"/>
                <w:color w:val="334E68"/>
                <w:sz w:val="17"/>
              </w:rPr>
              <w:t>Extended, heap/private, roll, paging; buffer utilisation and hit ratio</w:t>
            </w:r>
          </w:p>
        </w:tc>
        <w:tc>
          <w:tcPr>
            <w:tcW w:type="dxa" w:w="1157"/>
          </w:tcPr>
          <w:p>
            <w:pPr>
              <w:spacing w:after="20" w:before="20"/>
            </w:pPr>
            <w:r/>
            <w:r>
              <w:rPr>
                <w:rFonts w:ascii="Calibri" w:hAnsi="Calibri"/>
                <w:b w:val="0"/>
                <w:i w:val="0"/>
                <w:color w:val="334E68"/>
                <w:sz w:val="17"/>
              </w:rPr>
              <w:t>5</w:t>
            </w:r>
          </w:p>
        </w:tc>
      </w:tr>
      <w:tr>
        <w:trPr>
          <w:cantSplit/>
        </w:trPr>
        <w:tc>
          <w:tcPr>
            <w:tcW w:type="dxa" w:w="1446"/>
            <w:shd w:val="clear" w:color="auto" w:fill="FAFBFD"/>
          </w:tcPr>
          <w:p>
            <w:pPr>
              <w:spacing w:after="20" w:before="20"/>
            </w:pPr>
            <w:r/>
            <w:r>
              <w:rPr>
                <w:rFonts w:ascii="Consolas" w:hAnsi="Consolas"/>
                <w:b/>
                <w:i w:val="0"/>
                <w:color w:val="123A63"/>
                <w:sz w:val="17"/>
                <w:shd w:val="clear" w:color="auto" w:fill="EEF2F7"/>
              </w:rPr>
              <w:t>AL11</w:t>
            </w:r>
          </w:p>
        </w:tc>
        <w:tc>
          <w:tcPr>
            <w:tcW w:type="dxa" w:w="2602"/>
            <w:shd w:val="clear" w:color="auto" w:fill="FAFBFD"/>
          </w:tcPr>
          <w:p>
            <w:pPr>
              <w:spacing w:after="20" w:before="20"/>
            </w:pPr>
            <w:r/>
            <w:r>
              <w:rPr>
                <w:rFonts w:ascii="Calibri" w:hAnsi="Calibri"/>
                <w:b w:val="0"/>
                <w:i w:val="0"/>
                <w:color w:val="334E68"/>
                <w:sz w:val="17"/>
              </w:rPr>
              <w:t>SAP directory analysis and interface/custom directory validation</w:t>
            </w:r>
          </w:p>
        </w:tc>
        <w:tc>
          <w:tcPr>
            <w:tcW w:type="dxa" w:w="4433"/>
            <w:shd w:val="clear" w:color="auto" w:fill="FAFBFD"/>
          </w:tcPr>
          <w:p>
            <w:pPr>
              <w:spacing w:after="20" w:before="20"/>
            </w:pPr>
            <w:r/>
            <w:r>
              <w:rPr>
                <w:rFonts w:ascii="Calibri" w:hAnsi="Calibri"/>
                <w:b w:val="0"/>
                <w:i w:val="0"/>
                <w:color w:val="334E68"/>
                <w:sz w:val="17"/>
              </w:rPr>
              <w:t>Directory presence, content, permissions and changes versus the baseline</w:t>
            </w:r>
          </w:p>
        </w:tc>
        <w:tc>
          <w:tcPr>
            <w:tcW w:type="dxa" w:w="1157"/>
            <w:shd w:val="clear" w:color="auto" w:fill="FAFBFD"/>
          </w:tcPr>
          <w:p>
            <w:pPr>
              <w:spacing w:after="20" w:before="20"/>
            </w:pPr>
            <w:r/>
            <w:r>
              <w:rPr>
                <w:rFonts w:ascii="Calibri" w:hAnsi="Calibri"/>
                <w:b w:val="0"/>
                <w:i w:val="0"/>
                <w:color w:val="334E68"/>
                <w:sz w:val="17"/>
              </w:rPr>
              <w:t>1, 4</w:t>
            </w:r>
          </w:p>
        </w:tc>
      </w:tr>
      <w:tr>
        <w:trPr>
          <w:cantSplit/>
        </w:trPr>
        <w:tc>
          <w:tcPr>
            <w:tcW w:type="dxa" w:w="1446"/>
          </w:tcPr>
          <w:p>
            <w:pPr>
              <w:spacing w:after="20" w:before="20"/>
            </w:pPr>
            <w:r/>
            <w:r>
              <w:rPr>
                <w:rFonts w:ascii="Consolas" w:hAnsi="Consolas"/>
                <w:b/>
                <w:i w:val="0"/>
                <w:color w:val="123A63"/>
                <w:sz w:val="17"/>
                <w:shd w:val="clear" w:color="auto" w:fill="EEF2F7"/>
              </w:rPr>
              <w:t>SM59</w:t>
            </w:r>
          </w:p>
        </w:tc>
        <w:tc>
          <w:tcPr>
            <w:tcW w:type="dxa" w:w="2602"/>
          </w:tcPr>
          <w:p>
            <w:pPr>
              <w:spacing w:after="20" w:before="20"/>
            </w:pPr>
            <w:r/>
            <w:r>
              <w:rPr>
                <w:rFonts w:ascii="Calibri" w:hAnsi="Calibri"/>
                <w:b w:val="0"/>
                <w:i w:val="0"/>
                <w:color w:val="334E68"/>
                <w:sz w:val="17"/>
              </w:rPr>
              <w:t>RFC destination and connectivity validation</w:t>
            </w:r>
          </w:p>
        </w:tc>
        <w:tc>
          <w:tcPr>
            <w:tcW w:type="dxa" w:w="4433"/>
          </w:tcPr>
          <w:p>
            <w:pPr>
              <w:spacing w:after="20" w:before="20"/>
            </w:pPr>
            <w:r/>
            <w:r>
              <w:rPr>
                <w:rFonts w:ascii="Calibri" w:hAnsi="Calibri"/>
                <w:b w:val="0"/>
                <w:i w:val="0"/>
                <w:color w:val="334E68"/>
                <w:sz w:val="17"/>
              </w:rPr>
              <w:t>Destinations by type, connection test result, logon and authentication</w:t>
            </w:r>
          </w:p>
        </w:tc>
        <w:tc>
          <w:tcPr>
            <w:tcW w:type="dxa" w:w="1157"/>
          </w:tcPr>
          <w:p>
            <w:pPr>
              <w:spacing w:after="20" w:before="20"/>
            </w:pPr>
            <w:r/>
            <w:r>
              <w:rPr>
                <w:rFonts w:ascii="Calibri" w:hAnsi="Calibri"/>
                <w:b w:val="0"/>
                <w:i w:val="0"/>
                <w:color w:val="334E68"/>
                <w:sz w:val="17"/>
              </w:rPr>
              <w:t>1, 4, 7</w:t>
            </w:r>
          </w:p>
        </w:tc>
      </w:tr>
      <w:tr>
        <w:trPr>
          <w:cantSplit/>
        </w:trPr>
        <w:tc>
          <w:tcPr>
            <w:tcW w:type="dxa" w:w="1446"/>
            <w:shd w:val="clear" w:color="auto" w:fill="FAFBFD"/>
          </w:tcPr>
          <w:p>
            <w:pPr>
              <w:spacing w:after="20" w:before="20"/>
            </w:pPr>
            <w:r/>
            <w:r>
              <w:rPr>
                <w:rFonts w:ascii="Consolas" w:hAnsi="Consolas"/>
                <w:b/>
                <w:i w:val="0"/>
                <w:color w:val="123A63"/>
                <w:sz w:val="17"/>
                <w:shd w:val="clear" w:color="auto" w:fill="EEF2F7"/>
              </w:rPr>
              <w:t>SMGW</w:t>
            </w:r>
          </w:p>
        </w:tc>
        <w:tc>
          <w:tcPr>
            <w:tcW w:type="dxa" w:w="2602"/>
            <w:shd w:val="clear" w:color="auto" w:fill="FAFBFD"/>
          </w:tcPr>
          <w:p>
            <w:pPr>
              <w:spacing w:after="20" w:before="20"/>
            </w:pPr>
            <w:r/>
            <w:r>
              <w:rPr>
                <w:rFonts w:ascii="Calibri" w:hAnsi="Calibri"/>
                <w:b w:val="0"/>
                <w:i w:val="0"/>
                <w:color w:val="334E68"/>
                <w:sz w:val="17"/>
              </w:rPr>
              <w:t>SAP Gateway monitoring and troubleshooting</w:t>
            </w:r>
          </w:p>
        </w:tc>
        <w:tc>
          <w:tcPr>
            <w:tcW w:type="dxa" w:w="4433"/>
            <w:shd w:val="clear" w:color="auto" w:fill="FAFBFD"/>
          </w:tcPr>
          <w:p>
            <w:pPr>
              <w:spacing w:after="20" w:before="20"/>
            </w:pPr>
            <w:r/>
            <w:r>
              <w:rPr>
                <w:rFonts w:ascii="Calibri" w:hAnsi="Calibri"/>
                <w:b w:val="0"/>
                <w:i w:val="0"/>
                <w:color w:val="334E68"/>
                <w:sz w:val="17"/>
              </w:rPr>
              <w:t>Gateway status, active connections, unexpected or missing registrations</w:t>
            </w:r>
          </w:p>
        </w:tc>
        <w:tc>
          <w:tcPr>
            <w:tcW w:type="dxa" w:w="1157"/>
            <w:shd w:val="clear" w:color="auto" w:fill="FAFBFD"/>
          </w:tcPr>
          <w:p>
            <w:pPr>
              <w:spacing w:after="20" w:before="20"/>
            </w:pPr>
            <w:r/>
            <w:r>
              <w:rPr>
                <w:rFonts w:ascii="Calibri" w:hAnsi="Calibri"/>
                <w:b w:val="0"/>
                <w:i w:val="0"/>
                <w:color w:val="334E68"/>
                <w:sz w:val="17"/>
              </w:rPr>
              <w:t>4, 7</w:t>
            </w:r>
          </w:p>
        </w:tc>
      </w:tr>
      <w:tr>
        <w:trPr>
          <w:cantSplit/>
        </w:trPr>
        <w:tc>
          <w:tcPr>
            <w:tcW w:type="dxa" w:w="1446"/>
          </w:tcPr>
          <w:p>
            <w:pPr>
              <w:spacing w:after="20" w:before="20"/>
            </w:pPr>
            <w:r/>
            <w:r>
              <w:rPr>
                <w:rFonts w:ascii="Consolas" w:hAnsi="Consolas"/>
                <w:b/>
                <w:i w:val="0"/>
                <w:color w:val="123A63"/>
                <w:sz w:val="17"/>
                <w:shd w:val="clear" w:color="auto" w:fill="EEF2F7"/>
              </w:rPr>
              <w:t>SMICM</w:t>
            </w:r>
          </w:p>
        </w:tc>
        <w:tc>
          <w:tcPr>
            <w:tcW w:type="dxa" w:w="2602"/>
          </w:tcPr>
          <w:p>
            <w:pPr>
              <w:spacing w:after="20" w:before="20"/>
            </w:pPr>
            <w:r/>
            <w:r>
              <w:rPr>
                <w:rFonts w:ascii="Calibri" w:hAnsi="Calibri"/>
                <w:b w:val="0"/>
                <w:i w:val="0"/>
                <w:color w:val="334E68"/>
                <w:sz w:val="17"/>
              </w:rPr>
              <w:t>HTTP/HTTPS and ICM communication monitoring</w:t>
            </w:r>
          </w:p>
        </w:tc>
        <w:tc>
          <w:tcPr>
            <w:tcW w:type="dxa" w:w="4433"/>
          </w:tcPr>
          <w:p>
            <w:pPr>
              <w:spacing w:after="20" w:before="20"/>
            </w:pPr>
            <w:r/>
            <w:r>
              <w:rPr>
                <w:rFonts w:ascii="Calibri" w:hAnsi="Calibri"/>
                <w:b w:val="0"/>
                <w:i w:val="0"/>
                <w:color w:val="334E68"/>
                <w:sz w:val="17"/>
              </w:rPr>
              <w:t>ICM services and ports, URL handling, certificate binding, errors</w:t>
            </w:r>
          </w:p>
        </w:tc>
        <w:tc>
          <w:tcPr>
            <w:tcW w:type="dxa" w:w="1157"/>
          </w:tcPr>
          <w:p>
            <w:pPr>
              <w:spacing w:after="20" w:before="20"/>
            </w:pPr>
            <w:r/>
            <w:r>
              <w:rPr>
                <w:rFonts w:ascii="Calibri" w:hAnsi="Calibri"/>
                <w:b w:val="0"/>
                <w:i w:val="0"/>
                <w:color w:val="334E68"/>
                <w:sz w:val="17"/>
              </w:rPr>
              <w:t>4, 7</w:t>
            </w:r>
          </w:p>
        </w:tc>
      </w:tr>
      <w:tr>
        <w:trPr>
          <w:cantSplit/>
        </w:trPr>
        <w:tc>
          <w:tcPr>
            <w:tcW w:type="dxa" w:w="1446"/>
            <w:shd w:val="clear" w:color="auto" w:fill="FAFBFD"/>
          </w:tcPr>
          <w:p>
            <w:pPr>
              <w:spacing w:after="20" w:before="20"/>
            </w:pPr>
            <w:r/>
            <w:r>
              <w:rPr>
                <w:rFonts w:ascii="Consolas" w:hAnsi="Consolas"/>
                <w:b/>
                <w:i w:val="0"/>
                <w:color w:val="123A63"/>
                <w:sz w:val="17"/>
                <w:shd w:val="clear" w:color="auto" w:fill="EEF2F7"/>
              </w:rPr>
              <w:t>SM51</w:t>
            </w:r>
          </w:p>
        </w:tc>
        <w:tc>
          <w:tcPr>
            <w:tcW w:type="dxa" w:w="2602"/>
            <w:shd w:val="clear" w:color="auto" w:fill="FAFBFD"/>
          </w:tcPr>
          <w:p>
            <w:pPr>
              <w:spacing w:after="20" w:before="20"/>
            </w:pPr>
            <w:r/>
            <w:r>
              <w:rPr>
                <w:rFonts w:ascii="Calibri" w:hAnsi="Calibri"/>
                <w:b w:val="0"/>
                <w:i w:val="0"/>
                <w:color w:val="334E68"/>
                <w:sz w:val="17"/>
              </w:rPr>
              <w:t>Application server status and availability</w:t>
            </w:r>
          </w:p>
        </w:tc>
        <w:tc>
          <w:tcPr>
            <w:tcW w:type="dxa" w:w="4433"/>
            <w:shd w:val="clear" w:color="auto" w:fill="FAFBFD"/>
          </w:tcPr>
          <w:p>
            <w:pPr>
              <w:spacing w:after="20" w:before="20"/>
            </w:pPr>
            <w:r/>
            <w:r>
              <w:rPr>
                <w:rFonts w:ascii="Calibri" w:hAnsi="Calibri"/>
                <w:b w:val="0"/>
                <w:i w:val="0"/>
                <w:color w:val="334E68"/>
                <w:sz w:val="17"/>
              </w:rPr>
              <w:t>All planned instances active and registered; work process configuration</w:t>
            </w:r>
          </w:p>
        </w:tc>
        <w:tc>
          <w:tcPr>
            <w:tcW w:type="dxa" w:w="1157"/>
            <w:shd w:val="clear" w:color="auto" w:fill="FAFBFD"/>
          </w:tcPr>
          <w:p>
            <w:pPr>
              <w:spacing w:after="20" w:before="20"/>
            </w:pPr>
            <w:r/>
            <w:r>
              <w:rPr>
                <w:rFonts w:ascii="Calibri" w:hAnsi="Calibri"/>
                <w:b w:val="0"/>
                <w:i w:val="0"/>
                <w:color w:val="334E68"/>
                <w:sz w:val="17"/>
              </w:rPr>
              <w:t>4, 7</w:t>
            </w:r>
          </w:p>
        </w:tc>
      </w:tr>
      <w:tr>
        <w:trPr>
          <w:cantSplit/>
        </w:trPr>
        <w:tc>
          <w:tcPr>
            <w:tcW w:type="dxa" w:w="1446"/>
          </w:tcPr>
          <w:p>
            <w:pPr>
              <w:spacing w:after="20" w:before="20"/>
            </w:pPr>
            <w:r/>
            <w:r>
              <w:rPr>
                <w:rFonts w:ascii="Consolas" w:hAnsi="Consolas"/>
                <w:b/>
                <w:i w:val="0"/>
                <w:color w:val="123A63"/>
                <w:sz w:val="17"/>
                <w:shd w:val="clear" w:color="auto" w:fill="EEF2F7"/>
              </w:rPr>
              <w:t>STMS</w:t>
            </w:r>
            <w:r>
              <w:rPr>
                <w:rFonts w:ascii="Calibri" w:hAnsi="Calibri"/>
                <w:b/>
                <w:i w:val="0"/>
                <w:color w:val="334E68"/>
                <w:sz w:val="17"/>
              </w:rPr>
              <w:t xml:space="preserve"> / TMS</w:t>
            </w:r>
          </w:p>
        </w:tc>
        <w:tc>
          <w:tcPr>
            <w:tcW w:type="dxa" w:w="2602"/>
          </w:tcPr>
          <w:p>
            <w:pPr>
              <w:spacing w:after="20" w:before="20"/>
            </w:pPr>
            <w:r/>
            <w:r>
              <w:rPr>
                <w:rFonts w:ascii="Calibri" w:hAnsi="Calibri"/>
                <w:b w:val="0"/>
                <w:i w:val="0"/>
                <w:color w:val="334E68"/>
                <w:sz w:val="17"/>
              </w:rPr>
              <w:t>Transport landscape, domain, routes and transport directory</w:t>
            </w:r>
          </w:p>
        </w:tc>
        <w:tc>
          <w:tcPr>
            <w:tcW w:type="dxa" w:w="4433"/>
          </w:tcPr>
          <w:p>
            <w:pPr>
              <w:spacing w:after="20" w:before="20"/>
            </w:pPr>
            <w:r/>
            <w:r>
              <w:rPr>
                <w:rFonts w:ascii="Calibri" w:hAnsi="Calibri"/>
                <w:b w:val="0"/>
                <w:i w:val="0"/>
                <w:color w:val="334E68"/>
                <w:sz w:val="17"/>
              </w:rPr>
              <w:t>Domain controller, systems, routes, transport directory path, import test</w:t>
            </w:r>
          </w:p>
        </w:tc>
        <w:tc>
          <w:tcPr>
            <w:tcW w:type="dxa" w:w="1157"/>
          </w:tcPr>
          <w:p>
            <w:pPr>
              <w:spacing w:after="20" w:before="20"/>
            </w:pPr>
            <w:r/>
            <w:r>
              <w:rPr>
                <w:rFonts w:ascii="Calibri" w:hAnsi="Calibri"/>
                <w:b w:val="0"/>
                <w:i w:val="0"/>
                <w:color w:val="334E68"/>
                <w:sz w:val="17"/>
              </w:rPr>
              <w:t>4, 7</w:t>
            </w:r>
          </w:p>
        </w:tc>
      </w:tr>
      <w:tr>
        <w:trPr>
          <w:cantSplit/>
        </w:trPr>
        <w:tc>
          <w:tcPr>
            <w:tcW w:type="dxa" w:w="1446"/>
            <w:shd w:val="clear" w:color="auto" w:fill="FAFBFD"/>
          </w:tcPr>
          <w:p>
            <w:pPr>
              <w:spacing w:after="20" w:before="20"/>
            </w:pPr>
            <w:r/>
            <w:r>
              <w:rPr>
                <w:rFonts w:ascii="Consolas" w:hAnsi="Consolas"/>
                <w:b/>
                <w:i w:val="0"/>
                <w:color w:val="123A63"/>
                <w:sz w:val="17"/>
                <w:shd w:val="clear" w:color="auto" w:fill="EEF2F7"/>
              </w:rPr>
              <w:t>RZ10</w:t>
            </w:r>
          </w:p>
        </w:tc>
        <w:tc>
          <w:tcPr>
            <w:tcW w:type="dxa" w:w="2602"/>
            <w:shd w:val="clear" w:color="auto" w:fill="FAFBFD"/>
          </w:tcPr>
          <w:p>
            <w:pPr>
              <w:spacing w:after="20" w:before="20"/>
            </w:pPr>
            <w:r/>
            <w:r>
              <w:rPr>
                <w:rFonts w:ascii="Calibri" w:hAnsi="Calibri"/>
                <w:b w:val="0"/>
                <w:i w:val="0"/>
                <w:color w:val="334E68"/>
                <w:sz w:val="17"/>
              </w:rPr>
              <w:t>Persistent profile parameter maintenance</w:t>
            </w:r>
          </w:p>
        </w:tc>
        <w:tc>
          <w:tcPr>
            <w:tcW w:type="dxa" w:w="4433"/>
            <w:shd w:val="clear" w:color="auto" w:fill="FAFBFD"/>
          </w:tcPr>
          <w:p>
            <w:pPr>
              <w:spacing w:after="20" w:before="20"/>
            </w:pPr>
            <w:r/>
            <w:r>
              <w:rPr>
                <w:rFonts w:ascii="Calibri" w:hAnsi="Calibri"/>
                <w:b w:val="0"/>
                <w:i w:val="0"/>
                <w:color w:val="334E68"/>
                <w:sz w:val="17"/>
              </w:rPr>
              <w:t>Profile versions, imports, activation and the restart requirement per parameter</w:t>
            </w:r>
          </w:p>
        </w:tc>
        <w:tc>
          <w:tcPr>
            <w:tcW w:type="dxa" w:w="1157"/>
            <w:shd w:val="clear" w:color="auto" w:fill="FAFBFD"/>
          </w:tcPr>
          <w:p>
            <w:pPr>
              <w:spacing w:after="20" w:before="20"/>
            </w:pPr>
            <w:r/>
            <w:r>
              <w:rPr>
                <w:rFonts w:ascii="Calibri" w:hAnsi="Calibri"/>
                <w:b w:val="0"/>
                <w:i w:val="0"/>
                <w:color w:val="334E68"/>
                <w:sz w:val="17"/>
              </w:rPr>
              <w:t>5, 7</w:t>
            </w:r>
          </w:p>
        </w:tc>
      </w:tr>
      <w:tr>
        <w:trPr>
          <w:cantSplit/>
        </w:trPr>
        <w:tc>
          <w:tcPr>
            <w:tcW w:type="dxa" w:w="1446"/>
          </w:tcPr>
          <w:p>
            <w:pPr>
              <w:spacing w:after="20" w:before="20"/>
            </w:pPr>
            <w:r/>
            <w:r>
              <w:rPr>
                <w:rFonts w:ascii="Consolas" w:hAnsi="Consolas"/>
                <w:b/>
                <w:i w:val="0"/>
                <w:color w:val="123A63"/>
                <w:sz w:val="17"/>
                <w:shd w:val="clear" w:color="auto" w:fill="EEF2F7"/>
              </w:rPr>
              <w:t>RZ11</w:t>
            </w:r>
          </w:p>
        </w:tc>
        <w:tc>
          <w:tcPr>
            <w:tcW w:type="dxa" w:w="2602"/>
          </w:tcPr>
          <w:p>
            <w:pPr>
              <w:spacing w:after="20" w:before="20"/>
            </w:pPr>
            <w:r/>
            <w:r>
              <w:rPr>
                <w:rFonts w:ascii="Calibri" w:hAnsi="Calibri"/>
                <w:b w:val="0"/>
                <w:i w:val="0"/>
                <w:color w:val="334E68"/>
                <w:sz w:val="17"/>
              </w:rPr>
              <w:t>Dynamic/temporary parameter changes where supported</w:t>
            </w:r>
          </w:p>
        </w:tc>
        <w:tc>
          <w:tcPr>
            <w:tcW w:type="dxa" w:w="4433"/>
          </w:tcPr>
          <w:p>
            <w:pPr>
              <w:spacing w:after="20" w:before="20"/>
            </w:pPr>
            <w:r/>
            <w:r>
              <w:rPr>
                <w:rFonts w:ascii="Calibri" w:hAnsi="Calibri"/>
                <w:b w:val="0"/>
                <w:i w:val="0"/>
                <w:color w:val="334E68"/>
                <w:sz w:val="17"/>
              </w:rPr>
              <w:t>Current runtime value versus the profile value</w:t>
            </w:r>
          </w:p>
        </w:tc>
        <w:tc>
          <w:tcPr>
            <w:tcW w:type="dxa" w:w="1157"/>
          </w:tcPr>
          <w:p>
            <w:pPr>
              <w:spacing w:after="20" w:before="20"/>
            </w:pPr>
            <w:r/>
            <w:r>
              <w:rPr>
                <w:rFonts w:ascii="Calibri" w:hAnsi="Calibri"/>
                <w:b w:val="0"/>
                <w:i w:val="0"/>
                <w:color w:val="334E68"/>
                <w:sz w:val="17"/>
              </w:rPr>
              <w:t>5</w:t>
            </w:r>
          </w:p>
        </w:tc>
      </w:tr>
      <w:tr>
        <w:trPr>
          <w:cantSplit/>
        </w:trPr>
        <w:tc>
          <w:tcPr>
            <w:tcW w:type="dxa" w:w="1446"/>
            <w:shd w:val="clear" w:color="auto" w:fill="FAFBFD"/>
          </w:tcPr>
          <w:p>
            <w:pPr>
              <w:spacing w:after="20" w:before="20"/>
            </w:pPr>
            <w:r/>
            <w:r>
              <w:rPr>
                <w:rFonts w:ascii="Consolas" w:hAnsi="Consolas"/>
                <w:b/>
                <w:i w:val="0"/>
                <w:color w:val="123A63"/>
                <w:sz w:val="17"/>
                <w:shd w:val="clear" w:color="auto" w:fill="EEF2F7"/>
              </w:rPr>
              <w:t>DB02</w:t>
            </w:r>
          </w:p>
        </w:tc>
        <w:tc>
          <w:tcPr>
            <w:tcW w:type="dxa" w:w="2602"/>
            <w:shd w:val="clear" w:color="auto" w:fill="FAFBFD"/>
          </w:tcPr>
          <w:p>
            <w:pPr>
              <w:spacing w:after="20" w:before="20"/>
            </w:pPr>
            <w:r/>
            <w:r>
              <w:rPr>
                <w:rFonts w:ascii="Calibri" w:hAnsi="Calibri"/>
                <w:b w:val="0"/>
                <w:i w:val="0"/>
                <w:color w:val="334E68"/>
                <w:sz w:val="17"/>
              </w:rPr>
              <w:t>Database status, storage and tablespace information</w:t>
            </w:r>
          </w:p>
        </w:tc>
        <w:tc>
          <w:tcPr>
            <w:tcW w:type="dxa" w:w="4433"/>
            <w:shd w:val="clear" w:color="auto" w:fill="FAFBFD"/>
          </w:tcPr>
          <w:p>
            <w:pPr>
              <w:spacing w:after="20" w:before="20"/>
            </w:pPr>
            <w:r/>
            <w:r>
              <w:rPr>
                <w:rFonts w:ascii="Calibri" w:hAnsi="Calibri"/>
                <w:b w:val="0"/>
                <w:i w:val="0"/>
                <w:color w:val="334E68"/>
                <w:sz w:val="17"/>
              </w:rPr>
              <w:t>Space, tablespaces, growth, backup status (database-dependent views)</w:t>
            </w:r>
          </w:p>
        </w:tc>
        <w:tc>
          <w:tcPr>
            <w:tcW w:type="dxa" w:w="1157"/>
            <w:shd w:val="clear" w:color="auto" w:fill="FAFBFD"/>
          </w:tcPr>
          <w:p>
            <w:pPr>
              <w:spacing w:after="20" w:before="20"/>
            </w:pPr>
            <w:r/>
            <w:r>
              <w:rPr>
                <w:rFonts w:ascii="Calibri" w:hAnsi="Calibri"/>
                <w:b w:val="0"/>
                <w:i w:val="0"/>
                <w:color w:val="334E68"/>
                <w:sz w:val="17"/>
              </w:rPr>
              <w:t>4</w:t>
            </w:r>
          </w:p>
        </w:tc>
      </w:tr>
      <w:tr>
        <w:trPr>
          <w:cantSplit/>
        </w:trPr>
        <w:tc>
          <w:tcPr>
            <w:tcW w:type="dxa" w:w="1446"/>
          </w:tcPr>
          <w:p>
            <w:pPr>
              <w:spacing w:after="20" w:before="20"/>
            </w:pPr>
            <w:r/>
            <w:r>
              <w:rPr>
                <w:rFonts w:ascii="Consolas" w:hAnsi="Consolas"/>
                <w:b/>
                <w:i w:val="0"/>
                <w:color w:val="123A63"/>
                <w:sz w:val="17"/>
                <w:shd w:val="clear" w:color="auto" w:fill="EEF2F7"/>
              </w:rPr>
              <w:t>SPAD</w:t>
            </w:r>
          </w:p>
        </w:tc>
        <w:tc>
          <w:tcPr>
            <w:tcW w:type="dxa" w:w="2602"/>
          </w:tcPr>
          <w:p>
            <w:pPr>
              <w:spacing w:after="20" w:before="20"/>
            </w:pPr>
            <w:r/>
            <w:r>
              <w:rPr>
                <w:rFonts w:ascii="Calibri" w:hAnsi="Calibri"/>
                <w:b w:val="0"/>
                <w:i w:val="0"/>
                <w:color w:val="334E68"/>
                <w:sz w:val="17"/>
              </w:rPr>
              <w:t>Printer configuration and spool validation</w:t>
            </w:r>
          </w:p>
        </w:tc>
        <w:tc>
          <w:tcPr>
            <w:tcW w:type="dxa" w:w="4433"/>
          </w:tcPr>
          <w:p>
            <w:pPr>
              <w:spacing w:after="20" w:before="20"/>
            </w:pPr>
            <w:r/>
            <w:r>
              <w:rPr>
                <w:rFonts w:ascii="Calibri" w:hAnsi="Calibri"/>
                <w:b w:val="0"/>
                <w:i w:val="0"/>
                <w:color w:val="334E68"/>
                <w:sz w:val="17"/>
              </w:rPr>
              <w:t>Output devices, device types, host printers, test page</w:t>
            </w:r>
          </w:p>
        </w:tc>
        <w:tc>
          <w:tcPr>
            <w:tcW w:type="dxa" w:w="1157"/>
          </w:tcPr>
          <w:p>
            <w:pPr>
              <w:spacing w:after="20" w:before="20"/>
            </w:pPr>
            <w:r/>
            <w:r>
              <w:rPr>
                <w:rFonts w:ascii="Calibri" w:hAnsi="Calibri"/>
                <w:b w:val="0"/>
                <w:i w:val="0"/>
                <w:color w:val="334E68"/>
                <w:sz w:val="17"/>
              </w:rPr>
              <w:t>4, 7</w:t>
            </w:r>
          </w:p>
        </w:tc>
      </w:tr>
      <w:tr>
        <w:trPr>
          <w:cantSplit/>
        </w:trPr>
        <w:tc>
          <w:tcPr>
            <w:tcW w:type="dxa" w:w="1446"/>
            <w:shd w:val="clear" w:color="auto" w:fill="FAFBFD"/>
          </w:tcPr>
          <w:p>
            <w:pPr>
              <w:spacing w:after="20" w:before="20"/>
            </w:pPr>
            <w:r/>
            <w:r>
              <w:rPr>
                <w:rFonts w:ascii="Consolas" w:hAnsi="Consolas"/>
                <w:b/>
                <w:i w:val="0"/>
                <w:color w:val="123A63"/>
                <w:sz w:val="17"/>
                <w:shd w:val="clear" w:color="auto" w:fill="EEF2F7"/>
              </w:rPr>
              <w:t>SP01</w:t>
            </w:r>
          </w:p>
        </w:tc>
        <w:tc>
          <w:tcPr>
            <w:tcW w:type="dxa" w:w="2602"/>
            <w:shd w:val="clear" w:color="auto" w:fill="FAFBFD"/>
          </w:tcPr>
          <w:p>
            <w:pPr>
              <w:spacing w:after="20" w:before="20"/>
            </w:pPr>
            <w:r/>
            <w:r>
              <w:rPr>
                <w:rFonts w:ascii="Calibri" w:hAnsi="Calibri"/>
                <w:b w:val="0"/>
                <w:i w:val="0"/>
                <w:color w:val="334E68"/>
                <w:sz w:val="17"/>
              </w:rPr>
              <w:t>Spool requests</w:t>
            </w:r>
          </w:p>
        </w:tc>
        <w:tc>
          <w:tcPr>
            <w:tcW w:type="dxa" w:w="4433"/>
            <w:shd w:val="clear" w:color="auto" w:fill="FAFBFD"/>
          </w:tcPr>
          <w:p>
            <w:pPr>
              <w:spacing w:after="20" w:before="20"/>
            </w:pPr>
            <w:r/>
            <w:r>
              <w:rPr>
                <w:rFonts w:ascii="Calibri" w:hAnsi="Calibri"/>
                <w:b w:val="0"/>
                <w:i w:val="0"/>
                <w:color w:val="334E68"/>
                <w:sz w:val="17"/>
              </w:rPr>
              <w:t>Spool output present, no stuck or failed requests</w:t>
            </w:r>
          </w:p>
        </w:tc>
        <w:tc>
          <w:tcPr>
            <w:tcW w:type="dxa" w:w="1157"/>
            <w:shd w:val="clear" w:color="auto" w:fill="FAFBFD"/>
          </w:tcPr>
          <w:p>
            <w:pPr>
              <w:spacing w:after="20" w:before="20"/>
            </w:pPr>
            <w:r/>
            <w:r>
              <w:rPr>
                <w:rFonts w:ascii="Calibri" w:hAnsi="Calibri"/>
                <w:b w:val="0"/>
                <w:i w:val="0"/>
                <w:color w:val="334E68"/>
                <w:sz w:val="17"/>
              </w:rPr>
              <w:t>4, 7</w:t>
            </w:r>
          </w:p>
        </w:tc>
      </w:tr>
      <w:tr>
        <w:trPr>
          <w:cantSplit/>
        </w:trPr>
        <w:tc>
          <w:tcPr>
            <w:tcW w:type="dxa" w:w="1446"/>
          </w:tcPr>
          <w:p>
            <w:pPr>
              <w:spacing w:after="20" w:before="20"/>
            </w:pPr>
            <w:r/>
            <w:r>
              <w:rPr>
                <w:rFonts w:ascii="Consolas" w:hAnsi="Consolas"/>
                <w:b/>
                <w:i w:val="0"/>
                <w:color w:val="123A63"/>
                <w:sz w:val="17"/>
                <w:shd w:val="clear" w:color="auto" w:fill="EEF2F7"/>
              </w:rPr>
              <w:t>STRUST</w:t>
            </w:r>
          </w:p>
        </w:tc>
        <w:tc>
          <w:tcPr>
            <w:tcW w:type="dxa" w:w="2602"/>
          </w:tcPr>
          <w:p>
            <w:pPr>
              <w:spacing w:after="20" w:before="20"/>
            </w:pPr>
            <w:r/>
            <w:r>
              <w:rPr>
                <w:rFonts w:ascii="Calibri" w:hAnsi="Calibri"/>
                <w:b w:val="0"/>
                <w:i w:val="0"/>
                <w:color w:val="334E68"/>
                <w:sz w:val="17"/>
              </w:rPr>
              <w:t>Certificate and PSE management</w:t>
            </w:r>
          </w:p>
        </w:tc>
        <w:tc>
          <w:tcPr>
            <w:tcW w:type="dxa" w:w="4433"/>
          </w:tcPr>
          <w:p>
            <w:pPr>
              <w:spacing w:after="20" w:before="20"/>
            </w:pPr>
            <w:r/>
            <w:r>
              <w:rPr>
                <w:rFonts w:ascii="Calibri" w:hAnsi="Calibri"/>
                <w:b w:val="0"/>
                <w:i w:val="0"/>
                <w:color w:val="334E68"/>
                <w:sz w:val="17"/>
              </w:rPr>
              <w:t>Certificate validity, chain, hostname/domain match, expiry</w:t>
            </w:r>
          </w:p>
        </w:tc>
        <w:tc>
          <w:tcPr>
            <w:tcW w:type="dxa" w:w="1157"/>
          </w:tcPr>
          <w:p>
            <w:pPr>
              <w:spacing w:after="20" w:before="20"/>
            </w:pPr>
            <w:r/>
            <w:r>
              <w:rPr>
                <w:rFonts w:ascii="Calibri" w:hAnsi="Calibri"/>
                <w:b w:val="0"/>
                <w:i w:val="0"/>
                <w:color w:val="334E68"/>
                <w:sz w:val="17"/>
              </w:rPr>
              <w:t>4, 7</w:t>
            </w:r>
          </w:p>
        </w:tc>
      </w:tr>
      <w:tr>
        <w:trPr>
          <w:cantSplit/>
        </w:trPr>
        <w:tc>
          <w:tcPr>
            <w:tcW w:type="dxa" w:w="1446"/>
            <w:shd w:val="clear" w:color="auto" w:fill="FAFBFD"/>
          </w:tcPr>
          <w:p>
            <w:pPr>
              <w:spacing w:after="20" w:before="20"/>
            </w:pPr>
            <w:r/>
            <w:r>
              <w:rPr>
                <w:rFonts w:ascii="Consolas" w:hAnsi="Consolas"/>
                <w:b/>
                <w:i w:val="0"/>
                <w:color w:val="123A63"/>
                <w:sz w:val="17"/>
                <w:shd w:val="clear" w:color="auto" w:fill="EEF2F7"/>
              </w:rPr>
              <w:t>SLICENSE</w:t>
            </w:r>
          </w:p>
        </w:tc>
        <w:tc>
          <w:tcPr>
            <w:tcW w:type="dxa" w:w="2602"/>
            <w:shd w:val="clear" w:color="auto" w:fill="FAFBFD"/>
          </w:tcPr>
          <w:p>
            <w:pPr>
              <w:spacing w:after="20" w:before="20"/>
            </w:pPr>
            <w:r/>
            <w:r>
              <w:rPr>
                <w:rFonts w:ascii="Calibri" w:hAnsi="Calibri"/>
                <w:b w:val="0"/>
                <w:i w:val="0"/>
                <w:color w:val="334E68"/>
                <w:sz w:val="17"/>
              </w:rPr>
              <w:t>SAP license administration</w:t>
            </w:r>
          </w:p>
        </w:tc>
        <w:tc>
          <w:tcPr>
            <w:tcW w:type="dxa" w:w="4433"/>
            <w:shd w:val="clear" w:color="auto" w:fill="FAFBFD"/>
          </w:tcPr>
          <w:p>
            <w:pPr>
              <w:spacing w:after="20" w:before="20"/>
            </w:pPr>
            <w:r/>
            <w:r>
              <w:rPr>
                <w:rFonts w:ascii="Calibri" w:hAnsi="Calibri"/>
                <w:b w:val="0"/>
                <w:i w:val="0"/>
                <w:color w:val="334E68"/>
                <w:sz w:val="17"/>
              </w:rPr>
              <w:t>Hardware key after migration, installed license, temporary-license expiry</w:t>
            </w:r>
          </w:p>
        </w:tc>
        <w:tc>
          <w:tcPr>
            <w:tcW w:type="dxa" w:w="1157"/>
            <w:shd w:val="clear" w:color="auto" w:fill="FAFBFD"/>
          </w:tcPr>
          <w:p>
            <w:pPr>
              <w:spacing w:after="20" w:before="20"/>
            </w:pPr>
            <w:r/>
            <w:r>
              <w:rPr>
                <w:rFonts w:ascii="Calibri" w:hAnsi="Calibri"/>
                <w:b w:val="0"/>
                <w:i w:val="0"/>
                <w:color w:val="334E68"/>
                <w:sz w:val="17"/>
              </w:rPr>
              <w:t>4</w:t>
            </w:r>
          </w:p>
        </w:tc>
      </w:tr>
      <w:tr>
        <w:trPr>
          <w:cantSplit/>
        </w:trPr>
        <w:tc>
          <w:tcPr>
            <w:tcW w:type="dxa" w:w="1446"/>
          </w:tcPr>
          <w:p>
            <w:pPr>
              <w:spacing w:after="20" w:before="20"/>
            </w:pPr>
            <w:r/>
            <w:r>
              <w:rPr>
                <w:rFonts w:ascii="Consolas" w:hAnsi="Consolas"/>
                <w:b/>
                <w:i w:val="0"/>
                <w:color w:val="123A63"/>
                <w:sz w:val="17"/>
                <w:shd w:val="clear" w:color="auto" w:fill="EEF2F7"/>
              </w:rPr>
              <w:t>SA38</w:t>
            </w:r>
          </w:p>
        </w:tc>
        <w:tc>
          <w:tcPr>
            <w:tcW w:type="dxa" w:w="2602"/>
          </w:tcPr>
          <w:p>
            <w:pPr>
              <w:spacing w:after="20" w:before="20"/>
            </w:pPr>
            <w:r/>
            <w:r>
              <w:rPr>
                <w:rFonts w:ascii="Calibri" w:hAnsi="Calibri"/>
                <w:b w:val="0"/>
                <w:i w:val="0"/>
                <w:color w:val="334E68"/>
                <w:sz w:val="17"/>
              </w:rPr>
              <w:t>ABAP report execution (used for RFC connectivity reports)</w:t>
            </w:r>
          </w:p>
        </w:tc>
        <w:tc>
          <w:tcPr>
            <w:tcW w:type="dxa" w:w="4433"/>
          </w:tcPr>
          <w:p>
            <w:pPr>
              <w:spacing w:after="20" w:before="20"/>
            </w:pPr>
            <w:r/>
            <w:r>
              <w:rPr>
                <w:rFonts w:ascii="Calibri" w:hAnsi="Calibri"/>
                <w:b w:val="0"/>
                <w:i w:val="0"/>
                <w:color w:val="334E68"/>
                <w:sz w:val="17"/>
              </w:rPr>
              <w:t>Running the project's RFC/interface test report</w:t>
            </w:r>
          </w:p>
        </w:tc>
        <w:tc>
          <w:tcPr>
            <w:tcW w:type="dxa" w:w="1157"/>
          </w:tcPr>
          <w:p>
            <w:pPr>
              <w:spacing w:after="20" w:before="20"/>
            </w:pPr>
            <w:r/>
            <w:r>
              <w:rPr>
                <w:rFonts w:ascii="Calibri" w:hAnsi="Calibri"/>
                <w:b w:val="0"/>
                <w:i w:val="0"/>
                <w:color w:val="334E68"/>
                <w:sz w:val="17"/>
              </w:rPr>
              <w:t>1, 4</w:t>
            </w:r>
          </w:p>
        </w:tc>
      </w:tr>
      <w:tr>
        <w:trPr>
          <w:cantSplit/>
        </w:trPr>
        <w:tc>
          <w:tcPr>
            <w:tcW w:type="dxa" w:w="1446"/>
            <w:shd w:val="clear" w:color="auto" w:fill="FAFBFD"/>
          </w:tcPr>
          <w:p>
            <w:pPr>
              <w:spacing w:after="20" w:before="20"/>
            </w:pPr>
            <w:r/>
            <w:r>
              <w:rPr>
                <w:rFonts w:ascii="Consolas" w:hAnsi="Consolas"/>
                <w:b/>
                <w:i w:val="0"/>
                <w:color w:val="123A63"/>
                <w:sz w:val="17"/>
                <w:shd w:val="clear" w:color="auto" w:fill="EEF2F7"/>
              </w:rPr>
              <w:t>ST22</w:t>
            </w:r>
          </w:p>
        </w:tc>
        <w:tc>
          <w:tcPr>
            <w:tcW w:type="dxa" w:w="2602"/>
            <w:shd w:val="clear" w:color="auto" w:fill="FAFBFD"/>
          </w:tcPr>
          <w:p>
            <w:pPr>
              <w:spacing w:after="20" w:before="20"/>
            </w:pPr>
            <w:r/>
            <w:r>
              <w:rPr>
                <w:rFonts w:ascii="Calibri" w:hAnsi="Calibri"/>
                <w:b w:val="0"/>
                <w:i w:val="0"/>
                <w:color w:val="334E68"/>
                <w:sz w:val="17"/>
              </w:rPr>
              <w:t>ABAP runtime error analysis</w:t>
            </w:r>
          </w:p>
        </w:tc>
        <w:tc>
          <w:tcPr>
            <w:tcW w:type="dxa" w:w="4433"/>
            <w:shd w:val="clear" w:color="auto" w:fill="FAFBFD"/>
          </w:tcPr>
          <w:p>
            <w:pPr>
              <w:spacing w:after="20" w:before="20"/>
            </w:pPr>
            <w:r/>
            <w:r>
              <w:rPr>
                <w:rFonts w:ascii="Calibri" w:hAnsi="Calibri"/>
                <w:b w:val="0"/>
                <w:i w:val="0"/>
                <w:color w:val="334E68"/>
                <w:sz w:val="17"/>
              </w:rPr>
              <w:t>New or rising dumps after go-live</w:t>
            </w:r>
          </w:p>
        </w:tc>
        <w:tc>
          <w:tcPr>
            <w:tcW w:type="dxa" w:w="1157"/>
            <w:shd w:val="clear" w:color="auto" w:fill="FAFBFD"/>
          </w:tcPr>
          <w:p>
            <w:pPr>
              <w:spacing w:after="20" w:before="20"/>
            </w:pPr>
            <w:r/>
            <w:r>
              <w:rPr>
                <w:rFonts w:ascii="Calibri" w:hAnsi="Calibri"/>
                <w:b w:val="0"/>
                <w:i w:val="0"/>
                <w:color w:val="334E68"/>
                <w:sz w:val="17"/>
              </w:rPr>
              <w:t>7</w:t>
            </w:r>
          </w:p>
        </w:tc>
      </w:tr>
      <w:tr>
        <w:trPr>
          <w:cantSplit/>
        </w:trPr>
        <w:tc>
          <w:tcPr>
            <w:tcW w:type="dxa" w:w="1446"/>
          </w:tcPr>
          <w:p>
            <w:pPr>
              <w:spacing w:after="20" w:before="20"/>
            </w:pPr>
            <w:r/>
            <w:r>
              <w:rPr>
                <w:rFonts w:ascii="Consolas" w:hAnsi="Consolas"/>
                <w:b/>
                <w:i w:val="0"/>
                <w:color w:val="123A63"/>
                <w:sz w:val="17"/>
                <w:shd w:val="clear" w:color="auto" w:fill="EEF2F7"/>
              </w:rPr>
              <w:t>SM37</w:t>
            </w:r>
          </w:p>
        </w:tc>
        <w:tc>
          <w:tcPr>
            <w:tcW w:type="dxa" w:w="2602"/>
          </w:tcPr>
          <w:p>
            <w:pPr>
              <w:spacing w:after="20" w:before="20"/>
            </w:pPr>
            <w:r/>
            <w:r>
              <w:rPr>
                <w:rFonts w:ascii="Calibri" w:hAnsi="Calibri"/>
                <w:b w:val="0"/>
                <w:i w:val="0"/>
                <w:color w:val="334E68"/>
                <w:sz w:val="17"/>
              </w:rPr>
              <w:t>Background job overview</w:t>
            </w:r>
          </w:p>
        </w:tc>
        <w:tc>
          <w:tcPr>
            <w:tcW w:type="dxa" w:w="4433"/>
          </w:tcPr>
          <w:p>
            <w:pPr>
              <w:spacing w:after="20" w:before="20"/>
            </w:pPr>
            <w:r/>
            <w:r>
              <w:rPr>
                <w:rFonts w:ascii="Calibri" w:hAnsi="Calibri"/>
                <w:b w:val="0"/>
                <w:i w:val="0"/>
                <w:color w:val="334E68"/>
                <w:sz w:val="17"/>
              </w:rPr>
              <w:t>Job status after cutover: released, running, cancelled</w:t>
            </w:r>
          </w:p>
        </w:tc>
        <w:tc>
          <w:tcPr>
            <w:tcW w:type="dxa" w:w="1157"/>
          </w:tcPr>
          <w:p>
            <w:pPr>
              <w:spacing w:after="20" w:before="20"/>
            </w:pPr>
            <w:r/>
            <w:r>
              <w:rPr>
                <w:rFonts w:ascii="Calibri" w:hAnsi="Calibri"/>
                <w:b w:val="0"/>
                <w:i w:val="0"/>
                <w:color w:val="334E68"/>
                <w:sz w:val="17"/>
              </w:rPr>
              <w:t>7</w:t>
            </w:r>
          </w:p>
        </w:tc>
      </w:tr>
      <w:tr>
        <w:trPr>
          <w:cantSplit/>
        </w:trPr>
        <w:tc>
          <w:tcPr>
            <w:tcW w:type="dxa" w:w="1446"/>
            <w:shd w:val="clear" w:color="auto" w:fill="FAFBFD"/>
          </w:tcPr>
          <w:p>
            <w:pPr>
              <w:spacing w:after="20" w:before="20"/>
            </w:pPr>
            <w:r/>
            <w:r>
              <w:rPr>
                <w:rFonts w:ascii="Consolas" w:hAnsi="Consolas"/>
                <w:b/>
                <w:i w:val="0"/>
                <w:color w:val="123A63"/>
                <w:sz w:val="17"/>
                <w:shd w:val="clear" w:color="auto" w:fill="EEF2F7"/>
              </w:rPr>
              <w:t>SM13</w:t>
            </w:r>
          </w:p>
        </w:tc>
        <w:tc>
          <w:tcPr>
            <w:tcW w:type="dxa" w:w="2602"/>
            <w:shd w:val="clear" w:color="auto" w:fill="FAFBFD"/>
          </w:tcPr>
          <w:p>
            <w:pPr>
              <w:spacing w:after="20" w:before="20"/>
            </w:pPr>
            <w:r/>
            <w:r>
              <w:rPr>
                <w:rFonts w:ascii="Calibri" w:hAnsi="Calibri"/>
                <w:b w:val="0"/>
                <w:i w:val="0"/>
                <w:color w:val="334E68"/>
                <w:sz w:val="17"/>
              </w:rPr>
              <w:t>Update errors</w:t>
            </w:r>
          </w:p>
        </w:tc>
        <w:tc>
          <w:tcPr>
            <w:tcW w:type="dxa" w:w="4433"/>
            <w:shd w:val="clear" w:color="auto" w:fill="FAFBFD"/>
          </w:tcPr>
          <w:p>
            <w:pPr>
              <w:spacing w:after="20" w:before="20"/>
            </w:pPr>
            <w:r/>
            <w:r>
              <w:rPr>
                <w:rFonts w:ascii="Calibri" w:hAnsi="Calibri"/>
                <w:b w:val="0"/>
                <w:i w:val="0"/>
                <w:color w:val="334E68"/>
                <w:sz w:val="17"/>
              </w:rPr>
              <w:t>Stuck or failed update records — business-visible data issues</w:t>
            </w:r>
          </w:p>
        </w:tc>
        <w:tc>
          <w:tcPr>
            <w:tcW w:type="dxa" w:w="1157"/>
            <w:shd w:val="clear" w:color="auto" w:fill="FAFBFD"/>
          </w:tcPr>
          <w:p>
            <w:pPr>
              <w:spacing w:after="20" w:before="20"/>
            </w:pPr>
            <w:r/>
            <w:r>
              <w:rPr>
                <w:rFonts w:ascii="Calibri" w:hAnsi="Calibri"/>
                <w:b w:val="0"/>
                <w:i w:val="0"/>
                <w:color w:val="334E68"/>
                <w:sz w:val="17"/>
              </w:rPr>
              <w:t>7</w:t>
            </w:r>
          </w:p>
        </w:tc>
      </w:tr>
      <w:tr>
        <w:trPr>
          <w:cantSplit/>
        </w:trPr>
        <w:tc>
          <w:tcPr>
            <w:tcW w:type="dxa" w:w="1446"/>
          </w:tcPr>
          <w:p>
            <w:pPr>
              <w:spacing w:after="20" w:before="20"/>
            </w:pPr>
            <w:r/>
            <w:r>
              <w:rPr>
                <w:rFonts w:ascii="Consolas" w:hAnsi="Consolas"/>
                <w:b/>
                <w:i w:val="0"/>
                <w:color w:val="123A63"/>
                <w:sz w:val="17"/>
                <w:shd w:val="clear" w:color="auto" w:fill="EEF2F7"/>
              </w:rPr>
              <w:t>SM12</w:t>
            </w:r>
          </w:p>
        </w:tc>
        <w:tc>
          <w:tcPr>
            <w:tcW w:type="dxa" w:w="2602"/>
          </w:tcPr>
          <w:p>
            <w:pPr>
              <w:spacing w:after="20" w:before="20"/>
            </w:pPr>
            <w:r/>
            <w:r>
              <w:rPr>
                <w:rFonts w:ascii="Calibri" w:hAnsi="Calibri"/>
                <w:b w:val="0"/>
                <w:i w:val="0"/>
                <w:color w:val="334E68"/>
                <w:sz w:val="17"/>
              </w:rPr>
              <w:t>Lock entries</w:t>
            </w:r>
          </w:p>
        </w:tc>
        <w:tc>
          <w:tcPr>
            <w:tcW w:type="dxa" w:w="4433"/>
          </w:tcPr>
          <w:p>
            <w:pPr>
              <w:spacing w:after="20" w:before="20"/>
            </w:pPr>
            <w:r/>
            <w:r>
              <w:rPr>
                <w:rFonts w:ascii="Calibri" w:hAnsi="Calibri"/>
                <w:b w:val="0"/>
                <w:i w:val="0"/>
                <w:color w:val="334E68"/>
                <w:sz w:val="17"/>
              </w:rPr>
              <w:t>Stale or growing locks after go-live</w:t>
            </w:r>
          </w:p>
        </w:tc>
        <w:tc>
          <w:tcPr>
            <w:tcW w:type="dxa" w:w="1157"/>
          </w:tcPr>
          <w:p>
            <w:pPr>
              <w:spacing w:after="20" w:before="20"/>
            </w:pPr>
            <w:r/>
            <w:r>
              <w:rPr>
                <w:rFonts w:ascii="Calibri" w:hAnsi="Calibri"/>
                <w:b w:val="0"/>
                <w:i w:val="0"/>
                <w:color w:val="334E68"/>
                <w:sz w:val="17"/>
              </w:rPr>
              <w:t>7</w:t>
            </w:r>
          </w:p>
        </w:tc>
      </w:tr>
      <w:tr>
        <w:trPr>
          <w:cantSplit/>
        </w:trPr>
        <w:tc>
          <w:tcPr>
            <w:tcW w:type="dxa" w:w="1446"/>
            <w:shd w:val="clear" w:color="auto" w:fill="FAFBFD"/>
          </w:tcPr>
          <w:p>
            <w:pPr>
              <w:spacing w:after="20" w:before="20"/>
            </w:pPr>
            <w:r/>
            <w:r>
              <w:rPr>
                <w:rFonts w:ascii="Consolas" w:hAnsi="Consolas"/>
                <w:b/>
                <w:i w:val="0"/>
                <w:color w:val="123A63"/>
                <w:sz w:val="17"/>
                <w:shd w:val="clear" w:color="auto" w:fill="EEF2F7"/>
              </w:rPr>
              <w:t>WE02</w:t>
            </w:r>
            <w:r>
              <w:rPr>
                <w:rFonts w:ascii="Calibri" w:hAnsi="Calibri"/>
                <w:b/>
                <w:i w:val="0"/>
                <w:color w:val="334E68"/>
                <w:sz w:val="17"/>
              </w:rPr>
              <w:t xml:space="preserve"> / </w:t>
            </w:r>
            <w:r>
              <w:rPr>
                <w:rFonts w:ascii="Consolas" w:hAnsi="Consolas"/>
                <w:b/>
                <w:i w:val="0"/>
                <w:color w:val="123A63"/>
                <w:sz w:val="17"/>
                <w:shd w:val="clear" w:color="auto" w:fill="EEF2F7"/>
              </w:rPr>
              <w:t>BD87</w:t>
            </w:r>
          </w:p>
        </w:tc>
        <w:tc>
          <w:tcPr>
            <w:tcW w:type="dxa" w:w="2602"/>
            <w:shd w:val="clear" w:color="auto" w:fill="FAFBFD"/>
          </w:tcPr>
          <w:p>
            <w:pPr>
              <w:spacing w:after="20" w:before="20"/>
            </w:pPr>
            <w:r/>
            <w:r>
              <w:rPr>
                <w:rFonts w:ascii="Calibri" w:hAnsi="Calibri"/>
                <w:b w:val="0"/>
                <w:i w:val="0"/>
                <w:color w:val="334E68"/>
                <w:sz w:val="17"/>
              </w:rPr>
              <w:t>IDoc monitoring and processing</w:t>
            </w:r>
          </w:p>
        </w:tc>
        <w:tc>
          <w:tcPr>
            <w:tcW w:type="dxa" w:w="4433"/>
            <w:shd w:val="clear" w:color="auto" w:fill="FAFBFD"/>
          </w:tcPr>
          <w:p>
            <w:pPr>
              <w:spacing w:after="20" w:before="20"/>
            </w:pPr>
            <w:r/>
            <w:r>
              <w:rPr>
                <w:rFonts w:ascii="Calibri" w:hAnsi="Calibri"/>
                <w:b w:val="0"/>
                <w:i w:val="0"/>
                <w:color w:val="334E68"/>
                <w:sz w:val="17"/>
              </w:rPr>
              <w:t>Failed or stuck IDocs on interfaces</w:t>
            </w:r>
          </w:p>
        </w:tc>
        <w:tc>
          <w:tcPr>
            <w:tcW w:type="dxa" w:w="1157"/>
            <w:shd w:val="clear" w:color="auto" w:fill="FAFBFD"/>
          </w:tcPr>
          <w:p>
            <w:pPr>
              <w:spacing w:after="20" w:before="20"/>
            </w:pPr>
            <w:r/>
            <w:r>
              <w:rPr>
                <w:rFonts w:ascii="Calibri" w:hAnsi="Calibri"/>
                <w:b w:val="0"/>
                <w:i w:val="0"/>
                <w:color w:val="334E68"/>
                <w:sz w:val="17"/>
              </w:rPr>
              <w:t>7</w:t>
            </w:r>
          </w:p>
        </w:tc>
      </w:tr>
      <w:tr>
        <w:trPr>
          <w:cantSplit/>
        </w:trPr>
        <w:tc>
          <w:tcPr>
            <w:tcW w:type="dxa" w:w="1446"/>
          </w:tcPr>
          <w:p>
            <w:pPr>
              <w:spacing w:after="20" w:before="20"/>
            </w:pPr>
            <w:r/>
            <w:r>
              <w:rPr>
                <w:rFonts w:ascii="Calibri" w:hAnsi="Calibri"/>
                <w:b/>
                <w:i w:val="0"/>
                <w:color w:val="334E68"/>
                <w:sz w:val="17"/>
              </w:rPr>
              <w:t>Solution Manager / EarlyWatch</w:t>
            </w:r>
          </w:p>
        </w:tc>
        <w:tc>
          <w:tcPr>
            <w:tcW w:type="dxa" w:w="2602"/>
          </w:tcPr>
          <w:p>
            <w:pPr>
              <w:spacing w:after="20" w:before="20"/>
            </w:pPr>
            <w:r/>
            <w:r>
              <w:rPr>
                <w:rFonts w:ascii="Calibri" w:hAnsi="Calibri"/>
                <w:b w:val="0"/>
                <w:i w:val="0"/>
                <w:color w:val="334E68"/>
                <w:sz w:val="17"/>
              </w:rPr>
              <w:t>Central monitoring and SAP health information</w:t>
            </w:r>
          </w:p>
        </w:tc>
        <w:tc>
          <w:tcPr>
            <w:tcW w:type="dxa" w:w="4433"/>
          </w:tcPr>
          <w:p>
            <w:pPr>
              <w:spacing w:after="20" w:before="20"/>
            </w:pPr>
            <w:r/>
            <w:r>
              <w:rPr>
                <w:rFonts w:ascii="Calibri" w:hAnsi="Calibri"/>
                <w:b w:val="0"/>
                <w:i w:val="0"/>
                <w:color w:val="334E68"/>
                <w:sz w:val="17"/>
              </w:rPr>
              <w:t>Landscape health, configuration and performance reporting where available</w:t>
            </w:r>
          </w:p>
        </w:tc>
        <w:tc>
          <w:tcPr>
            <w:tcW w:type="dxa" w:w="1157"/>
          </w:tcPr>
          <w:p>
            <w:pPr>
              <w:spacing w:after="20" w:before="20"/>
            </w:pPr>
            <w:r/>
            <w:r>
              <w:rPr>
                <w:rFonts w:ascii="Calibri" w:hAnsi="Calibri"/>
                <w:b w:val="0"/>
                <w:i w:val="0"/>
                <w:color w:val="334E68"/>
                <w:sz w:val="17"/>
              </w:rPr>
              <w:t>5</w:t>
            </w:r>
          </w:p>
        </w:tc>
      </w:tr>
    </w:tbl>
    <w:p>
      <w:pPr>
        <w:spacing w:after="40"/>
      </w:pPr>
    </w:p>
    <w:p>
      <w:pPr>
        <w:pStyle w:val="Heading2"/>
        <w:pBdr>
          <w:bottom w:val="single" w:sz="6" w:space="3" w:color="E8EDF3"/>
        </w:pBdr>
      </w:pPr>
      <w:r>
        <w:rPr>
          <w:rFonts w:ascii="Calibri" w:hAnsi="Calibri"/>
          <w:b/>
          <w:color w:val="0F2B4C"/>
          <w:sz w:val="26"/>
        </w:rPr>
        <w:t>11.2  Database, platform and tooling reference</w:t>
      </w:r>
    </w:p>
    <w:p>
      <w:pPr>
        <w:spacing w:after="60" w:before="160"/>
        <w:keepNext/>
      </w:pPr>
      <w:r>
        <w:rPr>
          <w:rFonts w:ascii="Calibri" w:hAnsi="Calibri"/>
          <w:b/>
          <w:color w:val="5B7288"/>
          <w:sz w:val="15"/>
        </w:rPr>
        <w:t>TECHNOLOGY REFERENCE</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120"/>
        <w:gridCol w:w="5975"/>
        <w:gridCol w:w="1542"/>
      </w:tblGrid>
      <w:tr>
        <w:trPr>
          <w:tblHeader/>
          <w:cantSplit/>
        </w:trPr>
        <w:tc>
          <w:tcPr>
            <w:tcW w:type="dxa" w:w="2120"/>
            <w:shd w:val="clear" w:color="auto" w:fill="0F2B4C"/>
          </w:tcPr>
          <w:p>
            <w:pPr>
              <w:spacing w:after="20" w:before="20"/>
            </w:pPr>
            <w:r/>
            <w:r>
              <w:rPr>
                <w:rFonts w:ascii="Calibri" w:hAnsi="Calibri"/>
                <w:b/>
                <w:color w:val="FFFFFF"/>
                <w:sz w:val="17"/>
              </w:rPr>
              <w:t>Technology</w:t>
            </w:r>
          </w:p>
        </w:tc>
        <w:tc>
          <w:tcPr>
            <w:tcW w:type="dxa" w:w="5975"/>
            <w:shd w:val="clear" w:color="auto" w:fill="0F2B4C"/>
          </w:tcPr>
          <w:p>
            <w:pPr>
              <w:spacing w:after="20" w:before="20"/>
            </w:pPr>
            <w:r/>
            <w:r>
              <w:rPr>
                <w:rFonts w:ascii="Calibri" w:hAnsi="Calibri"/>
                <w:b/>
                <w:color w:val="FFFFFF"/>
                <w:sz w:val="17"/>
              </w:rPr>
              <w:t>Purpose in this training</w:t>
            </w:r>
          </w:p>
        </w:tc>
        <w:tc>
          <w:tcPr>
            <w:tcW w:type="dxa" w:w="1542"/>
            <w:shd w:val="clear" w:color="auto" w:fill="0F2B4C"/>
          </w:tcPr>
          <w:p>
            <w:pPr>
              <w:spacing w:after="20" w:before="20"/>
            </w:pPr>
            <w:r/>
            <w:r>
              <w:rPr>
                <w:rFonts w:ascii="Calibri" w:hAnsi="Calibri"/>
                <w:b/>
                <w:color w:val="FFFFFF"/>
                <w:sz w:val="17"/>
              </w:rPr>
              <w:t>Module</w:t>
            </w:r>
          </w:p>
        </w:tc>
      </w:tr>
      <w:tr>
        <w:trPr>
          <w:cantSplit/>
        </w:trPr>
        <w:tc>
          <w:tcPr>
            <w:tcW w:type="dxa" w:w="2120"/>
          </w:tcPr>
          <w:p>
            <w:pPr>
              <w:spacing w:after="20" w:before="20"/>
            </w:pPr>
            <w:r/>
            <w:r>
              <w:rPr>
                <w:rFonts w:ascii="Calibri" w:hAnsi="Calibri"/>
                <w:b/>
                <w:i w:val="0"/>
                <w:color w:val="334E68"/>
                <w:sz w:val="17"/>
              </w:rPr>
              <w:t>Oracle Data Guard</w:t>
            </w:r>
          </w:p>
        </w:tc>
        <w:tc>
          <w:tcPr>
            <w:tcW w:type="dxa" w:w="5975"/>
          </w:tcPr>
          <w:p>
            <w:pPr>
              <w:spacing w:after="20" w:before="20"/>
            </w:pPr>
            <w:r/>
            <w:r>
              <w:rPr>
                <w:rFonts w:ascii="Calibri" w:hAnsi="Calibri"/>
                <w:b w:val="0"/>
                <w:i w:val="0"/>
                <w:color w:val="334E68"/>
                <w:sz w:val="17"/>
              </w:rPr>
              <w:t>Database replication and planned switchover mechanism in the discussed Oracle scenario</w:t>
            </w:r>
          </w:p>
        </w:tc>
        <w:tc>
          <w:tcPr>
            <w:tcW w:type="dxa" w:w="1542"/>
          </w:tcPr>
          <w:p>
            <w:pPr>
              <w:spacing w:after="20" w:before="20"/>
            </w:pPr>
            <w:r/>
            <w:r>
              <w:rPr>
                <w:rFonts w:ascii="Calibri" w:hAnsi="Calibri"/>
                <w:b w:val="0"/>
                <w:i w:val="0"/>
                <w:color w:val="334E68"/>
                <w:sz w:val="17"/>
              </w:rPr>
              <w:t>6</w:t>
            </w:r>
          </w:p>
        </w:tc>
      </w:tr>
      <w:tr>
        <w:trPr>
          <w:cantSplit/>
        </w:trPr>
        <w:tc>
          <w:tcPr>
            <w:tcW w:type="dxa" w:w="2120"/>
            <w:shd w:val="clear" w:color="auto" w:fill="FAFBFD"/>
          </w:tcPr>
          <w:p>
            <w:pPr>
              <w:spacing w:after="20" w:before="20"/>
            </w:pPr>
            <w:r/>
            <w:r>
              <w:rPr>
                <w:rFonts w:ascii="Calibri" w:hAnsi="Calibri"/>
                <w:b/>
                <w:i w:val="0"/>
                <w:color w:val="334E68"/>
                <w:sz w:val="17"/>
              </w:rPr>
              <w:t xml:space="preserve">Oracle </w:t>
            </w:r>
            <w:r>
              <w:rPr>
                <w:rFonts w:ascii="Consolas" w:hAnsi="Consolas"/>
                <w:b/>
                <w:i w:val="0"/>
                <w:color w:val="123A63"/>
                <w:sz w:val="17"/>
                <w:shd w:val="clear" w:color="auto" w:fill="EEF2F7"/>
              </w:rPr>
              <w:t>DBVERIFY</w:t>
            </w:r>
            <w:r>
              <w:rPr>
                <w:rFonts w:ascii="Calibri" w:hAnsi="Calibri"/>
                <w:b/>
                <w:i w:val="0"/>
                <w:color w:val="334E68"/>
                <w:sz w:val="17"/>
              </w:rPr>
              <w:t xml:space="preserve"> (</w:t>
            </w:r>
            <w:r>
              <w:rPr>
                <w:rFonts w:ascii="Consolas" w:hAnsi="Consolas"/>
                <w:b/>
                <w:i w:val="0"/>
                <w:color w:val="123A63"/>
                <w:sz w:val="17"/>
                <w:shd w:val="clear" w:color="auto" w:fill="EEF2F7"/>
              </w:rPr>
              <w:t>dbv</w:t>
            </w:r>
            <w:r>
              <w:rPr>
                <w:rFonts w:ascii="Calibri" w:hAnsi="Calibri"/>
                <w:b/>
                <w:i w:val="0"/>
                <w:color w:val="334E68"/>
                <w:sz w:val="17"/>
              </w:rPr>
              <w:t>)</w:t>
            </w:r>
          </w:p>
        </w:tc>
        <w:tc>
          <w:tcPr>
            <w:tcW w:type="dxa" w:w="5975"/>
            <w:shd w:val="clear" w:color="auto" w:fill="FAFBFD"/>
          </w:tcPr>
          <w:p>
            <w:pPr>
              <w:spacing w:after="20" w:before="20"/>
            </w:pPr>
            <w:r/>
            <w:r>
              <w:rPr>
                <w:rFonts w:ascii="Calibri" w:hAnsi="Calibri"/>
                <w:b w:val="0"/>
                <w:i w:val="0"/>
                <w:color w:val="334E68"/>
                <w:sz w:val="17"/>
              </w:rPr>
              <w:t>Block-level integrity check for database corruption after switchover</w:t>
            </w:r>
          </w:p>
        </w:tc>
        <w:tc>
          <w:tcPr>
            <w:tcW w:type="dxa" w:w="1542"/>
            <w:shd w:val="clear" w:color="auto" w:fill="FAFBFD"/>
          </w:tcPr>
          <w:p>
            <w:pPr>
              <w:spacing w:after="20" w:before="20"/>
            </w:pPr>
            <w:r/>
            <w:r>
              <w:rPr>
                <w:rFonts w:ascii="Calibri" w:hAnsi="Calibri"/>
                <w:b w:val="0"/>
                <w:i w:val="0"/>
                <w:color w:val="334E68"/>
                <w:sz w:val="17"/>
              </w:rPr>
              <w:t>6</w:t>
            </w:r>
          </w:p>
        </w:tc>
      </w:tr>
      <w:tr>
        <w:trPr>
          <w:cantSplit/>
        </w:trPr>
        <w:tc>
          <w:tcPr>
            <w:tcW w:type="dxa" w:w="2120"/>
          </w:tcPr>
          <w:p>
            <w:pPr>
              <w:spacing w:after="20" w:before="20"/>
            </w:pPr>
            <w:r/>
            <w:r>
              <w:rPr>
                <w:rFonts w:ascii="Calibri" w:hAnsi="Calibri"/>
                <w:b/>
                <w:i w:val="0"/>
                <w:color w:val="334E68"/>
                <w:sz w:val="17"/>
              </w:rPr>
              <w:t xml:space="preserve">Oracle </w:t>
            </w:r>
            <w:r>
              <w:rPr>
                <w:rFonts w:ascii="Consolas" w:hAnsi="Consolas"/>
                <w:b/>
                <w:i w:val="0"/>
                <w:color w:val="123A63"/>
                <w:sz w:val="17"/>
                <w:shd w:val="clear" w:color="auto" w:fill="EEF2F7"/>
              </w:rPr>
              <w:t>RMAN</w:t>
            </w:r>
          </w:p>
        </w:tc>
        <w:tc>
          <w:tcPr>
            <w:tcW w:type="dxa" w:w="5975"/>
          </w:tcPr>
          <w:p>
            <w:pPr>
              <w:spacing w:after="20" w:before="20"/>
            </w:pPr>
            <w:r/>
            <w:r>
              <w:rPr>
                <w:rFonts w:ascii="Calibri" w:hAnsi="Calibri"/>
                <w:b w:val="0"/>
                <w:i w:val="0"/>
                <w:color w:val="334E68"/>
                <w:sz w:val="17"/>
              </w:rPr>
              <w:t>Backup and recovery of the new primary after successful validation</w:t>
            </w:r>
          </w:p>
        </w:tc>
        <w:tc>
          <w:tcPr>
            <w:tcW w:type="dxa" w:w="1542"/>
          </w:tcPr>
          <w:p>
            <w:pPr>
              <w:spacing w:after="20" w:before="20"/>
            </w:pPr>
            <w:r/>
            <w:r>
              <w:rPr>
                <w:rFonts w:ascii="Calibri" w:hAnsi="Calibri"/>
                <w:b w:val="0"/>
                <w:i w:val="0"/>
                <w:color w:val="334E68"/>
                <w:sz w:val="17"/>
              </w:rPr>
              <w:t>6</w:t>
            </w:r>
          </w:p>
        </w:tc>
      </w:tr>
      <w:tr>
        <w:trPr>
          <w:cantSplit/>
        </w:trPr>
        <w:tc>
          <w:tcPr>
            <w:tcW w:type="dxa" w:w="2120"/>
            <w:shd w:val="clear" w:color="auto" w:fill="FAFBFD"/>
          </w:tcPr>
          <w:p>
            <w:pPr>
              <w:spacing w:after="20" w:before="20"/>
            </w:pPr>
            <w:r/>
            <w:r>
              <w:rPr>
                <w:rFonts w:ascii="Calibri" w:hAnsi="Calibri"/>
                <w:b/>
                <w:i w:val="0"/>
                <w:color w:val="334E68"/>
                <w:sz w:val="17"/>
              </w:rPr>
              <w:t>Oracle OEM agent</w:t>
            </w:r>
          </w:p>
        </w:tc>
        <w:tc>
          <w:tcPr>
            <w:tcW w:type="dxa" w:w="5975"/>
            <w:shd w:val="clear" w:color="auto" w:fill="FAFBFD"/>
          </w:tcPr>
          <w:p>
            <w:pPr>
              <w:spacing w:after="20" w:before="20"/>
            </w:pPr>
            <w:r/>
            <w:r>
              <w:rPr>
                <w:rFonts w:ascii="Calibri" w:hAnsi="Calibri"/>
                <w:b w:val="0"/>
                <w:i w:val="0"/>
                <w:color w:val="334E68"/>
                <w:sz w:val="17"/>
              </w:rPr>
              <w:t>Monitoring coverage restored on the new primary in production</w:t>
            </w:r>
          </w:p>
        </w:tc>
        <w:tc>
          <w:tcPr>
            <w:tcW w:type="dxa" w:w="1542"/>
            <w:shd w:val="clear" w:color="auto" w:fill="FAFBFD"/>
          </w:tcPr>
          <w:p>
            <w:pPr>
              <w:spacing w:after="20" w:before="20"/>
            </w:pPr>
            <w:r/>
            <w:r>
              <w:rPr>
                <w:rFonts w:ascii="Calibri" w:hAnsi="Calibri"/>
                <w:b w:val="0"/>
                <w:i w:val="0"/>
                <w:color w:val="334E68"/>
                <w:sz w:val="17"/>
              </w:rPr>
              <w:t>6</w:t>
            </w:r>
          </w:p>
        </w:tc>
      </w:tr>
      <w:tr>
        <w:trPr>
          <w:cantSplit/>
        </w:trPr>
        <w:tc>
          <w:tcPr>
            <w:tcW w:type="dxa" w:w="2120"/>
          </w:tcPr>
          <w:p>
            <w:pPr>
              <w:spacing w:after="20" w:before="20"/>
            </w:pPr>
            <w:r/>
            <w:r>
              <w:rPr>
                <w:rFonts w:ascii="Calibri" w:hAnsi="Calibri"/>
                <w:b/>
                <w:i w:val="0"/>
                <w:color w:val="334E68"/>
                <w:sz w:val="17"/>
              </w:rPr>
              <w:t>Oracle listener / SQL*Net</w:t>
            </w:r>
          </w:p>
        </w:tc>
        <w:tc>
          <w:tcPr>
            <w:tcW w:type="dxa" w:w="5975"/>
          </w:tcPr>
          <w:p>
            <w:pPr>
              <w:spacing w:after="20" w:before="20"/>
            </w:pPr>
            <w:r/>
            <w:r>
              <w:rPr>
                <w:rFonts w:ascii="Calibri" w:hAnsi="Calibri"/>
                <w:b w:val="0"/>
                <w:i w:val="0"/>
                <w:color w:val="334E68"/>
                <w:sz w:val="17"/>
              </w:rPr>
              <w:t>Database connectivity path validated from the SAP application hosts</w:t>
            </w:r>
          </w:p>
        </w:tc>
        <w:tc>
          <w:tcPr>
            <w:tcW w:type="dxa" w:w="1542"/>
          </w:tcPr>
          <w:p>
            <w:pPr>
              <w:spacing w:after="20" w:before="20"/>
            </w:pPr>
            <w:r/>
            <w:r>
              <w:rPr>
                <w:rFonts w:ascii="Calibri" w:hAnsi="Calibri"/>
                <w:b w:val="0"/>
                <w:i w:val="0"/>
                <w:color w:val="334E68"/>
                <w:sz w:val="17"/>
              </w:rPr>
              <w:t>6</w:t>
            </w:r>
          </w:p>
        </w:tc>
      </w:tr>
      <w:tr>
        <w:trPr>
          <w:cantSplit/>
        </w:trPr>
        <w:tc>
          <w:tcPr>
            <w:tcW w:type="dxa" w:w="2120"/>
            <w:shd w:val="clear" w:color="auto" w:fill="FAFBFD"/>
          </w:tcPr>
          <w:p>
            <w:pPr>
              <w:spacing w:after="20" w:before="20"/>
            </w:pPr>
            <w:r/>
            <w:r>
              <w:rPr>
                <w:rFonts w:ascii="Calibri" w:hAnsi="Calibri"/>
                <w:b/>
                <w:i w:val="0"/>
                <w:color w:val="334E68"/>
                <w:sz w:val="17"/>
              </w:rPr>
              <w:t>Data Guard Broker + observer node</w:t>
            </w:r>
          </w:p>
        </w:tc>
        <w:tc>
          <w:tcPr>
            <w:tcW w:type="dxa" w:w="5975"/>
            <w:shd w:val="clear" w:color="auto" w:fill="FAFBFD"/>
          </w:tcPr>
          <w:p>
            <w:pPr>
              <w:spacing w:after="20" w:before="20"/>
            </w:pPr>
            <w:r/>
            <w:r>
              <w:rPr>
                <w:rFonts w:ascii="Calibri" w:hAnsi="Calibri"/>
                <w:b w:val="0"/>
                <w:i w:val="0"/>
                <w:color w:val="334E68"/>
                <w:sz w:val="17"/>
              </w:rPr>
              <w:t>Configuration management and independent monitoring for HA designs</w:t>
            </w:r>
          </w:p>
        </w:tc>
        <w:tc>
          <w:tcPr>
            <w:tcW w:type="dxa" w:w="1542"/>
            <w:shd w:val="clear" w:color="auto" w:fill="FAFBFD"/>
          </w:tcPr>
          <w:p>
            <w:pPr>
              <w:spacing w:after="20" w:before="20"/>
            </w:pPr>
            <w:r/>
            <w:r>
              <w:rPr>
                <w:rFonts w:ascii="Calibri" w:hAnsi="Calibri"/>
                <w:b w:val="0"/>
                <w:i w:val="0"/>
                <w:color w:val="334E68"/>
                <w:sz w:val="17"/>
              </w:rPr>
              <w:t>6</w:t>
            </w:r>
          </w:p>
        </w:tc>
      </w:tr>
      <w:tr>
        <w:trPr>
          <w:cantSplit/>
        </w:trPr>
        <w:tc>
          <w:tcPr>
            <w:tcW w:type="dxa" w:w="2120"/>
          </w:tcPr>
          <w:p>
            <w:pPr>
              <w:spacing w:after="20" w:before="20"/>
            </w:pPr>
            <w:r/>
            <w:r>
              <w:rPr>
                <w:rFonts w:ascii="Consolas" w:hAnsi="Consolas"/>
                <w:b/>
                <w:i w:val="0"/>
                <w:color w:val="123A63"/>
                <w:sz w:val="17"/>
                <w:shd w:val="clear" w:color="auto" w:fill="EEF2F7"/>
              </w:rPr>
              <w:t>R3trans -d</w:t>
            </w:r>
          </w:p>
        </w:tc>
        <w:tc>
          <w:tcPr>
            <w:tcW w:type="dxa" w:w="5975"/>
          </w:tcPr>
          <w:p>
            <w:pPr>
              <w:spacing w:after="20" w:before="20"/>
            </w:pPr>
            <w:r/>
            <w:r>
              <w:rPr>
                <w:rFonts w:ascii="Calibri" w:hAnsi="Calibri"/>
                <w:b w:val="0"/>
                <w:i w:val="0"/>
                <w:color w:val="334E68"/>
                <w:sz w:val="17"/>
              </w:rPr>
              <w:t xml:space="preserve">SAP-to-database connectivity check; training expects return code </w:t>
            </w:r>
            <w:r>
              <w:rPr>
                <w:rFonts w:ascii="Consolas" w:hAnsi="Consolas"/>
                <w:b w:val="0"/>
                <w:i w:val="0"/>
                <w:color w:val="123A63"/>
                <w:sz w:val="17"/>
                <w:shd w:val="clear" w:color="auto" w:fill="EEF2F7"/>
              </w:rPr>
              <w:t>0000</w:t>
            </w:r>
          </w:p>
        </w:tc>
        <w:tc>
          <w:tcPr>
            <w:tcW w:type="dxa" w:w="1542"/>
          </w:tcPr>
          <w:p>
            <w:pPr>
              <w:spacing w:after="20" w:before="20"/>
            </w:pPr>
            <w:r/>
            <w:r>
              <w:rPr>
                <w:rFonts w:ascii="Calibri" w:hAnsi="Calibri"/>
                <w:b w:val="0"/>
                <w:i w:val="0"/>
                <w:color w:val="334E68"/>
                <w:sz w:val="17"/>
              </w:rPr>
              <w:t>7</w:t>
            </w:r>
          </w:p>
        </w:tc>
      </w:tr>
      <w:tr>
        <w:trPr>
          <w:cantSplit/>
        </w:trPr>
        <w:tc>
          <w:tcPr>
            <w:tcW w:type="dxa" w:w="2120"/>
            <w:shd w:val="clear" w:color="auto" w:fill="FAFBFD"/>
          </w:tcPr>
          <w:p>
            <w:pPr>
              <w:spacing w:after="20" w:before="20"/>
            </w:pPr>
            <w:r/>
            <w:r>
              <w:rPr>
                <w:rFonts w:ascii="Consolas" w:hAnsi="Consolas"/>
                <w:b/>
                <w:i w:val="0"/>
                <w:color w:val="123A63"/>
                <w:sz w:val="17"/>
                <w:shd w:val="clear" w:color="auto" w:fill="EEF2F7"/>
              </w:rPr>
              <w:t>sapcontrol</w:t>
            </w:r>
            <w:r>
              <w:rPr>
                <w:rFonts w:ascii="Calibri" w:hAnsi="Calibri"/>
                <w:b/>
                <w:i w:val="0"/>
                <w:color w:val="334E68"/>
                <w:sz w:val="17"/>
              </w:rPr>
              <w:t xml:space="preserve"> / </w:t>
            </w:r>
            <w:r>
              <w:rPr>
                <w:rFonts w:ascii="Consolas" w:hAnsi="Consolas"/>
                <w:b/>
                <w:i w:val="0"/>
                <w:color w:val="123A63"/>
                <w:sz w:val="17"/>
                <w:shd w:val="clear" w:color="auto" w:fill="EEF2F7"/>
              </w:rPr>
              <w:t>sapstart</w:t>
            </w:r>
          </w:p>
        </w:tc>
        <w:tc>
          <w:tcPr>
            <w:tcW w:type="dxa" w:w="5975"/>
            <w:shd w:val="clear" w:color="auto" w:fill="FAFBFD"/>
          </w:tcPr>
          <w:p>
            <w:pPr>
              <w:spacing w:after="20" w:before="20"/>
            </w:pPr>
            <w:r/>
            <w:r>
              <w:rPr>
                <w:rFonts w:ascii="Calibri" w:hAnsi="Calibri"/>
                <w:b w:val="0"/>
                <w:i w:val="0"/>
                <w:color w:val="334E68"/>
                <w:sz w:val="17"/>
              </w:rPr>
              <w:t>Instance control and status from the OS, without the GUI</w:t>
            </w:r>
          </w:p>
        </w:tc>
        <w:tc>
          <w:tcPr>
            <w:tcW w:type="dxa" w:w="1542"/>
            <w:shd w:val="clear" w:color="auto" w:fill="FAFBFD"/>
          </w:tcPr>
          <w:p>
            <w:pPr>
              <w:spacing w:after="20" w:before="20"/>
            </w:pPr>
            <w:r/>
            <w:r>
              <w:rPr>
                <w:rFonts w:ascii="Calibri" w:hAnsi="Calibri"/>
                <w:b w:val="0"/>
                <w:i w:val="0"/>
                <w:color w:val="334E68"/>
                <w:sz w:val="17"/>
              </w:rPr>
              <w:t>4, 7</w:t>
            </w:r>
          </w:p>
        </w:tc>
      </w:tr>
      <w:tr>
        <w:trPr>
          <w:cantSplit/>
        </w:trPr>
        <w:tc>
          <w:tcPr>
            <w:tcW w:type="dxa" w:w="2120"/>
          </w:tcPr>
          <w:p>
            <w:pPr>
              <w:spacing w:after="20" w:before="20"/>
            </w:pPr>
            <w:r/>
            <w:r>
              <w:rPr>
                <w:rFonts w:ascii="Calibri" w:hAnsi="Calibri"/>
                <w:b/>
                <w:i w:val="0"/>
                <w:color w:val="334E68"/>
                <w:sz w:val="17"/>
              </w:rPr>
              <w:t>AWS Route 53</w:t>
            </w:r>
          </w:p>
        </w:tc>
        <w:tc>
          <w:tcPr>
            <w:tcW w:type="dxa" w:w="5975"/>
          </w:tcPr>
          <w:p>
            <w:pPr>
              <w:spacing w:after="20" w:before="20"/>
            </w:pPr>
            <w:r/>
            <w:r>
              <w:rPr>
                <w:rFonts w:ascii="Calibri" w:hAnsi="Calibri"/>
                <w:b w:val="0"/>
                <w:i w:val="0"/>
                <w:color w:val="334E68"/>
                <w:sz w:val="17"/>
              </w:rPr>
              <w:t>DNS management: hosted zones, records and the cutover CNAME/IP change</w:t>
            </w:r>
          </w:p>
        </w:tc>
        <w:tc>
          <w:tcPr>
            <w:tcW w:type="dxa" w:w="1542"/>
          </w:tcPr>
          <w:p>
            <w:pPr>
              <w:spacing w:after="20" w:before="20"/>
            </w:pPr>
            <w:r/>
            <w:r>
              <w:rPr>
                <w:rFonts w:ascii="Calibri" w:hAnsi="Calibri"/>
                <w:b w:val="0"/>
                <w:i w:val="0"/>
                <w:color w:val="334E68"/>
                <w:sz w:val="17"/>
              </w:rPr>
              <w:t>2, 6</w:t>
            </w:r>
          </w:p>
        </w:tc>
      </w:tr>
      <w:tr>
        <w:trPr>
          <w:cantSplit/>
        </w:trPr>
        <w:tc>
          <w:tcPr>
            <w:tcW w:type="dxa" w:w="2120"/>
            <w:shd w:val="clear" w:color="auto" w:fill="FAFBFD"/>
          </w:tcPr>
          <w:p>
            <w:pPr>
              <w:spacing w:after="20" w:before="20"/>
            </w:pPr>
            <w:r/>
            <w:r>
              <w:rPr>
                <w:rFonts w:ascii="Calibri" w:hAnsi="Calibri"/>
                <w:b/>
                <w:i w:val="0"/>
                <w:color w:val="334E68"/>
                <w:sz w:val="17"/>
              </w:rPr>
              <w:t>AWS S3</w:t>
            </w:r>
          </w:p>
        </w:tc>
        <w:tc>
          <w:tcPr>
            <w:tcW w:type="dxa" w:w="5975"/>
            <w:shd w:val="clear" w:color="auto" w:fill="FAFBFD"/>
          </w:tcPr>
          <w:p>
            <w:pPr>
              <w:spacing w:after="20" w:before="20"/>
            </w:pPr>
            <w:r/>
            <w:r>
              <w:rPr>
                <w:rFonts w:ascii="Calibri" w:hAnsi="Calibri"/>
                <w:b w:val="0"/>
                <w:i w:val="0"/>
                <w:color w:val="334E68"/>
                <w:sz w:val="17"/>
              </w:rPr>
              <w:t>Object storage used as the backup backend (HANA, Oracle) and for packages</w:t>
            </w:r>
          </w:p>
        </w:tc>
        <w:tc>
          <w:tcPr>
            <w:tcW w:type="dxa" w:w="1542"/>
            <w:shd w:val="clear" w:color="auto" w:fill="FAFBFD"/>
          </w:tcPr>
          <w:p>
            <w:pPr>
              <w:spacing w:after="20" w:before="20"/>
            </w:pPr>
            <w:r/>
            <w:r>
              <w:rPr>
                <w:rFonts w:ascii="Calibri" w:hAnsi="Calibri"/>
                <w:b w:val="0"/>
                <w:i w:val="0"/>
                <w:color w:val="334E68"/>
                <w:sz w:val="17"/>
              </w:rPr>
              <w:t>2, 3</w:t>
            </w:r>
          </w:p>
        </w:tc>
      </w:tr>
      <w:tr>
        <w:trPr>
          <w:cantSplit/>
        </w:trPr>
        <w:tc>
          <w:tcPr>
            <w:tcW w:type="dxa" w:w="2120"/>
          </w:tcPr>
          <w:p>
            <w:pPr>
              <w:spacing w:after="20" w:before="20"/>
            </w:pPr>
            <w:r/>
            <w:r>
              <w:rPr>
                <w:rFonts w:ascii="Calibri" w:hAnsi="Calibri"/>
                <w:b/>
                <w:i w:val="0"/>
                <w:color w:val="334E68"/>
                <w:sz w:val="17"/>
              </w:rPr>
              <w:t>AWS EFS</w:t>
            </w:r>
          </w:p>
        </w:tc>
        <w:tc>
          <w:tcPr>
            <w:tcW w:type="dxa" w:w="5975"/>
          </w:tcPr>
          <w:p>
            <w:pPr>
              <w:spacing w:after="20" w:before="20"/>
            </w:pPr>
            <w:r/>
            <w:r>
              <w:rPr>
                <w:rFonts w:ascii="Calibri" w:hAnsi="Calibri"/>
                <w:b w:val="0"/>
                <w:i w:val="0"/>
                <w:color w:val="334E68"/>
                <w:sz w:val="17"/>
              </w:rPr>
              <w:t>Managed file service — an option when migrating NFS shares</w:t>
            </w:r>
          </w:p>
        </w:tc>
        <w:tc>
          <w:tcPr>
            <w:tcW w:type="dxa" w:w="1542"/>
          </w:tcPr>
          <w:p>
            <w:pPr>
              <w:spacing w:after="20" w:before="20"/>
            </w:pPr>
            <w:r/>
            <w:r>
              <w:rPr>
                <w:rFonts w:ascii="Calibri" w:hAnsi="Calibri"/>
                <w:b w:val="0"/>
                <w:i w:val="0"/>
                <w:color w:val="334E68"/>
                <w:sz w:val="17"/>
              </w:rPr>
              <w:t>1, 2</w:t>
            </w:r>
          </w:p>
        </w:tc>
      </w:tr>
      <w:tr>
        <w:trPr>
          <w:cantSplit/>
        </w:trPr>
        <w:tc>
          <w:tcPr>
            <w:tcW w:type="dxa" w:w="2120"/>
            <w:shd w:val="clear" w:color="auto" w:fill="FAFBFD"/>
          </w:tcPr>
          <w:p>
            <w:pPr>
              <w:spacing w:after="20" w:before="20"/>
            </w:pPr>
            <w:r/>
            <w:r>
              <w:rPr>
                <w:rFonts w:ascii="Calibri" w:hAnsi="Calibri"/>
                <w:b/>
                <w:i w:val="0"/>
                <w:color w:val="334E68"/>
                <w:sz w:val="17"/>
              </w:rPr>
              <w:t>EC2 snapshots</w:t>
            </w:r>
          </w:p>
        </w:tc>
        <w:tc>
          <w:tcPr>
            <w:tcW w:type="dxa" w:w="5975"/>
            <w:shd w:val="clear" w:color="auto" w:fill="FAFBFD"/>
          </w:tcPr>
          <w:p>
            <w:pPr>
              <w:spacing w:after="20" w:before="20"/>
            </w:pPr>
            <w:r/>
            <w:r>
              <w:rPr>
                <w:rFonts w:ascii="Calibri" w:hAnsi="Calibri"/>
                <w:b w:val="0"/>
                <w:i w:val="0"/>
                <w:color w:val="334E68"/>
                <w:sz w:val="17"/>
              </w:rPr>
              <w:t>Disk-level rollback recovery point before risky cutover activities</w:t>
            </w:r>
          </w:p>
        </w:tc>
        <w:tc>
          <w:tcPr>
            <w:tcW w:type="dxa" w:w="1542"/>
            <w:shd w:val="clear" w:color="auto" w:fill="FAFBFD"/>
          </w:tcPr>
          <w:p>
            <w:pPr>
              <w:spacing w:after="20" w:before="20"/>
            </w:pPr>
            <w:r/>
            <w:r>
              <w:rPr>
                <w:rFonts w:ascii="Calibri" w:hAnsi="Calibri"/>
                <w:b w:val="0"/>
                <w:i w:val="0"/>
                <w:color w:val="334E68"/>
                <w:sz w:val="17"/>
              </w:rPr>
              <w:t>6, 7</w:t>
            </w:r>
          </w:p>
        </w:tc>
      </w:tr>
      <w:tr>
        <w:trPr>
          <w:cantSplit/>
        </w:trPr>
        <w:tc>
          <w:tcPr>
            <w:tcW w:type="dxa" w:w="2120"/>
          </w:tcPr>
          <w:p>
            <w:pPr>
              <w:spacing w:after="20" w:before="20"/>
            </w:pPr>
            <w:r/>
            <w:r>
              <w:rPr>
                <w:rFonts w:ascii="Calibri" w:hAnsi="Calibri"/>
                <w:b/>
                <w:i w:val="0"/>
                <w:color w:val="334E68"/>
                <w:sz w:val="17"/>
              </w:rPr>
              <w:t>AWS KMS</w:t>
            </w:r>
          </w:p>
        </w:tc>
        <w:tc>
          <w:tcPr>
            <w:tcW w:type="dxa" w:w="5975"/>
          </w:tcPr>
          <w:p>
            <w:pPr>
              <w:spacing w:after="20" w:before="20"/>
            </w:pPr>
            <w:r/>
            <w:r>
              <w:rPr>
                <w:rFonts w:ascii="Calibri" w:hAnsi="Calibri"/>
                <w:b w:val="0"/>
                <w:i w:val="0"/>
                <w:color w:val="334E68"/>
                <w:sz w:val="17"/>
              </w:rPr>
              <w:t>Encryption keys for storage, backups and snapshots</w:t>
            </w:r>
          </w:p>
        </w:tc>
        <w:tc>
          <w:tcPr>
            <w:tcW w:type="dxa" w:w="1542"/>
          </w:tcPr>
          <w:p>
            <w:pPr>
              <w:spacing w:after="20" w:before="20"/>
            </w:pPr>
            <w:r/>
            <w:r>
              <w:rPr>
                <w:rFonts w:ascii="Calibri" w:hAnsi="Calibri"/>
                <w:b w:val="0"/>
                <w:i w:val="0"/>
                <w:color w:val="334E68"/>
                <w:sz w:val="17"/>
              </w:rPr>
              <w:t>2</w:t>
            </w:r>
          </w:p>
        </w:tc>
      </w:tr>
      <w:tr>
        <w:trPr>
          <w:cantSplit/>
        </w:trPr>
        <w:tc>
          <w:tcPr>
            <w:tcW w:type="dxa" w:w="2120"/>
            <w:shd w:val="clear" w:color="auto" w:fill="FAFBFD"/>
          </w:tcPr>
          <w:p>
            <w:pPr>
              <w:spacing w:after="20" w:before="20"/>
            </w:pPr>
            <w:r/>
            <w:r>
              <w:rPr>
                <w:rFonts w:ascii="Calibri" w:hAnsi="Calibri"/>
                <w:b/>
                <w:i w:val="0"/>
                <w:color w:val="334E68"/>
                <w:sz w:val="17"/>
              </w:rPr>
              <w:t>Chef</w:t>
            </w:r>
          </w:p>
        </w:tc>
        <w:tc>
          <w:tcPr>
            <w:tcW w:type="dxa" w:w="5975"/>
            <w:shd w:val="clear" w:color="auto" w:fill="FAFBFD"/>
          </w:tcPr>
          <w:p>
            <w:pPr>
              <w:spacing w:after="20" w:before="20"/>
            </w:pPr>
            <w:r/>
            <w:r>
              <w:rPr>
                <w:rFonts w:ascii="Calibri" w:hAnsi="Calibri"/>
                <w:b w:val="0"/>
                <w:i w:val="0"/>
                <w:color w:val="334E68"/>
                <w:sz w:val="17"/>
              </w:rPr>
              <w:t>OS and configuration management used by the automation team</w:t>
            </w:r>
          </w:p>
        </w:tc>
        <w:tc>
          <w:tcPr>
            <w:tcW w:type="dxa" w:w="1542"/>
            <w:shd w:val="clear" w:color="auto" w:fill="FAFBFD"/>
          </w:tcPr>
          <w:p>
            <w:pPr>
              <w:spacing w:after="20" w:before="20"/>
            </w:pPr>
            <w:r/>
            <w:r>
              <w:rPr>
                <w:rFonts w:ascii="Calibri" w:hAnsi="Calibri"/>
                <w:b w:val="0"/>
                <w:i w:val="0"/>
                <w:color w:val="334E68"/>
                <w:sz w:val="17"/>
              </w:rPr>
              <w:t>2</w:t>
            </w:r>
          </w:p>
        </w:tc>
      </w:tr>
      <w:tr>
        <w:trPr>
          <w:cantSplit/>
        </w:trPr>
        <w:tc>
          <w:tcPr>
            <w:tcW w:type="dxa" w:w="2120"/>
          </w:tcPr>
          <w:p>
            <w:pPr>
              <w:spacing w:after="20" w:before="20"/>
            </w:pPr>
            <w:r/>
            <w:r>
              <w:rPr>
                <w:rFonts w:ascii="Calibri" w:hAnsi="Calibri"/>
                <w:b/>
                <w:i w:val="0"/>
                <w:color w:val="334E68"/>
                <w:sz w:val="17"/>
              </w:rPr>
              <w:t>CMDB / ServiceNow</w:t>
            </w:r>
          </w:p>
        </w:tc>
        <w:tc>
          <w:tcPr>
            <w:tcW w:type="dxa" w:w="5975"/>
          </w:tcPr>
          <w:p>
            <w:pPr>
              <w:spacing w:after="20" w:before="20"/>
            </w:pPr>
            <w:r/>
            <w:r>
              <w:rPr>
                <w:rFonts w:ascii="Calibri" w:hAnsi="Calibri"/>
                <w:b w:val="0"/>
                <w:i w:val="0"/>
                <w:color w:val="334E68"/>
                <w:sz w:val="17"/>
              </w:rPr>
              <w:t>Configuration inventory, CIs, relationships and lifecycle status</w:t>
            </w:r>
          </w:p>
        </w:tc>
        <w:tc>
          <w:tcPr>
            <w:tcW w:type="dxa" w:w="1542"/>
          </w:tcPr>
          <w:p>
            <w:pPr>
              <w:spacing w:after="20" w:before="20"/>
            </w:pPr>
            <w:r/>
            <w:r>
              <w:rPr>
                <w:rFonts w:ascii="Calibri" w:hAnsi="Calibri"/>
                <w:b w:val="0"/>
                <w:i w:val="0"/>
                <w:color w:val="334E68"/>
                <w:sz w:val="17"/>
              </w:rPr>
              <w:t>1, 2</w:t>
            </w:r>
          </w:p>
        </w:tc>
      </w:tr>
      <w:tr>
        <w:trPr>
          <w:cantSplit/>
        </w:trPr>
        <w:tc>
          <w:tcPr>
            <w:tcW w:type="dxa" w:w="2120"/>
            <w:shd w:val="clear" w:color="auto" w:fill="FAFBFD"/>
          </w:tcPr>
          <w:p>
            <w:pPr>
              <w:spacing w:after="20" w:before="20"/>
            </w:pPr>
            <w:r/>
            <w:r>
              <w:rPr>
                <w:rFonts w:ascii="Calibri" w:hAnsi="Calibri"/>
                <w:b/>
                <w:i w:val="0"/>
                <w:color w:val="334E68"/>
                <w:sz w:val="17"/>
              </w:rPr>
              <w:t>Control-M</w:t>
            </w:r>
          </w:p>
        </w:tc>
        <w:tc>
          <w:tcPr>
            <w:tcW w:type="dxa" w:w="5975"/>
            <w:shd w:val="clear" w:color="auto" w:fill="FAFBFD"/>
          </w:tcPr>
          <w:p>
            <w:pPr>
              <w:spacing w:after="20" w:before="20"/>
            </w:pPr>
            <w:r/>
            <w:r>
              <w:rPr>
                <w:rFonts w:ascii="Calibri" w:hAnsi="Calibri"/>
                <w:b w:val="0"/>
                <w:i w:val="0"/>
                <w:color w:val="334E68"/>
                <w:sz w:val="17"/>
              </w:rPr>
              <w:t>External job scheduling — resumed with the owning team after go-live</w:t>
            </w:r>
          </w:p>
        </w:tc>
        <w:tc>
          <w:tcPr>
            <w:tcW w:type="dxa" w:w="1542"/>
            <w:shd w:val="clear" w:color="auto" w:fill="FAFBFD"/>
          </w:tcPr>
          <w:p>
            <w:pPr>
              <w:spacing w:after="20" w:before="20"/>
            </w:pPr>
            <w:r/>
            <w:r>
              <w:rPr>
                <w:rFonts w:ascii="Calibri" w:hAnsi="Calibri"/>
                <w:b w:val="0"/>
                <w:i w:val="0"/>
                <w:color w:val="334E68"/>
                <w:sz w:val="17"/>
              </w:rPr>
              <w:t>1, 7</w:t>
            </w:r>
          </w:p>
        </w:tc>
      </w:tr>
      <w:tr>
        <w:trPr>
          <w:cantSplit/>
        </w:trPr>
        <w:tc>
          <w:tcPr>
            <w:tcW w:type="dxa" w:w="2120"/>
          </w:tcPr>
          <w:p>
            <w:pPr>
              <w:spacing w:after="20" w:before="20"/>
            </w:pPr>
            <w:r/>
            <w:r>
              <w:rPr>
                <w:rFonts w:ascii="Calibri" w:hAnsi="Calibri"/>
                <w:b/>
                <w:i w:val="0"/>
                <w:color w:val="334E68"/>
                <w:sz w:val="17"/>
              </w:rPr>
              <w:t>NetBackup</w:t>
            </w:r>
          </w:p>
        </w:tc>
        <w:tc>
          <w:tcPr>
            <w:tcW w:type="dxa" w:w="5975"/>
          </w:tcPr>
          <w:p>
            <w:pPr>
              <w:spacing w:after="20" w:before="20"/>
            </w:pPr>
            <w:r/>
            <w:r>
              <w:rPr>
                <w:rFonts w:ascii="Calibri" w:hAnsi="Calibri"/>
                <w:b w:val="0"/>
                <w:i w:val="0"/>
                <w:color w:val="334E68"/>
                <w:sz w:val="17"/>
              </w:rPr>
              <w:t>Backup agent that must be inventoried and re-pointed on the target</w:t>
            </w:r>
          </w:p>
        </w:tc>
        <w:tc>
          <w:tcPr>
            <w:tcW w:type="dxa" w:w="1542"/>
          </w:tcPr>
          <w:p>
            <w:pPr>
              <w:spacing w:after="20" w:before="20"/>
            </w:pPr>
            <w:r/>
            <w:r>
              <w:rPr>
                <w:rFonts w:ascii="Calibri" w:hAnsi="Calibri"/>
                <w:b w:val="0"/>
                <w:i w:val="0"/>
                <w:color w:val="334E68"/>
                <w:sz w:val="17"/>
              </w:rPr>
              <w:t>1, 2</w:t>
            </w:r>
          </w:p>
        </w:tc>
      </w:tr>
      <w:tr>
        <w:trPr>
          <w:cantSplit/>
        </w:trPr>
        <w:tc>
          <w:tcPr>
            <w:tcW w:type="dxa" w:w="2120"/>
            <w:shd w:val="clear" w:color="auto" w:fill="FAFBFD"/>
          </w:tcPr>
          <w:p>
            <w:pPr>
              <w:spacing w:after="20" w:before="20"/>
            </w:pPr>
            <w:r/>
            <w:r>
              <w:rPr>
                <w:rFonts w:ascii="Calibri" w:hAnsi="Calibri"/>
                <w:b/>
                <w:i w:val="0"/>
                <w:color w:val="334E68"/>
                <w:sz w:val="17"/>
              </w:rPr>
              <w:t>rsync</w:t>
            </w:r>
          </w:p>
        </w:tc>
        <w:tc>
          <w:tcPr>
            <w:tcW w:type="dxa" w:w="5975"/>
            <w:shd w:val="clear" w:color="auto" w:fill="FAFBFD"/>
          </w:tcPr>
          <w:p>
            <w:pPr>
              <w:spacing w:after="20" w:before="20"/>
            </w:pPr>
            <w:r/>
            <w:r>
              <w:rPr>
                <w:rFonts w:ascii="Calibri" w:hAnsi="Calibri"/>
                <w:b w:val="0"/>
                <w:i w:val="0"/>
                <w:color w:val="334E68"/>
                <w:sz w:val="17"/>
              </w:rPr>
              <w:t>Synchronization of SAP global directories during post-processing</w:t>
            </w:r>
          </w:p>
        </w:tc>
        <w:tc>
          <w:tcPr>
            <w:tcW w:type="dxa" w:w="1542"/>
            <w:shd w:val="clear" w:color="auto" w:fill="FAFBFD"/>
          </w:tcPr>
          <w:p>
            <w:pPr>
              <w:spacing w:after="20" w:before="20"/>
            </w:pPr>
            <w:r/>
            <w:r>
              <w:rPr>
                <w:rFonts w:ascii="Calibri" w:hAnsi="Calibri"/>
                <w:b w:val="0"/>
                <w:i w:val="0"/>
                <w:color w:val="334E68"/>
                <w:sz w:val="17"/>
              </w:rPr>
              <w:t>7</w:t>
            </w:r>
          </w:p>
        </w:tc>
      </w:tr>
      <w:tr>
        <w:trPr>
          <w:cantSplit/>
        </w:trPr>
        <w:tc>
          <w:tcPr>
            <w:tcW w:type="dxa" w:w="2120"/>
          </w:tcPr>
          <w:p>
            <w:pPr>
              <w:spacing w:after="20" w:before="20"/>
            </w:pPr>
            <w:r/>
            <w:r>
              <w:rPr>
                <w:rFonts w:ascii="Consolas" w:hAnsi="Consolas"/>
                <w:b/>
                <w:i w:val="0"/>
                <w:color w:val="123A63"/>
                <w:sz w:val="17"/>
                <w:shd w:val="clear" w:color="auto" w:fill="EEF2F7"/>
              </w:rPr>
              <w:t>systemd</w:t>
            </w:r>
            <w:r>
              <w:rPr>
                <w:rFonts w:ascii="Calibri" w:hAnsi="Calibri"/>
                <w:b/>
                <w:i w:val="0"/>
                <w:color w:val="334E68"/>
                <w:sz w:val="17"/>
              </w:rPr>
              <w:t xml:space="preserve"> / SAP service</w:t>
            </w:r>
          </w:p>
        </w:tc>
        <w:tc>
          <w:tcPr>
            <w:tcW w:type="dxa" w:w="5975"/>
          </w:tcPr>
          <w:p>
            <w:pPr>
              <w:spacing w:after="20" w:before="20"/>
            </w:pPr>
            <w:r/>
            <w:r>
              <w:rPr>
                <w:rFonts w:ascii="Calibri" w:hAnsi="Calibri"/>
                <w:b w:val="0"/>
                <w:i w:val="0"/>
                <w:color w:val="334E68"/>
                <w:sz w:val="17"/>
              </w:rPr>
              <w:t>Service that must start SAP automatically after a reboot</w:t>
            </w:r>
          </w:p>
        </w:tc>
        <w:tc>
          <w:tcPr>
            <w:tcW w:type="dxa" w:w="1542"/>
          </w:tcPr>
          <w:p>
            <w:pPr>
              <w:spacing w:after="20" w:before="20"/>
            </w:pPr>
            <w:r/>
            <w:r>
              <w:rPr>
                <w:rFonts w:ascii="Calibri" w:hAnsi="Calibri"/>
                <w:b w:val="0"/>
                <w:i w:val="0"/>
                <w:color w:val="334E68"/>
                <w:sz w:val="17"/>
              </w:rPr>
              <w:t>4</w:t>
            </w:r>
          </w:p>
        </w:tc>
      </w:tr>
    </w:tbl>
    <w:p>
      <w:pPr>
        <w:spacing w:after="40"/>
      </w:pPr>
    </w:p>
    <w:p>
      <w:pPr>
        <w:pStyle w:val="Heading2"/>
        <w:pBdr>
          <w:bottom w:val="single" w:sz="6" w:space="3" w:color="E8EDF3"/>
        </w:pBdr>
      </w:pPr>
      <w:r>
        <w:rPr>
          <w:rFonts w:ascii="Calibri" w:hAnsi="Calibri"/>
          <w:b/>
          <w:color w:val="0F2B4C"/>
          <w:sz w:val="26"/>
        </w:rPr>
        <w:t>11.3  OS commands used during validation</w:t>
      </w:r>
    </w:p>
    <w:p>
      <w:pPr>
        <w:spacing w:after="60" w:before="160"/>
        <w:keepNext/>
      </w:pPr>
      <w:r>
        <w:rPr>
          <w:rFonts w:ascii="Calibri" w:hAnsi="Calibri"/>
          <w:b/>
          <w:color w:val="5B7288"/>
          <w:sz w:val="15"/>
        </w:rPr>
        <w:t>COMMAND QUICK REFERENCE</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3277"/>
        <w:gridCol w:w="4626"/>
        <w:gridCol w:w="1735"/>
      </w:tblGrid>
      <w:tr>
        <w:trPr>
          <w:tblHeader/>
          <w:cantSplit/>
        </w:trPr>
        <w:tc>
          <w:tcPr>
            <w:tcW w:type="dxa" w:w="3277"/>
            <w:shd w:val="clear" w:color="auto" w:fill="0F2B4C"/>
          </w:tcPr>
          <w:p>
            <w:pPr>
              <w:spacing w:after="20" w:before="20"/>
            </w:pPr>
            <w:r/>
            <w:r>
              <w:rPr>
                <w:rFonts w:ascii="Calibri" w:hAnsi="Calibri"/>
                <w:b/>
                <w:color w:val="FFFFFF"/>
                <w:sz w:val="17"/>
              </w:rPr>
              <w:t>Command</w:t>
            </w:r>
          </w:p>
        </w:tc>
        <w:tc>
          <w:tcPr>
            <w:tcW w:type="dxa" w:w="4626"/>
            <w:shd w:val="clear" w:color="auto" w:fill="0F2B4C"/>
          </w:tcPr>
          <w:p>
            <w:pPr>
              <w:spacing w:after="20" w:before="20"/>
            </w:pPr>
            <w:r/>
            <w:r>
              <w:rPr>
                <w:rFonts w:ascii="Calibri" w:hAnsi="Calibri"/>
                <w:b/>
                <w:color w:val="FFFFFF"/>
                <w:sz w:val="17"/>
              </w:rPr>
              <w:t>Validates</w:t>
            </w:r>
          </w:p>
        </w:tc>
        <w:tc>
          <w:tcPr>
            <w:tcW w:type="dxa" w:w="1735"/>
            <w:shd w:val="clear" w:color="auto" w:fill="0F2B4C"/>
          </w:tcPr>
          <w:p>
            <w:pPr>
              <w:spacing w:after="20" w:before="20"/>
            </w:pPr>
            <w:r/>
            <w:r>
              <w:rPr>
                <w:rFonts w:ascii="Calibri" w:hAnsi="Calibri"/>
                <w:b/>
                <w:color w:val="FFFFFF"/>
                <w:sz w:val="17"/>
              </w:rPr>
              <w:t>Section</w:t>
            </w:r>
          </w:p>
        </w:tc>
      </w:tr>
      <w:tr>
        <w:trPr>
          <w:cantSplit/>
        </w:trPr>
        <w:tc>
          <w:tcPr>
            <w:tcW w:type="dxa" w:w="3277"/>
          </w:tcPr>
          <w:p>
            <w:pPr>
              <w:spacing w:after="20" w:before="20"/>
            </w:pPr>
            <w:r/>
            <w:r>
              <w:rPr>
                <w:rFonts w:ascii="Consolas" w:hAnsi="Consolas"/>
                <w:b/>
                <w:i w:val="0"/>
                <w:color w:val="123A63"/>
                <w:sz w:val="17"/>
                <w:shd w:val="clear" w:color="auto" w:fill="EEF2F7"/>
              </w:rPr>
              <w:t>df -h</w:t>
            </w:r>
            <w:r>
              <w:rPr>
                <w:rFonts w:ascii="Calibri" w:hAnsi="Calibri"/>
                <w:b/>
                <w:i w:val="0"/>
                <w:color w:val="334E68"/>
                <w:sz w:val="17"/>
              </w:rPr>
              <w:t xml:space="preserve">, </w:t>
            </w:r>
            <w:r>
              <w:rPr>
                <w:rFonts w:ascii="Consolas" w:hAnsi="Consolas"/>
                <w:b/>
                <w:i w:val="0"/>
                <w:color w:val="123A63"/>
                <w:sz w:val="17"/>
                <w:shd w:val="clear" w:color="auto" w:fill="EEF2F7"/>
              </w:rPr>
              <w:t>mount</w:t>
            </w:r>
            <w:r>
              <w:rPr>
                <w:rFonts w:ascii="Calibri" w:hAnsi="Calibri"/>
                <w:b/>
                <w:i w:val="0"/>
                <w:color w:val="334E68"/>
                <w:sz w:val="17"/>
              </w:rPr>
              <w:t xml:space="preserve">, </w:t>
            </w:r>
            <w:r>
              <w:rPr>
                <w:rFonts w:ascii="Consolas" w:hAnsi="Consolas"/>
                <w:b/>
                <w:i w:val="0"/>
                <w:color w:val="123A63"/>
                <w:sz w:val="17"/>
                <w:shd w:val="clear" w:color="auto" w:fill="EEF2F7"/>
              </w:rPr>
              <w:t>lsblk</w:t>
            </w:r>
          </w:p>
        </w:tc>
        <w:tc>
          <w:tcPr>
            <w:tcW w:type="dxa" w:w="4626"/>
          </w:tcPr>
          <w:p>
            <w:pPr>
              <w:spacing w:after="20" w:before="20"/>
            </w:pPr>
            <w:r/>
            <w:r>
              <w:rPr>
                <w:rFonts w:ascii="Calibri" w:hAnsi="Calibri"/>
                <w:b w:val="0"/>
                <w:i w:val="0"/>
                <w:color w:val="334E68"/>
                <w:sz w:val="17"/>
              </w:rPr>
              <w:t>File systems, mount points, sizes and options</w:t>
            </w:r>
          </w:p>
        </w:tc>
        <w:tc>
          <w:tcPr>
            <w:tcW w:type="dxa" w:w="1735"/>
          </w:tcPr>
          <w:p>
            <w:pPr>
              <w:spacing w:after="20" w:before="20"/>
            </w:pPr>
            <w:r/>
            <w:r>
              <w:rPr>
                <w:rFonts w:ascii="Calibri" w:hAnsi="Calibri"/>
                <w:b w:val="0"/>
                <w:i w:val="0"/>
                <w:color w:val="334E68"/>
                <w:sz w:val="17"/>
              </w:rPr>
              <w:t>7.2</w:t>
            </w:r>
          </w:p>
        </w:tc>
      </w:tr>
      <w:tr>
        <w:trPr>
          <w:cantSplit/>
        </w:trPr>
        <w:tc>
          <w:tcPr>
            <w:tcW w:type="dxa" w:w="3277"/>
            <w:shd w:val="clear" w:color="auto" w:fill="FAFBFD"/>
          </w:tcPr>
          <w:p>
            <w:pPr>
              <w:spacing w:after="20" w:before="20"/>
            </w:pPr>
            <w:r/>
            <w:r>
              <w:rPr>
                <w:rFonts w:ascii="Consolas" w:hAnsi="Consolas"/>
                <w:b/>
                <w:i w:val="0"/>
                <w:color w:val="123A63"/>
                <w:sz w:val="17"/>
                <w:shd w:val="clear" w:color="auto" w:fill="EEF2F7"/>
              </w:rPr>
              <w:t>lscpu</w:t>
            </w:r>
            <w:r>
              <w:rPr>
                <w:rFonts w:ascii="Calibri" w:hAnsi="Calibri"/>
                <w:b/>
                <w:i w:val="0"/>
                <w:color w:val="334E68"/>
                <w:sz w:val="17"/>
              </w:rPr>
              <w:t xml:space="preserve">, </w:t>
            </w:r>
            <w:r>
              <w:rPr>
                <w:rFonts w:ascii="Consolas" w:hAnsi="Consolas"/>
                <w:b/>
                <w:i w:val="0"/>
                <w:color w:val="123A63"/>
                <w:sz w:val="17"/>
                <w:shd w:val="clear" w:color="auto" w:fill="EEF2F7"/>
              </w:rPr>
              <w:t>nproc</w:t>
            </w:r>
            <w:r>
              <w:rPr>
                <w:rFonts w:ascii="Calibri" w:hAnsi="Calibri"/>
                <w:b/>
                <w:i w:val="0"/>
                <w:color w:val="334E68"/>
                <w:sz w:val="17"/>
              </w:rPr>
              <w:t xml:space="preserve">, </w:t>
            </w:r>
            <w:r>
              <w:rPr>
                <w:rFonts w:ascii="Consolas" w:hAnsi="Consolas"/>
                <w:b/>
                <w:i w:val="0"/>
                <w:color w:val="123A63"/>
                <w:sz w:val="17"/>
                <w:shd w:val="clear" w:color="auto" w:fill="EEF2F7"/>
              </w:rPr>
              <w:t>free -g</w:t>
            </w:r>
          </w:p>
        </w:tc>
        <w:tc>
          <w:tcPr>
            <w:tcW w:type="dxa" w:w="4626"/>
            <w:shd w:val="clear" w:color="auto" w:fill="FAFBFD"/>
          </w:tcPr>
          <w:p>
            <w:pPr>
              <w:spacing w:after="20" w:before="20"/>
            </w:pPr>
            <w:r/>
            <w:r>
              <w:rPr>
                <w:rFonts w:ascii="Calibri" w:hAnsi="Calibri"/>
                <w:b w:val="0"/>
                <w:i w:val="0"/>
                <w:color w:val="334E68"/>
                <w:sz w:val="17"/>
              </w:rPr>
              <w:t>CPU and memory versus the build sheet</w:t>
            </w:r>
          </w:p>
        </w:tc>
        <w:tc>
          <w:tcPr>
            <w:tcW w:type="dxa" w:w="1735"/>
            <w:shd w:val="clear" w:color="auto" w:fill="FAFBFD"/>
          </w:tcPr>
          <w:p>
            <w:pPr>
              <w:spacing w:after="20" w:before="20"/>
            </w:pPr>
            <w:r/>
            <w:r>
              <w:rPr>
                <w:rFonts w:ascii="Calibri" w:hAnsi="Calibri"/>
                <w:b w:val="0"/>
                <w:i w:val="0"/>
                <w:color w:val="334E68"/>
                <w:sz w:val="17"/>
              </w:rPr>
              <w:t>7.2</w:t>
            </w:r>
          </w:p>
        </w:tc>
      </w:tr>
      <w:tr>
        <w:trPr>
          <w:cantSplit/>
        </w:trPr>
        <w:tc>
          <w:tcPr>
            <w:tcW w:type="dxa" w:w="3277"/>
          </w:tcPr>
          <w:p>
            <w:pPr>
              <w:spacing w:after="20" w:before="20"/>
            </w:pPr>
            <w:r/>
            <w:r>
              <w:rPr>
                <w:rFonts w:ascii="Consolas" w:hAnsi="Consolas"/>
                <w:b/>
                <w:i w:val="0"/>
                <w:color w:val="123A63"/>
                <w:sz w:val="17"/>
                <w:shd w:val="clear" w:color="auto" w:fill="EEF2F7"/>
              </w:rPr>
              <w:t>uname -r</w:t>
            </w:r>
            <w:r>
              <w:rPr>
                <w:rFonts w:ascii="Calibri" w:hAnsi="Calibri"/>
                <w:b/>
                <w:i w:val="0"/>
                <w:color w:val="334E68"/>
                <w:sz w:val="17"/>
              </w:rPr>
              <w:t xml:space="preserve">, </w:t>
            </w:r>
            <w:r>
              <w:rPr>
                <w:rFonts w:ascii="Consolas" w:hAnsi="Consolas"/>
                <w:b/>
                <w:i w:val="0"/>
                <w:color w:val="123A63"/>
                <w:sz w:val="17"/>
                <w:shd w:val="clear" w:color="auto" w:fill="EEF2F7"/>
              </w:rPr>
              <w:t>/etc/os-release</w:t>
            </w:r>
          </w:p>
        </w:tc>
        <w:tc>
          <w:tcPr>
            <w:tcW w:type="dxa" w:w="4626"/>
          </w:tcPr>
          <w:p>
            <w:pPr>
              <w:spacing w:after="20" w:before="20"/>
            </w:pPr>
            <w:r/>
            <w:r>
              <w:rPr>
                <w:rFonts w:ascii="Calibri" w:hAnsi="Calibri"/>
                <w:b w:val="0"/>
                <w:i w:val="0"/>
                <w:color w:val="334E68"/>
                <w:sz w:val="17"/>
              </w:rPr>
              <w:t>Kernel and OS version</w:t>
            </w:r>
          </w:p>
        </w:tc>
        <w:tc>
          <w:tcPr>
            <w:tcW w:type="dxa" w:w="1735"/>
          </w:tcPr>
          <w:p>
            <w:pPr>
              <w:spacing w:after="20" w:before="20"/>
            </w:pPr>
            <w:r/>
            <w:r>
              <w:rPr>
                <w:rFonts w:ascii="Calibri" w:hAnsi="Calibri"/>
                <w:b w:val="0"/>
                <w:i w:val="0"/>
                <w:color w:val="334E68"/>
                <w:sz w:val="17"/>
              </w:rPr>
              <w:t>7.2</w:t>
            </w:r>
          </w:p>
        </w:tc>
      </w:tr>
      <w:tr>
        <w:trPr>
          <w:cantSplit/>
        </w:trPr>
        <w:tc>
          <w:tcPr>
            <w:tcW w:type="dxa" w:w="3277"/>
            <w:shd w:val="clear" w:color="auto" w:fill="FAFBFD"/>
          </w:tcPr>
          <w:p>
            <w:pPr>
              <w:spacing w:after="20" w:before="20"/>
            </w:pPr>
            <w:r/>
            <w:r>
              <w:rPr>
                <w:rFonts w:ascii="Consolas" w:hAnsi="Consolas"/>
                <w:b/>
                <w:i w:val="0"/>
                <w:color w:val="123A63"/>
                <w:sz w:val="17"/>
                <w:shd w:val="clear" w:color="auto" w:fill="EEF2F7"/>
              </w:rPr>
              <w:t>id</w:t>
            </w:r>
            <w:r>
              <w:rPr>
                <w:rFonts w:ascii="Calibri" w:hAnsi="Calibri"/>
                <w:b/>
                <w:i w:val="0"/>
                <w:color w:val="334E68"/>
                <w:sz w:val="17"/>
              </w:rPr>
              <w:t xml:space="preserve">, </w:t>
            </w:r>
            <w:r>
              <w:rPr>
                <w:rFonts w:ascii="Consolas" w:hAnsi="Consolas"/>
                <w:b/>
                <w:i w:val="0"/>
                <w:color w:val="123A63"/>
                <w:sz w:val="17"/>
                <w:shd w:val="clear" w:color="auto" w:fill="EEF2F7"/>
              </w:rPr>
              <w:t>getent passwd</w:t>
            </w:r>
            <w:r>
              <w:rPr>
                <w:rFonts w:ascii="Calibri" w:hAnsi="Calibri"/>
                <w:b/>
                <w:i w:val="0"/>
                <w:color w:val="334E68"/>
                <w:sz w:val="17"/>
              </w:rPr>
              <w:t xml:space="preserve">, </w:t>
            </w:r>
            <w:r>
              <w:rPr>
                <w:rFonts w:ascii="Consolas" w:hAnsi="Consolas"/>
                <w:b/>
                <w:i w:val="0"/>
                <w:color w:val="123A63"/>
                <w:sz w:val="17"/>
                <w:shd w:val="clear" w:color="auto" w:fill="EEF2F7"/>
              </w:rPr>
              <w:t>getent group</w:t>
            </w:r>
          </w:p>
        </w:tc>
        <w:tc>
          <w:tcPr>
            <w:tcW w:type="dxa" w:w="4626"/>
            <w:shd w:val="clear" w:color="auto" w:fill="FAFBFD"/>
          </w:tcPr>
          <w:p>
            <w:pPr>
              <w:spacing w:after="20" w:before="20"/>
            </w:pPr>
            <w:r/>
            <w:r>
              <w:rPr>
                <w:rFonts w:ascii="Calibri" w:hAnsi="Calibri"/>
                <w:b w:val="0"/>
                <w:i w:val="0"/>
                <w:color w:val="334E68"/>
                <w:sz w:val="17"/>
              </w:rPr>
              <w:t>UID/GID and group membership consistency</w:t>
            </w:r>
          </w:p>
        </w:tc>
        <w:tc>
          <w:tcPr>
            <w:tcW w:type="dxa" w:w="1735"/>
            <w:shd w:val="clear" w:color="auto" w:fill="FAFBFD"/>
          </w:tcPr>
          <w:p>
            <w:pPr>
              <w:spacing w:after="20" w:before="20"/>
            </w:pPr>
            <w:r/>
            <w:r>
              <w:rPr>
                <w:rFonts w:ascii="Calibri" w:hAnsi="Calibri"/>
                <w:b w:val="0"/>
                <w:i w:val="0"/>
                <w:color w:val="334E68"/>
                <w:sz w:val="17"/>
              </w:rPr>
              <w:t>7.2</w:t>
            </w:r>
          </w:p>
        </w:tc>
      </w:tr>
      <w:tr>
        <w:trPr>
          <w:cantSplit/>
        </w:trPr>
        <w:tc>
          <w:tcPr>
            <w:tcW w:type="dxa" w:w="3277"/>
          </w:tcPr>
          <w:p>
            <w:pPr>
              <w:spacing w:after="20" w:before="20"/>
            </w:pPr>
            <w:r/>
            <w:r>
              <w:rPr>
                <w:rFonts w:ascii="Consolas" w:hAnsi="Consolas"/>
                <w:b/>
                <w:i w:val="0"/>
                <w:color w:val="123A63"/>
                <w:sz w:val="17"/>
                <w:shd w:val="clear" w:color="auto" w:fill="EEF2F7"/>
              </w:rPr>
              <w:t>ip a</w:t>
            </w:r>
            <w:r>
              <w:rPr>
                <w:rFonts w:ascii="Calibri" w:hAnsi="Calibri"/>
                <w:b/>
                <w:i w:val="0"/>
                <w:color w:val="334E68"/>
                <w:sz w:val="17"/>
              </w:rPr>
              <w:t xml:space="preserve">, </w:t>
            </w:r>
            <w:r>
              <w:rPr>
                <w:rFonts w:ascii="Consolas" w:hAnsi="Consolas"/>
                <w:b/>
                <w:i w:val="0"/>
                <w:color w:val="123A63"/>
                <w:sz w:val="17"/>
                <w:shd w:val="clear" w:color="auto" w:fill="EEF2F7"/>
              </w:rPr>
              <w:t>ip r</w:t>
            </w:r>
          </w:p>
        </w:tc>
        <w:tc>
          <w:tcPr>
            <w:tcW w:type="dxa" w:w="4626"/>
          </w:tcPr>
          <w:p>
            <w:pPr>
              <w:spacing w:after="20" w:before="20"/>
            </w:pPr>
            <w:r/>
            <w:r>
              <w:rPr>
                <w:rFonts w:ascii="Calibri" w:hAnsi="Calibri"/>
                <w:b w:val="0"/>
                <w:i w:val="0"/>
                <w:color w:val="334E68"/>
                <w:sz w:val="17"/>
              </w:rPr>
              <w:t>Physical and virtual IPs, routes</w:t>
            </w:r>
          </w:p>
        </w:tc>
        <w:tc>
          <w:tcPr>
            <w:tcW w:type="dxa" w:w="1735"/>
          </w:tcPr>
          <w:p>
            <w:pPr>
              <w:spacing w:after="20" w:before="20"/>
            </w:pPr>
            <w:r/>
            <w:r>
              <w:rPr>
                <w:rFonts w:ascii="Calibri" w:hAnsi="Calibri"/>
                <w:b w:val="0"/>
                <w:i w:val="0"/>
                <w:color w:val="334E68"/>
                <w:sz w:val="17"/>
              </w:rPr>
              <w:t>7.2</w:t>
            </w:r>
          </w:p>
        </w:tc>
      </w:tr>
      <w:tr>
        <w:trPr>
          <w:cantSplit/>
        </w:trPr>
        <w:tc>
          <w:tcPr>
            <w:tcW w:type="dxa" w:w="3277"/>
            <w:shd w:val="clear" w:color="auto" w:fill="FAFBFD"/>
          </w:tcPr>
          <w:p>
            <w:pPr>
              <w:spacing w:after="20" w:before="20"/>
            </w:pPr>
            <w:r/>
            <w:r>
              <w:rPr>
                <w:rFonts w:ascii="Consolas" w:hAnsi="Consolas"/>
                <w:b/>
                <w:i w:val="0"/>
                <w:color w:val="123A63"/>
                <w:sz w:val="17"/>
                <w:shd w:val="clear" w:color="auto" w:fill="EEF2F7"/>
              </w:rPr>
              <w:t>hostname -f</w:t>
            </w:r>
            <w:r>
              <w:rPr>
                <w:rFonts w:ascii="Calibri" w:hAnsi="Calibri"/>
                <w:b/>
                <w:i w:val="0"/>
                <w:color w:val="334E68"/>
                <w:sz w:val="17"/>
              </w:rPr>
              <w:t xml:space="preserve">, </w:t>
            </w:r>
            <w:r>
              <w:rPr>
                <w:rFonts w:ascii="Consolas" w:hAnsi="Consolas"/>
                <w:b/>
                <w:i w:val="0"/>
                <w:color w:val="123A63"/>
                <w:sz w:val="17"/>
                <w:shd w:val="clear" w:color="auto" w:fill="EEF2F7"/>
              </w:rPr>
              <w:t>getent hosts</w:t>
            </w:r>
            <w:r>
              <w:rPr>
                <w:rFonts w:ascii="Calibri" w:hAnsi="Calibri"/>
                <w:b/>
                <w:i w:val="0"/>
                <w:color w:val="334E68"/>
                <w:sz w:val="17"/>
              </w:rPr>
              <w:t xml:space="preserve">, </w:t>
            </w:r>
            <w:r>
              <w:rPr>
                <w:rFonts w:ascii="Consolas" w:hAnsi="Consolas"/>
                <w:b/>
                <w:i w:val="0"/>
                <w:color w:val="123A63"/>
                <w:sz w:val="17"/>
                <w:shd w:val="clear" w:color="auto" w:fill="EEF2F7"/>
              </w:rPr>
              <w:t>nslookup</w:t>
            </w:r>
          </w:p>
        </w:tc>
        <w:tc>
          <w:tcPr>
            <w:tcW w:type="dxa" w:w="4626"/>
            <w:shd w:val="clear" w:color="auto" w:fill="FAFBFD"/>
          </w:tcPr>
          <w:p>
            <w:pPr>
              <w:spacing w:after="20" w:before="20"/>
            </w:pPr>
            <w:r/>
            <w:r>
              <w:rPr>
                <w:rFonts w:ascii="Calibri" w:hAnsi="Calibri"/>
                <w:b w:val="0"/>
                <w:i w:val="0"/>
                <w:color w:val="334E68"/>
                <w:sz w:val="17"/>
              </w:rPr>
              <w:t>Hostname and DNS resolution</w:t>
            </w:r>
          </w:p>
        </w:tc>
        <w:tc>
          <w:tcPr>
            <w:tcW w:type="dxa" w:w="1735"/>
            <w:shd w:val="clear" w:color="auto" w:fill="FAFBFD"/>
          </w:tcPr>
          <w:p>
            <w:pPr>
              <w:spacing w:after="20" w:before="20"/>
            </w:pPr>
            <w:r/>
            <w:r>
              <w:rPr>
                <w:rFonts w:ascii="Calibri" w:hAnsi="Calibri"/>
                <w:b w:val="0"/>
                <w:i w:val="0"/>
                <w:color w:val="334E68"/>
                <w:sz w:val="17"/>
              </w:rPr>
              <w:t>7.2, 9.5</w:t>
            </w:r>
          </w:p>
        </w:tc>
      </w:tr>
      <w:tr>
        <w:trPr>
          <w:cantSplit/>
        </w:trPr>
        <w:tc>
          <w:tcPr>
            <w:tcW w:type="dxa" w:w="3277"/>
          </w:tcPr>
          <w:p>
            <w:pPr>
              <w:spacing w:after="20" w:before="20"/>
            </w:pPr>
            <w:r/>
            <w:r>
              <w:rPr>
                <w:rFonts w:ascii="Consolas" w:hAnsi="Consolas"/>
                <w:b/>
                <w:i w:val="0"/>
                <w:color w:val="123A63"/>
                <w:sz w:val="17"/>
                <w:shd w:val="clear" w:color="auto" w:fill="EEF2F7"/>
              </w:rPr>
              <w:t>swapon -s</w:t>
            </w:r>
            <w:r>
              <w:rPr>
                <w:rFonts w:ascii="Calibri" w:hAnsi="Calibri"/>
                <w:b/>
                <w:i w:val="0"/>
                <w:color w:val="334E68"/>
                <w:sz w:val="17"/>
              </w:rPr>
              <w:t xml:space="preserve">, </w:t>
            </w:r>
            <w:r>
              <w:rPr>
                <w:rFonts w:ascii="Consolas" w:hAnsi="Consolas"/>
                <w:b/>
                <w:i w:val="0"/>
                <w:color w:val="123A63"/>
                <w:sz w:val="17"/>
                <w:shd w:val="clear" w:color="auto" w:fill="EEF2F7"/>
              </w:rPr>
              <w:t>sysctl vm.swappiness</w:t>
            </w:r>
          </w:p>
        </w:tc>
        <w:tc>
          <w:tcPr>
            <w:tcW w:type="dxa" w:w="4626"/>
          </w:tcPr>
          <w:p>
            <w:pPr>
              <w:spacing w:after="20" w:before="20"/>
            </w:pPr>
            <w:r/>
            <w:r>
              <w:rPr>
                <w:rFonts w:ascii="Calibri" w:hAnsi="Calibri"/>
                <w:b w:val="0"/>
                <w:i w:val="0"/>
                <w:color w:val="334E68"/>
                <w:sz w:val="17"/>
              </w:rPr>
              <w:t>Swap configuration</w:t>
            </w:r>
          </w:p>
        </w:tc>
        <w:tc>
          <w:tcPr>
            <w:tcW w:type="dxa" w:w="1735"/>
          </w:tcPr>
          <w:p>
            <w:pPr>
              <w:spacing w:after="20" w:before="20"/>
            </w:pPr>
            <w:r/>
            <w:r>
              <w:rPr>
                <w:rFonts w:ascii="Calibri" w:hAnsi="Calibri"/>
                <w:b w:val="0"/>
                <w:i w:val="0"/>
                <w:color w:val="334E68"/>
                <w:sz w:val="17"/>
              </w:rPr>
              <w:t>7.2</w:t>
            </w:r>
          </w:p>
        </w:tc>
      </w:tr>
      <w:tr>
        <w:trPr>
          <w:cantSplit/>
        </w:trPr>
        <w:tc>
          <w:tcPr>
            <w:tcW w:type="dxa" w:w="3277"/>
            <w:shd w:val="clear" w:color="auto" w:fill="FAFBFD"/>
          </w:tcPr>
          <w:p>
            <w:pPr>
              <w:spacing w:after="20" w:before="20"/>
            </w:pPr>
            <w:r/>
            <w:r>
              <w:rPr>
                <w:rFonts w:ascii="Consolas" w:hAnsi="Consolas"/>
                <w:b/>
                <w:i w:val="0"/>
                <w:color w:val="123A63"/>
                <w:sz w:val="17"/>
                <w:shd w:val="clear" w:color="auto" w:fill="EEF2F7"/>
              </w:rPr>
              <w:t>grep -E 'sapdp|sapgw' /etc/services</w:t>
            </w:r>
          </w:p>
        </w:tc>
        <w:tc>
          <w:tcPr>
            <w:tcW w:type="dxa" w:w="4626"/>
            <w:shd w:val="clear" w:color="auto" w:fill="FAFBFD"/>
          </w:tcPr>
          <w:p>
            <w:pPr>
              <w:spacing w:after="20" w:before="20"/>
            </w:pPr>
            <w:r/>
            <w:r>
              <w:rPr>
                <w:rFonts w:ascii="Calibri" w:hAnsi="Calibri"/>
                <w:b w:val="0"/>
                <w:i w:val="0"/>
                <w:color w:val="334E68"/>
                <w:sz w:val="17"/>
              </w:rPr>
              <w:t>SAP service port definitions</w:t>
            </w:r>
          </w:p>
        </w:tc>
        <w:tc>
          <w:tcPr>
            <w:tcW w:type="dxa" w:w="1735"/>
            <w:shd w:val="clear" w:color="auto" w:fill="FAFBFD"/>
          </w:tcPr>
          <w:p>
            <w:pPr>
              <w:spacing w:after="20" w:before="20"/>
            </w:pPr>
            <w:r/>
            <w:r>
              <w:rPr>
                <w:rFonts w:ascii="Calibri" w:hAnsi="Calibri"/>
                <w:b w:val="0"/>
                <w:i w:val="0"/>
                <w:color w:val="334E68"/>
                <w:sz w:val="17"/>
              </w:rPr>
              <w:t>7.2</w:t>
            </w:r>
          </w:p>
        </w:tc>
      </w:tr>
      <w:tr>
        <w:trPr>
          <w:cantSplit/>
        </w:trPr>
        <w:tc>
          <w:tcPr>
            <w:tcW w:type="dxa" w:w="3277"/>
          </w:tcPr>
          <w:p>
            <w:pPr>
              <w:spacing w:after="20" w:before="20"/>
            </w:pPr>
            <w:r/>
            <w:r>
              <w:rPr>
                <w:rFonts w:ascii="Consolas" w:hAnsi="Consolas"/>
                <w:b/>
                <w:i w:val="0"/>
                <w:color w:val="123A63"/>
                <w:sz w:val="17"/>
                <w:shd w:val="clear" w:color="auto" w:fill="EEF2F7"/>
              </w:rPr>
              <w:t>ldd</w:t>
            </w:r>
            <w:r>
              <w:rPr>
                <w:rFonts w:ascii="Calibri" w:hAnsi="Calibri"/>
                <w:b/>
                <w:i w:val="0"/>
                <w:color w:val="334E68"/>
                <w:sz w:val="17"/>
              </w:rPr>
              <w:t xml:space="preserve"> on key binaries</w:t>
            </w:r>
          </w:p>
        </w:tc>
        <w:tc>
          <w:tcPr>
            <w:tcW w:type="dxa" w:w="4626"/>
          </w:tcPr>
          <w:p>
            <w:pPr>
              <w:spacing w:after="20" w:before="20"/>
            </w:pPr>
            <w:r/>
            <w:r>
              <w:rPr>
                <w:rFonts w:ascii="Calibri" w:hAnsi="Calibri"/>
                <w:b w:val="0"/>
                <w:i w:val="0"/>
                <w:color w:val="334E68"/>
                <w:sz w:val="17"/>
              </w:rPr>
              <w:t>Shared library dependencies</w:t>
            </w:r>
          </w:p>
        </w:tc>
        <w:tc>
          <w:tcPr>
            <w:tcW w:type="dxa" w:w="1735"/>
          </w:tcPr>
          <w:p>
            <w:pPr>
              <w:spacing w:after="20" w:before="20"/>
            </w:pPr>
            <w:r/>
            <w:r>
              <w:rPr>
                <w:rFonts w:ascii="Calibri" w:hAnsi="Calibri"/>
                <w:b w:val="0"/>
                <w:i w:val="0"/>
                <w:color w:val="334E68"/>
                <w:sz w:val="17"/>
              </w:rPr>
              <w:t>7.2</w:t>
            </w:r>
          </w:p>
        </w:tc>
      </w:tr>
      <w:tr>
        <w:trPr>
          <w:cantSplit/>
        </w:trPr>
        <w:tc>
          <w:tcPr>
            <w:tcW w:type="dxa" w:w="3277"/>
            <w:shd w:val="clear" w:color="auto" w:fill="FAFBFD"/>
          </w:tcPr>
          <w:p>
            <w:pPr>
              <w:spacing w:after="20" w:before="20"/>
            </w:pPr>
            <w:r/>
            <w:r>
              <w:rPr>
                <w:rFonts w:ascii="Consolas" w:hAnsi="Consolas"/>
                <w:b/>
                <w:i w:val="0"/>
                <w:color w:val="123A63"/>
                <w:sz w:val="17"/>
                <w:shd w:val="clear" w:color="auto" w:fill="EEF2F7"/>
              </w:rPr>
              <w:t>systemctl status / show</w:t>
            </w:r>
          </w:p>
        </w:tc>
        <w:tc>
          <w:tcPr>
            <w:tcW w:type="dxa" w:w="4626"/>
            <w:shd w:val="clear" w:color="auto" w:fill="FAFBFD"/>
          </w:tcPr>
          <w:p>
            <w:pPr>
              <w:spacing w:after="20" w:before="20"/>
            </w:pPr>
            <w:r/>
            <w:r>
              <w:rPr>
                <w:rFonts w:ascii="Calibri" w:hAnsi="Calibri"/>
                <w:b w:val="0"/>
                <w:i w:val="0"/>
                <w:color w:val="334E68"/>
                <w:sz w:val="17"/>
              </w:rPr>
              <w:t>Service state, result and exit code</w:t>
            </w:r>
          </w:p>
        </w:tc>
        <w:tc>
          <w:tcPr>
            <w:tcW w:type="dxa" w:w="1735"/>
            <w:shd w:val="clear" w:color="auto" w:fill="FAFBFD"/>
          </w:tcPr>
          <w:p>
            <w:pPr>
              <w:spacing w:after="20" w:before="20"/>
            </w:pPr>
            <w:r/>
            <w:r>
              <w:rPr>
                <w:rFonts w:ascii="Calibri" w:hAnsi="Calibri"/>
                <w:b w:val="0"/>
                <w:i w:val="0"/>
                <w:color w:val="334E68"/>
                <w:sz w:val="17"/>
              </w:rPr>
              <w:t>7.1</w:t>
            </w:r>
          </w:p>
        </w:tc>
      </w:tr>
      <w:tr>
        <w:trPr>
          <w:cantSplit/>
        </w:trPr>
        <w:tc>
          <w:tcPr>
            <w:tcW w:type="dxa" w:w="3277"/>
          </w:tcPr>
          <w:p>
            <w:pPr>
              <w:spacing w:after="20" w:before="20"/>
            </w:pPr>
            <w:r/>
            <w:r>
              <w:rPr>
                <w:rFonts w:ascii="Consolas" w:hAnsi="Consolas"/>
                <w:b/>
                <w:i w:val="0"/>
                <w:color w:val="123A63"/>
                <w:sz w:val="17"/>
                <w:shd w:val="clear" w:color="auto" w:fill="EEF2F7"/>
              </w:rPr>
              <w:t>sapcontrol -nr &lt;nn&gt; -function GetProcessList</w:t>
            </w:r>
          </w:p>
        </w:tc>
        <w:tc>
          <w:tcPr>
            <w:tcW w:type="dxa" w:w="4626"/>
          </w:tcPr>
          <w:p>
            <w:pPr>
              <w:spacing w:after="20" w:before="20"/>
            </w:pPr>
            <w:r/>
            <w:r>
              <w:rPr>
                <w:rFonts w:ascii="Calibri" w:hAnsi="Calibri"/>
                <w:b w:val="0"/>
                <w:i w:val="0"/>
                <w:color w:val="334E68"/>
                <w:sz w:val="17"/>
              </w:rPr>
              <w:t>Instance process state from the OS</w:t>
            </w:r>
          </w:p>
        </w:tc>
        <w:tc>
          <w:tcPr>
            <w:tcW w:type="dxa" w:w="1735"/>
          </w:tcPr>
          <w:p>
            <w:pPr>
              <w:spacing w:after="20" w:before="20"/>
            </w:pPr>
            <w:r/>
            <w:r>
              <w:rPr>
                <w:rFonts w:ascii="Calibri" w:hAnsi="Calibri"/>
                <w:b w:val="0"/>
                <w:i w:val="0"/>
                <w:color w:val="334E68"/>
                <w:sz w:val="17"/>
              </w:rPr>
              <w:t>7.1</w:t>
            </w:r>
          </w:p>
        </w:tc>
      </w:tr>
      <w:tr>
        <w:trPr>
          <w:cantSplit/>
        </w:trPr>
        <w:tc>
          <w:tcPr>
            <w:tcW w:type="dxa" w:w="3277"/>
            <w:shd w:val="clear" w:color="auto" w:fill="FAFBFD"/>
          </w:tcPr>
          <w:p>
            <w:pPr>
              <w:spacing w:after="20" w:before="20"/>
            </w:pPr>
            <w:r/>
            <w:r>
              <w:rPr>
                <w:rFonts w:ascii="Consolas" w:hAnsi="Consolas"/>
                <w:b/>
                <w:i w:val="0"/>
                <w:color w:val="123A63"/>
                <w:sz w:val="17"/>
                <w:shd w:val="clear" w:color="auto" w:fill="EEF2F7"/>
              </w:rPr>
              <w:t>R3trans -d</w:t>
            </w:r>
          </w:p>
        </w:tc>
        <w:tc>
          <w:tcPr>
            <w:tcW w:type="dxa" w:w="4626"/>
            <w:shd w:val="clear" w:color="auto" w:fill="FAFBFD"/>
          </w:tcPr>
          <w:p>
            <w:pPr>
              <w:spacing w:after="20" w:before="20"/>
            </w:pPr>
            <w:r/>
            <w:r>
              <w:rPr>
                <w:rFonts w:ascii="Calibri" w:hAnsi="Calibri"/>
                <w:b w:val="0"/>
                <w:i w:val="0"/>
                <w:color w:val="334E68"/>
                <w:sz w:val="17"/>
              </w:rPr>
              <w:t xml:space="preserve">SAP-to-database connectivity (expect </w:t>
            </w:r>
            <w:r>
              <w:rPr>
                <w:rFonts w:ascii="Consolas" w:hAnsi="Consolas"/>
                <w:b w:val="0"/>
                <w:i w:val="0"/>
                <w:color w:val="123A63"/>
                <w:sz w:val="17"/>
                <w:shd w:val="clear" w:color="auto" w:fill="EEF2F7"/>
              </w:rPr>
              <w:t>0000</w:t>
            </w:r>
            <w:r>
              <w:rPr>
                <w:rFonts w:ascii="Calibri" w:hAnsi="Calibri"/>
                <w:b w:val="0"/>
                <w:i w:val="0"/>
                <w:color w:val="334E68"/>
                <w:sz w:val="17"/>
              </w:rPr>
              <w:t>)</w:t>
            </w:r>
          </w:p>
        </w:tc>
        <w:tc>
          <w:tcPr>
            <w:tcW w:type="dxa" w:w="1735"/>
            <w:shd w:val="clear" w:color="auto" w:fill="FAFBFD"/>
          </w:tcPr>
          <w:p>
            <w:pPr>
              <w:spacing w:after="20" w:before="20"/>
            </w:pPr>
            <w:r/>
            <w:r>
              <w:rPr>
                <w:rFonts w:ascii="Calibri" w:hAnsi="Calibri"/>
                <w:b w:val="0"/>
                <w:i w:val="0"/>
                <w:color w:val="334E68"/>
                <w:sz w:val="17"/>
              </w:rPr>
              <w:t>10.2</w:t>
            </w:r>
          </w:p>
        </w:tc>
      </w:tr>
      <w:tr>
        <w:trPr>
          <w:cantSplit/>
        </w:trPr>
        <w:tc>
          <w:tcPr>
            <w:tcW w:type="dxa" w:w="3277"/>
          </w:tcPr>
          <w:p>
            <w:pPr>
              <w:spacing w:after="20" w:before="20"/>
            </w:pPr>
            <w:r/>
            <w:r>
              <w:rPr>
                <w:rFonts w:ascii="Consolas" w:hAnsi="Consolas"/>
                <w:b/>
                <w:i w:val="0"/>
                <w:color w:val="123A63"/>
                <w:sz w:val="17"/>
                <w:shd w:val="clear" w:color="auto" w:fill="EEF2F7"/>
              </w:rPr>
              <w:t>rsync -avn</w:t>
            </w:r>
            <w:r>
              <w:rPr>
                <w:rFonts w:ascii="Calibri" w:hAnsi="Calibri"/>
                <w:b/>
                <w:i w:val="0"/>
                <w:color w:val="334E68"/>
                <w:sz w:val="17"/>
              </w:rPr>
              <w:t xml:space="preserve"> (dry run first)</w:t>
            </w:r>
          </w:p>
        </w:tc>
        <w:tc>
          <w:tcPr>
            <w:tcW w:type="dxa" w:w="4626"/>
          </w:tcPr>
          <w:p>
            <w:pPr>
              <w:spacing w:after="20" w:before="20"/>
            </w:pPr>
            <w:r/>
            <w:r>
              <w:rPr>
                <w:rFonts w:ascii="Calibri" w:hAnsi="Calibri"/>
                <w:b w:val="0"/>
                <w:i w:val="0"/>
                <w:color w:val="334E68"/>
                <w:sz w:val="17"/>
              </w:rPr>
              <w:t>Global directory synchronization</w:t>
            </w:r>
          </w:p>
        </w:tc>
        <w:tc>
          <w:tcPr>
            <w:tcW w:type="dxa" w:w="1735"/>
          </w:tcPr>
          <w:p>
            <w:pPr>
              <w:spacing w:after="20" w:before="20"/>
            </w:pPr>
            <w:r/>
            <w:r>
              <w:rPr>
                <w:rFonts w:ascii="Calibri" w:hAnsi="Calibri"/>
                <w:b w:val="0"/>
                <w:i w:val="0"/>
                <w:color w:val="334E68"/>
                <w:sz w:val="17"/>
              </w:rPr>
              <w:t>10.2</w:t>
            </w:r>
          </w:p>
        </w:tc>
      </w:tr>
    </w:tbl>
    <w:p>
      <w:pPr>
        <w:spacing w:after="40"/>
      </w:pPr>
    </w:p>
    <w:p>
      <w:pPr>
        <w:spacing w:after="160"/>
      </w:pPr>
      <w:r>
        <w:rPr>
          <w:rFonts w:ascii="Calibri" w:hAnsi="Calibri"/>
          <w:i/>
          <w:color w:val="5B7288"/>
          <w:sz w:val="16"/>
        </w:rPr>
        <w:t>Command names and syntax differ by distribution, SAP release and project standard. These are the checks to perform, not copy-paste production commands.</w:t>
      </w:r>
    </w:p>
    <w:p>
      <w:pPr>
        <w:pStyle w:val="Heading2"/>
        <w:pBdr>
          <w:bottom w:val="single" w:sz="6" w:space="3" w:color="E8EDF3"/>
        </w:pBdr>
      </w:pPr>
      <w:r>
        <w:rPr>
          <w:rFonts w:ascii="Calibri" w:hAnsi="Calibri"/>
          <w:b/>
          <w:color w:val="0F2B4C"/>
          <w:sz w:val="26"/>
        </w:rPr>
        <w:t>11.4  Key files and locations</w:t>
      </w:r>
    </w:p>
    <w:p>
      <w:pPr>
        <w:spacing w:after="60" w:before="160"/>
        <w:keepNext/>
      </w:pPr>
      <w:r>
        <w:rPr>
          <w:rFonts w:ascii="Calibri" w:hAnsi="Calibri"/>
          <w:b/>
          <w:color w:val="5B7288"/>
          <w:sz w:val="15"/>
        </w:rPr>
        <w:t>FILES THAT DECIDE WHETHER A CUTOVER WORKS</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891"/>
        <w:gridCol w:w="6746"/>
      </w:tblGrid>
      <w:tr>
        <w:trPr>
          <w:tblHeader/>
          <w:cantSplit/>
        </w:trPr>
        <w:tc>
          <w:tcPr>
            <w:tcW w:type="dxa" w:w="2891"/>
            <w:shd w:val="clear" w:color="auto" w:fill="0F2B4C"/>
          </w:tcPr>
          <w:p>
            <w:pPr>
              <w:spacing w:after="20" w:before="20"/>
            </w:pPr>
            <w:r/>
            <w:r>
              <w:rPr>
                <w:rFonts w:ascii="Calibri" w:hAnsi="Calibri"/>
                <w:b/>
                <w:color w:val="FFFFFF"/>
                <w:sz w:val="17"/>
              </w:rPr>
              <w:t>File / location</w:t>
            </w:r>
          </w:p>
        </w:tc>
        <w:tc>
          <w:tcPr>
            <w:tcW w:type="dxa" w:w="6746"/>
            <w:shd w:val="clear" w:color="auto" w:fill="0F2B4C"/>
          </w:tcPr>
          <w:p>
            <w:pPr>
              <w:spacing w:after="20" w:before="20"/>
            </w:pPr>
            <w:r/>
            <w:r>
              <w:rPr>
                <w:rFonts w:ascii="Calibri" w:hAnsi="Calibri"/>
                <w:b/>
                <w:color w:val="FFFFFF"/>
                <w:sz w:val="17"/>
              </w:rPr>
              <w:t>Relevance</w:t>
            </w:r>
          </w:p>
        </w:tc>
      </w:tr>
      <w:tr>
        <w:trPr>
          <w:cantSplit/>
        </w:trPr>
        <w:tc>
          <w:tcPr>
            <w:tcW w:type="dxa" w:w="2891"/>
          </w:tcPr>
          <w:p>
            <w:pPr>
              <w:spacing w:after="20" w:before="20"/>
            </w:pPr>
            <w:r/>
            <w:r>
              <w:rPr>
                <w:rFonts w:ascii="Consolas" w:hAnsi="Consolas"/>
                <w:b/>
                <w:i w:val="0"/>
                <w:color w:val="123A63"/>
                <w:sz w:val="17"/>
                <w:shd w:val="clear" w:color="auto" w:fill="EEF2F7"/>
              </w:rPr>
              <w:t>/etc/hosts</w:t>
            </w:r>
          </w:p>
        </w:tc>
        <w:tc>
          <w:tcPr>
            <w:tcW w:type="dxa" w:w="6746"/>
          </w:tcPr>
          <w:p>
            <w:pPr>
              <w:spacing w:after="20" w:before="20"/>
            </w:pPr>
            <w:r/>
            <w:r>
              <w:rPr>
                <w:rFonts w:ascii="Calibri" w:hAnsi="Calibri"/>
                <w:b w:val="0"/>
                <w:i w:val="0"/>
                <w:color w:val="334E68"/>
                <w:sz w:val="17"/>
              </w:rPr>
              <w:t>Hostname and virtual-hostname resolution; stale entries silently override DNS</w:t>
            </w:r>
          </w:p>
        </w:tc>
      </w:tr>
      <w:tr>
        <w:trPr>
          <w:cantSplit/>
        </w:trPr>
        <w:tc>
          <w:tcPr>
            <w:tcW w:type="dxa" w:w="2891"/>
            <w:shd w:val="clear" w:color="auto" w:fill="FAFBFD"/>
          </w:tcPr>
          <w:p>
            <w:pPr>
              <w:spacing w:after="20" w:before="20"/>
            </w:pPr>
            <w:r/>
            <w:r>
              <w:rPr>
                <w:rFonts w:ascii="Consolas" w:hAnsi="Consolas"/>
                <w:b/>
                <w:i w:val="0"/>
                <w:color w:val="123A63"/>
                <w:sz w:val="17"/>
                <w:shd w:val="clear" w:color="auto" w:fill="EEF2F7"/>
              </w:rPr>
              <w:t>/etc/services</w:t>
            </w:r>
          </w:p>
        </w:tc>
        <w:tc>
          <w:tcPr>
            <w:tcW w:type="dxa" w:w="6746"/>
            <w:shd w:val="clear" w:color="auto" w:fill="FAFBFD"/>
          </w:tcPr>
          <w:p>
            <w:pPr>
              <w:spacing w:after="20" w:before="20"/>
            </w:pPr>
            <w:r/>
            <w:r>
              <w:rPr>
                <w:rFonts w:ascii="Consolas" w:hAnsi="Consolas"/>
                <w:b w:val="0"/>
                <w:i w:val="0"/>
                <w:color w:val="123A63"/>
                <w:sz w:val="17"/>
                <w:shd w:val="clear" w:color="auto" w:fill="EEF2F7"/>
              </w:rPr>
              <w:t>sapdp&lt;nn&gt;</w:t>
            </w:r>
            <w:r>
              <w:rPr>
                <w:rFonts w:ascii="Calibri" w:hAnsi="Calibri"/>
                <w:b w:val="0"/>
                <w:i w:val="0"/>
                <w:color w:val="334E68"/>
                <w:sz w:val="17"/>
              </w:rPr>
              <w:t xml:space="preserve"> and </w:t>
            </w:r>
            <w:r>
              <w:rPr>
                <w:rFonts w:ascii="Consolas" w:hAnsi="Consolas"/>
                <w:b w:val="0"/>
                <w:i w:val="0"/>
                <w:color w:val="123A63"/>
                <w:sz w:val="17"/>
                <w:shd w:val="clear" w:color="auto" w:fill="EEF2F7"/>
              </w:rPr>
              <w:t>sapgw&lt;nn&gt;</w:t>
            </w:r>
            <w:r>
              <w:rPr>
                <w:rFonts w:ascii="Calibri" w:hAnsi="Calibri"/>
                <w:b w:val="0"/>
                <w:i w:val="0"/>
                <w:color w:val="334E68"/>
                <w:sz w:val="17"/>
              </w:rPr>
              <w:t xml:space="preserve"> port definitions used by SAP and the gateway</w:t>
            </w:r>
          </w:p>
        </w:tc>
      </w:tr>
      <w:tr>
        <w:trPr>
          <w:cantSplit/>
        </w:trPr>
        <w:tc>
          <w:tcPr>
            <w:tcW w:type="dxa" w:w="2891"/>
          </w:tcPr>
          <w:p>
            <w:pPr>
              <w:spacing w:after="20" w:before="20"/>
            </w:pPr>
            <w:r/>
            <w:r>
              <w:rPr>
                <w:rFonts w:ascii="Consolas" w:hAnsi="Consolas"/>
                <w:b/>
                <w:i w:val="0"/>
                <w:color w:val="123A63"/>
                <w:sz w:val="17"/>
                <w:shd w:val="clear" w:color="auto" w:fill="EEF2F7"/>
              </w:rPr>
              <w:t>/etc/fstab</w:t>
            </w:r>
          </w:p>
        </w:tc>
        <w:tc>
          <w:tcPr>
            <w:tcW w:type="dxa" w:w="6746"/>
          </w:tcPr>
          <w:p>
            <w:pPr>
              <w:spacing w:after="20" w:before="20"/>
            </w:pPr>
            <w:r/>
            <w:r>
              <w:rPr>
                <w:rFonts w:ascii="Calibri" w:hAnsi="Calibri"/>
                <w:b w:val="0"/>
                <w:i w:val="0"/>
                <w:color w:val="334E68"/>
                <w:sz w:val="17"/>
              </w:rPr>
              <w:t>Mount definitions — a missing or misordered entry breaks SAP at boot</w:t>
            </w:r>
          </w:p>
        </w:tc>
      </w:tr>
      <w:tr>
        <w:trPr>
          <w:cantSplit/>
        </w:trPr>
        <w:tc>
          <w:tcPr>
            <w:tcW w:type="dxa" w:w="2891"/>
            <w:shd w:val="clear" w:color="auto" w:fill="FAFBFD"/>
          </w:tcPr>
          <w:p>
            <w:pPr>
              <w:spacing w:after="20" w:before="20"/>
            </w:pPr>
            <w:r/>
            <w:r>
              <w:rPr>
                <w:rFonts w:ascii="Calibri" w:hAnsi="Calibri"/>
                <w:b/>
                <w:i w:val="0"/>
                <w:color w:val="334E68"/>
                <w:sz w:val="17"/>
              </w:rPr>
              <w:t>SAP profile directory</w:t>
            </w:r>
          </w:p>
        </w:tc>
        <w:tc>
          <w:tcPr>
            <w:tcW w:type="dxa" w:w="6746"/>
            <w:shd w:val="clear" w:color="auto" w:fill="FAFBFD"/>
          </w:tcPr>
          <w:p>
            <w:pPr>
              <w:spacing w:after="20" w:before="20"/>
            </w:pPr>
            <w:r/>
            <w:r>
              <w:rPr>
                <w:rFonts w:ascii="Calibri" w:hAnsi="Calibri"/>
                <w:b w:val="0"/>
                <w:i w:val="0"/>
                <w:color w:val="334E68"/>
                <w:sz w:val="17"/>
              </w:rPr>
              <w:t xml:space="preserve">Instance and default profiles maintained via </w:t>
            </w:r>
            <w:r>
              <w:rPr>
                <w:rFonts w:ascii="Consolas" w:hAnsi="Consolas"/>
                <w:b w:val="0"/>
                <w:i w:val="0"/>
                <w:color w:val="123A63"/>
                <w:sz w:val="17"/>
                <w:shd w:val="clear" w:color="auto" w:fill="EEF2F7"/>
              </w:rPr>
              <w:t>RZ10</w:t>
            </w:r>
          </w:p>
        </w:tc>
      </w:tr>
      <w:tr>
        <w:trPr>
          <w:cantSplit/>
        </w:trPr>
        <w:tc>
          <w:tcPr>
            <w:tcW w:type="dxa" w:w="2891"/>
          </w:tcPr>
          <w:p>
            <w:pPr>
              <w:spacing w:after="20" w:before="20"/>
            </w:pPr>
            <w:r/>
            <w:r>
              <w:rPr>
                <w:rFonts w:ascii="Calibri" w:hAnsi="Calibri"/>
                <w:b/>
                <w:i w:val="0"/>
                <w:color w:val="334E68"/>
                <w:sz w:val="17"/>
              </w:rPr>
              <w:t>SAP work / log directories</w:t>
            </w:r>
          </w:p>
        </w:tc>
        <w:tc>
          <w:tcPr>
            <w:tcW w:type="dxa" w:w="6746"/>
          </w:tcPr>
          <w:p>
            <w:pPr>
              <w:spacing w:after="20" w:before="20"/>
            </w:pPr>
            <w:r/>
            <w:r>
              <w:rPr>
                <w:rFonts w:ascii="Consolas" w:hAnsi="Consolas"/>
                <w:b w:val="0"/>
                <w:i w:val="0"/>
                <w:color w:val="123A63"/>
                <w:sz w:val="17"/>
                <w:shd w:val="clear" w:color="auto" w:fill="EEF2F7"/>
              </w:rPr>
              <w:t>dev_w*</w:t>
            </w:r>
            <w:r>
              <w:rPr>
                <w:rFonts w:ascii="Calibri" w:hAnsi="Calibri"/>
                <w:b w:val="0"/>
                <w:i w:val="0"/>
                <w:color w:val="334E68"/>
                <w:sz w:val="17"/>
              </w:rPr>
              <w:t xml:space="preserve">, </w:t>
            </w:r>
            <w:r>
              <w:rPr>
                <w:rFonts w:ascii="Consolas" w:hAnsi="Consolas"/>
                <w:b w:val="0"/>
                <w:i w:val="0"/>
                <w:color w:val="123A63"/>
                <w:sz w:val="17"/>
                <w:shd w:val="clear" w:color="auto" w:fill="EEF2F7"/>
              </w:rPr>
              <w:t>dev_disp</w:t>
            </w:r>
            <w:r>
              <w:rPr>
                <w:rFonts w:ascii="Calibri" w:hAnsi="Calibri"/>
                <w:b w:val="0"/>
                <w:i w:val="0"/>
                <w:color w:val="334E68"/>
                <w:sz w:val="17"/>
              </w:rPr>
              <w:t xml:space="preserve">, </w:t>
            </w:r>
            <w:r>
              <w:rPr>
                <w:rFonts w:ascii="Consolas" w:hAnsi="Consolas"/>
                <w:b w:val="0"/>
                <w:i w:val="0"/>
                <w:color w:val="123A63"/>
                <w:sz w:val="17"/>
                <w:shd w:val="clear" w:color="auto" w:fill="EEF2F7"/>
              </w:rPr>
              <w:t>dev_ms</w:t>
            </w:r>
            <w:r>
              <w:rPr>
                <w:rFonts w:ascii="Calibri" w:hAnsi="Calibri"/>
                <w:b w:val="0"/>
                <w:i w:val="0"/>
                <w:color w:val="334E68"/>
                <w:sz w:val="17"/>
              </w:rPr>
              <w:t xml:space="preserve"> traces used to diagnose start failures</w:t>
            </w:r>
          </w:p>
        </w:tc>
      </w:tr>
      <w:tr>
        <w:trPr>
          <w:cantSplit/>
        </w:trPr>
        <w:tc>
          <w:tcPr>
            <w:tcW w:type="dxa" w:w="2891"/>
            <w:shd w:val="clear" w:color="auto" w:fill="FAFBFD"/>
          </w:tcPr>
          <w:p>
            <w:pPr>
              <w:spacing w:after="20" w:before="20"/>
            </w:pPr>
            <w:r/>
            <w:r>
              <w:rPr>
                <w:rFonts w:ascii="Calibri" w:hAnsi="Calibri"/>
                <w:b/>
                <w:i w:val="0"/>
                <w:color w:val="334E68"/>
                <w:sz w:val="17"/>
              </w:rPr>
              <w:t>SAP global directories</w:t>
            </w:r>
          </w:p>
        </w:tc>
        <w:tc>
          <w:tcPr>
            <w:tcW w:type="dxa" w:w="6746"/>
            <w:shd w:val="clear" w:color="auto" w:fill="FAFBFD"/>
          </w:tcPr>
          <w:p>
            <w:pPr>
              <w:spacing w:after="20" w:before="20"/>
            </w:pPr>
            <w:r/>
            <w:r>
              <w:rPr>
                <w:rFonts w:ascii="Calibri" w:hAnsi="Calibri"/>
                <w:b w:val="0"/>
                <w:i w:val="0"/>
                <w:color w:val="334E68"/>
                <w:sz w:val="17"/>
              </w:rPr>
              <w:t xml:space="preserve">Transport, interface and shared directories synchronized with </w:t>
            </w:r>
            <w:r>
              <w:rPr>
                <w:rFonts w:ascii="Consolas" w:hAnsi="Consolas"/>
                <w:b w:val="0"/>
                <w:i w:val="0"/>
                <w:color w:val="123A63"/>
                <w:sz w:val="17"/>
                <w:shd w:val="clear" w:color="auto" w:fill="EEF2F7"/>
              </w:rPr>
              <w:t>rsync</w:t>
            </w:r>
          </w:p>
        </w:tc>
      </w:tr>
      <w:tr>
        <w:trPr>
          <w:cantSplit/>
        </w:trPr>
        <w:tc>
          <w:tcPr>
            <w:tcW w:type="dxa" w:w="2891"/>
          </w:tcPr>
          <w:p>
            <w:pPr>
              <w:spacing w:after="20" w:before="20"/>
            </w:pPr>
            <w:r/>
            <w:r>
              <w:rPr>
                <w:rFonts w:ascii="Calibri" w:hAnsi="Calibri"/>
                <w:b/>
                <w:i w:val="0"/>
                <w:color w:val="334E68"/>
                <w:sz w:val="17"/>
              </w:rPr>
              <w:t>HANA INI files</w:t>
            </w:r>
          </w:p>
        </w:tc>
        <w:tc>
          <w:tcPr>
            <w:tcW w:type="dxa" w:w="6746"/>
          </w:tcPr>
          <w:p>
            <w:pPr>
              <w:spacing w:after="20" w:before="20"/>
            </w:pPr>
            <w:r/>
            <w:r>
              <w:rPr>
                <w:rFonts w:ascii="Consolas" w:hAnsi="Consolas"/>
                <w:b w:val="0"/>
                <w:i w:val="0"/>
                <w:color w:val="123A63"/>
                <w:sz w:val="17"/>
                <w:shd w:val="clear" w:color="auto" w:fill="EEF2F7"/>
              </w:rPr>
              <w:t>global.ini</w:t>
            </w:r>
            <w:r>
              <w:rPr>
                <w:rFonts w:ascii="Calibri" w:hAnsi="Calibri"/>
                <w:b w:val="0"/>
                <w:i w:val="0"/>
                <w:color w:val="334E68"/>
                <w:sz w:val="17"/>
              </w:rPr>
              <w:t xml:space="preserve">, </w:t>
            </w:r>
            <w:r>
              <w:rPr>
                <w:rFonts w:ascii="Consolas" w:hAnsi="Consolas"/>
                <w:b w:val="0"/>
                <w:i w:val="0"/>
                <w:color w:val="123A63"/>
                <w:sz w:val="17"/>
                <w:shd w:val="clear" w:color="auto" w:fill="EEF2F7"/>
              </w:rPr>
              <w:t>nameserver.ini</w:t>
            </w:r>
            <w:r>
              <w:rPr>
                <w:rFonts w:ascii="Calibri" w:hAnsi="Calibri"/>
                <w:b w:val="0"/>
                <w:i w:val="0"/>
                <w:color w:val="334E68"/>
                <w:sz w:val="17"/>
              </w:rPr>
              <w:t xml:space="preserve"> and service configuration used in recovery</w:t>
            </w:r>
          </w:p>
        </w:tc>
      </w:tr>
      <w:tr>
        <w:trPr>
          <w:cantSplit/>
        </w:trPr>
        <w:tc>
          <w:tcPr>
            <w:tcW w:type="dxa" w:w="2891"/>
            <w:shd w:val="clear" w:color="auto" w:fill="FAFBFD"/>
          </w:tcPr>
          <w:p>
            <w:pPr>
              <w:spacing w:after="20" w:before="20"/>
            </w:pPr>
            <w:r/>
            <w:r>
              <w:rPr>
                <w:rFonts w:ascii="Calibri" w:hAnsi="Calibri"/>
                <w:b/>
                <w:i w:val="0"/>
                <w:color w:val="334E68"/>
                <w:sz w:val="17"/>
              </w:rPr>
              <w:t>Oracle network files</w:t>
            </w:r>
          </w:p>
        </w:tc>
        <w:tc>
          <w:tcPr>
            <w:tcW w:type="dxa" w:w="6746"/>
            <w:shd w:val="clear" w:color="auto" w:fill="FAFBFD"/>
          </w:tcPr>
          <w:p>
            <w:pPr>
              <w:spacing w:after="20" w:before="20"/>
            </w:pPr>
            <w:r/>
            <w:r>
              <w:rPr>
                <w:rFonts w:ascii="Consolas" w:hAnsi="Consolas"/>
                <w:b w:val="0"/>
                <w:i w:val="0"/>
                <w:color w:val="123A63"/>
                <w:sz w:val="17"/>
                <w:shd w:val="clear" w:color="auto" w:fill="EEF2F7"/>
              </w:rPr>
              <w:t>listener.ora</w:t>
            </w:r>
            <w:r>
              <w:rPr>
                <w:rFonts w:ascii="Calibri" w:hAnsi="Calibri"/>
                <w:b w:val="0"/>
                <w:i w:val="0"/>
                <w:color w:val="334E68"/>
                <w:sz w:val="17"/>
              </w:rPr>
              <w:t xml:space="preserve">, </w:t>
            </w:r>
            <w:r>
              <w:rPr>
                <w:rFonts w:ascii="Consolas" w:hAnsi="Consolas"/>
                <w:b w:val="0"/>
                <w:i w:val="0"/>
                <w:color w:val="123A63"/>
                <w:sz w:val="17"/>
                <w:shd w:val="clear" w:color="auto" w:fill="EEF2F7"/>
              </w:rPr>
              <w:t>tnsnames.ora</w:t>
            </w:r>
            <w:r>
              <w:rPr>
                <w:rFonts w:ascii="Calibri" w:hAnsi="Calibri"/>
                <w:b w:val="0"/>
                <w:i w:val="0"/>
                <w:color w:val="334E68"/>
                <w:sz w:val="17"/>
              </w:rPr>
              <w:t xml:space="preserve">, </w:t>
            </w:r>
            <w:r>
              <w:rPr>
                <w:rFonts w:ascii="Consolas" w:hAnsi="Consolas"/>
                <w:b w:val="0"/>
                <w:i w:val="0"/>
                <w:color w:val="123A63"/>
                <w:sz w:val="17"/>
                <w:shd w:val="clear" w:color="auto" w:fill="EEF2F7"/>
              </w:rPr>
              <w:t>sqlnet.ora</w:t>
            </w:r>
          </w:p>
        </w:tc>
      </w:tr>
      <w:tr>
        <w:trPr>
          <w:cantSplit/>
        </w:trPr>
        <w:tc>
          <w:tcPr>
            <w:tcW w:type="dxa" w:w="2891"/>
          </w:tcPr>
          <w:p>
            <w:pPr>
              <w:spacing w:after="20" w:before="20"/>
            </w:pPr>
            <w:r/>
            <w:r>
              <w:rPr>
                <w:rFonts w:ascii="Calibri" w:hAnsi="Calibri"/>
                <w:b/>
                <w:i w:val="0"/>
                <w:color w:val="334E68"/>
                <w:sz w:val="17"/>
              </w:rPr>
              <w:t>Oracle wallet / PSE / keystore locations</w:t>
            </w:r>
          </w:p>
        </w:tc>
        <w:tc>
          <w:tcPr>
            <w:tcW w:type="dxa" w:w="6746"/>
          </w:tcPr>
          <w:p>
            <w:pPr>
              <w:spacing w:after="20" w:before="20"/>
            </w:pPr>
            <w:r/>
            <w:r>
              <w:rPr>
                <w:rFonts w:ascii="Calibri" w:hAnsi="Calibri"/>
                <w:b w:val="0"/>
                <w:i w:val="0"/>
                <w:color w:val="334E68"/>
                <w:sz w:val="17"/>
              </w:rPr>
              <w:t>Credentials and certificates for SNC, SSL and database authentication</w:t>
            </w:r>
          </w:p>
        </w:tc>
      </w:tr>
      <w:tr>
        <w:trPr>
          <w:cantSplit/>
        </w:trPr>
        <w:tc>
          <w:tcPr>
            <w:tcW w:type="dxa" w:w="2891"/>
            <w:shd w:val="clear" w:color="auto" w:fill="FAFBFD"/>
          </w:tcPr>
          <w:p>
            <w:pPr>
              <w:spacing w:after="20" w:before="20"/>
            </w:pPr>
            <w:r/>
            <w:r>
              <w:rPr>
                <w:rFonts w:ascii="Consolas" w:hAnsi="Consolas"/>
                <w:b/>
                <w:i w:val="0"/>
                <w:color w:val="123A63"/>
                <w:sz w:val="17"/>
                <w:shd w:val="clear" w:color="auto" w:fill="EEF2F7"/>
              </w:rPr>
              <w:t>R3trans</w:t>
            </w:r>
            <w:r>
              <w:rPr>
                <w:rFonts w:ascii="Calibri" w:hAnsi="Calibri"/>
                <w:b/>
                <w:i w:val="0"/>
                <w:color w:val="334E68"/>
                <w:sz w:val="17"/>
              </w:rPr>
              <w:t xml:space="preserve"> trace (</w:t>
            </w:r>
            <w:r>
              <w:rPr>
                <w:rFonts w:ascii="Consolas" w:hAnsi="Consolas"/>
                <w:b/>
                <w:i w:val="0"/>
                <w:color w:val="123A63"/>
                <w:sz w:val="17"/>
                <w:shd w:val="clear" w:color="auto" w:fill="EEF2F7"/>
              </w:rPr>
              <w:t>trans.log</w:t>
            </w:r>
            <w:r>
              <w:rPr>
                <w:rFonts w:ascii="Calibri" w:hAnsi="Calibri"/>
                <w:b/>
                <w:i w:val="0"/>
                <w:color w:val="334E68"/>
                <w:sz w:val="17"/>
              </w:rPr>
              <w:t>)</w:t>
            </w:r>
          </w:p>
        </w:tc>
        <w:tc>
          <w:tcPr>
            <w:tcW w:type="dxa" w:w="6746"/>
            <w:shd w:val="clear" w:color="auto" w:fill="FAFBFD"/>
          </w:tcPr>
          <w:p>
            <w:pPr>
              <w:spacing w:after="20" w:before="20"/>
            </w:pPr>
            <w:r/>
            <w:r>
              <w:rPr>
                <w:rFonts w:ascii="Calibri" w:hAnsi="Calibri"/>
                <w:b w:val="0"/>
                <w:i w:val="0"/>
                <w:color w:val="334E68"/>
                <w:sz w:val="17"/>
              </w:rPr>
              <w:t xml:space="preserve">First place to look when </w:t>
            </w:r>
            <w:r>
              <w:rPr>
                <w:rFonts w:ascii="Consolas" w:hAnsi="Consolas"/>
                <w:b w:val="0"/>
                <w:i w:val="0"/>
                <w:color w:val="123A63"/>
                <w:sz w:val="17"/>
                <w:shd w:val="clear" w:color="auto" w:fill="EEF2F7"/>
              </w:rPr>
              <w:t>R3trans -d</w:t>
            </w:r>
            <w:r>
              <w:rPr>
                <w:rFonts w:ascii="Calibri" w:hAnsi="Calibri"/>
                <w:b w:val="0"/>
                <w:i w:val="0"/>
                <w:color w:val="334E68"/>
                <w:sz w:val="17"/>
              </w:rPr>
              <w:t xml:space="preserve"> does not return </w:t>
            </w:r>
            <w:r>
              <w:rPr>
                <w:rFonts w:ascii="Consolas" w:hAnsi="Consolas"/>
                <w:b w:val="0"/>
                <w:i w:val="0"/>
                <w:color w:val="123A63"/>
                <w:sz w:val="17"/>
                <w:shd w:val="clear" w:color="auto" w:fill="EEF2F7"/>
              </w:rPr>
              <w:t>0000</w:t>
            </w:r>
          </w:p>
        </w:tc>
      </w:tr>
    </w:tbl>
    <w:p>
      <w:pPr>
        <w:spacing w:after="40"/>
      </w:pPr>
    </w:p>
    <w:p>
      <w:r>
        <w:br w:type="page"/>
      </w:r>
    </w:p>
    <w:p>
      <w:pPr>
        <w:spacing w:after="20"/>
      </w:pPr>
      <w:r>
        <w:rPr>
          <w:rFonts w:ascii="Calibri" w:hAnsi="Calibri"/>
          <w:b/>
          <w:color w:val="1B4F86"/>
          <w:sz w:val="16"/>
        </w:rPr>
        <w:t>SECTION 12 · REFERENCE</w:t>
      </w:r>
    </w:p>
    <w:p>
      <w:pPr>
        <w:pStyle w:val="Heading1"/>
        <w:pBdr>
          <w:bottom w:val="single" w:sz="12" w:space="5" w:color="1B4F86"/>
        </w:pBdr>
        <w:spacing w:after="160"/>
      </w:pPr>
      <w:r>
        <w:rPr>
          <w:rFonts w:ascii="Calibri Light" w:hAnsi="Calibri Light"/>
          <w:b/>
          <w:color w:val="0F2B4C"/>
          <w:sz w:val="38"/>
        </w:rPr>
        <w:t>12  Consolidated validation checklists</w:t>
      </w:r>
    </w:p>
    <w:p>
      <w:pPr>
        <w:spacing w:after="200"/>
      </w:pPr>
      <w:r>
        <w:rPr>
          <w:rFonts w:ascii="Calibri" w:hAnsi="Calibri"/>
          <w:i/>
          <w:color w:val="5B7288"/>
          <w:sz w:val="21"/>
        </w:rPr>
        <w:t>Five checklists covering the whole validation surface. They are interactive: tick a check, set a status, add the evidence reference. Progress persists in your browser and is printed as a static record.</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HOW TO USE THESE CHECKLISTS IN ANGER</w:t>
      </w:r>
    </w:p>
    <w:p>
      <w:pPr>
        <w:spacing w:after="40"/>
        <w:ind w:left="567" w:hanging="227"/>
        <w:shd w:val="clear" w:color="auto" w:fill="F4F7FB"/>
      </w:pPr>
      <w:r>
        <w:rPr>
          <w:rFonts w:ascii="Calibri" w:hAnsi="Calibri"/>
          <w:b/>
          <w:color w:val="1B4F86"/>
          <w:sz w:val="19"/>
        </w:rPr>
        <w:t xml:space="preserve">▪  </w:t>
      </w:r>
      <w:r>
        <w:rPr>
          <w:rFonts w:ascii="Calibri" w:hAnsi="Calibri"/>
          <w:b w:val="0"/>
          <w:i w:val="0"/>
          <w:color w:val="334E68"/>
          <w:sz w:val="19"/>
        </w:rPr>
        <w:t>Run them twice per system: once at pre-cutover validation (Gate 1) and once during the cutover window.</w:t>
      </w:r>
    </w:p>
    <w:p>
      <w:pPr>
        <w:spacing w:after="40"/>
        <w:ind w:left="567" w:hanging="227"/>
        <w:shd w:val="clear" w:color="auto" w:fill="F4F7FB"/>
      </w:pPr>
      <w:r>
        <w:rPr>
          <w:rFonts w:ascii="Calibri" w:hAnsi="Calibri"/>
          <w:b/>
          <w:color w:val="1B4F86"/>
          <w:sz w:val="19"/>
        </w:rPr>
        <w:t xml:space="preserve">▪  </w:t>
      </w:r>
      <w:r>
        <w:rPr>
          <w:rFonts w:ascii="Calibri" w:hAnsi="Calibri"/>
          <w:b w:val="0"/>
          <w:i w:val="0"/>
          <w:color w:val="334E68"/>
          <w:sz w:val="19"/>
        </w:rPr>
        <w:t>Every item needs either a tick with evidence, or a recorded deferral with an owner, an impact statement and a date.</w:t>
      </w:r>
    </w:p>
    <w:p>
      <w:pPr>
        <w:spacing w:after="40"/>
        <w:ind w:left="567" w:hanging="227"/>
        <w:shd w:val="clear" w:color="auto" w:fill="F4F7FB"/>
      </w:pPr>
      <w:r>
        <w:rPr>
          <w:rFonts w:ascii="Calibri" w:hAnsi="Calibri"/>
          <w:b/>
          <w:color w:val="1B4F86"/>
          <w:sz w:val="19"/>
        </w:rPr>
        <w:t xml:space="preserve">▪  </w:t>
      </w:r>
      <w:r>
        <w:rPr>
          <w:rFonts w:ascii="Calibri" w:hAnsi="Calibri"/>
          <w:b w:val="0"/>
          <w:i w:val="0"/>
          <w:color w:val="334E68"/>
          <w:sz w:val="19"/>
        </w:rPr>
        <w:t>“Not applicable” is a valid status — but write why. An unexplained N/A is an audit finding waiting to happen.</w:t>
      </w:r>
    </w:p>
    <w:p>
      <w:pPr>
        <w:spacing w:after="40"/>
        <w:ind w:left="567" w:hanging="227"/>
        <w:shd w:val="clear" w:color="auto" w:fill="F4F7FB"/>
      </w:pPr>
      <w:r>
        <w:rPr>
          <w:rFonts w:ascii="Calibri" w:hAnsi="Calibri"/>
          <w:b/>
          <w:color w:val="1B4F86"/>
          <w:sz w:val="19"/>
        </w:rPr>
        <w:t xml:space="preserve">▪  </w:t>
      </w:r>
      <w:r>
        <w:rPr>
          <w:rFonts w:ascii="Calibri" w:hAnsi="Calibri"/>
          <w:b w:val="0"/>
          <w:i w:val="0"/>
          <w:color w:val="334E68"/>
          <w:sz w:val="19"/>
        </w:rPr>
        <w:t>Transfer the results into the project's validation workbook or change record before sign-off; the browser copy is a working aid, not the system of record.</w:t>
      </w:r>
    </w:p>
    <w:p>
      <w:pPr>
        <w:shd w:val="clear" w:color="auto" w:fill="F4F7FB"/>
        <w:pBdr>
          <w:left w:val="single" w:sz="6" w:space="6" w:color="0F2B4C"/>
          <w:bottom w:val="single" w:sz="6" w:space="6" w:color="0F2B4C"/>
          <w:right w:val="single" w:sz="6" w:space="6" w:color="0F2B4C"/>
        </w:pBdr>
        <w:spacing w:after="40"/>
      </w:pPr>
    </w:p>
    <w:p>
      <w:pPr>
        <w:pStyle w:val="Heading2"/>
        <w:pBdr>
          <w:bottom w:val="single" w:sz="6" w:space="3" w:color="E8EDF3"/>
        </w:pBdr>
      </w:pPr>
      <w:r>
        <w:rPr>
          <w:rFonts w:ascii="Calibri" w:hAnsi="Calibri"/>
          <w:b/>
          <w:color w:val="0F2B4C"/>
          <w:sz w:val="26"/>
        </w:rPr>
        <w:t>12.1  OS validation</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530"/>
        <w:gridCol w:w="1542"/>
        <w:gridCol w:w="308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530"/>
            <w:shd w:val="clear" w:color="auto" w:fill="0F2B4C"/>
          </w:tcPr>
          <w:p>
            <w:pPr>
              <w:spacing w:after="20" w:before="20"/>
            </w:pPr>
            <w:r/>
            <w:r>
              <w:rPr>
                <w:rFonts w:ascii="Calibri" w:hAnsi="Calibri"/>
                <w:b/>
                <w:color w:val="FFFFFF"/>
                <w:sz w:val="17"/>
              </w:rPr>
              <w:t>Check</w:t>
            </w:r>
          </w:p>
        </w:tc>
        <w:tc>
          <w:tcPr>
            <w:tcW w:type="dxa" w:w="1542"/>
            <w:shd w:val="clear" w:color="auto" w:fill="0F2B4C"/>
          </w:tcPr>
          <w:p>
            <w:pPr>
              <w:spacing w:after="20" w:before="20"/>
            </w:pPr>
            <w:r/>
            <w:r>
              <w:rPr>
                <w:rFonts w:ascii="Calibri" w:hAnsi="Calibri"/>
                <w:b/>
                <w:color w:val="FFFFFF"/>
                <w:sz w:val="17"/>
              </w:rPr>
              <w:t>Status</w:t>
            </w:r>
          </w:p>
        </w:tc>
        <w:tc>
          <w:tcPr>
            <w:tcW w:type="dxa" w:w="3084"/>
            <w:shd w:val="clear" w:color="auto" w:fill="0F2B4C"/>
          </w:tcPr>
          <w:p>
            <w:pPr>
              <w:spacing w:after="20" w:before="20"/>
            </w:pPr>
            <w:r/>
            <w:r>
              <w:rPr>
                <w:rFonts w:ascii="Calibri" w:hAnsi="Calibri"/>
                <w:b/>
                <w:color w:val="FFFFFF"/>
                <w:sz w:val="17"/>
              </w:rPr>
              <w:t>Evidence / remarks</w:t>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File systems / mount points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CPU</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RAM</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Swap</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OS version</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Kernel version</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UID/GID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Libraries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FTP users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OS groups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IP addresses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Hostnames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/etc/hosts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/etc/services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SAP directories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Permissions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bl>
    <w:p>
      <w:pPr>
        <w:spacing w:after="40"/>
      </w:pPr>
    </w:p>
    <w:p>
      <w:pPr>
        <w:pStyle w:val="Heading2"/>
        <w:pBdr>
          <w:bottom w:val="single" w:sz="6" w:space="3" w:color="E8EDF3"/>
        </w:pBdr>
      </w:pPr>
      <w:r>
        <w:rPr>
          <w:rFonts w:ascii="Calibri" w:hAnsi="Calibri"/>
          <w:b/>
          <w:color w:val="0F2B4C"/>
          <w:sz w:val="26"/>
        </w:rPr>
        <w:t>12.2  SAP validation</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530"/>
        <w:gridCol w:w="1542"/>
        <w:gridCol w:w="308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530"/>
            <w:shd w:val="clear" w:color="auto" w:fill="0F2B4C"/>
          </w:tcPr>
          <w:p>
            <w:pPr>
              <w:spacing w:after="20" w:before="20"/>
            </w:pPr>
            <w:r/>
            <w:r>
              <w:rPr>
                <w:rFonts w:ascii="Calibri" w:hAnsi="Calibri"/>
                <w:b/>
                <w:color w:val="FFFFFF"/>
                <w:sz w:val="17"/>
              </w:rPr>
              <w:t>Check</w:t>
            </w:r>
          </w:p>
        </w:tc>
        <w:tc>
          <w:tcPr>
            <w:tcW w:type="dxa" w:w="1542"/>
            <w:shd w:val="clear" w:color="auto" w:fill="0F2B4C"/>
          </w:tcPr>
          <w:p>
            <w:pPr>
              <w:spacing w:after="20" w:before="20"/>
            </w:pPr>
            <w:r/>
            <w:r>
              <w:rPr>
                <w:rFonts w:ascii="Calibri" w:hAnsi="Calibri"/>
                <w:b/>
                <w:color w:val="FFFFFF"/>
                <w:sz w:val="17"/>
              </w:rPr>
              <w:t>Status</w:t>
            </w:r>
          </w:p>
        </w:tc>
        <w:tc>
          <w:tcPr>
            <w:tcW w:type="dxa" w:w="3084"/>
            <w:shd w:val="clear" w:color="auto" w:fill="0F2B4C"/>
          </w:tcPr>
          <w:p>
            <w:pPr>
              <w:spacing w:after="20" w:before="20"/>
            </w:pPr>
            <w:r/>
            <w:r>
              <w:rPr>
                <w:rFonts w:ascii="Calibri" w:hAnsi="Calibri"/>
                <w:b/>
                <w:color w:val="FFFFFF"/>
                <w:sz w:val="17"/>
              </w:rPr>
              <w:t>Evidence / remarks</w:t>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SAP services active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Auto-start tested (real reboot)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SAP processes green</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Application servers available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SM51</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SMGW</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SM59</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RFC report</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SNC</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STMS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Transport directory</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AL11</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Printers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Spool</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SMICM</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SSL/TLS certificates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SAP license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bl>
    <w:p>
      <w:pPr>
        <w:spacing w:after="40"/>
      </w:pPr>
    </w:p>
    <w:p>
      <w:pPr>
        <w:pStyle w:val="Heading2"/>
        <w:pBdr>
          <w:bottom w:val="single" w:sz="6" w:space="3" w:color="E8EDF3"/>
        </w:pBdr>
      </w:pPr>
      <w:r>
        <w:rPr>
          <w:rFonts w:ascii="Calibri" w:hAnsi="Calibri"/>
          <w:b/>
          <w:color w:val="0F2B4C"/>
          <w:sz w:val="26"/>
        </w:rPr>
        <w:t>12.3  Database validation</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530"/>
        <w:gridCol w:w="1542"/>
        <w:gridCol w:w="308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530"/>
            <w:shd w:val="clear" w:color="auto" w:fill="0F2B4C"/>
          </w:tcPr>
          <w:p>
            <w:pPr>
              <w:spacing w:after="20" w:before="20"/>
            </w:pPr>
            <w:r/>
            <w:r>
              <w:rPr>
                <w:rFonts w:ascii="Calibri" w:hAnsi="Calibri"/>
                <w:b/>
                <w:color w:val="FFFFFF"/>
                <w:sz w:val="17"/>
              </w:rPr>
              <w:t>Check</w:t>
            </w:r>
          </w:p>
        </w:tc>
        <w:tc>
          <w:tcPr>
            <w:tcW w:type="dxa" w:w="1542"/>
            <w:shd w:val="clear" w:color="auto" w:fill="0F2B4C"/>
          </w:tcPr>
          <w:p>
            <w:pPr>
              <w:spacing w:after="20" w:before="20"/>
            </w:pPr>
            <w:r/>
            <w:r>
              <w:rPr>
                <w:rFonts w:ascii="Calibri" w:hAnsi="Calibri"/>
                <w:b/>
                <w:color w:val="FFFFFF"/>
                <w:sz w:val="17"/>
              </w:rPr>
              <w:t>Status</w:t>
            </w:r>
          </w:p>
        </w:tc>
        <w:tc>
          <w:tcPr>
            <w:tcW w:type="dxa" w:w="3084"/>
            <w:shd w:val="clear" w:color="auto" w:fill="0F2B4C"/>
          </w:tcPr>
          <w:p>
            <w:pPr>
              <w:spacing w:after="20" w:before="20"/>
            </w:pPr>
            <w:r/>
            <w:r>
              <w:rPr>
                <w:rFonts w:ascii="Calibri" w:hAnsi="Calibri"/>
                <w:b/>
                <w:color w:val="FFFFFF"/>
                <w:sz w:val="17"/>
              </w:rPr>
              <w:t>Evidence / remarks</w:t>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DB status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DB02</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Storage utilization</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Tablespaces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Database growth</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Latest backup</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Backup status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Redo/archive logs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Recovery requirements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bl>
    <w:p>
      <w:pPr>
        <w:spacing w:after="40"/>
      </w:pPr>
    </w:p>
    <w:p>
      <w:pPr>
        <w:pStyle w:val="Heading2"/>
        <w:pBdr>
          <w:bottom w:val="single" w:sz="6" w:space="3" w:color="E8EDF3"/>
        </w:pBdr>
      </w:pPr>
      <w:r>
        <w:rPr>
          <w:rFonts w:ascii="Calibri" w:hAnsi="Calibri"/>
          <w:b/>
          <w:color w:val="0F2B4C"/>
          <w:sz w:val="26"/>
        </w:rPr>
        <w:t>12.4  Performance validation</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530"/>
        <w:gridCol w:w="1542"/>
        <w:gridCol w:w="308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530"/>
            <w:shd w:val="clear" w:color="auto" w:fill="0F2B4C"/>
          </w:tcPr>
          <w:p>
            <w:pPr>
              <w:spacing w:after="20" w:before="20"/>
            </w:pPr>
            <w:r/>
            <w:r>
              <w:rPr>
                <w:rFonts w:ascii="Calibri" w:hAnsi="Calibri"/>
                <w:b/>
                <w:color w:val="FFFFFF"/>
                <w:sz w:val="17"/>
              </w:rPr>
              <w:t>Check</w:t>
            </w:r>
          </w:p>
        </w:tc>
        <w:tc>
          <w:tcPr>
            <w:tcW w:type="dxa" w:w="1542"/>
            <w:shd w:val="clear" w:color="auto" w:fill="0F2B4C"/>
          </w:tcPr>
          <w:p>
            <w:pPr>
              <w:spacing w:after="20" w:before="20"/>
            </w:pPr>
            <w:r/>
            <w:r>
              <w:rPr>
                <w:rFonts w:ascii="Calibri" w:hAnsi="Calibri"/>
                <w:b/>
                <w:color w:val="FFFFFF"/>
                <w:sz w:val="17"/>
              </w:rPr>
              <w:t>Status</w:t>
            </w:r>
          </w:p>
        </w:tc>
        <w:tc>
          <w:tcPr>
            <w:tcW w:type="dxa" w:w="3084"/>
            <w:shd w:val="clear" w:color="auto" w:fill="0F2B4C"/>
          </w:tcPr>
          <w:p>
            <w:pPr>
              <w:spacing w:after="20" w:before="20"/>
            </w:pPr>
            <w:r/>
            <w:r>
              <w:rPr>
                <w:rFonts w:ascii="Calibri" w:hAnsi="Calibri"/>
                <w:b/>
                <w:color w:val="FFFFFF"/>
                <w:sz w:val="17"/>
              </w:rPr>
              <w:t>Evidence / remarks</w:t>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ST02 memory</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Extended memory</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Heap/private memory</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Buffer utilization</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ST03N workload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Response time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Wait time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DB request time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CPU time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Performance trends</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bl>
    <w:p>
      <w:pPr>
        <w:spacing w:after="40"/>
      </w:pPr>
    </w:p>
    <w:p>
      <w:pPr>
        <w:pStyle w:val="Heading2"/>
        <w:pBdr>
          <w:bottom w:val="single" w:sz="6" w:space="3" w:color="E8EDF3"/>
        </w:pBdr>
      </w:pPr>
      <w:r>
        <w:rPr>
          <w:rFonts w:ascii="Calibri" w:hAnsi="Calibri"/>
          <w:b/>
          <w:color w:val="0F2B4C"/>
          <w:sz w:val="26"/>
        </w:rPr>
        <w:t>12.5  Cutover readiness</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4530"/>
        <w:gridCol w:w="1542"/>
        <w:gridCol w:w="3084"/>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4530"/>
            <w:shd w:val="clear" w:color="auto" w:fill="0F2B4C"/>
          </w:tcPr>
          <w:p>
            <w:pPr>
              <w:spacing w:after="20" w:before="20"/>
            </w:pPr>
            <w:r/>
            <w:r>
              <w:rPr>
                <w:rFonts w:ascii="Calibri" w:hAnsi="Calibri"/>
                <w:b/>
                <w:color w:val="FFFFFF"/>
                <w:sz w:val="17"/>
              </w:rPr>
              <w:t>Check</w:t>
            </w:r>
          </w:p>
        </w:tc>
        <w:tc>
          <w:tcPr>
            <w:tcW w:type="dxa" w:w="1542"/>
            <w:shd w:val="clear" w:color="auto" w:fill="0F2B4C"/>
          </w:tcPr>
          <w:p>
            <w:pPr>
              <w:spacing w:after="20" w:before="20"/>
            </w:pPr>
            <w:r/>
            <w:r>
              <w:rPr>
                <w:rFonts w:ascii="Calibri" w:hAnsi="Calibri"/>
                <w:b/>
                <w:color w:val="FFFFFF"/>
                <w:sz w:val="17"/>
              </w:rPr>
              <w:t>Status</w:t>
            </w:r>
          </w:p>
        </w:tc>
        <w:tc>
          <w:tcPr>
            <w:tcW w:type="dxa" w:w="3084"/>
            <w:shd w:val="clear" w:color="auto" w:fill="0F2B4C"/>
          </w:tcPr>
          <w:p>
            <w:pPr>
              <w:spacing w:after="20" w:before="20"/>
            </w:pPr>
            <w:r/>
            <w:r>
              <w:rPr>
                <w:rFonts w:ascii="Calibri" w:hAnsi="Calibri"/>
                <w:b/>
                <w:color w:val="FFFFFF"/>
                <w:sz w:val="17"/>
              </w:rPr>
              <w:t>Evidence / remarks</w:t>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Application shutdown confirmed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DBA handover confirmed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Source/target synchronization confirmed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Snapshot/backup confirmed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DNS/IPAM plan confirmed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Evidence captured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Technical validation complete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Functional validation complete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Approvals complete</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Rollback ready</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r>
        <w:trPr>
          <w:cantSplit/>
        </w:trPr>
        <w:tc>
          <w:tcPr>
            <w:tcW w:type="dxa" w:w="482"/>
            <w:shd w:val="clear" w:color="auto" w:fill="FFFFFF"/>
          </w:tcPr>
          <w:p>
            <w:pPr>
              <w:spacing w:after="20" w:before="20"/>
            </w:pPr>
            <w:r/>
            <w:r>
              <w:rPr>
                <w:rFonts w:ascii="Calibri" w:hAnsi="Calibri"/>
                <w:b w:val="0"/>
                <w:color w:val="334E68"/>
                <w:sz w:val="17"/>
              </w:rPr>
              <w:t>☐</w:t>
            </w:r>
          </w:p>
        </w:tc>
        <w:tc>
          <w:tcPr>
            <w:tcW w:type="dxa" w:w="4530"/>
            <w:shd w:val="clear" w:color="auto" w:fill="FFFFFF"/>
          </w:tcPr>
          <w:p>
            <w:pPr>
              <w:spacing w:after="20" w:before="20"/>
            </w:pPr>
            <w:r/>
            <w:r>
              <w:rPr>
                <w:rFonts w:ascii="Calibri" w:hAnsi="Calibri"/>
                <w:b w:val="0"/>
                <w:color w:val="334E68"/>
                <w:sz w:val="17"/>
              </w:rPr>
              <w:t>Go/No-Go decision recorded</w:t>
            </w:r>
          </w:p>
        </w:tc>
        <w:tc>
          <w:tcPr>
            <w:tcW w:type="dxa" w:w="1542"/>
            <w:shd w:val="clear" w:color="auto" w:fill="FFFFFF"/>
          </w:tcPr>
          <w:p>
            <w:pPr>
              <w:spacing w:after="20" w:before="20"/>
            </w:pPr>
            <w:r/>
            <w:r>
              <w:rPr>
                <w:rFonts w:ascii="Calibri" w:hAnsi="Calibri"/>
                <w:b w:val="0"/>
                <w:color w:val="334E68"/>
                <w:sz w:val="17"/>
              </w:rPr>
              <w:t>Not Started</w:t>
            </w:r>
          </w:p>
        </w:tc>
        <w:tc>
          <w:tcPr>
            <w:tcW w:type="dxa" w:w="3084"/>
            <w:shd w:val="clear" w:color="auto" w:fill="FFFFFF"/>
          </w:tcPr>
          <w:p>
            <w:pPr>
              <w:spacing w:after="20" w:before="20"/>
            </w:pPr>
            <w:r/>
            <w:r>
              <w:rPr>
                <w:rFonts w:ascii="Calibri" w:hAnsi="Calibri"/>
                <w:b w:val="0"/>
                <w:color w:val="334E68"/>
                <w:sz w:val="17"/>
              </w:rPr>
            </w:r>
          </w:p>
        </w:tc>
      </w:tr>
    </w:tbl>
    <w:p>
      <w:pPr>
        <w:spacing w:after="40"/>
      </w:pPr>
    </w:p>
    <w:p>
      <w:pPr>
        <w:pStyle w:val="Heading2"/>
        <w:pBdr>
          <w:bottom w:val="single" w:sz="6" w:space="3" w:color="E8EDF3"/>
        </w:pBdr>
      </w:pPr>
      <w:r>
        <w:rPr>
          <w:rFonts w:ascii="Calibri" w:hAnsi="Calibri"/>
          <w:b/>
          <w:color w:val="0F2B4C"/>
          <w:sz w:val="26"/>
        </w:rPr>
        <w:t>12.6  Sign-off</w:t>
      </w:r>
    </w:p>
    <w:p>
      <w:pPr>
        <w:spacing w:after="60" w:before="160"/>
        <w:keepNext/>
      </w:pPr>
      <w:r>
        <w:rPr>
          <w:rFonts w:ascii="Calibri" w:hAnsi="Calibri"/>
          <w:b/>
          <w:color w:val="5B7288"/>
          <w:sz w:val="15"/>
        </w:rPr>
        <w:t>VALIDATION SIGN-OFF RECORD</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120"/>
        <w:gridCol w:w="1735"/>
        <w:gridCol w:w="1157"/>
        <w:gridCol w:w="3084"/>
        <w:gridCol w:w="1542"/>
      </w:tblGrid>
      <w:tr>
        <w:trPr>
          <w:tblHeader/>
          <w:cantSplit/>
        </w:trPr>
        <w:tc>
          <w:tcPr>
            <w:tcW w:type="dxa" w:w="2120"/>
            <w:shd w:val="clear" w:color="auto" w:fill="0F2B4C"/>
          </w:tcPr>
          <w:p>
            <w:pPr>
              <w:spacing w:after="20" w:before="20"/>
            </w:pPr>
            <w:r/>
            <w:r>
              <w:rPr>
                <w:rFonts w:ascii="Calibri" w:hAnsi="Calibri"/>
                <w:b/>
                <w:color w:val="FFFFFF"/>
                <w:sz w:val="17"/>
              </w:rPr>
              <w:t>Validation domain</w:t>
            </w:r>
          </w:p>
        </w:tc>
        <w:tc>
          <w:tcPr>
            <w:tcW w:type="dxa" w:w="1735"/>
            <w:shd w:val="clear" w:color="auto" w:fill="0F2B4C"/>
          </w:tcPr>
          <w:p>
            <w:pPr>
              <w:spacing w:after="20" w:before="20"/>
            </w:pPr>
            <w:r/>
            <w:r>
              <w:rPr>
                <w:rFonts w:ascii="Calibri" w:hAnsi="Calibri"/>
                <w:b/>
                <w:color w:val="FFFFFF"/>
                <w:sz w:val="17"/>
              </w:rPr>
              <w:t>Validated by</w:t>
            </w:r>
          </w:p>
        </w:tc>
        <w:tc>
          <w:tcPr>
            <w:tcW w:type="dxa" w:w="1157"/>
            <w:shd w:val="clear" w:color="auto" w:fill="0F2B4C"/>
          </w:tcPr>
          <w:p>
            <w:pPr>
              <w:spacing w:after="20" w:before="20"/>
            </w:pPr>
            <w:r/>
            <w:r>
              <w:rPr>
                <w:rFonts w:ascii="Calibri" w:hAnsi="Calibri"/>
                <w:b/>
                <w:color w:val="FFFFFF"/>
                <w:sz w:val="17"/>
              </w:rPr>
              <w:t>Date</w:t>
            </w:r>
          </w:p>
        </w:tc>
        <w:tc>
          <w:tcPr>
            <w:tcW w:type="dxa" w:w="3084"/>
            <w:shd w:val="clear" w:color="auto" w:fill="0F2B4C"/>
          </w:tcPr>
          <w:p>
            <w:pPr>
              <w:spacing w:after="20" w:before="20"/>
            </w:pPr>
            <w:r/>
            <w:r>
              <w:rPr>
                <w:rFonts w:ascii="Calibri" w:hAnsi="Calibri"/>
                <w:b/>
                <w:color w:val="FFFFFF"/>
                <w:sz w:val="17"/>
              </w:rPr>
              <w:t>Deviations / deferrals</w:t>
            </w:r>
          </w:p>
        </w:tc>
        <w:tc>
          <w:tcPr>
            <w:tcW w:type="dxa" w:w="1542"/>
            <w:shd w:val="clear" w:color="auto" w:fill="0F2B4C"/>
          </w:tcPr>
          <w:p>
            <w:pPr>
              <w:spacing w:after="20" w:before="20"/>
            </w:pPr>
            <w:r/>
            <w:r>
              <w:rPr>
                <w:rFonts w:ascii="Calibri" w:hAnsi="Calibri"/>
                <w:b/>
                <w:color w:val="FFFFFF"/>
                <w:sz w:val="17"/>
              </w:rPr>
              <w:t>Reviewed by</w:t>
            </w:r>
          </w:p>
        </w:tc>
      </w:tr>
      <w:tr>
        <w:trPr>
          <w:cantSplit/>
        </w:trPr>
        <w:tc>
          <w:tcPr>
            <w:tcW w:type="dxa" w:w="2120"/>
          </w:tcPr>
          <w:p>
            <w:pPr>
              <w:spacing w:after="20" w:before="20"/>
            </w:pPr>
            <w:r/>
            <w:r>
              <w:rPr>
                <w:rFonts w:ascii="Calibri" w:hAnsi="Calibri"/>
                <w:b/>
                <w:i w:val="0"/>
                <w:color w:val="334E68"/>
                <w:sz w:val="17"/>
              </w:rPr>
              <w:t>OS validation</w:t>
            </w:r>
          </w:p>
        </w:tc>
        <w:tc>
          <w:tcPr>
            <w:tcW w:type="dxa" w:w="1735"/>
          </w:tcPr>
          <w:p>
            <w:pPr>
              <w:spacing w:after="20" w:before="20"/>
            </w:pPr>
            <w:r/>
          </w:p>
        </w:tc>
        <w:tc>
          <w:tcPr>
            <w:tcW w:type="dxa" w:w="1157"/>
          </w:tcPr>
          <w:p>
            <w:pPr>
              <w:spacing w:after="20" w:before="20"/>
            </w:pPr>
            <w:r/>
          </w:p>
        </w:tc>
        <w:tc>
          <w:tcPr>
            <w:tcW w:type="dxa" w:w="3084"/>
          </w:tcPr>
          <w:p>
            <w:pPr>
              <w:spacing w:after="20" w:before="20"/>
            </w:pPr>
            <w:r/>
          </w:p>
        </w:tc>
        <w:tc>
          <w:tcPr>
            <w:tcW w:type="dxa" w:w="1542"/>
          </w:tcPr>
          <w:p>
            <w:pPr>
              <w:spacing w:after="20" w:before="20"/>
            </w:pPr>
            <w:r/>
          </w:p>
        </w:tc>
      </w:tr>
      <w:tr>
        <w:trPr>
          <w:cantSplit/>
        </w:trPr>
        <w:tc>
          <w:tcPr>
            <w:tcW w:type="dxa" w:w="2120"/>
            <w:shd w:val="clear" w:color="auto" w:fill="FAFBFD"/>
          </w:tcPr>
          <w:p>
            <w:pPr>
              <w:spacing w:after="20" w:before="20"/>
            </w:pPr>
            <w:r/>
            <w:r>
              <w:rPr>
                <w:rFonts w:ascii="Calibri" w:hAnsi="Calibri"/>
                <w:b/>
                <w:i w:val="0"/>
                <w:color w:val="334E68"/>
                <w:sz w:val="17"/>
              </w:rPr>
              <w:t>SAP validation</w:t>
            </w:r>
          </w:p>
        </w:tc>
        <w:tc>
          <w:tcPr>
            <w:tcW w:type="dxa" w:w="1735"/>
            <w:shd w:val="clear" w:color="auto" w:fill="FAFBFD"/>
          </w:tcPr>
          <w:p>
            <w:pPr>
              <w:spacing w:after="20" w:before="20"/>
            </w:pPr>
            <w:r/>
          </w:p>
        </w:tc>
        <w:tc>
          <w:tcPr>
            <w:tcW w:type="dxa" w:w="1157"/>
            <w:shd w:val="clear" w:color="auto" w:fill="FAFBFD"/>
          </w:tcPr>
          <w:p>
            <w:pPr>
              <w:spacing w:after="20" w:before="20"/>
            </w:pPr>
            <w:r/>
          </w:p>
        </w:tc>
        <w:tc>
          <w:tcPr>
            <w:tcW w:type="dxa" w:w="3084"/>
            <w:shd w:val="clear" w:color="auto" w:fill="FAFBFD"/>
          </w:tcPr>
          <w:p>
            <w:pPr>
              <w:spacing w:after="20" w:before="20"/>
            </w:pPr>
            <w:r/>
          </w:p>
        </w:tc>
        <w:tc>
          <w:tcPr>
            <w:tcW w:type="dxa" w:w="1542"/>
            <w:shd w:val="clear" w:color="auto" w:fill="FAFBFD"/>
          </w:tcPr>
          <w:p>
            <w:pPr>
              <w:spacing w:after="20" w:before="20"/>
            </w:pPr>
            <w:r/>
          </w:p>
        </w:tc>
      </w:tr>
      <w:tr>
        <w:trPr>
          <w:cantSplit/>
        </w:trPr>
        <w:tc>
          <w:tcPr>
            <w:tcW w:type="dxa" w:w="2120"/>
          </w:tcPr>
          <w:p>
            <w:pPr>
              <w:spacing w:after="20" w:before="20"/>
            </w:pPr>
            <w:r/>
            <w:r>
              <w:rPr>
                <w:rFonts w:ascii="Calibri" w:hAnsi="Calibri"/>
                <w:b/>
                <w:i w:val="0"/>
                <w:color w:val="334E68"/>
                <w:sz w:val="17"/>
              </w:rPr>
              <w:t>Database validation</w:t>
            </w:r>
          </w:p>
        </w:tc>
        <w:tc>
          <w:tcPr>
            <w:tcW w:type="dxa" w:w="1735"/>
          </w:tcPr>
          <w:p>
            <w:pPr>
              <w:spacing w:after="20" w:before="20"/>
            </w:pPr>
            <w:r/>
          </w:p>
        </w:tc>
        <w:tc>
          <w:tcPr>
            <w:tcW w:type="dxa" w:w="1157"/>
          </w:tcPr>
          <w:p>
            <w:pPr>
              <w:spacing w:after="20" w:before="20"/>
            </w:pPr>
            <w:r/>
          </w:p>
        </w:tc>
        <w:tc>
          <w:tcPr>
            <w:tcW w:type="dxa" w:w="3084"/>
          </w:tcPr>
          <w:p>
            <w:pPr>
              <w:spacing w:after="20" w:before="20"/>
            </w:pPr>
            <w:r/>
          </w:p>
        </w:tc>
        <w:tc>
          <w:tcPr>
            <w:tcW w:type="dxa" w:w="1542"/>
          </w:tcPr>
          <w:p>
            <w:pPr>
              <w:spacing w:after="20" w:before="20"/>
            </w:pPr>
            <w:r/>
          </w:p>
        </w:tc>
      </w:tr>
      <w:tr>
        <w:trPr>
          <w:cantSplit/>
        </w:trPr>
        <w:tc>
          <w:tcPr>
            <w:tcW w:type="dxa" w:w="2120"/>
            <w:shd w:val="clear" w:color="auto" w:fill="FAFBFD"/>
          </w:tcPr>
          <w:p>
            <w:pPr>
              <w:spacing w:after="20" w:before="20"/>
            </w:pPr>
            <w:r/>
            <w:r>
              <w:rPr>
                <w:rFonts w:ascii="Calibri" w:hAnsi="Calibri"/>
                <w:b/>
                <w:i w:val="0"/>
                <w:color w:val="334E68"/>
                <w:sz w:val="17"/>
              </w:rPr>
              <w:t>Performance validation</w:t>
            </w:r>
          </w:p>
        </w:tc>
        <w:tc>
          <w:tcPr>
            <w:tcW w:type="dxa" w:w="1735"/>
            <w:shd w:val="clear" w:color="auto" w:fill="FAFBFD"/>
          </w:tcPr>
          <w:p>
            <w:pPr>
              <w:spacing w:after="20" w:before="20"/>
            </w:pPr>
            <w:r/>
          </w:p>
        </w:tc>
        <w:tc>
          <w:tcPr>
            <w:tcW w:type="dxa" w:w="1157"/>
            <w:shd w:val="clear" w:color="auto" w:fill="FAFBFD"/>
          </w:tcPr>
          <w:p>
            <w:pPr>
              <w:spacing w:after="20" w:before="20"/>
            </w:pPr>
            <w:r/>
          </w:p>
        </w:tc>
        <w:tc>
          <w:tcPr>
            <w:tcW w:type="dxa" w:w="3084"/>
            <w:shd w:val="clear" w:color="auto" w:fill="FAFBFD"/>
          </w:tcPr>
          <w:p>
            <w:pPr>
              <w:spacing w:after="20" w:before="20"/>
            </w:pPr>
            <w:r/>
          </w:p>
        </w:tc>
        <w:tc>
          <w:tcPr>
            <w:tcW w:type="dxa" w:w="1542"/>
            <w:shd w:val="clear" w:color="auto" w:fill="FAFBFD"/>
          </w:tcPr>
          <w:p>
            <w:pPr>
              <w:spacing w:after="20" w:before="20"/>
            </w:pPr>
            <w:r/>
          </w:p>
        </w:tc>
      </w:tr>
      <w:tr>
        <w:trPr>
          <w:cantSplit/>
        </w:trPr>
        <w:tc>
          <w:tcPr>
            <w:tcW w:type="dxa" w:w="2120"/>
          </w:tcPr>
          <w:p>
            <w:pPr>
              <w:spacing w:after="20" w:before="20"/>
            </w:pPr>
            <w:r/>
            <w:r>
              <w:rPr>
                <w:rFonts w:ascii="Calibri" w:hAnsi="Calibri"/>
                <w:b/>
                <w:i w:val="0"/>
                <w:color w:val="334E68"/>
                <w:sz w:val="17"/>
              </w:rPr>
              <w:t>Cutover readiness</w:t>
            </w:r>
          </w:p>
        </w:tc>
        <w:tc>
          <w:tcPr>
            <w:tcW w:type="dxa" w:w="1735"/>
          </w:tcPr>
          <w:p>
            <w:pPr>
              <w:spacing w:after="20" w:before="20"/>
            </w:pPr>
            <w:r/>
          </w:p>
        </w:tc>
        <w:tc>
          <w:tcPr>
            <w:tcW w:type="dxa" w:w="1157"/>
          </w:tcPr>
          <w:p>
            <w:pPr>
              <w:spacing w:after="20" w:before="20"/>
            </w:pPr>
            <w:r/>
          </w:p>
        </w:tc>
        <w:tc>
          <w:tcPr>
            <w:tcW w:type="dxa" w:w="3084"/>
          </w:tcPr>
          <w:p>
            <w:pPr>
              <w:spacing w:after="20" w:before="20"/>
            </w:pPr>
            <w:r/>
          </w:p>
        </w:tc>
        <w:tc>
          <w:tcPr>
            <w:tcW w:type="dxa" w:w="1542"/>
          </w:tcPr>
          <w:p>
            <w:pPr>
              <w:spacing w:after="20" w:before="20"/>
            </w:pPr>
            <w:r/>
          </w:p>
        </w:tc>
      </w:tr>
      <w:tr>
        <w:trPr>
          <w:cantSplit/>
        </w:trPr>
        <w:tc>
          <w:tcPr>
            <w:tcW w:type="dxa" w:w="2120"/>
            <w:shd w:val="clear" w:color="auto" w:fill="FAFBFD"/>
          </w:tcPr>
          <w:p>
            <w:pPr>
              <w:spacing w:after="20" w:before="20"/>
            </w:pPr>
            <w:r/>
            <w:r>
              <w:rPr>
                <w:rFonts w:ascii="Calibri" w:hAnsi="Calibri"/>
                <w:b/>
                <w:i w:val="0"/>
                <w:color w:val="334E68"/>
                <w:sz w:val="17"/>
              </w:rPr>
              <w:t>Functional validation</w:t>
            </w:r>
          </w:p>
        </w:tc>
        <w:tc>
          <w:tcPr>
            <w:tcW w:type="dxa" w:w="1735"/>
            <w:shd w:val="clear" w:color="auto" w:fill="FAFBFD"/>
          </w:tcPr>
          <w:p>
            <w:pPr>
              <w:spacing w:after="20" w:before="20"/>
            </w:pPr>
            <w:r/>
          </w:p>
        </w:tc>
        <w:tc>
          <w:tcPr>
            <w:tcW w:type="dxa" w:w="1157"/>
            <w:shd w:val="clear" w:color="auto" w:fill="FAFBFD"/>
          </w:tcPr>
          <w:p>
            <w:pPr>
              <w:spacing w:after="20" w:before="20"/>
            </w:pPr>
            <w:r/>
          </w:p>
        </w:tc>
        <w:tc>
          <w:tcPr>
            <w:tcW w:type="dxa" w:w="3084"/>
            <w:shd w:val="clear" w:color="auto" w:fill="FAFBFD"/>
          </w:tcPr>
          <w:p>
            <w:pPr>
              <w:spacing w:after="20" w:before="20"/>
            </w:pPr>
            <w:r/>
          </w:p>
        </w:tc>
        <w:tc>
          <w:tcPr>
            <w:tcW w:type="dxa" w:w="1542"/>
            <w:shd w:val="clear" w:color="auto" w:fill="FAFBFD"/>
          </w:tcPr>
          <w:p>
            <w:pPr>
              <w:spacing w:after="20" w:before="20"/>
            </w:pPr>
            <w:r/>
          </w:p>
        </w:tc>
      </w:tr>
      <w:tr>
        <w:trPr>
          <w:cantSplit/>
        </w:trPr>
        <w:tc>
          <w:tcPr>
            <w:tcW w:type="dxa" w:w="2120"/>
          </w:tcPr>
          <w:p>
            <w:pPr>
              <w:spacing w:after="20" w:before="20"/>
            </w:pPr>
            <w:r/>
            <w:r>
              <w:rPr>
                <w:rFonts w:ascii="Calibri" w:hAnsi="Calibri"/>
                <w:b/>
                <w:i w:val="0"/>
                <w:color w:val="334E68"/>
                <w:sz w:val="17"/>
              </w:rPr>
              <w:t>Go/No-Go decision</w:t>
            </w:r>
          </w:p>
        </w:tc>
        <w:tc>
          <w:tcPr>
            <w:tcW w:type="dxa" w:w="1735"/>
          </w:tcPr>
          <w:p>
            <w:pPr>
              <w:spacing w:after="20" w:before="20"/>
            </w:pPr>
            <w:r/>
          </w:p>
        </w:tc>
        <w:tc>
          <w:tcPr>
            <w:tcW w:type="dxa" w:w="1157"/>
          </w:tcPr>
          <w:p>
            <w:pPr>
              <w:spacing w:after="20" w:before="20"/>
            </w:pPr>
            <w:r/>
          </w:p>
        </w:tc>
        <w:tc>
          <w:tcPr>
            <w:tcW w:type="dxa" w:w="3084"/>
          </w:tcPr>
          <w:p>
            <w:pPr>
              <w:spacing w:after="20" w:before="20"/>
            </w:pPr>
            <w:r/>
          </w:p>
        </w:tc>
        <w:tc>
          <w:tcPr>
            <w:tcW w:type="dxa" w:w="1542"/>
          </w:tcPr>
          <w:p>
            <w:pPr>
              <w:spacing w:after="20" w:before="20"/>
            </w:pPr>
            <w:r/>
          </w:p>
        </w:tc>
      </w:tr>
    </w:tbl>
    <w:p>
      <w:pPr>
        <w:spacing w:after="40"/>
      </w:pPr>
    </w:p>
    <w:p>
      <w:r>
        <w:br w:type="page"/>
      </w:r>
    </w:p>
    <w:p>
      <w:pPr>
        <w:spacing w:after="20"/>
      </w:pPr>
      <w:r>
        <w:rPr>
          <w:rFonts w:ascii="Calibri" w:hAnsi="Calibri"/>
          <w:b/>
          <w:color w:val="1B4F86"/>
          <w:sz w:val="16"/>
        </w:rPr>
        <w:t>SECTION 13 · REFERENCE</w:t>
      </w:r>
    </w:p>
    <w:p>
      <w:pPr>
        <w:pStyle w:val="Heading1"/>
        <w:pBdr>
          <w:bottom w:val="single" w:sz="12" w:space="5" w:color="1B4F86"/>
        </w:pBdr>
        <w:spacing w:after="160"/>
      </w:pPr>
      <w:r>
        <w:rPr>
          <w:rFonts w:ascii="Calibri Light" w:hAnsi="Calibri Light"/>
          <w:b/>
          <w:color w:val="0F2B4C"/>
          <w:sz w:val="38"/>
        </w:rPr>
        <w:t>13  Evidence and documentation strategy</w:t>
      </w:r>
    </w:p>
    <w:p>
      <w:pPr>
        <w:spacing w:after="200"/>
      </w:pPr>
      <w:r>
        <w:rPr>
          <w:rFonts w:ascii="Calibri" w:hAnsi="Calibri"/>
          <w:i/>
          <w:color w:val="5B7288"/>
          <w:sz w:val="21"/>
        </w:rPr>
        <w:t>Evidence is the difference between “it works” and “it is proven to work, by these checks, at this time, compared with this baseline”. It is also the only defence against absorbing a pre-existing fault as a migration defect.</w:t>
      </w:r>
    </w:p>
    <w:p>
      <w:pPr>
        <w:spacing w:before="160" w:after="80"/>
        <w:jc w:val="center"/>
        <w:keepNext/>
      </w:pPr>
      <w:r>
        <w:drawing>
          <wp:inline xmlns:a="http://schemas.openxmlformats.org/drawingml/2006/main" xmlns:pic="http://schemas.openxmlformats.org/drawingml/2006/picture">
            <wp:extent cx="6083999" cy="2619500"/>
            <wp:docPr id="8" name="Picture 8"/>
            <wp:cNvGraphicFramePr>
              <a:graphicFrameLocks noChangeAspect="1"/>
            </wp:cNvGraphicFramePr>
            <a:graphic>
              <a:graphicData uri="http://schemas.openxmlformats.org/drawingml/2006/picture">
                <pic:pic>
                  <pic:nvPicPr>
                    <pic:cNvPr id="0" name="d8-evidence.png"/>
                    <pic:cNvPicPr/>
                  </pic:nvPicPr>
                  <pic:blipFill>
                    <a:blip r:embed="rId18"/>
                    <a:stretch>
                      <a:fillRect/>
                    </a:stretch>
                  </pic:blipFill>
                  <pic:spPr>
                    <a:xfrm>
                      <a:off x="0" y="0"/>
                      <a:ext cx="6083999" cy="2619500"/>
                    </a:xfrm>
                    <a:prstGeom prst="rect"/>
                  </pic:spPr>
                </pic:pic>
              </a:graphicData>
            </a:graphic>
          </wp:inline>
        </w:drawing>
      </w:r>
    </w:p>
    <w:p>
      <w:pPr>
        <w:spacing w:after="240"/>
      </w:pPr>
      <w:r>
        <w:rPr>
          <w:rFonts w:ascii="Calibri" w:hAnsi="Calibri"/>
          <w:i/>
          <w:color w:val="5B7288"/>
          <w:sz w:val="17"/>
        </w:rPr>
        <w:t>Figure 8. The evidence lifecycle. The loop from retest back to comparison is deliberate: a correction is not complete until the comparison has been re-run and re-recorded.</w:t>
      </w:r>
    </w:p>
    <w:p>
      <w:pPr>
        <w:pStyle w:val="Heading2"/>
        <w:pBdr>
          <w:bottom w:val="single" w:sz="6" w:space="3" w:color="E8EDF3"/>
        </w:pBdr>
      </w:pPr>
      <w:r>
        <w:rPr>
          <w:rFonts w:ascii="Calibri" w:hAnsi="Calibri"/>
          <w:b/>
          <w:color w:val="0F2B4C"/>
          <w:sz w:val="26"/>
        </w:rPr>
        <w:t>13.1  Evidence lifecycle</w:t>
      </w:r>
    </w:p>
    <w:p>
      <w:pPr>
        <w:spacing w:after="40"/>
        <w:ind w:left="578" w:hanging="227"/>
      </w:pPr>
      <w:r>
        <w:rPr>
          <w:rFonts w:ascii="Calibri" w:hAnsi="Calibri"/>
          <w:b/>
          <w:color w:val="0F2B4C"/>
          <w:sz w:val="19"/>
        </w:rPr>
        <w:t xml:space="preserve">1.  </w:t>
      </w:r>
      <w:r>
        <w:rPr>
          <w:rFonts w:ascii="Calibri" w:hAnsi="Calibri"/>
          <w:b w:val="0"/>
          <w:i w:val="0"/>
          <w:color w:val="334E68"/>
          <w:sz w:val="19"/>
        </w:rPr>
        <w:t>Capture source evidence before migration.</w:t>
      </w:r>
    </w:p>
    <w:p>
      <w:pPr>
        <w:spacing w:after="40"/>
        <w:ind w:left="578" w:hanging="227"/>
      </w:pPr>
      <w:r>
        <w:rPr>
          <w:rFonts w:ascii="Calibri" w:hAnsi="Calibri"/>
          <w:b/>
          <w:color w:val="0F2B4C"/>
          <w:sz w:val="19"/>
        </w:rPr>
        <w:t xml:space="preserve">2.  </w:t>
      </w:r>
      <w:r>
        <w:rPr>
          <w:rFonts w:ascii="Calibri" w:hAnsi="Calibri"/>
          <w:b w:val="0"/>
          <w:i w:val="0"/>
          <w:color w:val="334E68"/>
          <w:sz w:val="19"/>
        </w:rPr>
        <w:t>Execute migration/cutover activities.</w:t>
      </w:r>
    </w:p>
    <w:p>
      <w:pPr>
        <w:spacing w:after="40"/>
        <w:ind w:left="578" w:hanging="227"/>
      </w:pPr>
      <w:r>
        <w:rPr>
          <w:rFonts w:ascii="Calibri" w:hAnsi="Calibri"/>
          <w:b/>
          <w:color w:val="0F2B4C"/>
          <w:sz w:val="19"/>
        </w:rPr>
        <w:t xml:space="preserve">3.  </w:t>
      </w:r>
      <w:r>
        <w:rPr>
          <w:rFonts w:ascii="Calibri" w:hAnsi="Calibri"/>
          <w:b w:val="0"/>
          <w:i w:val="0"/>
          <w:color w:val="334E68"/>
          <w:sz w:val="19"/>
        </w:rPr>
        <w:t>Capture equivalent target evidence.</w:t>
      </w:r>
    </w:p>
    <w:p>
      <w:pPr>
        <w:spacing w:after="40"/>
        <w:ind w:left="578" w:hanging="227"/>
      </w:pPr>
      <w:r>
        <w:rPr>
          <w:rFonts w:ascii="Calibri" w:hAnsi="Calibri"/>
          <w:b/>
          <w:color w:val="0F2B4C"/>
          <w:sz w:val="19"/>
        </w:rPr>
        <w:t xml:space="preserve">4.  </w:t>
      </w:r>
      <w:r>
        <w:rPr>
          <w:rFonts w:ascii="Calibri" w:hAnsi="Calibri"/>
          <w:b w:val="0"/>
          <w:i w:val="0"/>
          <w:color w:val="334E68"/>
          <w:sz w:val="19"/>
        </w:rPr>
        <w:t>Compare source and target.</w:t>
      </w:r>
    </w:p>
    <w:p>
      <w:pPr>
        <w:spacing w:after="40"/>
        <w:ind w:left="578" w:hanging="227"/>
      </w:pPr>
      <w:r>
        <w:rPr>
          <w:rFonts w:ascii="Calibri" w:hAnsi="Calibri"/>
          <w:b/>
          <w:color w:val="0F2B4C"/>
          <w:sz w:val="19"/>
        </w:rPr>
        <w:t xml:space="preserve">5.  </w:t>
      </w:r>
      <w:r>
        <w:rPr>
          <w:rFonts w:ascii="Calibri" w:hAnsi="Calibri"/>
          <w:b w:val="0"/>
          <w:i w:val="0"/>
          <w:color w:val="334E68"/>
          <w:sz w:val="19"/>
        </w:rPr>
        <w:t>Identify deviations.</w:t>
      </w:r>
    </w:p>
    <w:p>
      <w:pPr>
        <w:spacing w:after="40"/>
        <w:ind w:left="578" w:hanging="227"/>
      </w:pPr>
      <w:r>
        <w:rPr>
          <w:rFonts w:ascii="Calibri" w:hAnsi="Calibri"/>
          <w:b/>
          <w:color w:val="0F2B4C"/>
          <w:sz w:val="19"/>
        </w:rPr>
        <w:t xml:space="preserve">6.  </w:t>
      </w:r>
      <w:r>
        <w:rPr>
          <w:rFonts w:ascii="Calibri" w:hAnsi="Calibri"/>
          <w:b w:val="0"/>
          <w:i w:val="0"/>
          <w:color w:val="334E68"/>
          <w:sz w:val="19"/>
        </w:rPr>
        <w:t>Correct issues with the responsible team.</w:t>
      </w:r>
    </w:p>
    <w:p>
      <w:pPr>
        <w:spacing w:after="40"/>
        <w:ind w:left="578" w:hanging="227"/>
      </w:pPr>
      <w:r>
        <w:rPr>
          <w:rFonts w:ascii="Calibri" w:hAnsi="Calibri"/>
          <w:b/>
          <w:color w:val="0F2B4C"/>
          <w:sz w:val="19"/>
        </w:rPr>
        <w:t xml:space="preserve">7.  </w:t>
      </w:r>
      <w:r>
        <w:rPr>
          <w:rFonts w:ascii="Calibri" w:hAnsi="Calibri"/>
          <w:b w:val="0"/>
          <w:i w:val="0"/>
          <w:color w:val="334E68"/>
          <w:sz w:val="19"/>
        </w:rPr>
        <w:t>Retest.</w:t>
      </w:r>
    </w:p>
    <w:p>
      <w:pPr>
        <w:spacing w:after="40"/>
        <w:ind w:left="578" w:hanging="227"/>
      </w:pPr>
      <w:r>
        <w:rPr>
          <w:rFonts w:ascii="Calibri" w:hAnsi="Calibri"/>
          <w:b/>
          <w:color w:val="0F2B4C"/>
          <w:sz w:val="19"/>
        </w:rPr>
        <w:t xml:space="preserve">8.  </w:t>
      </w:r>
      <w:r>
        <w:rPr>
          <w:rFonts w:ascii="Calibri" w:hAnsi="Calibri"/>
          <w:b w:val="0"/>
          <w:i w:val="0"/>
          <w:color w:val="334E68"/>
          <w:sz w:val="19"/>
        </w:rPr>
        <w:t>Capture final evidence.</w:t>
      </w:r>
    </w:p>
    <w:p>
      <w:pPr>
        <w:spacing w:after="40"/>
        <w:ind w:left="578" w:hanging="227"/>
      </w:pPr>
      <w:r>
        <w:rPr>
          <w:rFonts w:ascii="Calibri" w:hAnsi="Calibri"/>
          <w:b/>
          <w:color w:val="0F2B4C"/>
          <w:sz w:val="19"/>
        </w:rPr>
        <w:t xml:space="preserve">9.  </w:t>
      </w:r>
      <w:r>
        <w:rPr>
          <w:rFonts w:ascii="Calibri" w:hAnsi="Calibri"/>
          <w:b w:val="0"/>
          <w:i w:val="0"/>
          <w:color w:val="334E68"/>
          <w:sz w:val="19"/>
        </w:rPr>
        <w:t>Complete handover.</w:t>
      </w:r>
    </w:p>
    <w:p>
      <w:pPr>
        <w:spacing w:before="180" w:after="40"/>
        <w:shd w:val="clear" w:color="auto" w:fill="FFFDF5"/>
        <w:pBdr>
          <w:left w:val="single" w:sz="6" w:space="6" w:color="D9A520"/>
          <w:top w:val="single" w:sz="6" w:space="6" w:color="D9A520"/>
          <w:right w:val="single" w:sz="6" w:space="6" w:color="D9A520"/>
        </w:pBdr>
        <w:keepNext/>
      </w:pPr>
      <w:r>
        <w:rPr>
          <w:rFonts w:ascii="Calibri" w:hAnsi="Calibri"/>
          <w:b/>
          <w:color w:val="D9A520"/>
          <w:sz w:val="16"/>
        </w:rPr>
        <w:t>EQUIVALENT MEANS EQUIVALENT</w:t>
      </w:r>
    </w:p>
    <w:p>
      <w:pPr>
        <w:spacing w:after="40"/>
        <w:ind w:left="170"/>
        <w:shd w:val="clear" w:color="auto" w:fill="FFFDF5"/>
        <w:pBdr>
          <w:left w:val="single" w:sz="6" w:space="6" w:color="D9A520"/>
          <w:bottom w:val="single" w:sz="6" w:space="6" w:color="D9A520"/>
          <w:right w:val="single" w:sz="6" w:space="6" w:color="D9A520"/>
        </w:pBdr>
      </w:pPr>
      <w:r>
        <w:rPr>
          <w:rFonts w:ascii="Calibri" w:hAnsi="Calibri"/>
          <w:b w:val="0"/>
          <w:i w:val="0"/>
          <w:color w:val="334E68"/>
          <w:sz w:val="18"/>
        </w:rPr>
        <w:t>A target screenshot of a different transaction, a different time window or a filtered view is not comparable evidence. Same check, same scope, same tooling, and — for performance — the same period type and load profile.</w:t>
      </w:r>
    </w:p>
    <w:p>
      <w:pPr>
        <w:pStyle w:val="Heading2"/>
        <w:pBdr>
          <w:bottom w:val="single" w:sz="6" w:space="3" w:color="E8EDF3"/>
        </w:pBdr>
      </w:pPr>
      <w:r>
        <w:rPr>
          <w:rFonts w:ascii="Calibri" w:hAnsi="Calibri"/>
          <w:b/>
          <w:color w:val="0F2B4C"/>
          <w:sz w:val="26"/>
        </w:rPr>
        <w:t>13.2  Evidence categories</w:t>
      </w:r>
    </w:p>
    <w:p>
      <w:pPr>
        <w:spacing w:before="100" w:after="20"/>
        <w:shd w:val="clear" w:color="auto" w:fill="F7F9FC"/>
        <w:pBdr>
          <w:left w:val="single" w:sz="18" w:space="6" w:color="9EC3EC"/>
        </w:pBdr>
      </w:pPr>
      <w:r>
        <w:rPr>
          <w:rFonts w:ascii="Calibri" w:hAnsi="Calibri"/>
          <w:b/>
          <w:color w:val="0F2B4C"/>
          <w:sz w:val="19"/>
        </w:rPr>
        <w:t>OS configuration and file systems</w:t>
      </w:r>
    </w:p>
    <w:p>
      <w:pPr>
        <w:spacing w:before="100" w:after="20"/>
        <w:shd w:val="clear" w:color="auto" w:fill="F7F9FC"/>
        <w:pBdr>
          <w:left w:val="single" w:sz="18" w:space="6" w:color="9EC3EC"/>
        </w:pBdr>
      </w:pPr>
      <w:r>
        <w:rPr>
          <w:rFonts w:ascii="Calibri" w:hAnsi="Calibri"/>
          <w:b/>
          <w:color w:val="0F2B4C"/>
          <w:sz w:val="19"/>
        </w:rPr>
        <w:t>CPU and memory</w:t>
      </w:r>
    </w:p>
    <w:p>
      <w:pPr>
        <w:spacing w:before="100" w:after="20"/>
        <w:shd w:val="clear" w:color="auto" w:fill="F7F9FC"/>
        <w:pBdr>
          <w:left w:val="single" w:sz="18" w:space="6" w:color="9EC3EC"/>
        </w:pBdr>
      </w:pPr>
      <w:r>
        <w:rPr>
          <w:rFonts w:ascii="Calibri" w:hAnsi="Calibri"/>
          <w:b/>
          <w:color w:val="0F2B4C"/>
          <w:sz w:val="19"/>
        </w:rPr>
        <w:t>UID/GID</w:t>
      </w:r>
    </w:p>
    <w:p>
      <w:pPr>
        <w:spacing w:before="100" w:after="20"/>
        <w:shd w:val="clear" w:color="auto" w:fill="F7F9FC"/>
        <w:pBdr>
          <w:left w:val="single" w:sz="18" w:space="6" w:color="9EC3EC"/>
        </w:pBdr>
      </w:pPr>
      <w:r>
        <w:rPr>
          <w:rFonts w:ascii="Calibri" w:hAnsi="Calibri"/>
          <w:b/>
          <w:color w:val="0F2B4C"/>
          <w:sz w:val="19"/>
        </w:rPr>
        <w:t>IP / hostname</w:t>
      </w:r>
    </w:p>
    <w:p>
      <w:pPr>
        <w:spacing w:before="100" w:after="20"/>
        <w:shd w:val="clear" w:color="auto" w:fill="F7F9FC"/>
        <w:pBdr>
          <w:left w:val="single" w:sz="18" w:space="6" w:color="9EC3EC"/>
        </w:pBdr>
      </w:pPr>
      <w:r>
        <w:rPr>
          <w:rFonts w:ascii="Calibri" w:hAnsi="Calibri"/>
          <w:b/>
          <w:color w:val="0F2B4C"/>
          <w:sz w:val="19"/>
        </w:rPr>
        <w:t>SAP status and application servers</w:t>
      </w:r>
    </w:p>
    <w:p>
      <w:pPr>
        <w:spacing w:before="100" w:after="20"/>
        <w:shd w:val="clear" w:color="auto" w:fill="F7F9FC"/>
        <w:pBdr>
          <w:left w:val="single" w:sz="18" w:space="6" w:color="9EC3EC"/>
        </w:pBdr>
      </w:pPr>
      <w:r>
        <w:rPr>
          <w:rFonts w:ascii="Calibri" w:hAnsi="Calibri"/>
          <w:b/>
          <w:color w:val="0F2B4C"/>
          <w:sz w:val="19"/>
        </w:rPr>
        <w:t>RFC and Gateway status</w:t>
      </w:r>
    </w:p>
    <w:p>
      <w:pPr>
        <w:spacing w:before="100" w:after="20"/>
        <w:shd w:val="clear" w:color="auto" w:fill="F7F9FC"/>
        <w:pBdr>
          <w:left w:val="single" w:sz="18" w:space="6" w:color="9EC3EC"/>
        </w:pBdr>
      </w:pPr>
      <w:r>
        <w:rPr>
          <w:rFonts w:ascii="Calibri" w:hAnsi="Calibri"/>
          <w:b/>
          <w:color w:val="0F2B4C"/>
          <w:sz w:val="19"/>
        </w:rPr>
        <w:t>STMS</w:t>
      </w:r>
    </w:p>
    <w:p>
      <w:pPr>
        <w:spacing w:before="100" w:after="20"/>
        <w:shd w:val="clear" w:color="auto" w:fill="F7F9FC"/>
        <w:pBdr>
          <w:left w:val="single" w:sz="18" w:space="6" w:color="9EC3EC"/>
        </w:pBdr>
      </w:pPr>
      <w:r>
        <w:rPr>
          <w:rFonts w:ascii="Calibri" w:hAnsi="Calibri"/>
          <w:b/>
          <w:color w:val="0F2B4C"/>
          <w:sz w:val="19"/>
        </w:rPr>
        <w:t>Database status and backup</w:t>
      </w:r>
    </w:p>
    <w:p>
      <w:pPr>
        <w:spacing w:before="100" w:after="20"/>
        <w:shd w:val="clear" w:color="auto" w:fill="F7F9FC"/>
        <w:pBdr>
          <w:left w:val="single" w:sz="18" w:space="6" w:color="9EC3EC"/>
        </w:pBdr>
      </w:pPr>
      <w:r>
        <w:rPr>
          <w:rFonts w:ascii="Calibri" w:hAnsi="Calibri"/>
          <w:b/>
          <w:color w:val="0F2B4C"/>
          <w:sz w:val="19"/>
        </w:rPr>
        <w:t>Printers and AL11</w:t>
      </w:r>
    </w:p>
    <w:p>
      <w:pPr>
        <w:spacing w:before="100" w:after="20"/>
        <w:shd w:val="clear" w:color="auto" w:fill="F7F9FC"/>
        <w:pBdr>
          <w:left w:val="single" w:sz="18" w:space="6" w:color="9EC3EC"/>
        </w:pBdr>
      </w:pPr>
      <w:r>
        <w:rPr>
          <w:rFonts w:ascii="Calibri" w:hAnsi="Calibri"/>
          <w:b/>
          <w:color w:val="0F2B4C"/>
          <w:sz w:val="19"/>
        </w:rPr>
        <w:t>SNC and certificates</w:t>
      </w:r>
    </w:p>
    <w:p>
      <w:pPr>
        <w:spacing w:before="100" w:after="20"/>
        <w:shd w:val="clear" w:color="auto" w:fill="F7F9FC"/>
        <w:pBdr>
          <w:left w:val="single" w:sz="18" w:space="6" w:color="9EC3EC"/>
        </w:pBdr>
      </w:pPr>
      <w:r>
        <w:rPr>
          <w:rFonts w:ascii="Calibri" w:hAnsi="Calibri"/>
          <w:b/>
          <w:color w:val="0F2B4C"/>
          <w:sz w:val="19"/>
        </w:rPr>
        <w:t>Performance indicators</w:t>
      </w:r>
    </w:p>
    <w:p>
      <w:pPr>
        <w:spacing w:before="100" w:after="20"/>
        <w:shd w:val="clear" w:color="auto" w:fill="F7F9FC"/>
        <w:pBdr>
          <w:left w:val="single" w:sz="18" w:space="6" w:color="9EC3EC"/>
        </w:pBdr>
      </w:pPr>
      <w:r>
        <w:rPr>
          <w:rFonts w:ascii="Calibri" w:hAnsi="Calibri"/>
          <w:b/>
          <w:color w:val="0F2B4C"/>
          <w:sz w:val="19"/>
        </w:rPr>
        <w:t>Backup/recovery evidence</w:t>
      </w:r>
    </w:p>
    <w:p>
      <w:pPr>
        <w:spacing w:before="100" w:after="20"/>
        <w:shd w:val="clear" w:color="auto" w:fill="F7F9FC"/>
        <w:pBdr>
          <w:left w:val="single" w:sz="18" w:space="6" w:color="9EC3EC"/>
        </w:pBdr>
      </w:pPr>
      <w:r>
        <w:rPr>
          <w:rFonts w:ascii="Calibri" w:hAnsi="Calibri"/>
          <w:b/>
          <w:color w:val="0F2B4C"/>
          <w:sz w:val="19"/>
        </w:rPr>
        <w:t>Database synchronization/switchover evidence</w:t>
      </w:r>
    </w:p>
    <w:p>
      <w:pPr>
        <w:spacing w:before="100" w:after="20"/>
        <w:shd w:val="clear" w:color="auto" w:fill="F7F9FC"/>
        <w:pBdr>
          <w:left w:val="single" w:sz="18" w:space="6" w:color="9EC3EC"/>
        </w:pBdr>
      </w:pPr>
      <w:r>
        <w:rPr>
          <w:rFonts w:ascii="Calibri" w:hAnsi="Calibri"/>
          <w:b/>
          <w:color w:val="0F2B4C"/>
          <w:sz w:val="19"/>
        </w:rPr>
        <w:t>Functional transaction evidence</w:t>
      </w:r>
    </w:p>
    <w:p>
      <w:pPr>
        <w:spacing w:before="100" w:after="20"/>
        <w:shd w:val="clear" w:color="auto" w:fill="F7F9FC"/>
        <w:pBdr>
          <w:left w:val="single" w:sz="18" w:space="6" w:color="9EC3EC"/>
        </w:pBdr>
      </w:pPr>
      <w:r>
        <w:rPr>
          <w:rFonts w:ascii="Calibri" w:hAnsi="Calibri"/>
          <w:b/>
          <w:color w:val="0F2B4C"/>
          <w:sz w:val="19"/>
        </w:rPr>
        <w:t>Approvals and Go/No-Go decision</w:t>
      </w:r>
    </w:p>
    <w:p>
      <w:pPr>
        <w:pStyle w:val="Heading2"/>
        <w:pBdr>
          <w:bottom w:val="single" w:sz="6" w:space="3" w:color="E8EDF3"/>
        </w:pBdr>
      </w:pPr>
      <w:r>
        <w:rPr>
          <w:rFonts w:ascii="Calibri" w:hAnsi="Calibri"/>
          <w:b/>
          <w:color w:val="0F2B4C"/>
          <w:sz w:val="26"/>
        </w:rPr>
        <w:t>13.3  Recommended evidence record</w:t>
      </w:r>
    </w:p>
    <w:p>
      <w:pPr>
        <w:spacing w:after="60" w:before="160"/>
        <w:keepNext/>
      </w:pPr>
      <w:r>
        <w:rPr>
          <w:rFonts w:ascii="Calibri" w:hAnsi="Calibri"/>
          <w:b/>
          <w:color w:val="5B7288"/>
          <w:sz w:val="15"/>
        </w:rPr>
        <w:t>EVIDENCE REGISTER TEMPLATE</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578"/>
        <w:gridCol w:w="2313"/>
        <w:gridCol w:w="2313"/>
        <w:gridCol w:w="2313"/>
        <w:gridCol w:w="2120"/>
      </w:tblGrid>
      <w:tr>
        <w:trPr>
          <w:tblHeader/>
          <w:cantSplit/>
        </w:trPr>
        <w:tc>
          <w:tcPr>
            <w:tcW w:type="dxa" w:w="578"/>
            <w:shd w:val="clear" w:color="auto" w:fill="0F2B4C"/>
          </w:tcPr>
          <w:p>
            <w:pPr>
              <w:spacing w:after="20" w:before="20"/>
            </w:pPr>
            <w:r/>
            <w:r>
              <w:rPr>
                <w:rFonts w:ascii="Calibri" w:hAnsi="Calibri"/>
                <w:b/>
                <w:color w:val="FFFFFF"/>
                <w:sz w:val="17"/>
              </w:rPr>
              <w:t>ID</w:t>
            </w:r>
          </w:p>
        </w:tc>
        <w:tc>
          <w:tcPr>
            <w:tcW w:type="dxa" w:w="2313"/>
            <w:shd w:val="clear" w:color="auto" w:fill="0F2B4C"/>
          </w:tcPr>
          <w:p>
            <w:pPr>
              <w:spacing w:after="20" w:before="20"/>
            </w:pPr>
            <w:r/>
            <w:r>
              <w:rPr>
                <w:rFonts w:ascii="Calibri" w:hAnsi="Calibri"/>
                <w:b/>
                <w:color w:val="FFFFFF"/>
                <w:sz w:val="17"/>
              </w:rPr>
              <w:t>Validation area</w:t>
            </w:r>
          </w:p>
        </w:tc>
        <w:tc>
          <w:tcPr>
            <w:tcW w:type="dxa" w:w="2313"/>
            <w:shd w:val="clear" w:color="auto" w:fill="0F2B4C"/>
          </w:tcPr>
          <w:p>
            <w:pPr>
              <w:spacing w:after="20" w:before="20"/>
            </w:pPr>
            <w:r/>
            <w:r>
              <w:rPr>
                <w:rFonts w:ascii="Calibri" w:hAnsi="Calibri"/>
                <w:b/>
                <w:color w:val="FFFFFF"/>
                <w:sz w:val="17"/>
              </w:rPr>
              <w:t>Source evidence</w:t>
            </w:r>
          </w:p>
        </w:tc>
        <w:tc>
          <w:tcPr>
            <w:tcW w:type="dxa" w:w="2313"/>
            <w:shd w:val="clear" w:color="auto" w:fill="0F2B4C"/>
          </w:tcPr>
          <w:p>
            <w:pPr>
              <w:spacing w:after="20" w:before="20"/>
            </w:pPr>
            <w:r/>
            <w:r>
              <w:rPr>
                <w:rFonts w:ascii="Calibri" w:hAnsi="Calibri"/>
                <w:b/>
                <w:color w:val="FFFFFF"/>
                <w:sz w:val="17"/>
              </w:rPr>
              <w:t>Target evidence</w:t>
            </w:r>
          </w:p>
        </w:tc>
        <w:tc>
          <w:tcPr>
            <w:tcW w:type="dxa" w:w="2120"/>
            <w:shd w:val="clear" w:color="auto" w:fill="0F2B4C"/>
          </w:tcPr>
          <w:p>
            <w:pPr>
              <w:spacing w:after="20" w:before="20"/>
            </w:pPr>
            <w:r/>
            <w:r>
              <w:rPr>
                <w:rFonts w:ascii="Calibri" w:hAnsi="Calibri"/>
                <w:b/>
                <w:color w:val="FFFFFF"/>
                <w:sz w:val="17"/>
              </w:rPr>
              <w:t>Result / action</w:t>
            </w:r>
          </w:p>
        </w:tc>
      </w:tr>
      <w:tr>
        <w:trPr>
          <w:cantSplit/>
        </w:trPr>
        <w:tc>
          <w:tcPr>
            <w:tcW w:type="dxa" w:w="578"/>
          </w:tcPr>
          <w:p>
            <w:pPr>
              <w:spacing w:after="20" w:before="20"/>
            </w:pPr>
            <w:r/>
            <w:r>
              <w:rPr>
                <w:rFonts w:ascii="Calibri" w:hAnsi="Calibri"/>
                <w:b/>
                <w:i w:val="0"/>
                <w:color w:val="334E68"/>
                <w:sz w:val="17"/>
              </w:rPr>
              <w:t>1</w:t>
            </w:r>
          </w:p>
        </w:tc>
        <w:tc>
          <w:tcPr>
            <w:tcW w:type="dxa" w:w="2313"/>
          </w:tcPr>
          <w:p>
            <w:pPr>
              <w:spacing w:after="20" w:before="20"/>
            </w:pPr>
            <w:r/>
          </w:p>
        </w:tc>
        <w:tc>
          <w:tcPr>
            <w:tcW w:type="dxa" w:w="2313"/>
          </w:tcPr>
          <w:p>
            <w:pPr>
              <w:spacing w:after="20" w:before="20"/>
            </w:pPr>
            <w:r/>
          </w:p>
        </w:tc>
        <w:tc>
          <w:tcPr>
            <w:tcW w:type="dxa" w:w="2313"/>
          </w:tcPr>
          <w:p>
            <w:pPr>
              <w:spacing w:after="20" w:before="20"/>
            </w:pPr>
            <w:r/>
          </w:p>
        </w:tc>
        <w:tc>
          <w:tcPr>
            <w:tcW w:type="dxa" w:w="2120"/>
          </w:tcPr>
          <w:p>
            <w:pPr>
              <w:spacing w:after="20" w:before="20"/>
            </w:pPr>
            <w:r/>
          </w:p>
        </w:tc>
      </w:tr>
      <w:tr>
        <w:trPr>
          <w:cantSplit/>
        </w:trPr>
        <w:tc>
          <w:tcPr>
            <w:tcW w:type="dxa" w:w="578"/>
            <w:shd w:val="clear" w:color="auto" w:fill="FAFBFD"/>
          </w:tcPr>
          <w:p>
            <w:pPr>
              <w:spacing w:after="20" w:before="20"/>
            </w:pPr>
            <w:r/>
            <w:r>
              <w:rPr>
                <w:rFonts w:ascii="Calibri" w:hAnsi="Calibri"/>
                <w:b/>
                <w:i w:val="0"/>
                <w:color w:val="334E68"/>
                <w:sz w:val="17"/>
              </w:rPr>
              <w:t>2</w:t>
            </w:r>
          </w:p>
        </w:tc>
        <w:tc>
          <w:tcPr>
            <w:tcW w:type="dxa" w:w="2313"/>
            <w:shd w:val="clear" w:color="auto" w:fill="FAFBFD"/>
          </w:tcPr>
          <w:p>
            <w:pPr>
              <w:spacing w:after="20" w:before="20"/>
            </w:pPr>
            <w:r/>
          </w:p>
        </w:tc>
        <w:tc>
          <w:tcPr>
            <w:tcW w:type="dxa" w:w="2313"/>
            <w:shd w:val="clear" w:color="auto" w:fill="FAFBFD"/>
          </w:tcPr>
          <w:p>
            <w:pPr>
              <w:spacing w:after="20" w:before="20"/>
            </w:pPr>
            <w:r/>
          </w:p>
        </w:tc>
        <w:tc>
          <w:tcPr>
            <w:tcW w:type="dxa" w:w="2313"/>
            <w:shd w:val="clear" w:color="auto" w:fill="FAFBFD"/>
          </w:tcPr>
          <w:p>
            <w:pPr>
              <w:spacing w:after="20" w:before="20"/>
            </w:pPr>
            <w:r/>
          </w:p>
        </w:tc>
        <w:tc>
          <w:tcPr>
            <w:tcW w:type="dxa" w:w="2120"/>
            <w:shd w:val="clear" w:color="auto" w:fill="FAFBFD"/>
          </w:tcPr>
          <w:p>
            <w:pPr>
              <w:spacing w:after="20" w:before="20"/>
            </w:pPr>
            <w:r/>
          </w:p>
        </w:tc>
      </w:tr>
      <w:tr>
        <w:trPr>
          <w:cantSplit/>
        </w:trPr>
        <w:tc>
          <w:tcPr>
            <w:tcW w:type="dxa" w:w="578"/>
          </w:tcPr>
          <w:p>
            <w:pPr>
              <w:spacing w:after="20" w:before="20"/>
            </w:pPr>
            <w:r/>
            <w:r>
              <w:rPr>
                <w:rFonts w:ascii="Calibri" w:hAnsi="Calibri"/>
                <w:b/>
                <w:i w:val="0"/>
                <w:color w:val="334E68"/>
                <w:sz w:val="17"/>
              </w:rPr>
              <w:t>3</w:t>
            </w:r>
          </w:p>
        </w:tc>
        <w:tc>
          <w:tcPr>
            <w:tcW w:type="dxa" w:w="2313"/>
          </w:tcPr>
          <w:p>
            <w:pPr>
              <w:spacing w:after="20" w:before="20"/>
            </w:pPr>
            <w:r/>
          </w:p>
        </w:tc>
        <w:tc>
          <w:tcPr>
            <w:tcW w:type="dxa" w:w="2313"/>
          </w:tcPr>
          <w:p>
            <w:pPr>
              <w:spacing w:after="20" w:before="20"/>
            </w:pPr>
            <w:r/>
          </w:p>
        </w:tc>
        <w:tc>
          <w:tcPr>
            <w:tcW w:type="dxa" w:w="2313"/>
          </w:tcPr>
          <w:p>
            <w:pPr>
              <w:spacing w:after="20" w:before="20"/>
            </w:pPr>
            <w:r/>
          </w:p>
        </w:tc>
        <w:tc>
          <w:tcPr>
            <w:tcW w:type="dxa" w:w="2120"/>
          </w:tcPr>
          <w:p>
            <w:pPr>
              <w:spacing w:after="20" w:before="20"/>
            </w:pPr>
            <w:r/>
          </w:p>
        </w:tc>
      </w:tr>
      <w:tr>
        <w:trPr>
          <w:cantSplit/>
        </w:trPr>
        <w:tc>
          <w:tcPr>
            <w:tcW w:type="dxa" w:w="578"/>
            <w:shd w:val="clear" w:color="auto" w:fill="FAFBFD"/>
          </w:tcPr>
          <w:p>
            <w:pPr>
              <w:spacing w:after="20" w:before="20"/>
            </w:pPr>
            <w:r/>
            <w:r>
              <w:rPr>
                <w:rFonts w:ascii="Calibri" w:hAnsi="Calibri"/>
                <w:b/>
                <w:i w:val="0"/>
                <w:color w:val="334E68"/>
                <w:sz w:val="17"/>
              </w:rPr>
              <w:t>4</w:t>
            </w:r>
          </w:p>
        </w:tc>
        <w:tc>
          <w:tcPr>
            <w:tcW w:type="dxa" w:w="2313"/>
            <w:shd w:val="clear" w:color="auto" w:fill="FAFBFD"/>
          </w:tcPr>
          <w:p>
            <w:pPr>
              <w:spacing w:after="20" w:before="20"/>
            </w:pPr>
            <w:r/>
          </w:p>
        </w:tc>
        <w:tc>
          <w:tcPr>
            <w:tcW w:type="dxa" w:w="2313"/>
            <w:shd w:val="clear" w:color="auto" w:fill="FAFBFD"/>
          </w:tcPr>
          <w:p>
            <w:pPr>
              <w:spacing w:after="20" w:before="20"/>
            </w:pPr>
            <w:r/>
          </w:p>
        </w:tc>
        <w:tc>
          <w:tcPr>
            <w:tcW w:type="dxa" w:w="2313"/>
            <w:shd w:val="clear" w:color="auto" w:fill="FAFBFD"/>
          </w:tcPr>
          <w:p>
            <w:pPr>
              <w:spacing w:after="20" w:before="20"/>
            </w:pPr>
            <w:r/>
          </w:p>
        </w:tc>
        <w:tc>
          <w:tcPr>
            <w:tcW w:type="dxa" w:w="2120"/>
            <w:shd w:val="clear" w:color="auto" w:fill="FAFBFD"/>
          </w:tcPr>
          <w:p>
            <w:pPr>
              <w:spacing w:after="20" w:before="20"/>
            </w:pPr>
            <w:r/>
          </w:p>
        </w:tc>
      </w:tr>
      <w:tr>
        <w:trPr>
          <w:cantSplit/>
        </w:trPr>
        <w:tc>
          <w:tcPr>
            <w:tcW w:type="dxa" w:w="578"/>
          </w:tcPr>
          <w:p>
            <w:pPr>
              <w:spacing w:after="20" w:before="20"/>
            </w:pPr>
            <w:r/>
            <w:r>
              <w:rPr>
                <w:rFonts w:ascii="Calibri" w:hAnsi="Calibri"/>
                <w:b/>
                <w:i w:val="0"/>
                <w:color w:val="334E68"/>
                <w:sz w:val="17"/>
              </w:rPr>
              <w:t>5</w:t>
            </w:r>
          </w:p>
        </w:tc>
        <w:tc>
          <w:tcPr>
            <w:tcW w:type="dxa" w:w="2313"/>
          </w:tcPr>
          <w:p>
            <w:pPr>
              <w:spacing w:after="20" w:before="20"/>
            </w:pPr>
            <w:r/>
          </w:p>
        </w:tc>
        <w:tc>
          <w:tcPr>
            <w:tcW w:type="dxa" w:w="2313"/>
          </w:tcPr>
          <w:p>
            <w:pPr>
              <w:spacing w:after="20" w:before="20"/>
            </w:pPr>
            <w:r/>
          </w:p>
        </w:tc>
        <w:tc>
          <w:tcPr>
            <w:tcW w:type="dxa" w:w="2313"/>
          </w:tcPr>
          <w:p>
            <w:pPr>
              <w:spacing w:after="20" w:before="20"/>
            </w:pPr>
            <w:r/>
          </w:p>
        </w:tc>
        <w:tc>
          <w:tcPr>
            <w:tcW w:type="dxa" w:w="2120"/>
          </w:tcPr>
          <w:p>
            <w:pPr>
              <w:spacing w:after="20" w:before="20"/>
            </w:pPr>
            <w:r/>
          </w:p>
        </w:tc>
      </w:tr>
      <w:tr>
        <w:trPr>
          <w:cantSplit/>
        </w:trPr>
        <w:tc>
          <w:tcPr>
            <w:tcW w:type="dxa" w:w="578"/>
            <w:shd w:val="clear" w:color="auto" w:fill="FAFBFD"/>
          </w:tcPr>
          <w:p>
            <w:pPr>
              <w:spacing w:after="20" w:before="20"/>
            </w:pPr>
            <w:r/>
            <w:r>
              <w:rPr>
                <w:rFonts w:ascii="Calibri" w:hAnsi="Calibri"/>
                <w:b/>
                <w:i w:val="0"/>
                <w:color w:val="334E68"/>
                <w:sz w:val="17"/>
              </w:rPr>
              <w:t>6</w:t>
            </w:r>
          </w:p>
        </w:tc>
        <w:tc>
          <w:tcPr>
            <w:tcW w:type="dxa" w:w="2313"/>
            <w:shd w:val="clear" w:color="auto" w:fill="FAFBFD"/>
          </w:tcPr>
          <w:p>
            <w:pPr>
              <w:spacing w:after="20" w:before="20"/>
            </w:pPr>
            <w:r/>
          </w:p>
        </w:tc>
        <w:tc>
          <w:tcPr>
            <w:tcW w:type="dxa" w:w="2313"/>
            <w:shd w:val="clear" w:color="auto" w:fill="FAFBFD"/>
          </w:tcPr>
          <w:p>
            <w:pPr>
              <w:spacing w:after="20" w:before="20"/>
            </w:pPr>
            <w:r/>
          </w:p>
        </w:tc>
        <w:tc>
          <w:tcPr>
            <w:tcW w:type="dxa" w:w="2313"/>
            <w:shd w:val="clear" w:color="auto" w:fill="FAFBFD"/>
          </w:tcPr>
          <w:p>
            <w:pPr>
              <w:spacing w:after="20" w:before="20"/>
            </w:pPr>
            <w:r/>
          </w:p>
        </w:tc>
        <w:tc>
          <w:tcPr>
            <w:tcW w:type="dxa" w:w="2120"/>
            <w:shd w:val="clear" w:color="auto" w:fill="FAFBFD"/>
          </w:tcPr>
          <w:p>
            <w:pPr>
              <w:spacing w:after="20" w:before="20"/>
            </w:pPr>
            <w:r/>
          </w:p>
        </w:tc>
      </w:tr>
      <w:tr>
        <w:trPr>
          <w:cantSplit/>
        </w:trPr>
        <w:tc>
          <w:tcPr>
            <w:tcW w:type="dxa" w:w="578"/>
          </w:tcPr>
          <w:p>
            <w:pPr>
              <w:spacing w:after="20" w:before="20"/>
            </w:pPr>
            <w:r/>
            <w:r>
              <w:rPr>
                <w:rFonts w:ascii="Calibri" w:hAnsi="Calibri"/>
                <w:b/>
                <w:i w:val="0"/>
                <w:color w:val="334E68"/>
                <w:sz w:val="17"/>
              </w:rPr>
              <w:t>7</w:t>
            </w:r>
          </w:p>
        </w:tc>
        <w:tc>
          <w:tcPr>
            <w:tcW w:type="dxa" w:w="2313"/>
          </w:tcPr>
          <w:p>
            <w:pPr>
              <w:spacing w:after="20" w:before="20"/>
            </w:pPr>
            <w:r/>
          </w:p>
        </w:tc>
        <w:tc>
          <w:tcPr>
            <w:tcW w:type="dxa" w:w="2313"/>
          </w:tcPr>
          <w:p>
            <w:pPr>
              <w:spacing w:after="20" w:before="20"/>
            </w:pPr>
            <w:r/>
          </w:p>
        </w:tc>
        <w:tc>
          <w:tcPr>
            <w:tcW w:type="dxa" w:w="2313"/>
          </w:tcPr>
          <w:p>
            <w:pPr>
              <w:spacing w:after="20" w:before="20"/>
            </w:pPr>
            <w:r/>
          </w:p>
        </w:tc>
        <w:tc>
          <w:tcPr>
            <w:tcW w:type="dxa" w:w="2120"/>
          </w:tcPr>
          <w:p>
            <w:pPr>
              <w:spacing w:after="20" w:before="20"/>
            </w:pPr>
            <w:r/>
          </w:p>
        </w:tc>
      </w:tr>
      <w:tr>
        <w:trPr>
          <w:cantSplit/>
        </w:trPr>
        <w:tc>
          <w:tcPr>
            <w:tcW w:type="dxa" w:w="578"/>
            <w:shd w:val="clear" w:color="auto" w:fill="FAFBFD"/>
          </w:tcPr>
          <w:p>
            <w:pPr>
              <w:spacing w:after="20" w:before="20"/>
            </w:pPr>
            <w:r/>
            <w:r>
              <w:rPr>
                <w:rFonts w:ascii="Calibri" w:hAnsi="Calibri"/>
                <w:b/>
                <w:i w:val="0"/>
                <w:color w:val="334E68"/>
                <w:sz w:val="17"/>
              </w:rPr>
              <w:t>8</w:t>
            </w:r>
          </w:p>
        </w:tc>
        <w:tc>
          <w:tcPr>
            <w:tcW w:type="dxa" w:w="2313"/>
            <w:shd w:val="clear" w:color="auto" w:fill="FAFBFD"/>
          </w:tcPr>
          <w:p>
            <w:pPr>
              <w:spacing w:after="20" w:before="20"/>
            </w:pPr>
            <w:r/>
          </w:p>
        </w:tc>
        <w:tc>
          <w:tcPr>
            <w:tcW w:type="dxa" w:w="2313"/>
            <w:shd w:val="clear" w:color="auto" w:fill="FAFBFD"/>
          </w:tcPr>
          <w:p>
            <w:pPr>
              <w:spacing w:after="20" w:before="20"/>
            </w:pPr>
            <w:r/>
          </w:p>
        </w:tc>
        <w:tc>
          <w:tcPr>
            <w:tcW w:type="dxa" w:w="2313"/>
            <w:shd w:val="clear" w:color="auto" w:fill="FAFBFD"/>
          </w:tcPr>
          <w:p>
            <w:pPr>
              <w:spacing w:after="20" w:before="20"/>
            </w:pPr>
            <w:r/>
          </w:p>
        </w:tc>
        <w:tc>
          <w:tcPr>
            <w:tcW w:type="dxa" w:w="2120"/>
            <w:shd w:val="clear" w:color="auto" w:fill="FAFBFD"/>
          </w:tcPr>
          <w:p>
            <w:pPr>
              <w:spacing w:after="20" w:before="20"/>
            </w:pPr>
            <w:r/>
          </w:p>
        </w:tc>
      </w:tr>
    </w:tbl>
    <w:p>
      <w:pPr>
        <w:spacing w:after="40"/>
      </w:pPr>
    </w:p>
    <w:p>
      <w:pPr>
        <w:pStyle w:val="Heading2"/>
        <w:pBdr>
          <w:bottom w:val="single" w:sz="6" w:space="3" w:color="E8EDF3"/>
        </w:pBdr>
      </w:pPr>
      <w:r>
        <w:rPr>
          <w:rFonts w:ascii="Calibri" w:hAnsi="Calibri"/>
          <w:b/>
          <w:color w:val="0F2B4C"/>
          <w:sz w:val="26"/>
        </w:rPr>
        <w:t>13.4  Naming and storage convention</w:t>
      </w:r>
    </w:p>
    <w:p>
      <w:r>
        <w:rPr>
          <w:rFonts w:ascii="Calibri" w:hAnsi="Calibri"/>
          <w:b w:val="0"/>
          <w:i w:val="0"/>
          <w:color w:val="334E68"/>
          <w:sz w:val="20"/>
        </w:rPr>
        <w:t>Adopt one convention across the programme so that evidence can be found during a 02:00 cutover call without opening files:</w:t>
      </w:r>
    </w:p>
    <w:p>
      <w:pPr>
        <w:spacing w:before="120" w:after="120"/>
        <w:ind w:left="170"/>
        <w:shd w:val="clear" w:color="auto" w:fill="0E2340"/>
        <w:pBdr>
          <w:left w:val="single" w:sz="18" w:space="4" w:color="1B4F86"/>
        </w:pBdr>
      </w:pPr>
      <w:r>
        <w:rPr>
          <w:rFonts w:ascii="Consolas" w:hAnsi="Consolas"/>
          <w:color w:val="D6E4F5"/>
          <w:sz w:val="16"/>
        </w:rPr>
        <w:t>&amp;lt;SID&amp;gt;_&amp;lt;PHASE&amp;gt;_&amp;lt;CHECK&amp;gt;_&amp;lt;SOURCE|TARGET&amp;gt;_&amp;lt;YYYYMMDD-HHMM&amp;gt;.&amp;lt;ext&amp;gt;# examplesPRD_PRECUT_SM59_SOURCE_20261002-1015.pdfPRD_CUTOVER_R3TRANS_TARGET_20261005-0212.logPRD_CUTOVER_SCN_BOTH_20261005-0140.pngPRD_HYPER_ST03N_TARGET_20261007-0900.pdf</w:t>
      </w:r>
    </w:p>
    <w:p>
      <w:pPr>
        <w:spacing w:after="40"/>
        <w:ind w:left="351" w:hanging="227"/>
      </w:pPr>
      <w:r>
        <w:rPr>
          <w:rFonts w:ascii="Calibri" w:hAnsi="Calibri"/>
          <w:b/>
          <w:color w:val="1B4F86"/>
          <w:sz w:val="19"/>
        </w:rPr>
        <w:t xml:space="preserve">▪  </w:t>
      </w:r>
      <w:r>
        <w:rPr>
          <w:rFonts w:ascii="Calibri" w:hAnsi="Calibri"/>
          <w:b w:val="0"/>
          <w:i w:val="0"/>
          <w:color w:val="334E68"/>
          <w:sz w:val="19"/>
        </w:rPr>
        <w:t>Store per the project retention and data-handling rules — no production data in unapproved locations, personal drives or chat.</w:t>
      </w:r>
    </w:p>
    <w:p>
      <w:pPr>
        <w:spacing w:after="40"/>
        <w:ind w:left="351" w:hanging="227"/>
      </w:pPr>
      <w:r>
        <w:rPr>
          <w:rFonts w:ascii="Calibri" w:hAnsi="Calibri"/>
          <w:b/>
          <w:color w:val="1B4F86"/>
          <w:sz w:val="19"/>
        </w:rPr>
        <w:t xml:space="preserve">▪  </w:t>
      </w:r>
      <w:r>
        <w:rPr>
          <w:rFonts w:ascii="Calibri" w:hAnsi="Calibri"/>
          <w:b w:val="0"/>
          <w:i w:val="0"/>
          <w:color w:val="334E68"/>
          <w:sz w:val="19"/>
        </w:rPr>
        <w:t>Attach evidence to the change/Jira record at the gate it supports, not in a batch at the end.</w:t>
      </w:r>
    </w:p>
    <w:p>
      <w:pPr>
        <w:spacing w:after="40"/>
        <w:ind w:left="351" w:hanging="227"/>
      </w:pPr>
      <w:r>
        <w:rPr>
          <w:rFonts w:ascii="Calibri" w:hAnsi="Calibri"/>
          <w:b/>
          <w:color w:val="1B4F86"/>
          <w:sz w:val="19"/>
        </w:rPr>
        <w:t xml:space="preserve">▪  </w:t>
      </w:r>
      <w:r>
        <w:rPr>
          <w:rFonts w:ascii="Calibri" w:hAnsi="Calibri"/>
          <w:b w:val="0"/>
          <w:i w:val="0"/>
          <w:color w:val="334E68"/>
          <w:sz w:val="19"/>
        </w:rPr>
        <w:t>Capture full output. A cropped success line proves nothing about what else was on the screen.</w:t>
      </w:r>
    </w:p>
    <w:p>
      <w:pPr>
        <w:spacing w:after="40"/>
        <w:ind w:left="351" w:hanging="227"/>
      </w:pPr>
      <w:r>
        <w:rPr>
          <w:rFonts w:ascii="Calibri" w:hAnsi="Calibri"/>
          <w:b/>
          <w:color w:val="1B4F86"/>
          <w:sz w:val="19"/>
        </w:rPr>
        <w:t xml:space="preserve">▪  </w:t>
      </w:r>
      <w:r>
        <w:rPr>
          <w:rFonts w:ascii="Calibri" w:hAnsi="Calibri"/>
          <w:b w:val="0"/>
          <w:i w:val="0"/>
          <w:color w:val="334E68"/>
          <w:sz w:val="19"/>
        </w:rPr>
        <w:t>Where evidence contains credentials, secrets or personal data, redact before storing and note that redaction occurred.</w:t>
      </w:r>
    </w:p>
    <w:p>
      <w:pPr>
        <w:spacing w:after="40"/>
        <w:ind w:left="351" w:hanging="227"/>
      </w:pPr>
      <w:r>
        <w:rPr>
          <w:rFonts w:ascii="Calibri" w:hAnsi="Calibri"/>
          <w:b/>
          <w:color w:val="1B4F86"/>
          <w:sz w:val="19"/>
        </w:rPr>
        <w:t xml:space="preserve">▪  </w:t>
      </w:r>
      <w:r>
        <w:rPr>
          <w:rFonts w:ascii="Calibri" w:hAnsi="Calibri"/>
          <w:b w:val="0"/>
          <w:i w:val="0"/>
          <w:color w:val="334E68"/>
          <w:sz w:val="19"/>
        </w:rPr>
        <w:t>Keep the evidence pack indexed by checklist item so a reviewer can jump from “SNC” to the SNC proof in one step.</w:t>
      </w:r>
    </w:p>
    <w:p>
      <w:pPr>
        <w:pStyle w:val="Heading2"/>
        <w:pBdr>
          <w:bottom w:val="single" w:sz="6" w:space="3" w:color="E8EDF3"/>
        </w:pBdr>
      </w:pPr>
      <w:r>
        <w:rPr>
          <w:rFonts w:ascii="Calibri" w:hAnsi="Calibri"/>
          <w:b/>
          <w:color w:val="0F2B4C"/>
          <w:sz w:val="26"/>
        </w:rPr>
        <w:t>13.5  Documentation set produced by a migration</w:t>
      </w:r>
    </w:p>
    <w:p>
      <w:pPr>
        <w:spacing w:after="60" w:before="160"/>
        <w:keepNext/>
      </w:pPr>
      <w:r>
        <w:rPr>
          <w:rFonts w:ascii="Calibri" w:hAnsi="Calibri"/>
          <w:b/>
          <w:color w:val="5B7288"/>
          <w:sz w:val="15"/>
        </w:rPr>
        <w:t>DOCUMENTATION SET</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699"/>
        <w:gridCol w:w="1928"/>
        <w:gridCol w:w="5012"/>
      </w:tblGrid>
      <w:tr>
        <w:trPr>
          <w:tblHeader/>
          <w:cantSplit/>
        </w:trPr>
        <w:tc>
          <w:tcPr>
            <w:tcW w:type="dxa" w:w="2699"/>
            <w:shd w:val="clear" w:color="auto" w:fill="0F2B4C"/>
          </w:tcPr>
          <w:p>
            <w:pPr>
              <w:spacing w:after="20" w:before="20"/>
            </w:pPr>
            <w:r/>
            <w:r>
              <w:rPr>
                <w:rFonts w:ascii="Calibri" w:hAnsi="Calibri"/>
                <w:b/>
                <w:color w:val="FFFFFF"/>
                <w:sz w:val="17"/>
              </w:rPr>
              <w:t>Document</w:t>
            </w:r>
          </w:p>
        </w:tc>
        <w:tc>
          <w:tcPr>
            <w:tcW w:type="dxa" w:w="1928"/>
            <w:shd w:val="clear" w:color="auto" w:fill="0F2B4C"/>
          </w:tcPr>
          <w:p>
            <w:pPr>
              <w:spacing w:after="20" w:before="20"/>
            </w:pPr>
            <w:r/>
            <w:r>
              <w:rPr>
                <w:rFonts w:ascii="Calibri" w:hAnsi="Calibri"/>
                <w:b/>
                <w:color w:val="FFFFFF"/>
                <w:sz w:val="17"/>
              </w:rPr>
              <w:t>Owner</w:t>
            </w:r>
          </w:p>
        </w:tc>
        <w:tc>
          <w:tcPr>
            <w:tcW w:type="dxa" w:w="5012"/>
            <w:shd w:val="clear" w:color="auto" w:fill="0F2B4C"/>
          </w:tcPr>
          <w:p>
            <w:pPr>
              <w:spacing w:after="20" w:before="20"/>
            </w:pPr>
            <w:r/>
            <w:r>
              <w:rPr>
                <w:rFonts w:ascii="Calibri" w:hAnsi="Calibri"/>
                <w:b/>
                <w:color w:val="FFFFFF"/>
                <w:sz w:val="17"/>
              </w:rPr>
              <w:t>Purpose</w:t>
            </w:r>
          </w:p>
        </w:tc>
      </w:tr>
      <w:tr>
        <w:trPr>
          <w:cantSplit/>
        </w:trPr>
        <w:tc>
          <w:tcPr>
            <w:tcW w:type="dxa" w:w="2699"/>
          </w:tcPr>
          <w:p>
            <w:pPr>
              <w:spacing w:after="20" w:before="20"/>
            </w:pPr>
            <w:r/>
            <w:r>
              <w:rPr>
                <w:rFonts w:ascii="Calibri" w:hAnsi="Calibri"/>
                <w:b/>
                <w:i w:val="0"/>
                <w:color w:val="334E68"/>
                <w:sz w:val="17"/>
              </w:rPr>
              <w:t>Source baseline pack</w:t>
            </w:r>
          </w:p>
        </w:tc>
        <w:tc>
          <w:tcPr>
            <w:tcW w:type="dxa" w:w="1928"/>
          </w:tcPr>
          <w:p>
            <w:pPr>
              <w:spacing w:after="20" w:before="20"/>
            </w:pPr>
            <w:r/>
            <w:r>
              <w:rPr>
                <w:rFonts w:ascii="Calibri" w:hAnsi="Calibri"/>
                <w:b w:val="0"/>
                <w:i w:val="0"/>
                <w:color w:val="334E68"/>
                <w:sz w:val="17"/>
              </w:rPr>
              <w:t>Basis / migration</w:t>
            </w:r>
          </w:p>
        </w:tc>
        <w:tc>
          <w:tcPr>
            <w:tcW w:type="dxa" w:w="5012"/>
          </w:tcPr>
          <w:p>
            <w:pPr>
              <w:spacing w:after="20" w:before="20"/>
            </w:pPr>
            <w:r/>
            <w:r>
              <w:rPr>
                <w:rFonts w:ascii="Calibri" w:hAnsi="Calibri"/>
                <w:b w:val="0"/>
                <w:i w:val="0"/>
                <w:color w:val="334E68"/>
                <w:sz w:val="17"/>
              </w:rPr>
              <w:t>Reference for every comparison and for hypercare triage</w:t>
            </w:r>
          </w:p>
        </w:tc>
      </w:tr>
      <w:tr>
        <w:trPr>
          <w:cantSplit/>
        </w:trPr>
        <w:tc>
          <w:tcPr>
            <w:tcW w:type="dxa" w:w="2699"/>
            <w:shd w:val="clear" w:color="auto" w:fill="FAFBFD"/>
          </w:tcPr>
          <w:p>
            <w:pPr>
              <w:spacing w:after="20" w:before="20"/>
            </w:pPr>
            <w:r/>
            <w:r>
              <w:rPr>
                <w:rFonts w:ascii="Calibri" w:hAnsi="Calibri"/>
                <w:b/>
                <w:i w:val="0"/>
                <w:color w:val="334E68"/>
                <w:sz w:val="17"/>
              </w:rPr>
              <w:t>Build sheet (approved)</w:t>
            </w:r>
          </w:p>
        </w:tc>
        <w:tc>
          <w:tcPr>
            <w:tcW w:type="dxa" w:w="1928"/>
            <w:shd w:val="clear" w:color="auto" w:fill="FAFBFD"/>
          </w:tcPr>
          <w:p>
            <w:pPr>
              <w:spacing w:after="20" w:before="20"/>
            </w:pPr>
            <w:r/>
            <w:r>
              <w:rPr>
                <w:rFonts w:ascii="Calibri" w:hAnsi="Calibri"/>
                <w:b w:val="0"/>
                <w:i w:val="0"/>
                <w:color w:val="334E68"/>
                <w:sz w:val="17"/>
              </w:rPr>
              <w:t>Basis + automation</w:t>
            </w:r>
          </w:p>
        </w:tc>
        <w:tc>
          <w:tcPr>
            <w:tcW w:type="dxa" w:w="5012"/>
            <w:shd w:val="clear" w:color="auto" w:fill="FAFBFD"/>
          </w:tcPr>
          <w:p>
            <w:pPr>
              <w:spacing w:after="20" w:before="20"/>
            </w:pPr>
            <w:r/>
            <w:r>
              <w:rPr>
                <w:rFonts w:ascii="Calibri" w:hAnsi="Calibri"/>
                <w:b w:val="0"/>
                <w:i w:val="0"/>
                <w:color w:val="334E68"/>
                <w:sz w:val="17"/>
              </w:rPr>
              <w:t>The provisioning input and the validation reference</w:t>
            </w:r>
          </w:p>
        </w:tc>
      </w:tr>
      <w:tr>
        <w:trPr>
          <w:cantSplit/>
        </w:trPr>
        <w:tc>
          <w:tcPr>
            <w:tcW w:type="dxa" w:w="2699"/>
          </w:tcPr>
          <w:p>
            <w:pPr>
              <w:spacing w:after="20" w:before="20"/>
            </w:pPr>
            <w:r/>
            <w:r>
              <w:rPr>
                <w:rFonts w:ascii="Calibri" w:hAnsi="Calibri"/>
                <w:b/>
                <w:i w:val="0"/>
                <w:color w:val="334E68"/>
                <w:sz w:val="17"/>
              </w:rPr>
              <w:t>Infrastructure validation record</w:t>
            </w:r>
          </w:p>
        </w:tc>
        <w:tc>
          <w:tcPr>
            <w:tcW w:type="dxa" w:w="1928"/>
          </w:tcPr>
          <w:p>
            <w:pPr>
              <w:spacing w:after="20" w:before="20"/>
            </w:pPr>
            <w:r/>
            <w:r>
              <w:rPr>
                <w:rFonts w:ascii="Calibri" w:hAnsi="Calibri"/>
                <w:b w:val="0"/>
                <w:i w:val="0"/>
                <w:color w:val="334E68"/>
                <w:sz w:val="17"/>
              </w:rPr>
              <w:t>Basis / migration</w:t>
            </w:r>
          </w:p>
        </w:tc>
        <w:tc>
          <w:tcPr>
            <w:tcW w:type="dxa" w:w="5012"/>
          </w:tcPr>
          <w:p>
            <w:pPr>
              <w:spacing w:after="20" w:before="20"/>
            </w:pPr>
            <w:r/>
            <w:r>
              <w:rPr>
                <w:rFonts w:ascii="Calibri" w:hAnsi="Calibri"/>
                <w:b w:val="0"/>
                <w:i w:val="0"/>
                <w:color w:val="334E68"/>
                <w:sz w:val="17"/>
              </w:rPr>
              <w:t>Proof that what was built matches what was approved</w:t>
            </w:r>
          </w:p>
        </w:tc>
      </w:tr>
      <w:tr>
        <w:trPr>
          <w:cantSplit/>
        </w:trPr>
        <w:tc>
          <w:tcPr>
            <w:tcW w:type="dxa" w:w="2699"/>
            <w:shd w:val="clear" w:color="auto" w:fill="FAFBFD"/>
          </w:tcPr>
          <w:p>
            <w:pPr>
              <w:spacing w:after="20" w:before="20"/>
            </w:pPr>
            <w:r/>
            <w:r>
              <w:rPr>
                <w:rFonts w:ascii="Calibri" w:hAnsi="Calibri"/>
                <w:b/>
                <w:i w:val="0"/>
                <w:color w:val="334E68"/>
                <w:sz w:val="17"/>
              </w:rPr>
              <w:t>Backup/recovery test record</w:t>
            </w:r>
          </w:p>
        </w:tc>
        <w:tc>
          <w:tcPr>
            <w:tcW w:type="dxa" w:w="1928"/>
            <w:shd w:val="clear" w:color="auto" w:fill="FAFBFD"/>
          </w:tcPr>
          <w:p>
            <w:pPr>
              <w:spacing w:after="20" w:before="20"/>
            </w:pPr>
            <w:r/>
            <w:r>
              <w:rPr>
                <w:rFonts w:ascii="Calibri" w:hAnsi="Calibri"/>
                <w:b w:val="0"/>
                <w:i w:val="0"/>
                <w:color w:val="334E68"/>
                <w:sz w:val="17"/>
              </w:rPr>
              <w:t>Basis + DBA</w:t>
            </w:r>
          </w:p>
        </w:tc>
        <w:tc>
          <w:tcPr>
            <w:tcW w:type="dxa" w:w="5012"/>
            <w:shd w:val="clear" w:color="auto" w:fill="FAFBFD"/>
          </w:tcPr>
          <w:p>
            <w:pPr>
              <w:spacing w:after="20" w:before="20"/>
            </w:pPr>
            <w:r/>
            <w:r>
              <w:rPr>
                <w:rFonts w:ascii="Calibri" w:hAnsi="Calibri"/>
                <w:b w:val="0"/>
                <w:i w:val="0"/>
                <w:color w:val="334E68"/>
                <w:sz w:val="17"/>
              </w:rPr>
              <w:t>Proof the recovery path works before it is needed</w:t>
            </w:r>
          </w:p>
        </w:tc>
      </w:tr>
      <w:tr>
        <w:trPr>
          <w:cantSplit/>
        </w:trPr>
        <w:tc>
          <w:tcPr>
            <w:tcW w:type="dxa" w:w="2699"/>
          </w:tcPr>
          <w:p>
            <w:pPr>
              <w:spacing w:after="20" w:before="20"/>
            </w:pPr>
            <w:r/>
            <w:r>
              <w:rPr>
                <w:rFonts w:ascii="Calibri" w:hAnsi="Calibri"/>
                <w:b/>
                <w:i w:val="0"/>
                <w:color w:val="334E68"/>
                <w:sz w:val="17"/>
              </w:rPr>
              <w:t>Validation workbooks (Sections 12)</w:t>
            </w:r>
          </w:p>
        </w:tc>
        <w:tc>
          <w:tcPr>
            <w:tcW w:type="dxa" w:w="1928"/>
          </w:tcPr>
          <w:p>
            <w:pPr>
              <w:spacing w:after="20" w:before="20"/>
            </w:pPr>
            <w:r/>
            <w:r>
              <w:rPr>
                <w:rFonts w:ascii="Calibri" w:hAnsi="Calibri"/>
                <w:b w:val="0"/>
                <w:i w:val="0"/>
                <w:color w:val="334E68"/>
                <w:sz w:val="17"/>
              </w:rPr>
              <w:t>Executing engineer</w:t>
            </w:r>
          </w:p>
        </w:tc>
        <w:tc>
          <w:tcPr>
            <w:tcW w:type="dxa" w:w="5012"/>
          </w:tcPr>
          <w:p>
            <w:pPr>
              <w:spacing w:after="20" w:before="20"/>
            </w:pPr>
            <w:r/>
            <w:r>
              <w:rPr>
                <w:rFonts w:ascii="Calibri" w:hAnsi="Calibri"/>
                <w:b w:val="0"/>
                <w:i w:val="0"/>
                <w:color w:val="334E68"/>
                <w:sz w:val="17"/>
              </w:rPr>
              <w:t>Check-by-check results with evidence references</w:t>
            </w:r>
          </w:p>
        </w:tc>
      </w:tr>
      <w:tr>
        <w:trPr>
          <w:cantSplit/>
        </w:trPr>
        <w:tc>
          <w:tcPr>
            <w:tcW w:type="dxa" w:w="2699"/>
            <w:shd w:val="clear" w:color="auto" w:fill="FAFBFD"/>
          </w:tcPr>
          <w:p>
            <w:pPr>
              <w:spacing w:after="20" w:before="20"/>
            </w:pPr>
            <w:r/>
            <w:r>
              <w:rPr>
                <w:rFonts w:ascii="Calibri" w:hAnsi="Calibri"/>
                <w:b/>
                <w:i w:val="0"/>
                <w:color w:val="334E68"/>
                <w:sz w:val="17"/>
              </w:rPr>
              <w:t>Cutover runbook and log</w:t>
            </w:r>
          </w:p>
        </w:tc>
        <w:tc>
          <w:tcPr>
            <w:tcW w:type="dxa" w:w="1928"/>
            <w:shd w:val="clear" w:color="auto" w:fill="FAFBFD"/>
          </w:tcPr>
          <w:p>
            <w:pPr>
              <w:spacing w:after="20" w:before="20"/>
            </w:pPr>
            <w:r/>
            <w:r>
              <w:rPr>
                <w:rFonts w:ascii="Calibri" w:hAnsi="Calibri"/>
                <w:b w:val="0"/>
                <w:i w:val="0"/>
                <w:color w:val="334E68"/>
                <w:sz w:val="17"/>
              </w:rPr>
              <w:t>Basis / migration + PMO</w:t>
            </w:r>
          </w:p>
        </w:tc>
        <w:tc>
          <w:tcPr>
            <w:tcW w:type="dxa" w:w="5012"/>
            <w:shd w:val="clear" w:color="auto" w:fill="FAFBFD"/>
          </w:tcPr>
          <w:p>
            <w:pPr>
              <w:spacing w:after="20" w:before="20"/>
            </w:pPr>
            <w:r/>
            <w:r>
              <w:rPr>
                <w:rFonts w:ascii="Calibri" w:hAnsi="Calibri"/>
                <w:b w:val="0"/>
                <w:i w:val="0"/>
                <w:color w:val="334E68"/>
                <w:sz w:val="17"/>
              </w:rPr>
              <w:t>What was planned, what was done, at what time, by whom</w:t>
            </w:r>
          </w:p>
        </w:tc>
      </w:tr>
      <w:tr>
        <w:trPr>
          <w:cantSplit/>
        </w:trPr>
        <w:tc>
          <w:tcPr>
            <w:tcW w:type="dxa" w:w="2699"/>
          </w:tcPr>
          <w:p>
            <w:pPr>
              <w:spacing w:after="20" w:before="20"/>
            </w:pPr>
            <w:r/>
            <w:r>
              <w:rPr>
                <w:rFonts w:ascii="Calibri" w:hAnsi="Calibri"/>
                <w:b/>
                <w:i w:val="0"/>
                <w:color w:val="334E68"/>
                <w:sz w:val="17"/>
              </w:rPr>
              <w:t>Go/No-Go pack and decision record</w:t>
            </w:r>
          </w:p>
        </w:tc>
        <w:tc>
          <w:tcPr>
            <w:tcW w:type="dxa" w:w="1928"/>
          </w:tcPr>
          <w:p>
            <w:pPr>
              <w:spacing w:after="20" w:before="20"/>
            </w:pPr>
            <w:r/>
            <w:r>
              <w:rPr>
                <w:rFonts w:ascii="Calibri" w:hAnsi="Calibri"/>
                <w:b w:val="0"/>
                <w:i w:val="0"/>
                <w:color w:val="334E68"/>
                <w:sz w:val="17"/>
              </w:rPr>
              <w:t>PMO</w:t>
            </w:r>
          </w:p>
        </w:tc>
        <w:tc>
          <w:tcPr>
            <w:tcW w:type="dxa" w:w="5012"/>
          </w:tcPr>
          <w:p>
            <w:pPr>
              <w:spacing w:after="20" w:before="20"/>
            </w:pPr>
            <w:r/>
            <w:r>
              <w:rPr>
                <w:rFonts w:ascii="Calibri" w:hAnsi="Calibri"/>
                <w:b w:val="0"/>
                <w:i w:val="0"/>
                <w:color w:val="334E68"/>
                <w:sz w:val="17"/>
              </w:rPr>
              <w:t>The evidence set and the named approvals behind the decision</w:t>
            </w:r>
          </w:p>
        </w:tc>
      </w:tr>
      <w:tr>
        <w:trPr>
          <w:cantSplit/>
        </w:trPr>
        <w:tc>
          <w:tcPr>
            <w:tcW w:type="dxa" w:w="2699"/>
            <w:shd w:val="clear" w:color="auto" w:fill="FAFBFD"/>
          </w:tcPr>
          <w:p>
            <w:pPr>
              <w:spacing w:after="20" w:before="20"/>
            </w:pPr>
            <w:r/>
            <w:r>
              <w:rPr>
                <w:rFonts w:ascii="Calibri" w:hAnsi="Calibri"/>
                <w:b/>
                <w:i w:val="0"/>
                <w:color w:val="334E68"/>
                <w:sz w:val="17"/>
              </w:rPr>
              <w:t>Hypercare issue log</w:t>
            </w:r>
          </w:p>
        </w:tc>
        <w:tc>
          <w:tcPr>
            <w:tcW w:type="dxa" w:w="1928"/>
            <w:shd w:val="clear" w:color="auto" w:fill="FAFBFD"/>
          </w:tcPr>
          <w:p>
            <w:pPr>
              <w:spacing w:after="20" w:before="20"/>
            </w:pPr>
            <w:r/>
            <w:r>
              <w:rPr>
                <w:rFonts w:ascii="Calibri" w:hAnsi="Calibri"/>
                <w:b w:val="0"/>
                <w:i w:val="0"/>
                <w:color w:val="334E68"/>
                <w:sz w:val="17"/>
              </w:rPr>
              <w:t>Hypercare lead</w:t>
            </w:r>
          </w:p>
        </w:tc>
        <w:tc>
          <w:tcPr>
            <w:tcW w:type="dxa" w:w="5012"/>
            <w:shd w:val="clear" w:color="auto" w:fill="FAFBFD"/>
          </w:tcPr>
          <w:p>
            <w:pPr>
              <w:spacing w:after="20" w:before="20"/>
            </w:pPr>
            <w:r/>
            <w:r>
              <w:rPr>
                <w:rFonts w:ascii="Calibri" w:hAnsi="Calibri"/>
                <w:b w:val="0"/>
                <w:i w:val="0"/>
                <w:color w:val="334E68"/>
                <w:sz w:val="17"/>
              </w:rPr>
              <w:t>Issues, classification (migration vs pre-existing), owners, closure</w:t>
            </w:r>
          </w:p>
        </w:tc>
      </w:tr>
      <w:tr>
        <w:trPr>
          <w:cantSplit/>
        </w:trPr>
        <w:tc>
          <w:tcPr>
            <w:tcW w:type="dxa" w:w="2699"/>
          </w:tcPr>
          <w:p>
            <w:pPr>
              <w:spacing w:after="20" w:before="20"/>
            </w:pPr>
            <w:r/>
            <w:r>
              <w:rPr>
                <w:rFonts w:ascii="Calibri" w:hAnsi="Calibri"/>
                <w:b/>
                <w:i w:val="0"/>
                <w:color w:val="334E68"/>
                <w:sz w:val="17"/>
              </w:rPr>
              <w:t>Handover pack to BAU</w:t>
            </w:r>
          </w:p>
        </w:tc>
        <w:tc>
          <w:tcPr>
            <w:tcW w:type="dxa" w:w="1928"/>
          </w:tcPr>
          <w:p>
            <w:pPr>
              <w:spacing w:after="20" w:before="20"/>
            </w:pPr>
            <w:r/>
            <w:r>
              <w:rPr>
                <w:rFonts w:ascii="Calibri" w:hAnsi="Calibri"/>
                <w:b w:val="0"/>
                <w:i w:val="0"/>
                <w:color w:val="334E68"/>
                <w:sz w:val="17"/>
              </w:rPr>
              <w:t>Basis / migration</w:t>
            </w:r>
          </w:p>
        </w:tc>
        <w:tc>
          <w:tcPr>
            <w:tcW w:type="dxa" w:w="5012"/>
          </w:tcPr>
          <w:p>
            <w:pPr>
              <w:spacing w:after="20" w:before="20"/>
            </w:pPr>
            <w:r/>
            <w:r>
              <w:rPr>
                <w:rFonts w:ascii="Calibri" w:hAnsi="Calibri"/>
                <w:b w:val="0"/>
                <w:i w:val="0"/>
                <w:color w:val="334E68"/>
                <w:sz w:val="17"/>
              </w:rPr>
              <w:t>Final state, known issues, deferred items, contacts, evidence archive</w:t>
            </w:r>
          </w:p>
        </w:tc>
      </w:tr>
    </w:tbl>
    <w:p>
      <w:pPr>
        <w:spacing w:after="40"/>
      </w:pPr>
    </w:p>
    <w:p>
      <w:r>
        <w:br w:type="page"/>
      </w:r>
    </w:p>
    <w:p>
      <w:pPr>
        <w:spacing w:after="20"/>
      </w:pPr>
      <w:r>
        <w:rPr>
          <w:rFonts w:ascii="Calibri" w:hAnsi="Calibri"/>
          <w:b/>
          <w:color w:val="1B4F86"/>
          <w:sz w:val="16"/>
        </w:rPr>
        <w:t>SECTION 14 · REFERENCE</w:t>
      </w:r>
    </w:p>
    <w:p>
      <w:pPr>
        <w:pStyle w:val="Heading1"/>
        <w:pBdr>
          <w:bottom w:val="single" w:sz="12" w:space="5" w:color="1B4F86"/>
        </w:pBdr>
        <w:spacing w:after="160"/>
      </w:pPr>
      <w:r>
        <w:rPr>
          <w:rFonts w:ascii="Calibri Light" w:hAnsi="Calibri Light"/>
          <w:b/>
          <w:color w:val="0F2B4C"/>
          <w:sz w:val="38"/>
        </w:rPr>
        <w:t>14  Ownership and operating model</w:t>
      </w:r>
    </w:p>
    <w:p>
      <w:pPr>
        <w:spacing w:after="200"/>
      </w:pPr>
      <w:r>
        <w:rPr>
          <w:rFonts w:ascii="Calibri" w:hAnsi="Calibri"/>
          <w:i/>
          <w:color w:val="5B7288"/>
          <w:sz w:val="21"/>
        </w:rPr>
        <w:t>The training concluded with an ownership model intended to prevent conflicting changes and unclear accountability. Technology rarely fails a migration on its own; uncoordinated people do.</w:t>
      </w:r>
    </w:p>
    <w:p>
      <w:pPr>
        <w:pStyle w:val="Heading2"/>
        <w:pBdr>
          <w:bottom w:val="single" w:sz="6" w:space="3" w:color="E8EDF3"/>
        </w:pBdr>
      </w:pPr>
      <w:r>
        <w:rPr>
          <w:rFonts w:ascii="Calibri" w:hAnsi="Calibri"/>
          <w:b/>
          <w:color w:val="0F2B4C"/>
          <w:sz w:val="26"/>
        </w:rPr>
        <w:t>14.1  Ownership model</w:t>
      </w:r>
    </w:p>
    <w:p>
      <w:pPr>
        <w:spacing w:after="40"/>
        <w:ind w:left="578" w:hanging="227"/>
      </w:pPr>
      <w:r>
        <w:rPr>
          <w:rFonts w:ascii="Calibri" w:hAnsi="Calibri"/>
          <w:b/>
          <w:color w:val="0F2B4C"/>
          <w:sz w:val="19"/>
        </w:rPr>
        <w:t xml:space="preserve">1.  </w:t>
      </w:r>
      <w:r>
        <w:rPr>
          <w:rFonts w:ascii="Calibri" w:hAnsi="Calibri"/>
          <w:b w:val="0"/>
          <w:i w:val="0"/>
          <w:color w:val="334E68"/>
          <w:sz w:val="19"/>
        </w:rPr>
        <w:t>Complete the training and review the documentation.</w:t>
      </w:r>
    </w:p>
    <w:p>
      <w:pPr>
        <w:spacing w:after="40"/>
        <w:ind w:left="578" w:hanging="227"/>
      </w:pPr>
      <w:r>
        <w:rPr>
          <w:rFonts w:ascii="Calibri" w:hAnsi="Calibri"/>
          <w:b/>
          <w:color w:val="0F2B4C"/>
          <w:sz w:val="19"/>
        </w:rPr>
        <w:t xml:space="preserve">2.  </w:t>
      </w:r>
      <w:r>
        <w:rPr>
          <w:rFonts w:ascii="Calibri" w:hAnsi="Calibri"/>
          <w:b w:val="0"/>
          <w:i w:val="0"/>
          <w:color w:val="334E68"/>
          <w:sz w:val="19"/>
        </w:rPr>
        <w:t>Clear technical doubts before taking ownership — an unasked question becomes a cutover incident.</w:t>
      </w:r>
    </w:p>
    <w:p>
      <w:pPr>
        <w:spacing w:after="40"/>
        <w:ind w:left="578" w:hanging="227"/>
      </w:pPr>
      <w:r>
        <w:rPr>
          <w:rFonts w:ascii="Calibri" w:hAnsi="Calibri"/>
          <w:b/>
          <w:color w:val="0F2B4C"/>
          <w:sz w:val="19"/>
        </w:rPr>
        <w:t xml:space="preserve">3.  </w:t>
      </w:r>
      <w:r>
        <w:rPr>
          <w:rFonts w:ascii="Calibri" w:hAnsi="Calibri"/>
          <w:b w:val="0"/>
          <w:i w:val="0"/>
          <w:color w:val="334E68"/>
          <w:sz w:val="19"/>
        </w:rPr>
        <w:t>Assign individual SIDs/systems to owners.</w:t>
      </w:r>
    </w:p>
    <w:p>
      <w:pPr>
        <w:spacing w:after="40"/>
        <w:ind w:left="578" w:hanging="227"/>
      </w:pPr>
      <w:r>
        <w:rPr>
          <w:rFonts w:ascii="Calibri" w:hAnsi="Calibri"/>
          <w:b/>
          <w:color w:val="0F2B4C"/>
          <w:sz w:val="19"/>
        </w:rPr>
        <w:t xml:space="preserve">4.  </w:t>
      </w:r>
      <w:r>
        <w:rPr>
          <w:rFonts w:ascii="Calibri" w:hAnsi="Calibri"/>
          <w:b w:val="0"/>
          <w:i w:val="0"/>
          <w:color w:val="334E68"/>
          <w:sz w:val="19"/>
        </w:rPr>
        <w:t>Assign a guide/support person for each owner.</w:t>
      </w:r>
    </w:p>
    <w:p>
      <w:pPr>
        <w:spacing w:after="40"/>
        <w:ind w:left="578" w:hanging="227"/>
      </w:pPr>
      <w:r>
        <w:rPr>
          <w:rFonts w:ascii="Calibri" w:hAnsi="Calibri"/>
          <w:b/>
          <w:color w:val="0F2B4C"/>
          <w:sz w:val="19"/>
        </w:rPr>
        <w:t xml:space="preserve">5.  </w:t>
      </w:r>
      <w:r>
        <w:rPr>
          <w:rFonts w:ascii="Calibri" w:hAnsi="Calibri"/>
          <w:b w:val="0"/>
          <w:i w:val="0"/>
          <w:color w:val="334E68"/>
          <w:sz w:val="19"/>
        </w:rPr>
        <w:t>The assigned owner remains accountable for the system.</w:t>
      </w:r>
    </w:p>
    <w:p>
      <w:pPr>
        <w:spacing w:after="40"/>
        <w:ind w:left="578" w:hanging="227"/>
      </w:pPr>
      <w:r>
        <w:rPr>
          <w:rFonts w:ascii="Calibri" w:hAnsi="Calibri"/>
          <w:b/>
          <w:color w:val="0F2B4C"/>
          <w:sz w:val="19"/>
        </w:rPr>
        <w:t xml:space="preserve">6.  </w:t>
      </w:r>
      <w:r>
        <w:rPr>
          <w:rFonts w:ascii="Calibri" w:hAnsi="Calibri"/>
          <w:b w:val="0"/>
          <w:i w:val="0"/>
          <w:color w:val="334E68"/>
          <w:sz w:val="19"/>
        </w:rPr>
        <w:t>Avoid multiple people independently modifying the same assigned system.</w:t>
      </w:r>
    </w:p>
    <w:p>
      <w:pPr>
        <w:spacing w:after="40"/>
        <w:ind w:left="578" w:hanging="227"/>
      </w:pPr>
      <w:r>
        <w:rPr>
          <w:rFonts w:ascii="Calibri" w:hAnsi="Calibri"/>
          <w:b/>
          <w:color w:val="0F2B4C"/>
          <w:sz w:val="19"/>
        </w:rPr>
        <w:t xml:space="preserve">7.  </w:t>
      </w:r>
      <w:r>
        <w:rPr>
          <w:rFonts w:ascii="Calibri" w:hAnsi="Calibri"/>
          <w:b w:val="0"/>
          <w:i w:val="0"/>
          <w:color w:val="334E68"/>
          <w:sz w:val="19"/>
        </w:rPr>
        <w:t>Consolidate the training documentation/MOM after completion.</w:t>
      </w:r>
    </w:p>
    <w:p>
      <w:pPr>
        <w:spacing w:after="40"/>
        <w:ind w:left="578" w:hanging="227"/>
      </w:pPr>
      <w:r>
        <w:rPr>
          <w:rFonts w:ascii="Calibri" w:hAnsi="Calibri"/>
          <w:b/>
          <w:color w:val="0F2B4C"/>
          <w:sz w:val="19"/>
        </w:rPr>
        <w:t xml:space="preserve">8.  </w:t>
      </w:r>
      <w:r>
        <w:rPr>
          <w:rFonts w:ascii="Calibri" w:hAnsi="Calibri"/>
          <w:b w:val="0"/>
          <w:i w:val="0"/>
          <w:color w:val="334E68"/>
          <w:sz w:val="19"/>
        </w:rPr>
        <w:t>Circulate the finalized material after confirmation/sign-off.</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OWNERSHIP PRINCIPLE</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One accountable owner per assigned system, with a defined guide/support path and controlled changes. Accountability does not mean doing everything alone — it means being the person who knows the state of the system and who authorises changes to it.</w:t>
      </w:r>
    </w:p>
    <w:p>
      <w:pPr>
        <w:pStyle w:val="Heading2"/>
        <w:pBdr>
          <w:bottom w:val="single" w:sz="6" w:space="3" w:color="E8EDF3"/>
        </w:pBdr>
      </w:pPr>
      <w:r>
        <w:rPr>
          <w:rFonts w:ascii="Calibri" w:hAnsi="Calibri"/>
          <w:b/>
          <w:color w:val="0F2B4C"/>
          <w:sz w:val="26"/>
        </w:rPr>
        <w:t>14.2  System ownership register</w:t>
      </w:r>
    </w:p>
    <w:p>
      <w:pPr>
        <w:spacing w:after="60" w:before="160"/>
        <w:keepNext/>
      </w:pPr>
      <w:r>
        <w:rPr>
          <w:rFonts w:ascii="Calibri" w:hAnsi="Calibri"/>
          <w:b/>
          <w:color w:val="5B7288"/>
          <w:sz w:val="15"/>
        </w:rPr>
        <w:t>OWNERSHIP REGISTER TEMPLATE</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964"/>
        <w:gridCol w:w="2506"/>
        <w:gridCol w:w="1735"/>
        <w:gridCol w:w="1735"/>
        <w:gridCol w:w="1542"/>
        <w:gridCol w:w="1157"/>
      </w:tblGrid>
      <w:tr>
        <w:trPr>
          <w:tblHeader/>
          <w:cantSplit/>
        </w:trPr>
        <w:tc>
          <w:tcPr>
            <w:tcW w:type="dxa" w:w="964"/>
            <w:shd w:val="clear" w:color="auto" w:fill="0F2B4C"/>
          </w:tcPr>
          <w:p>
            <w:pPr>
              <w:spacing w:after="20" w:before="20"/>
            </w:pPr>
            <w:r/>
            <w:r>
              <w:rPr>
                <w:rFonts w:ascii="Calibri" w:hAnsi="Calibri"/>
                <w:b/>
                <w:color w:val="FFFFFF"/>
                <w:sz w:val="17"/>
              </w:rPr>
              <w:t>SID</w:t>
            </w:r>
          </w:p>
        </w:tc>
        <w:tc>
          <w:tcPr>
            <w:tcW w:type="dxa" w:w="2506"/>
            <w:shd w:val="clear" w:color="auto" w:fill="0F2B4C"/>
          </w:tcPr>
          <w:p>
            <w:pPr>
              <w:spacing w:after="20" w:before="20"/>
            </w:pPr>
            <w:r/>
            <w:r>
              <w:rPr>
                <w:rFonts w:ascii="Calibri" w:hAnsi="Calibri"/>
                <w:b/>
                <w:color w:val="FFFFFF"/>
                <w:sz w:val="17"/>
              </w:rPr>
              <w:t>System / description</w:t>
            </w:r>
          </w:p>
        </w:tc>
        <w:tc>
          <w:tcPr>
            <w:tcW w:type="dxa" w:w="1735"/>
            <w:shd w:val="clear" w:color="auto" w:fill="0F2B4C"/>
          </w:tcPr>
          <w:p>
            <w:pPr>
              <w:spacing w:after="20" w:before="20"/>
            </w:pPr>
            <w:r/>
            <w:r>
              <w:rPr>
                <w:rFonts w:ascii="Calibri" w:hAnsi="Calibri"/>
                <w:b/>
                <w:color w:val="FFFFFF"/>
                <w:sz w:val="17"/>
              </w:rPr>
              <w:t>Owner (accountable)</w:t>
            </w:r>
          </w:p>
        </w:tc>
        <w:tc>
          <w:tcPr>
            <w:tcW w:type="dxa" w:w="1735"/>
            <w:shd w:val="clear" w:color="auto" w:fill="0F2B4C"/>
          </w:tcPr>
          <w:p>
            <w:pPr>
              <w:spacing w:after="20" w:before="20"/>
            </w:pPr>
            <w:r/>
            <w:r>
              <w:rPr>
                <w:rFonts w:ascii="Calibri" w:hAnsi="Calibri"/>
                <w:b/>
                <w:color w:val="FFFFFF"/>
                <w:sz w:val="17"/>
              </w:rPr>
              <w:t>Guide / support</w:t>
            </w:r>
          </w:p>
        </w:tc>
        <w:tc>
          <w:tcPr>
            <w:tcW w:type="dxa" w:w="1542"/>
            <w:shd w:val="clear" w:color="auto" w:fill="0F2B4C"/>
          </w:tcPr>
          <w:p>
            <w:pPr>
              <w:spacing w:after="20" w:before="20"/>
            </w:pPr>
            <w:r/>
            <w:r>
              <w:rPr>
                <w:rFonts w:ascii="Calibri" w:hAnsi="Calibri"/>
                <w:b/>
                <w:color w:val="FFFFFF"/>
                <w:sz w:val="17"/>
              </w:rPr>
              <w:t>Backup owner</w:t>
            </w:r>
          </w:p>
        </w:tc>
        <w:tc>
          <w:tcPr>
            <w:tcW w:type="dxa" w:w="1157"/>
            <w:shd w:val="clear" w:color="auto" w:fill="0F2B4C"/>
          </w:tcPr>
          <w:p>
            <w:pPr>
              <w:spacing w:after="20" w:before="20"/>
            </w:pPr>
            <w:r/>
            <w:r>
              <w:rPr>
                <w:rFonts w:ascii="Calibri" w:hAnsi="Calibri"/>
                <w:b/>
                <w:color w:val="FFFFFF"/>
                <w:sz w:val="17"/>
              </w:rPr>
              <w:t>Status</w:t>
            </w:r>
          </w:p>
        </w:tc>
      </w:tr>
      <w:tr>
        <w:trPr>
          <w:cantSplit/>
        </w:trPr>
        <w:tc>
          <w:tcPr>
            <w:tcW w:type="dxa" w:w="964"/>
          </w:tcPr>
          <w:p>
            <w:pPr>
              <w:spacing w:after="20" w:before="20"/>
            </w:pPr>
            <w:r/>
          </w:p>
        </w:tc>
        <w:tc>
          <w:tcPr>
            <w:tcW w:type="dxa" w:w="2506"/>
          </w:tcPr>
          <w:p>
            <w:pPr>
              <w:spacing w:after="20" w:before="20"/>
            </w:pPr>
            <w:r/>
          </w:p>
        </w:tc>
        <w:tc>
          <w:tcPr>
            <w:tcW w:type="dxa" w:w="1735"/>
          </w:tcPr>
          <w:p>
            <w:pPr>
              <w:spacing w:after="20" w:before="20"/>
            </w:pPr>
            <w:r/>
          </w:p>
        </w:tc>
        <w:tc>
          <w:tcPr>
            <w:tcW w:type="dxa" w:w="1735"/>
          </w:tcPr>
          <w:p>
            <w:pPr>
              <w:spacing w:after="20" w:before="20"/>
            </w:pPr>
            <w:r/>
          </w:p>
        </w:tc>
        <w:tc>
          <w:tcPr>
            <w:tcW w:type="dxa" w:w="1542"/>
          </w:tcPr>
          <w:p>
            <w:pPr>
              <w:spacing w:after="20" w:before="20"/>
            </w:pPr>
            <w:r/>
          </w:p>
        </w:tc>
        <w:tc>
          <w:tcPr>
            <w:tcW w:type="dxa" w:w="1157"/>
          </w:tcPr>
          <w:p>
            <w:pPr>
              <w:spacing w:after="20" w:before="20"/>
            </w:pPr>
            <w:r/>
          </w:p>
        </w:tc>
      </w:tr>
      <w:tr>
        <w:trPr>
          <w:cantSplit/>
        </w:trPr>
        <w:tc>
          <w:tcPr>
            <w:tcW w:type="dxa" w:w="964"/>
            <w:shd w:val="clear" w:color="auto" w:fill="FAFBFD"/>
          </w:tcPr>
          <w:p>
            <w:pPr>
              <w:spacing w:after="20" w:before="20"/>
            </w:pPr>
            <w:r/>
          </w:p>
        </w:tc>
        <w:tc>
          <w:tcPr>
            <w:tcW w:type="dxa" w:w="2506"/>
            <w:shd w:val="clear" w:color="auto" w:fill="FAFBFD"/>
          </w:tcPr>
          <w:p>
            <w:pPr>
              <w:spacing w:after="20" w:before="20"/>
            </w:pPr>
            <w:r/>
          </w:p>
        </w:tc>
        <w:tc>
          <w:tcPr>
            <w:tcW w:type="dxa" w:w="1735"/>
            <w:shd w:val="clear" w:color="auto" w:fill="FAFBFD"/>
          </w:tcPr>
          <w:p>
            <w:pPr>
              <w:spacing w:after="20" w:before="20"/>
            </w:pPr>
            <w:r/>
          </w:p>
        </w:tc>
        <w:tc>
          <w:tcPr>
            <w:tcW w:type="dxa" w:w="1735"/>
            <w:shd w:val="clear" w:color="auto" w:fill="FAFBFD"/>
          </w:tcPr>
          <w:p>
            <w:pPr>
              <w:spacing w:after="20" w:before="20"/>
            </w:pPr>
            <w:r/>
          </w:p>
        </w:tc>
        <w:tc>
          <w:tcPr>
            <w:tcW w:type="dxa" w:w="1542"/>
            <w:shd w:val="clear" w:color="auto" w:fill="FAFBFD"/>
          </w:tcPr>
          <w:p>
            <w:pPr>
              <w:spacing w:after="20" w:before="20"/>
            </w:pPr>
            <w:r/>
          </w:p>
        </w:tc>
        <w:tc>
          <w:tcPr>
            <w:tcW w:type="dxa" w:w="1157"/>
            <w:shd w:val="clear" w:color="auto" w:fill="FAFBFD"/>
          </w:tcPr>
          <w:p>
            <w:pPr>
              <w:spacing w:after="20" w:before="20"/>
            </w:pPr>
            <w:r/>
          </w:p>
        </w:tc>
      </w:tr>
      <w:tr>
        <w:trPr>
          <w:cantSplit/>
        </w:trPr>
        <w:tc>
          <w:tcPr>
            <w:tcW w:type="dxa" w:w="964"/>
          </w:tcPr>
          <w:p>
            <w:pPr>
              <w:spacing w:after="20" w:before="20"/>
            </w:pPr>
            <w:r/>
          </w:p>
        </w:tc>
        <w:tc>
          <w:tcPr>
            <w:tcW w:type="dxa" w:w="2506"/>
          </w:tcPr>
          <w:p>
            <w:pPr>
              <w:spacing w:after="20" w:before="20"/>
            </w:pPr>
            <w:r/>
          </w:p>
        </w:tc>
        <w:tc>
          <w:tcPr>
            <w:tcW w:type="dxa" w:w="1735"/>
          </w:tcPr>
          <w:p>
            <w:pPr>
              <w:spacing w:after="20" w:before="20"/>
            </w:pPr>
            <w:r/>
          </w:p>
        </w:tc>
        <w:tc>
          <w:tcPr>
            <w:tcW w:type="dxa" w:w="1735"/>
          </w:tcPr>
          <w:p>
            <w:pPr>
              <w:spacing w:after="20" w:before="20"/>
            </w:pPr>
            <w:r/>
          </w:p>
        </w:tc>
        <w:tc>
          <w:tcPr>
            <w:tcW w:type="dxa" w:w="1542"/>
          </w:tcPr>
          <w:p>
            <w:pPr>
              <w:spacing w:after="20" w:before="20"/>
            </w:pPr>
            <w:r/>
          </w:p>
        </w:tc>
        <w:tc>
          <w:tcPr>
            <w:tcW w:type="dxa" w:w="1157"/>
          </w:tcPr>
          <w:p>
            <w:pPr>
              <w:spacing w:after="20" w:before="20"/>
            </w:pPr>
            <w:r/>
          </w:p>
        </w:tc>
      </w:tr>
      <w:tr>
        <w:trPr>
          <w:cantSplit/>
        </w:trPr>
        <w:tc>
          <w:tcPr>
            <w:tcW w:type="dxa" w:w="964"/>
            <w:shd w:val="clear" w:color="auto" w:fill="FAFBFD"/>
          </w:tcPr>
          <w:p>
            <w:pPr>
              <w:spacing w:after="20" w:before="20"/>
            </w:pPr>
            <w:r/>
          </w:p>
        </w:tc>
        <w:tc>
          <w:tcPr>
            <w:tcW w:type="dxa" w:w="2506"/>
            <w:shd w:val="clear" w:color="auto" w:fill="FAFBFD"/>
          </w:tcPr>
          <w:p>
            <w:pPr>
              <w:spacing w:after="20" w:before="20"/>
            </w:pPr>
            <w:r/>
          </w:p>
        </w:tc>
        <w:tc>
          <w:tcPr>
            <w:tcW w:type="dxa" w:w="1735"/>
            <w:shd w:val="clear" w:color="auto" w:fill="FAFBFD"/>
          </w:tcPr>
          <w:p>
            <w:pPr>
              <w:spacing w:after="20" w:before="20"/>
            </w:pPr>
            <w:r/>
          </w:p>
        </w:tc>
        <w:tc>
          <w:tcPr>
            <w:tcW w:type="dxa" w:w="1735"/>
            <w:shd w:val="clear" w:color="auto" w:fill="FAFBFD"/>
          </w:tcPr>
          <w:p>
            <w:pPr>
              <w:spacing w:after="20" w:before="20"/>
            </w:pPr>
            <w:r/>
          </w:p>
        </w:tc>
        <w:tc>
          <w:tcPr>
            <w:tcW w:type="dxa" w:w="1542"/>
            <w:shd w:val="clear" w:color="auto" w:fill="FAFBFD"/>
          </w:tcPr>
          <w:p>
            <w:pPr>
              <w:spacing w:after="20" w:before="20"/>
            </w:pPr>
            <w:r/>
          </w:p>
        </w:tc>
        <w:tc>
          <w:tcPr>
            <w:tcW w:type="dxa" w:w="1157"/>
            <w:shd w:val="clear" w:color="auto" w:fill="FAFBFD"/>
          </w:tcPr>
          <w:p>
            <w:pPr>
              <w:spacing w:after="20" w:before="20"/>
            </w:pPr>
            <w:r/>
          </w:p>
        </w:tc>
      </w:tr>
      <w:tr>
        <w:trPr>
          <w:cantSplit/>
        </w:trPr>
        <w:tc>
          <w:tcPr>
            <w:tcW w:type="dxa" w:w="964"/>
          </w:tcPr>
          <w:p>
            <w:pPr>
              <w:spacing w:after="20" w:before="20"/>
            </w:pPr>
            <w:r/>
          </w:p>
        </w:tc>
        <w:tc>
          <w:tcPr>
            <w:tcW w:type="dxa" w:w="2506"/>
          </w:tcPr>
          <w:p>
            <w:pPr>
              <w:spacing w:after="20" w:before="20"/>
            </w:pPr>
            <w:r/>
          </w:p>
        </w:tc>
        <w:tc>
          <w:tcPr>
            <w:tcW w:type="dxa" w:w="1735"/>
          </w:tcPr>
          <w:p>
            <w:pPr>
              <w:spacing w:after="20" w:before="20"/>
            </w:pPr>
            <w:r/>
          </w:p>
        </w:tc>
        <w:tc>
          <w:tcPr>
            <w:tcW w:type="dxa" w:w="1735"/>
          </w:tcPr>
          <w:p>
            <w:pPr>
              <w:spacing w:after="20" w:before="20"/>
            </w:pPr>
            <w:r/>
          </w:p>
        </w:tc>
        <w:tc>
          <w:tcPr>
            <w:tcW w:type="dxa" w:w="1542"/>
          </w:tcPr>
          <w:p>
            <w:pPr>
              <w:spacing w:after="20" w:before="20"/>
            </w:pPr>
            <w:r/>
          </w:p>
        </w:tc>
        <w:tc>
          <w:tcPr>
            <w:tcW w:type="dxa" w:w="1157"/>
          </w:tcPr>
          <w:p>
            <w:pPr>
              <w:spacing w:after="20" w:before="20"/>
            </w:pPr>
            <w:r/>
          </w:p>
        </w:tc>
      </w:tr>
      <w:tr>
        <w:trPr>
          <w:cantSplit/>
        </w:trPr>
        <w:tc>
          <w:tcPr>
            <w:tcW w:type="dxa" w:w="964"/>
            <w:shd w:val="clear" w:color="auto" w:fill="FAFBFD"/>
          </w:tcPr>
          <w:p>
            <w:pPr>
              <w:spacing w:after="20" w:before="20"/>
            </w:pPr>
            <w:r/>
          </w:p>
        </w:tc>
        <w:tc>
          <w:tcPr>
            <w:tcW w:type="dxa" w:w="2506"/>
            <w:shd w:val="clear" w:color="auto" w:fill="FAFBFD"/>
          </w:tcPr>
          <w:p>
            <w:pPr>
              <w:spacing w:after="20" w:before="20"/>
            </w:pPr>
            <w:r/>
          </w:p>
        </w:tc>
        <w:tc>
          <w:tcPr>
            <w:tcW w:type="dxa" w:w="1735"/>
            <w:shd w:val="clear" w:color="auto" w:fill="FAFBFD"/>
          </w:tcPr>
          <w:p>
            <w:pPr>
              <w:spacing w:after="20" w:before="20"/>
            </w:pPr>
            <w:r/>
          </w:p>
        </w:tc>
        <w:tc>
          <w:tcPr>
            <w:tcW w:type="dxa" w:w="1735"/>
            <w:shd w:val="clear" w:color="auto" w:fill="FAFBFD"/>
          </w:tcPr>
          <w:p>
            <w:pPr>
              <w:spacing w:after="20" w:before="20"/>
            </w:pPr>
            <w:r/>
          </w:p>
        </w:tc>
        <w:tc>
          <w:tcPr>
            <w:tcW w:type="dxa" w:w="1542"/>
            <w:shd w:val="clear" w:color="auto" w:fill="FAFBFD"/>
          </w:tcPr>
          <w:p>
            <w:pPr>
              <w:spacing w:after="20" w:before="20"/>
            </w:pPr>
            <w:r/>
          </w:p>
        </w:tc>
        <w:tc>
          <w:tcPr>
            <w:tcW w:type="dxa" w:w="1157"/>
            <w:shd w:val="clear" w:color="auto" w:fill="FAFBFD"/>
          </w:tcPr>
          <w:p>
            <w:pPr>
              <w:spacing w:after="20" w:before="20"/>
            </w:pPr>
            <w:r/>
          </w:p>
        </w:tc>
      </w:tr>
    </w:tbl>
    <w:p>
      <w:pPr>
        <w:spacing w:after="40"/>
      </w:pPr>
    </w:p>
    <w:p>
      <w:pPr>
        <w:pStyle w:val="Heading2"/>
        <w:pBdr>
          <w:bottom w:val="single" w:sz="6" w:space="3" w:color="E8EDF3"/>
        </w:pBdr>
      </w:pPr>
      <w:r>
        <w:rPr>
          <w:rFonts w:ascii="Calibri" w:hAnsi="Calibri"/>
          <w:b/>
          <w:color w:val="0F2B4C"/>
          <w:sz w:val="26"/>
        </w:rPr>
        <w:t>14.3  Typical collaboration model</w:t>
      </w:r>
    </w:p>
    <w:p>
      <w:pPr>
        <w:spacing w:after="60" w:before="160"/>
        <w:keepNext/>
      </w:pPr>
      <w:r>
        <w:rPr>
          <w:rFonts w:ascii="Calibri" w:hAnsi="Calibri"/>
          <w:b/>
          <w:color w:val="5B7288"/>
          <w:sz w:val="15"/>
        </w:rPr>
        <w:t>COLLABORATION MODEL</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1928"/>
        <w:gridCol w:w="4241"/>
        <w:gridCol w:w="3470"/>
      </w:tblGrid>
      <w:tr>
        <w:trPr>
          <w:tblHeader/>
          <w:cantSplit/>
        </w:trPr>
        <w:tc>
          <w:tcPr>
            <w:tcW w:type="dxa" w:w="1928"/>
            <w:shd w:val="clear" w:color="auto" w:fill="0F2B4C"/>
          </w:tcPr>
          <w:p>
            <w:pPr>
              <w:spacing w:after="20" w:before="20"/>
            </w:pPr>
            <w:r/>
            <w:r>
              <w:rPr>
                <w:rFonts w:ascii="Calibri" w:hAnsi="Calibri"/>
                <w:b/>
                <w:color w:val="FFFFFF"/>
                <w:sz w:val="17"/>
              </w:rPr>
              <w:t>Team</w:t>
            </w:r>
          </w:p>
        </w:tc>
        <w:tc>
          <w:tcPr>
            <w:tcW w:type="dxa" w:w="4241"/>
            <w:shd w:val="clear" w:color="auto" w:fill="0F2B4C"/>
          </w:tcPr>
          <w:p>
            <w:pPr>
              <w:spacing w:after="20" w:before="20"/>
            </w:pPr>
            <w:r/>
            <w:r>
              <w:rPr>
                <w:rFonts w:ascii="Calibri" w:hAnsi="Calibri"/>
                <w:b/>
                <w:color w:val="FFFFFF"/>
                <w:sz w:val="17"/>
              </w:rPr>
              <w:t>Owns</w:t>
            </w:r>
          </w:p>
        </w:tc>
        <w:tc>
          <w:tcPr>
            <w:tcW w:type="dxa" w:w="3470"/>
            <w:shd w:val="clear" w:color="auto" w:fill="0F2B4C"/>
          </w:tcPr>
          <w:p>
            <w:pPr>
              <w:spacing w:after="20" w:before="20"/>
            </w:pPr>
            <w:r/>
            <w:r>
              <w:rPr>
                <w:rFonts w:ascii="Calibri" w:hAnsi="Calibri"/>
                <w:b/>
                <w:color w:val="FFFFFF"/>
                <w:sz w:val="17"/>
              </w:rPr>
              <w:t>Consulted on</w:t>
            </w:r>
          </w:p>
        </w:tc>
      </w:tr>
      <w:tr>
        <w:trPr>
          <w:cantSplit/>
        </w:trPr>
        <w:tc>
          <w:tcPr>
            <w:tcW w:type="dxa" w:w="1928"/>
          </w:tcPr>
          <w:p>
            <w:pPr>
              <w:spacing w:after="20" w:before="20"/>
            </w:pPr>
            <w:r/>
            <w:r>
              <w:rPr>
                <w:rFonts w:ascii="Calibri" w:hAnsi="Calibri"/>
                <w:b/>
                <w:i w:val="0"/>
                <w:color w:val="334E68"/>
                <w:sz w:val="17"/>
              </w:rPr>
              <w:t>Basis / migration</w:t>
            </w:r>
          </w:p>
        </w:tc>
        <w:tc>
          <w:tcPr>
            <w:tcW w:type="dxa" w:w="4241"/>
          </w:tcPr>
          <w:p>
            <w:pPr>
              <w:spacing w:after="20" w:before="20"/>
            </w:pPr>
            <w:r/>
            <w:r>
              <w:rPr>
                <w:rFonts w:ascii="Calibri" w:hAnsi="Calibri"/>
                <w:b w:val="0"/>
                <w:i w:val="0"/>
                <w:color w:val="334E68"/>
                <w:sz w:val="17"/>
              </w:rPr>
              <w:t>SAP validation, migration coordination and technical handover</w:t>
            </w:r>
          </w:p>
        </w:tc>
        <w:tc>
          <w:tcPr>
            <w:tcW w:type="dxa" w:w="3470"/>
          </w:tcPr>
          <w:p>
            <w:pPr>
              <w:spacing w:after="20" w:before="20"/>
            </w:pPr>
            <w:r/>
            <w:r>
              <w:rPr>
                <w:rFonts w:ascii="Calibri" w:hAnsi="Calibri"/>
                <w:b w:val="0"/>
                <w:i w:val="0"/>
                <w:color w:val="334E68"/>
                <w:sz w:val="17"/>
              </w:rPr>
              <w:t>Everything SAP-side; chairs the technical bridge</w:t>
            </w:r>
          </w:p>
        </w:tc>
      </w:tr>
      <w:tr>
        <w:trPr>
          <w:cantSplit/>
        </w:trPr>
        <w:tc>
          <w:tcPr>
            <w:tcW w:type="dxa" w:w="1928"/>
            <w:shd w:val="clear" w:color="auto" w:fill="FAFBFD"/>
          </w:tcPr>
          <w:p>
            <w:pPr>
              <w:spacing w:after="20" w:before="20"/>
            </w:pPr>
            <w:r/>
            <w:r>
              <w:rPr>
                <w:rFonts w:ascii="Calibri" w:hAnsi="Calibri"/>
                <w:b/>
                <w:i w:val="0"/>
                <w:color w:val="334E68"/>
                <w:sz w:val="17"/>
              </w:rPr>
              <w:t>DBA</w:t>
            </w:r>
          </w:p>
        </w:tc>
        <w:tc>
          <w:tcPr>
            <w:tcW w:type="dxa" w:w="4241"/>
            <w:shd w:val="clear" w:color="auto" w:fill="FAFBFD"/>
          </w:tcPr>
          <w:p>
            <w:pPr>
              <w:spacing w:after="20" w:before="20"/>
            </w:pPr>
            <w:r/>
            <w:r>
              <w:rPr>
                <w:rFonts w:ascii="Calibri" w:hAnsi="Calibri"/>
                <w:b w:val="0"/>
                <w:i w:val="0"/>
                <w:color w:val="334E68"/>
                <w:sz w:val="17"/>
              </w:rPr>
              <w:t>Database migration, synchronization, backup/recovery and database validation</w:t>
            </w:r>
          </w:p>
        </w:tc>
        <w:tc>
          <w:tcPr>
            <w:tcW w:type="dxa" w:w="3470"/>
            <w:shd w:val="clear" w:color="auto" w:fill="FAFBFD"/>
          </w:tcPr>
          <w:p>
            <w:pPr>
              <w:spacing w:after="20" w:before="20"/>
            </w:pPr>
            <w:r/>
            <w:r>
              <w:rPr>
                <w:rFonts w:ascii="Calibri" w:hAnsi="Calibri"/>
                <w:b w:val="0"/>
                <w:i w:val="0"/>
                <w:color w:val="334E68"/>
                <w:sz w:val="17"/>
              </w:rPr>
              <w:t>Storage sizing, snapshot strategy, DB parameters</w:t>
            </w:r>
          </w:p>
        </w:tc>
      </w:tr>
      <w:tr>
        <w:trPr>
          <w:cantSplit/>
        </w:trPr>
        <w:tc>
          <w:tcPr>
            <w:tcW w:type="dxa" w:w="1928"/>
          </w:tcPr>
          <w:p>
            <w:pPr>
              <w:spacing w:after="20" w:before="20"/>
            </w:pPr>
            <w:r/>
            <w:r>
              <w:rPr>
                <w:rFonts w:ascii="Calibri" w:hAnsi="Calibri"/>
                <w:b/>
                <w:i w:val="0"/>
                <w:color w:val="334E68"/>
                <w:sz w:val="17"/>
              </w:rPr>
              <w:t>Linux</w:t>
            </w:r>
          </w:p>
        </w:tc>
        <w:tc>
          <w:tcPr>
            <w:tcW w:type="dxa" w:w="4241"/>
          </w:tcPr>
          <w:p>
            <w:pPr>
              <w:spacing w:after="20" w:before="20"/>
            </w:pPr>
            <w:r/>
            <w:r>
              <w:rPr>
                <w:rFonts w:ascii="Calibri" w:hAnsi="Calibri"/>
                <w:b w:val="0"/>
                <w:i w:val="0"/>
                <w:color w:val="334E68"/>
                <w:sz w:val="17"/>
              </w:rPr>
              <w:t>OS configuration, services, file systems, UID/GID and reboot coordination</w:t>
            </w:r>
          </w:p>
        </w:tc>
        <w:tc>
          <w:tcPr>
            <w:tcW w:type="dxa" w:w="3470"/>
          </w:tcPr>
          <w:p>
            <w:pPr>
              <w:spacing w:after="20" w:before="20"/>
            </w:pPr>
            <w:r/>
            <w:r>
              <w:rPr>
                <w:rFonts w:ascii="Calibri" w:hAnsi="Calibri"/>
                <w:b w:val="0"/>
                <w:i w:val="0"/>
                <w:color w:val="334E68"/>
                <w:sz w:val="17"/>
              </w:rPr>
              <w:t>Auto-start design, kernel tuning, reboot sequencing</w:t>
            </w:r>
          </w:p>
        </w:tc>
      </w:tr>
      <w:tr>
        <w:trPr>
          <w:cantSplit/>
        </w:trPr>
        <w:tc>
          <w:tcPr>
            <w:tcW w:type="dxa" w:w="1928"/>
            <w:shd w:val="clear" w:color="auto" w:fill="FAFBFD"/>
          </w:tcPr>
          <w:p>
            <w:pPr>
              <w:spacing w:after="20" w:before="20"/>
            </w:pPr>
            <w:r/>
            <w:r>
              <w:rPr>
                <w:rFonts w:ascii="Calibri" w:hAnsi="Calibri"/>
                <w:b/>
                <w:i w:val="0"/>
                <w:color w:val="334E68"/>
                <w:sz w:val="17"/>
              </w:rPr>
              <w:t>Network / IPAM / DNS</w:t>
            </w:r>
          </w:p>
        </w:tc>
        <w:tc>
          <w:tcPr>
            <w:tcW w:type="dxa" w:w="4241"/>
            <w:shd w:val="clear" w:color="auto" w:fill="FAFBFD"/>
          </w:tcPr>
          <w:p>
            <w:pPr>
              <w:spacing w:after="20" w:before="20"/>
            </w:pPr>
            <w:r/>
            <w:r>
              <w:rPr>
                <w:rFonts w:ascii="Calibri" w:hAnsi="Calibri"/>
                <w:b w:val="0"/>
                <w:i w:val="0"/>
                <w:color w:val="334E68"/>
                <w:sz w:val="17"/>
              </w:rPr>
              <w:t>IP changes, hostname resolution, CNAME and connectivity</w:t>
            </w:r>
          </w:p>
        </w:tc>
        <w:tc>
          <w:tcPr>
            <w:tcW w:type="dxa" w:w="3470"/>
            <w:shd w:val="clear" w:color="auto" w:fill="FAFBFD"/>
          </w:tcPr>
          <w:p>
            <w:pPr>
              <w:spacing w:after="20" w:before="20"/>
            </w:pPr>
            <w:r/>
            <w:r>
              <w:rPr>
                <w:rFonts w:ascii="Calibri" w:hAnsi="Calibri"/>
                <w:b w:val="0"/>
                <w:i w:val="0"/>
                <w:color w:val="334E68"/>
                <w:sz w:val="17"/>
              </w:rPr>
              <w:t>TTL reduction, resolver design, firewall and security groups</w:t>
            </w:r>
          </w:p>
        </w:tc>
      </w:tr>
      <w:tr>
        <w:trPr>
          <w:cantSplit/>
        </w:trPr>
        <w:tc>
          <w:tcPr>
            <w:tcW w:type="dxa" w:w="1928"/>
          </w:tcPr>
          <w:p>
            <w:pPr>
              <w:spacing w:after="20" w:before="20"/>
            </w:pPr>
            <w:r/>
            <w:r>
              <w:rPr>
                <w:rFonts w:ascii="Calibri" w:hAnsi="Calibri"/>
                <w:b/>
                <w:i w:val="0"/>
                <w:color w:val="334E68"/>
                <w:sz w:val="17"/>
              </w:rPr>
              <w:t>Application / functional</w:t>
            </w:r>
          </w:p>
        </w:tc>
        <w:tc>
          <w:tcPr>
            <w:tcW w:type="dxa" w:w="4241"/>
          </w:tcPr>
          <w:p>
            <w:pPr>
              <w:spacing w:after="20" w:before="20"/>
            </w:pPr>
            <w:r/>
            <w:r>
              <w:rPr>
                <w:rFonts w:ascii="Calibri" w:hAnsi="Calibri"/>
                <w:b w:val="0"/>
                <w:i w:val="0"/>
                <w:color w:val="334E68"/>
                <w:sz w:val="17"/>
              </w:rPr>
              <w:t>Business transactions and application validation</w:t>
            </w:r>
          </w:p>
        </w:tc>
        <w:tc>
          <w:tcPr>
            <w:tcW w:type="dxa" w:w="3470"/>
          </w:tcPr>
          <w:p>
            <w:pPr>
              <w:spacing w:after="20" w:before="20"/>
            </w:pPr>
            <w:r/>
            <w:r>
              <w:rPr>
                <w:rFonts w:ascii="Calibri" w:hAnsi="Calibri"/>
                <w:b w:val="0"/>
                <w:i w:val="0"/>
                <w:color w:val="334E68"/>
                <w:sz w:val="17"/>
              </w:rPr>
              <w:t>Test scripts, data readiness, user communication</w:t>
            </w:r>
          </w:p>
        </w:tc>
      </w:tr>
      <w:tr>
        <w:trPr>
          <w:cantSplit/>
        </w:trPr>
        <w:tc>
          <w:tcPr>
            <w:tcW w:type="dxa" w:w="1928"/>
            <w:shd w:val="clear" w:color="auto" w:fill="FAFBFD"/>
          </w:tcPr>
          <w:p>
            <w:pPr>
              <w:spacing w:after="20" w:before="20"/>
            </w:pPr>
            <w:r/>
            <w:r>
              <w:rPr>
                <w:rFonts w:ascii="Calibri" w:hAnsi="Calibri"/>
                <w:b/>
                <w:i w:val="0"/>
                <w:color w:val="334E68"/>
                <w:sz w:val="17"/>
              </w:rPr>
              <w:t>Automation / cloud</w:t>
            </w:r>
          </w:p>
        </w:tc>
        <w:tc>
          <w:tcPr>
            <w:tcW w:type="dxa" w:w="4241"/>
            <w:shd w:val="clear" w:color="auto" w:fill="FAFBFD"/>
          </w:tcPr>
          <w:p>
            <w:pPr>
              <w:spacing w:after="20" w:before="20"/>
            </w:pPr>
            <w:r/>
            <w:r>
              <w:rPr>
                <w:rFonts w:ascii="Calibri" w:hAnsi="Calibri"/>
                <w:b w:val="0"/>
                <w:i w:val="0"/>
                <w:color w:val="334E68"/>
                <w:sz w:val="17"/>
              </w:rPr>
              <w:t>AWS infrastructure provisioning and configuration automation</w:t>
            </w:r>
          </w:p>
        </w:tc>
        <w:tc>
          <w:tcPr>
            <w:tcW w:type="dxa" w:w="3470"/>
            <w:shd w:val="clear" w:color="auto" w:fill="FAFBFD"/>
          </w:tcPr>
          <w:p>
            <w:pPr>
              <w:spacing w:after="20" w:before="20"/>
            </w:pPr>
            <w:r/>
            <w:r>
              <w:rPr>
                <w:rFonts w:ascii="Calibri" w:hAnsi="Calibri"/>
                <w:b w:val="0"/>
                <w:i w:val="0"/>
                <w:color w:val="334E68"/>
                <w:sz w:val="17"/>
              </w:rPr>
              <w:t>Build-sheet feasibility, tagging, CMDB automation</w:t>
            </w:r>
          </w:p>
        </w:tc>
      </w:tr>
      <w:tr>
        <w:trPr>
          <w:cantSplit/>
        </w:trPr>
        <w:tc>
          <w:tcPr>
            <w:tcW w:type="dxa" w:w="1928"/>
          </w:tcPr>
          <w:p>
            <w:pPr>
              <w:spacing w:after="20" w:before="20"/>
            </w:pPr>
            <w:r/>
            <w:r>
              <w:rPr>
                <w:rFonts w:ascii="Calibri" w:hAnsi="Calibri"/>
                <w:b/>
                <w:i w:val="0"/>
                <w:color w:val="334E68"/>
                <w:sz w:val="17"/>
              </w:rPr>
              <w:t>Security / AD</w:t>
            </w:r>
          </w:p>
        </w:tc>
        <w:tc>
          <w:tcPr>
            <w:tcW w:type="dxa" w:w="4241"/>
          </w:tcPr>
          <w:p>
            <w:pPr>
              <w:spacing w:after="20" w:before="20"/>
            </w:pPr>
            <w:r/>
            <w:r>
              <w:rPr>
                <w:rFonts w:ascii="Calibri" w:hAnsi="Calibri"/>
                <w:b w:val="0"/>
                <w:i w:val="0"/>
                <w:color w:val="334E68"/>
                <w:sz w:val="17"/>
              </w:rPr>
              <w:t>Credentials, SSO/SNC/certificates and security dependencies</w:t>
            </w:r>
          </w:p>
        </w:tc>
        <w:tc>
          <w:tcPr>
            <w:tcW w:type="dxa" w:w="3470"/>
          </w:tcPr>
          <w:p>
            <w:pPr>
              <w:spacing w:after="20" w:before="20"/>
            </w:pPr>
            <w:r/>
            <w:r>
              <w:rPr>
                <w:rFonts w:ascii="Calibri" w:hAnsi="Calibri"/>
                <w:b w:val="0"/>
                <w:i w:val="0"/>
                <w:color w:val="334E68"/>
                <w:sz w:val="17"/>
              </w:rPr>
              <w:t>Certificate reissue, privileged access, audit requirements</w:t>
            </w:r>
          </w:p>
        </w:tc>
      </w:tr>
      <w:tr>
        <w:trPr>
          <w:cantSplit/>
        </w:trPr>
        <w:tc>
          <w:tcPr>
            <w:tcW w:type="dxa" w:w="1928"/>
            <w:shd w:val="clear" w:color="auto" w:fill="FAFBFD"/>
          </w:tcPr>
          <w:p>
            <w:pPr>
              <w:spacing w:after="20" w:before="20"/>
            </w:pPr>
            <w:r/>
            <w:r>
              <w:rPr>
                <w:rFonts w:ascii="Calibri" w:hAnsi="Calibri"/>
                <w:b/>
                <w:i w:val="0"/>
                <w:color w:val="334E68"/>
                <w:sz w:val="17"/>
              </w:rPr>
              <w:t>Project management / stakeholders</w:t>
            </w:r>
          </w:p>
        </w:tc>
        <w:tc>
          <w:tcPr>
            <w:tcW w:type="dxa" w:w="4241"/>
            <w:shd w:val="clear" w:color="auto" w:fill="FAFBFD"/>
          </w:tcPr>
          <w:p>
            <w:pPr>
              <w:spacing w:after="20" w:before="20"/>
            </w:pPr>
            <w:r/>
            <w:r>
              <w:rPr>
                <w:rFonts w:ascii="Calibri" w:hAnsi="Calibri"/>
                <w:b w:val="0"/>
                <w:i w:val="0"/>
                <w:color w:val="334E68"/>
                <w:sz w:val="17"/>
              </w:rPr>
              <w:t>Approvals, Go/No-Go and change governance</w:t>
            </w:r>
          </w:p>
        </w:tc>
        <w:tc>
          <w:tcPr>
            <w:tcW w:type="dxa" w:w="3470"/>
            <w:shd w:val="clear" w:color="auto" w:fill="FAFBFD"/>
          </w:tcPr>
          <w:p>
            <w:pPr>
              <w:spacing w:after="20" w:before="20"/>
            </w:pPr>
            <w:r/>
            <w:r>
              <w:rPr>
                <w:rFonts w:ascii="Calibri" w:hAnsi="Calibri"/>
                <w:b w:val="0"/>
                <w:i w:val="0"/>
                <w:color w:val="334E68"/>
                <w:sz w:val="17"/>
              </w:rPr>
              <w:t>Window scheduling, risk acceptance, communication</w:t>
            </w:r>
          </w:p>
        </w:tc>
      </w:tr>
    </w:tbl>
    <w:p>
      <w:pPr>
        <w:spacing w:after="40"/>
      </w:pPr>
    </w:p>
    <w:p>
      <w:pPr>
        <w:pStyle w:val="Heading2"/>
        <w:pBdr>
          <w:bottom w:val="single" w:sz="6" w:space="3" w:color="E8EDF3"/>
        </w:pBdr>
      </w:pPr>
      <w:r>
        <w:rPr>
          <w:rFonts w:ascii="Calibri" w:hAnsi="Calibri"/>
          <w:b/>
          <w:color w:val="0F2B4C"/>
          <w:sz w:val="26"/>
        </w:rPr>
        <w:t>14.4  Escalation path</w:t>
      </w:r>
    </w:p>
    <w:p>
      <w:pPr>
        <w:spacing w:after="60" w:before="160"/>
        <w:keepNext/>
      </w:pPr>
      <w:r>
        <w:rPr>
          <w:rFonts w:ascii="Calibri" w:hAnsi="Calibri"/>
          <w:b/>
          <w:color w:val="5B7288"/>
          <w:sz w:val="15"/>
        </w:rPr>
        <w:t>ESCALATION MODEL</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1349"/>
        <w:gridCol w:w="3662"/>
        <w:gridCol w:w="2891"/>
        <w:gridCol w:w="1735"/>
      </w:tblGrid>
      <w:tr>
        <w:trPr>
          <w:tblHeader/>
          <w:cantSplit/>
        </w:trPr>
        <w:tc>
          <w:tcPr>
            <w:tcW w:type="dxa" w:w="1349"/>
            <w:shd w:val="clear" w:color="auto" w:fill="0F2B4C"/>
          </w:tcPr>
          <w:p>
            <w:pPr>
              <w:spacing w:after="20" w:before="20"/>
            </w:pPr>
            <w:r/>
            <w:r>
              <w:rPr>
                <w:rFonts w:ascii="Calibri" w:hAnsi="Calibri"/>
                <w:b/>
                <w:color w:val="FFFFFF"/>
                <w:sz w:val="17"/>
              </w:rPr>
              <w:t>Severity</w:t>
            </w:r>
          </w:p>
        </w:tc>
        <w:tc>
          <w:tcPr>
            <w:tcW w:type="dxa" w:w="3662"/>
            <w:shd w:val="clear" w:color="auto" w:fill="0F2B4C"/>
          </w:tcPr>
          <w:p>
            <w:pPr>
              <w:spacing w:after="20" w:before="20"/>
            </w:pPr>
            <w:r/>
            <w:r>
              <w:rPr>
                <w:rFonts w:ascii="Calibri" w:hAnsi="Calibri"/>
                <w:b/>
                <w:color w:val="FFFFFF"/>
                <w:sz w:val="17"/>
              </w:rPr>
              <w:t>Definition</w:t>
            </w:r>
          </w:p>
        </w:tc>
        <w:tc>
          <w:tcPr>
            <w:tcW w:type="dxa" w:w="2891"/>
            <w:shd w:val="clear" w:color="auto" w:fill="0F2B4C"/>
          </w:tcPr>
          <w:p>
            <w:pPr>
              <w:spacing w:after="20" w:before="20"/>
            </w:pPr>
            <w:r/>
            <w:r>
              <w:rPr>
                <w:rFonts w:ascii="Calibri" w:hAnsi="Calibri"/>
                <w:b/>
                <w:color w:val="FFFFFF"/>
                <w:sz w:val="17"/>
              </w:rPr>
              <w:t>Route</w:t>
            </w:r>
          </w:p>
        </w:tc>
        <w:tc>
          <w:tcPr>
            <w:tcW w:type="dxa" w:w="1735"/>
            <w:shd w:val="clear" w:color="auto" w:fill="0F2B4C"/>
          </w:tcPr>
          <w:p>
            <w:pPr>
              <w:spacing w:after="20" w:before="20"/>
            </w:pPr>
            <w:r/>
            <w:r>
              <w:rPr>
                <w:rFonts w:ascii="Calibri" w:hAnsi="Calibri"/>
                <w:b/>
                <w:color w:val="FFFFFF"/>
                <w:sz w:val="17"/>
              </w:rPr>
              <w:t>Response expectation</w:t>
            </w:r>
          </w:p>
        </w:tc>
      </w:tr>
      <w:tr>
        <w:trPr>
          <w:cantSplit/>
        </w:trPr>
        <w:tc>
          <w:tcPr>
            <w:tcW w:type="dxa" w:w="1349"/>
          </w:tcPr>
          <w:p>
            <w:pPr>
              <w:spacing w:after="20" w:before="20"/>
            </w:pPr>
            <w:r/>
            <w:r>
              <w:rPr>
                <w:rFonts w:ascii="Calibri" w:hAnsi="Calibri"/>
                <w:b/>
                <w:i w:val="0"/>
                <w:color w:val="334E68"/>
                <w:sz w:val="17"/>
              </w:rPr>
              <w:t>S1 — Critical</w:t>
            </w:r>
          </w:p>
        </w:tc>
        <w:tc>
          <w:tcPr>
            <w:tcW w:type="dxa" w:w="3662"/>
          </w:tcPr>
          <w:p>
            <w:pPr>
              <w:spacing w:after="20" w:before="20"/>
            </w:pPr>
            <w:r/>
            <w:r>
              <w:rPr>
                <w:rFonts w:ascii="Calibri" w:hAnsi="Calibri"/>
                <w:b w:val="0"/>
                <w:i w:val="0"/>
                <w:color w:val="334E68"/>
                <w:sz w:val="17"/>
              </w:rPr>
              <w:t>Cutover blocked, system unavailable, data at risk, or rollback decision required</w:t>
            </w:r>
          </w:p>
        </w:tc>
        <w:tc>
          <w:tcPr>
            <w:tcW w:type="dxa" w:w="2891"/>
          </w:tcPr>
          <w:p>
            <w:pPr>
              <w:spacing w:after="20" w:before="20"/>
            </w:pPr>
            <w:r/>
            <w:r>
              <w:rPr>
                <w:rFonts w:ascii="Calibri" w:hAnsi="Calibri"/>
                <w:b w:val="0"/>
                <w:i w:val="0"/>
                <w:color w:val="334E68"/>
                <w:sz w:val="17"/>
              </w:rPr>
              <w:t>Bridge → module owner → programme lead → stakeholders immediately</w:t>
            </w:r>
          </w:p>
        </w:tc>
        <w:tc>
          <w:tcPr>
            <w:tcW w:type="dxa" w:w="1735"/>
          </w:tcPr>
          <w:p>
            <w:pPr>
              <w:spacing w:after="20" w:before="20"/>
            </w:pPr>
            <w:r/>
            <w:r>
              <w:rPr>
                <w:rFonts w:ascii="Calibri" w:hAnsi="Calibri"/>
                <w:b w:val="0"/>
                <w:i w:val="0"/>
                <w:color w:val="334E68"/>
                <w:sz w:val="17"/>
              </w:rPr>
              <w:t>Immediate; decision within the agreed checkpoint interval</w:t>
            </w:r>
          </w:p>
        </w:tc>
      </w:tr>
      <w:tr>
        <w:trPr>
          <w:cantSplit/>
        </w:trPr>
        <w:tc>
          <w:tcPr>
            <w:tcW w:type="dxa" w:w="1349"/>
            <w:shd w:val="clear" w:color="auto" w:fill="FAFBFD"/>
          </w:tcPr>
          <w:p>
            <w:pPr>
              <w:spacing w:after="20" w:before="20"/>
            </w:pPr>
            <w:r/>
            <w:r>
              <w:rPr>
                <w:rFonts w:ascii="Calibri" w:hAnsi="Calibri"/>
                <w:b/>
                <w:i w:val="0"/>
                <w:color w:val="334E68"/>
                <w:sz w:val="17"/>
              </w:rPr>
              <w:t>S2 — High</w:t>
            </w:r>
          </w:p>
        </w:tc>
        <w:tc>
          <w:tcPr>
            <w:tcW w:type="dxa" w:w="3662"/>
            <w:shd w:val="clear" w:color="auto" w:fill="FAFBFD"/>
          </w:tcPr>
          <w:p>
            <w:pPr>
              <w:spacing w:after="20" w:before="20"/>
            </w:pPr>
            <w:r/>
            <w:r>
              <w:rPr>
                <w:rFonts w:ascii="Calibri" w:hAnsi="Calibri"/>
                <w:b w:val="0"/>
                <w:i w:val="0"/>
                <w:color w:val="334E68"/>
                <w:sz w:val="17"/>
              </w:rPr>
              <w:t>A gate cannot be passed; a validation item fails with no workaround</w:t>
            </w:r>
          </w:p>
        </w:tc>
        <w:tc>
          <w:tcPr>
            <w:tcW w:type="dxa" w:w="2891"/>
            <w:shd w:val="clear" w:color="auto" w:fill="FAFBFD"/>
          </w:tcPr>
          <w:p>
            <w:pPr>
              <w:spacing w:after="20" w:before="20"/>
            </w:pPr>
            <w:r/>
            <w:r>
              <w:rPr>
                <w:rFonts w:ascii="Calibri" w:hAnsi="Calibri"/>
                <w:b w:val="0"/>
                <w:i w:val="0"/>
                <w:color w:val="334E68"/>
                <w:sz w:val="17"/>
              </w:rPr>
              <w:t>Module owner → accountable team lead; logged in the change record</w:t>
            </w:r>
          </w:p>
        </w:tc>
        <w:tc>
          <w:tcPr>
            <w:tcW w:type="dxa" w:w="1735"/>
            <w:shd w:val="clear" w:color="auto" w:fill="FAFBFD"/>
          </w:tcPr>
          <w:p>
            <w:pPr>
              <w:spacing w:after="20" w:before="20"/>
            </w:pPr>
            <w:r/>
            <w:r>
              <w:rPr>
                <w:rFonts w:ascii="Calibri" w:hAnsi="Calibri"/>
                <w:b w:val="0"/>
                <w:i w:val="0"/>
                <w:color w:val="334E68"/>
                <w:sz w:val="17"/>
              </w:rPr>
              <w:t>Same day, inside the window if one is open</w:t>
            </w:r>
          </w:p>
        </w:tc>
      </w:tr>
      <w:tr>
        <w:trPr>
          <w:cantSplit/>
        </w:trPr>
        <w:tc>
          <w:tcPr>
            <w:tcW w:type="dxa" w:w="1349"/>
          </w:tcPr>
          <w:p>
            <w:pPr>
              <w:spacing w:after="20" w:before="20"/>
            </w:pPr>
            <w:r/>
            <w:r>
              <w:rPr>
                <w:rFonts w:ascii="Calibri" w:hAnsi="Calibri"/>
                <w:b/>
                <w:i w:val="0"/>
                <w:color w:val="334E68"/>
                <w:sz w:val="17"/>
              </w:rPr>
              <w:t>S3 — Medium</w:t>
            </w:r>
          </w:p>
        </w:tc>
        <w:tc>
          <w:tcPr>
            <w:tcW w:type="dxa" w:w="3662"/>
          </w:tcPr>
          <w:p>
            <w:pPr>
              <w:spacing w:after="20" w:before="20"/>
            </w:pPr>
            <w:r/>
            <w:r>
              <w:rPr>
                <w:rFonts w:ascii="Calibri" w:hAnsi="Calibri"/>
                <w:b w:val="0"/>
                <w:i w:val="0"/>
                <w:color w:val="334E68"/>
                <w:sz w:val="17"/>
              </w:rPr>
              <w:t>Deviation with a workaround; deferrable to a later checkpoint</w:t>
            </w:r>
          </w:p>
        </w:tc>
        <w:tc>
          <w:tcPr>
            <w:tcW w:type="dxa" w:w="2891"/>
          </w:tcPr>
          <w:p>
            <w:pPr>
              <w:spacing w:after="20" w:before="20"/>
            </w:pPr>
            <w:r/>
            <w:r>
              <w:rPr>
                <w:rFonts w:ascii="Calibri" w:hAnsi="Calibri"/>
                <w:b w:val="0"/>
                <w:i w:val="0"/>
                <w:color w:val="334E68"/>
                <w:sz w:val="17"/>
              </w:rPr>
              <w:t>Owning team; tracked in the deviation log</w:t>
            </w:r>
          </w:p>
        </w:tc>
        <w:tc>
          <w:tcPr>
            <w:tcW w:type="dxa" w:w="1735"/>
          </w:tcPr>
          <w:p>
            <w:pPr>
              <w:spacing w:after="20" w:before="20"/>
            </w:pPr>
            <w:r/>
            <w:r>
              <w:rPr>
                <w:rFonts w:ascii="Calibri" w:hAnsi="Calibri"/>
                <w:b w:val="0"/>
                <w:i w:val="0"/>
                <w:color w:val="334E68"/>
                <w:sz w:val="17"/>
              </w:rPr>
              <w:t>Before the next gate</w:t>
            </w:r>
          </w:p>
        </w:tc>
      </w:tr>
      <w:tr>
        <w:trPr>
          <w:cantSplit/>
        </w:trPr>
        <w:tc>
          <w:tcPr>
            <w:tcW w:type="dxa" w:w="1349"/>
            <w:shd w:val="clear" w:color="auto" w:fill="FAFBFD"/>
          </w:tcPr>
          <w:p>
            <w:pPr>
              <w:spacing w:after="20" w:before="20"/>
            </w:pPr>
            <w:r/>
            <w:r>
              <w:rPr>
                <w:rFonts w:ascii="Calibri" w:hAnsi="Calibri"/>
                <w:b/>
                <w:i w:val="0"/>
                <w:color w:val="334E68"/>
                <w:sz w:val="17"/>
              </w:rPr>
              <w:t>S4 — Low</w:t>
            </w:r>
          </w:p>
        </w:tc>
        <w:tc>
          <w:tcPr>
            <w:tcW w:type="dxa" w:w="3662"/>
            <w:shd w:val="clear" w:color="auto" w:fill="FAFBFD"/>
          </w:tcPr>
          <w:p>
            <w:pPr>
              <w:spacing w:after="20" w:before="20"/>
            </w:pPr>
            <w:r/>
            <w:r>
              <w:rPr>
                <w:rFonts w:ascii="Calibri" w:hAnsi="Calibri"/>
                <w:b w:val="0"/>
                <w:i w:val="0"/>
                <w:color w:val="334E68"/>
                <w:sz w:val="17"/>
              </w:rPr>
              <w:t>Cosmetic, documentation, or non-blocking observation</w:t>
            </w:r>
          </w:p>
        </w:tc>
        <w:tc>
          <w:tcPr>
            <w:tcW w:type="dxa" w:w="2891"/>
            <w:shd w:val="clear" w:color="auto" w:fill="FAFBFD"/>
          </w:tcPr>
          <w:p>
            <w:pPr>
              <w:spacing w:after="20" w:before="20"/>
            </w:pPr>
            <w:r/>
            <w:r>
              <w:rPr>
                <w:rFonts w:ascii="Calibri" w:hAnsi="Calibri"/>
                <w:b w:val="0"/>
                <w:i w:val="0"/>
                <w:color w:val="334E68"/>
                <w:sz w:val="17"/>
              </w:rPr>
              <w:t>Deviation log; closed during hypercare</w:t>
            </w:r>
          </w:p>
        </w:tc>
        <w:tc>
          <w:tcPr>
            <w:tcW w:type="dxa" w:w="1735"/>
            <w:shd w:val="clear" w:color="auto" w:fill="FAFBFD"/>
          </w:tcPr>
          <w:p>
            <w:pPr>
              <w:spacing w:after="20" w:before="20"/>
            </w:pPr>
            <w:r/>
            <w:r>
              <w:rPr>
                <w:rFonts w:ascii="Calibri" w:hAnsi="Calibri"/>
                <w:b w:val="0"/>
                <w:i w:val="0"/>
                <w:color w:val="334E68"/>
                <w:sz w:val="17"/>
              </w:rPr>
              <w:t>Hypercare window</w:t>
            </w:r>
          </w:p>
        </w:tc>
      </w:tr>
    </w:tbl>
    <w:p>
      <w:pPr>
        <w:spacing w:after="40"/>
      </w:pPr>
    </w:p>
    <w:p>
      <w:pPr>
        <w:spacing w:before="180" w:after="40"/>
        <w:shd w:val="clear" w:color="auto" w:fill="FFFDF5"/>
        <w:pBdr>
          <w:left w:val="single" w:sz="6" w:space="6" w:color="D9A520"/>
          <w:top w:val="single" w:sz="6" w:space="6" w:color="D9A520"/>
          <w:right w:val="single" w:sz="6" w:space="6" w:color="D9A520"/>
        </w:pBdr>
        <w:keepNext/>
      </w:pPr>
      <w:r>
        <w:rPr>
          <w:rFonts w:ascii="Calibri" w:hAnsi="Calibri"/>
          <w:b/>
          <w:color w:val="D9A520"/>
          <w:sz w:val="16"/>
        </w:rPr>
        <w:t>CHANGE CONTROL DOES NOT PAUSE FOR A MIGRATION</w:t>
      </w:r>
    </w:p>
    <w:p>
      <w:pPr>
        <w:spacing w:after="40"/>
        <w:ind w:left="170"/>
        <w:shd w:val="clear" w:color="auto" w:fill="FFFDF5"/>
        <w:pBdr>
          <w:left w:val="single" w:sz="6" w:space="6" w:color="D9A520"/>
          <w:bottom w:val="single" w:sz="6" w:space="6" w:color="D9A520"/>
          <w:right w:val="single" w:sz="6" w:space="6" w:color="D9A520"/>
        </w:pBdr>
      </w:pPr>
      <w:r>
        <w:rPr>
          <w:rFonts w:ascii="Calibri" w:hAnsi="Calibri"/>
          <w:b w:val="0"/>
          <w:i w:val="0"/>
          <w:color w:val="334E68"/>
          <w:sz w:val="18"/>
        </w:rPr>
        <w:t>Every change made during build, validation and cutover is still a change: it needs an owner, a record and, where the process requires it, an approval. The cutover change record is the umbrella — but it must list what was done, not merely that a cutover happened.</w:t>
      </w:r>
    </w:p>
    <w:p>
      <w:r>
        <w:br w:type="page"/>
      </w:r>
    </w:p>
    <w:p>
      <w:pPr>
        <w:spacing w:after="20"/>
      </w:pPr>
      <w:r>
        <w:rPr>
          <w:rFonts w:ascii="Calibri" w:hAnsi="Calibri"/>
          <w:b/>
          <w:color w:val="1B4F86"/>
          <w:sz w:val="16"/>
        </w:rPr>
        <w:t>SECTION 15 · REFERENCE</w:t>
      </w:r>
    </w:p>
    <w:p>
      <w:pPr>
        <w:pStyle w:val="Heading1"/>
        <w:pBdr>
          <w:bottom w:val="single" w:sz="12" w:space="5" w:color="1B4F86"/>
        </w:pBdr>
        <w:spacing w:after="160"/>
      </w:pPr>
      <w:r>
        <w:rPr>
          <w:rFonts w:ascii="Calibri Light" w:hAnsi="Calibri Light"/>
          <w:b/>
          <w:color w:val="0F2B4C"/>
          <w:sz w:val="38"/>
        </w:rPr>
        <w:t>15  Troubleshooting playbook and common failure modes</w:t>
      </w:r>
    </w:p>
    <w:p>
      <w:pPr>
        <w:spacing w:after="200"/>
      </w:pPr>
      <w:r>
        <w:rPr>
          <w:rFonts w:ascii="Calibri" w:hAnsi="Calibri"/>
          <w:i/>
          <w:color w:val="5B7288"/>
          <w:sz w:val="21"/>
        </w:rPr>
        <w:t>The failures that recur across SAP migrations, with the first diagnostic question for each. Use this before changing anything: most of these are resolved by finding the cause, not by adjusting a parameter.</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w:t>
      </w:r>
    </w:p>
    <w:p>
      <w:pPr>
        <w:ind w:left="170"/>
        <w:shd w:val="clear" w:color="auto" w:fill="FBFCFE"/>
      </w:pPr>
      <w:r>
        <w:rPr>
          <w:rFonts w:ascii="Calibri" w:hAnsi="Calibri"/>
          <w:b/>
          <w:color w:val="5B7288"/>
          <w:sz w:val="16"/>
        </w:rPr>
        <w:t>SYMPTOMS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Service enabled but exit code non-zero (127 / 255 / other)</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 xml:space="preserve">SAP starts manually as </w:t>
      </w:r>
      <w:r>
        <w:rPr>
          <w:rFonts w:ascii="Consolas" w:hAnsi="Consolas"/>
          <w:b w:val="0"/>
          <w:i w:val="0"/>
          <w:color w:val="123A63"/>
          <w:sz w:val="19"/>
          <w:shd w:val="clear" w:color="auto" w:fill="EEF2F7"/>
        </w:rPr>
        <w:t>&lt;sid&gt;adm</w:t>
      </w:r>
      <w:r>
        <w:rPr>
          <w:rFonts w:ascii="Calibri" w:hAnsi="Calibri"/>
          <w:b w:val="0"/>
          <w:i w:val="0"/>
          <w:color w:val="334E68"/>
          <w:sz w:val="19"/>
        </w:rPr>
        <w:t xml:space="preserve"> but not from the service</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 xml:space="preserve">Instance starts but never registers in </w:t>
      </w:r>
      <w:r>
        <w:rPr>
          <w:rFonts w:ascii="Consolas" w:hAnsi="Consolas"/>
          <w:b w:val="0"/>
          <w:i w:val="0"/>
          <w:color w:val="123A63"/>
          <w:sz w:val="19"/>
          <w:shd w:val="clear" w:color="auto" w:fill="EEF2F7"/>
        </w:rPr>
        <w:t>SM51</w:t>
      </w:r>
    </w:p>
    <w:p>
      <w:pPr>
        <w:ind w:left="170"/>
        <w:shd w:val="clear" w:color="auto" w:fill="FBFCFE"/>
      </w:pPr>
      <w:r>
        <w:rPr>
          <w:rFonts w:ascii="Calibri" w:hAnsi="Calibri"/>
          <w:b/>
          <w:color w:val="5B7288"/>
          <w:sz w:val="16"/>
        </w:rPr>
        <w:t>FIRST DIAGNOSTICS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Read the service journal and the SAP start log before retrying.</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Check boot ordering: file systems mounted, network up, virtual IP owned, database reachable.</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For 127: path, environment and shared libraries. For 255: the SAP-side trace (</w:t>
      </w:r>
      <w:r>
        <w:rPr>
          <w:rFonts w:ascii="Consolas" w:hAnsi="Consolas"/>
          <w:b w:val="0"/>
          <w:i w:val="0"/>
          <w:color w:val="123A63"/>
          <w:sz w:val="19"/>
          <w:shd w:val="clear" w:color="auto" w:fill="EEF2F7"/>
        </w:rPr>
        <w:t>dev_disp</w:t>
      </w:r>
      <w:r>
        <w:rPr>
          <w:rFonts w:ascii="Calibri" w:hAnsi="Calibri"/>
          <w:b w:val="0"/>
          <w:i w:val="0"/>
          <w:color w:val="334E68"/>
          <w:sz w:val="19"/>
        </w:rPr>
        <w:t xml:space="preserve">, </w:t>
      </w:r>
      <w:r>
        <w:rPr>
          <w:rFonts w:ascii="Consolas" w:hAnsi="Consolas"/>
          <w:b w:val="0"/>
          <w:i w:val="0"/>
          <w:color w:val="123A63"/>
          <w:sz w:val="19"/>
          <w:shd w:val="clear" w:color="auto" w:fill="EEF2F7"/>
        </w:rPr>
        <w:t>dev_ms</w:t>
      </w:r>
      <w:r>
        <w:rPr>
          <w:rFonts w:ascii="Calibri" w:hAnsi="Calibri"/>
          <w:b w:val="0"/>
          <w:i w:val="0"/>
          <w:color w:val="334E68"/>
          <w:sz w:val="19"/>
        </w:rPr>
        <w:t xml:space="preserve">, </w:t>
      </w:r>
      <w:r>
        <w:rPr>
          <w:rFonts w:ascii="Consolas" w:hAnsi="Consolas"/>
          <w:b w:val="0"/>
          <w:i w:val="0"/>
          <w:color w:val="123A63"/>
          <w:sz w:val="19"/>
          <w:shd w:val="clear" w:color="auto" w:fill="EEF2F7"/>
        </w:rPr>
        <w:t>dev_w0</w:t>
      </w:r>
      <w:r>
        <w:rPr>
          <w:rFonts w:ascii="Calibri" w:hAnsi="Calibri"/>
          <w:b w:val="0"/>
          <w:i w:val="0"/>
          <w:color w:val="334E68"/>
          <w:sz w:val="19"/>
        </w:rPr>
        <w:t>).</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Confirm the cluster/HA manager is not fighting the local service for the same resource.</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PRACTICAL TIP</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Coordinate the reboot with the Linux team, and rehearse it before cutover — never for the first time in the window.</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w:t>
      </w:r>
    </w:p>
    <w:p>
      <w:pPr>
        <w:ind w:left="170"/>
        <w:shd w:val="clear" w:color="auto" w:fill="FBFCFE"/>
      </w:pPr>
      <w:r>
        <w:rPr>
          <w:rFonts w:ascii="Calibri" w:hAnsi="Calibri"/>
          <w:b/>
          <w:color w:val="5B7288"/>
          <w:sz w:val="16"/>
        </w:rPr>
        <w:t>SYMPTOMS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Database not reachable or not open</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Wrong credentials, missing user, or wallet/keystore problem</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Library or DB client (for example the Oracle client / HANA client) mismatch</w:t>
      </w:r>
    </w:p>
    <w:p>
      <w:pPr>
        <w:spacing w:after="40"/>
        <w:ind w:left="567" w:hanging="227"/>
        <w:shd w:val="clear" w:color="auto" w:fill="FBFCFE"/>
      </w:pPr>
      <w:r>
        <w:rPr>
          <w:rFonts w:ascii="Calibri" w:hAnsi="Calibri"/>
          <w:b/>
          <w:color w:val="1B4F86"/>
          <w:sz w:val="19"/>
        </w:rPr>
        <w:t xml:space="preserve">▪  </w:t>
      </w:r>
      <w:r>
        <w:rPr>
          <w:rFonts w:ascii="Consolas" w:hAnsi="Consolas"/>
          <w:b w:val="0"/>
          <w:i w:val="0"/>
          <w:color w:val="123A63"/>
          <w:sz w:val="19"/>
          <w:shd w:val="clear" w:color="auto" w:fill="EEF2F7"/>
        </w:rPr>
        <w:t>/etc/hosts</w:t>
      </w:r>
      <w:r>
        <w:rPr>
          <w:rFonts w:ascii="Calibri" w:hAnsi="Calibri"/>
          <w:b w:val="0"/>
          <w:i w:val="0"/>
          <w:color w:val="334E68"/>
          <w:sz w:val="19"/>
        </w:rPr>
        <w:t xml:space="preserve"> or </w:t>
      </w:r>
      <w:r>
        <w:rPr>
          <w:rFonts w:ascii="Consolas" w:hAnsi="Consolas"/>
          <w:b w:val="0"/>
          <w:i w:val="0"/>
          <w:color w:val="123A63"/>
          <w:sz w:val="19"/>
          <w:shd w:val="clear" w:color="auto" w:fill="EEF2F7"/>
        </w:rPr>
        <w:t>/etc/services</w:t>
      </w:r>
      <w:r>
        <w:rPr>
          <w:rFonts w:ascii="Calibri" w:hAnsi="Calibri"/>
          <w:b w:val="0"/>
          <w:i w:val="0"/>
          <w:color w:val="334E68"/>
          <w:sz w:val="19"/>
        </w:rPr>
        <w:t xml:space="preserve"> pointing at the source</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Database name or SID changed without updating SAP configuration</w:t>
      </w:r>
    </w:p>
    <w:p>
      <w:pPr>
        <w:ind w:left="170"/>
        <w:shd w:val="clear" w:color="auto" w:fill="FBFCFE"/>
      </w:pPr>
      <w:r>
        <w:rPr>
          <w:rFonts w:ascii="Calibri" w:hAnsi="Calibri"/>
          <w:b/>
          <w:color w:val="5B7288"/>
          <w:sz w:val="16"/>
        </w:rPr>
        <w:t>FIRST DIAGNOSTICS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 xml:space="preserve">Read </w:t>
      </w:r>
      <w:r>
        <w:rPr>
          <w:rFonts w:ascii="Consolas" w:hAnsi="Consolas"/>
          <w:b w:val="0"/>
          <w:i w:val="0"/>
          <w:color w:val="123A63"/>
          <w:sz w:val="19"/>
          <w:shd w:val="clear" w:color="auto" w:fill="EEF2F7"/>
        </w:rPr>
        <w:t>trans.log</w:t>
      </w:r>
      <w:r>
        <w:rPr>
          <w:rFonts w:ascii="Calibri" w:hAnsi="Calibri"/>
          <w:b w:val="0"/>
          <w:i w:val="0"/>
          <w:color w:val="334E68"/>
          <w:sz w:val="19"/>
        </w:rPr>
        <w:t xml:space="preserve"> — it names the failing step.</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Test the DB connection independently of SAP (listener/service check, DB client connection).</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Verify the DB host entry and the SAP profile's database parameters.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Confirm the DB client version and library path match the target design.</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PRACTICAL TIP</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Do not start SAP until this returns 0000; starting it first buries the real error under hundreds of secondary messages.</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w:t>
      </w:r>
    </w:p>
    <w:p>
      <w:pPr>
        <w:ind w:left="170"/>
        <w:shd w:val="clear" w:color="auto" w:fill="FBFCFE"/>
      </w:pPr>
      <w:r>
        <w:rPr>
          <w:rFonts w:ascii="Calibri" w:hAnsi="Calibri"/>
          <w:b/>
          <w:color w:val="5B7288"/>
          <w:sz w:val="16"/>
        </w:rPr>
        <w:t>SYMPTOMS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RFC destination points at an old hostname/IP</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Gateway or message-server connection blocked by a security group or firewall</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Certificate, SNC or credential change on either side</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Middleware endpoint not repointed</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The interface was already failing before migration (baseline)</w:t>
      </w:r>
    </w:p>
    <w:p>
      <w:pPr>
        <w:ind w:left="170"/>
        <w:shd w:val="clear" w:color="auto" w:fill="FBFCFE"/>
      </w:pPr>
      <w:r>
        <w:rPr>
          <w:rFonts w:ascii="Calibri" w:hAnsi="Calibri"/>
          <w:b/>
          <w:color w:val="5B7288"/>
          <w:sz w:val="16"/>
        </w:rPr>
        <w:t>FIRST DIAGNOSTICS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Check the baseline record first: was it working before?</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 xml:space="preserve">Test the destination in </w:t>
      </w:r>
      <w:r>
        <w:rPr>
          <w:rFonts w:ascii="Consolas" w:hAnsi="Consolas"/>
          <w:b w:val="0"/>
          <w:i w:val="0"/>
          <w:color w:val="123A63"/>
          <w:sz w:val="19"/>
          <w:shd w:val="clear" w:color="auto" w:fill="EEF2F7"/>
        </w:rPr>
        <w:t>SM59</w:t>
      </w:r>
      <w:r>
        <w:rPr>
          <w:rFonts w:ascii="Calibri" w:hAnsi="Calibri"/>
          <w:b w:val="0"/>
          <w:i w:val="0"/>
          <w:color w:val="334E68"/>
          <w:sz w:val="19"/>
        </w:rPr>
        <w:t xml:space="preserve"> and read the returned error class.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 xml:space="preserve">Check </w:t>
      </w:r>
      <w:r>
        <w:rPr>
          <w:rFonts w:ascii="Consolas" w:hAnsi="Consolas"/>
          <w:b w:val="0"/>
          <w:i w:val="0"/>
          <w:color w:val="123A63"/>
          <w:sz w:val="19"/>
          <w:shd w:val="clear" w:color="auto" w:fill="EEF2F7"/>
        </w:rPr>
        <w:t>SMGW</w:t>
      </w:r>
      <w:r>
        <w:rPr>
          <w:rFonts w:ascii="Calibri" w:hAnsi="Calibri"/>
          <w:b w:val="0"/>
          <w:i w:val="0"/>
          <w:color w:val="334E68"/>
          <w:sz w:val="19"/>
        </w:rPr>
        <w:t xml:space="preserve"> for the connection and for missing registrations.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Validate name resolution and the network path from the SAP host, not from your laptop.</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PRACTICAL TIP</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If the baseline shows it was already failing, classify it as a pre-existing condition and route it to BAU with the evidence.</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w:t>
      </w:r>
    </w:p>
    <w:p>
      <w:pPr>
        <w:ind w:left="170"/>
        <w:shd w:val="clear" w:color="auto" w:fill="FBFCFE"/>
      </w:pPr>
      <w:r>
        <w:rPr>
          <w:rFonts w:ascii="Calibri" w:hAnsi="Calibri"/>
          <w:b/>
          <w:color w:val="5B7288"/>
          <w:sz w:val="16"/>
        </w:rPr>
        <w:t>SYMPTOMS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UID/GID mismatch between source and target</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Ownership not preserved by the copy or the rsync</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NFS export with root-squash or a different owner mapping</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EFS mount with different default ownership</w:t>
      </w:r>
    </w:p>
    <w:p>
      <w:pPr>
        <w:ind w:left="170"/>
        <w:shd w:val="clear" w:color="auto" w:fill="FBFCFE"/>
      </w:pPr>
      <w:r>
        <w:rPr>
          <w:rFonts w:ascii="Calibri" w:hAnsi="Calibri"/>
          <w:b/>
          <w:color w:val="5B7288"/>
          <w:sz w:val="16"/>
        </w:rPr>
        <w:t>FIRST DIAGNOSTICS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Compare numeric UID/GID, not just user names.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Check the ownership of the parent directory and the mount options.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For NFS/EFS, verify the export permission model and squashing behaviour.</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PRACTICAL TIP</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Fix the ID mapping rather than chmod-ing the symptom; a broad permission change creates a security finding.</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w:t>
      </w:r>
    </w:p>
    <w:p>
      <w:pPr>
        <w:ind w:left="170"/>
        <w:shd w:val="clear" w:color="auto" w:fill="FBFCFE"/>
      </w:pPr>
      <w:r>
        <w:rPr>
          <w:rFonts w:ascii="Calibri" w:hAnsi="Calibri"/>
          <w:b/>
          <w:color w:val="5B7288"/>
          <w:sz w:val="16"/>
        </w:rPr>
        <w:t>SYMPTOMS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Backup backend not reachable, or permissions insufficient</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Configuration files missing or inconsistent with the source topology</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Wrong recovery context (SystemDB versus tenant)</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Insufficient storage or memory on the target</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Log or data volume path mismatch</w:t>
      </w:r>
    </w:p>
    <w:p>
      <w:pPr>
        <w:ind w:left="170"/>
        <w:shd w:val="clear" w:color="auto" w:fill="FBFCFE"/>
      </w:pPr>
      <w:r>
        <w:rPr>
          <w:rFonts w:ascii="Calibri" w:hAnsi="Calibri"/>
          <w:b/>
          <w:color w:val="5B7288"/>
          <w:sz w:val="16"/>
        </w:rPr>
        <w:t>FIRST DIAGNOSTICS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Read the recovery log and the nameserver/indexserver traces.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Prove the S3/backend path with a manual read test before retrying.</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Confirm you are recovering the tenant from the correct system context.</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Verify the INI/topology files describe the target, not the source.</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PRACTICAL TIP</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This is why recovery is tested before cutover. A first-time recovery attempt during the window is a rollback decision waiting to happen.</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w:t>
      </w:r>
    </w:p>
    <w:p>
      <w:pPr>
        <w:ind w:left="170"/>
        <w:shd w:val="clear" w:color="auto" w:fill="FBFCFE"/>
      </w:pPr>
      <w:r>
        <w:rPr>
          <w:rFonts w:ascii="Calibri" w:hAnsi="Calibri"/>
          <w:b/>
          <w:color w:val="5B7288"/>
          <w:sz w:val="16"/>
        </w:rPr>
        <w:t>SYMPTOMS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Tablespace not recovered or not extended</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Archive/log volume difference after the migration</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Compression, storage class or block-size difference on the target</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Growth since the baseline was taken</w:t>
      </w:r>
    </w:p>
    <w:p>
      <w:pPr>
        <w:ind w:left="170"/>
        <w:shd w:val="clear" w:color="auto" w:fill="FBFCFE"/>
      </w:pPr>
      <w:r>
        <w:rPr>
          <w:rFonts w:ascii="Calibri" w:hAnsi="Calibri"/>
          <w:b/>
          <w:color w:val="5B7288"/>
          <w:sz w:val="16"/>
        </w:rPr>
        <w:t>FIRST DIAGNOSTICS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Compare per tablespace, not only the total.</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Check the recovery log for skipped or truncated datafiles.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Reconcile object counts for a sample of large tables.</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PRACTICAL TIP</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A total that looks plausible can hide a missing tablespace; compare the composition.</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w:t>
      </w:r>
    </w:p>
    <w:p>
      <w:pPr>
        <w:ind w:left="170"/>
        <w:shd w:val="clear" w:color="auto" w:fill="FBFCFE"/>
      </w:pPr>
      <w:r>
        <w:rPr>
          <w:rFonts w:ascii="Calibri" w:hAnsi="Calibri"/>
          <w:b/>
          <w:color w:val="5B7288"/>
          <w:sz w:val="16"/>
        </w:rPr>
        <w:t>SYMPTOMS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Different workload mix or period compared</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Stale database statistics or a changed access path</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Memory configuration not matching the target sizing</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Network latency between application and database hosts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Storage throughput or IOPS below the sizing assumption</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Instance type smaller than the sizing report specified</w:t>
      </w:r>
    </w:p>
    <w:p>
      <w:pPr>
        <w:ind w:left="170"/>
        <w:shd w:val="clear" w:color="auto" w:fill="FBFCFE"/>
      </w:pPr>
      <w:r>
        <w:rPr>
          <w:rFonts w:ascii="Calibri" w:hAnsi="Calibri"/>
          <w:b/>
          <w:color w:val="5B7288"/>
          <w:sz w:val="16"/>
        </w:rPr>
        <w:t>FIRST DIAGNOSTICS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Confirm you are comparing equivalent periods and load.</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Split the response time: DB, CPU, wait. Follow the dominant component.</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Measure app-to-DB latency and storage throughput against the design.</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Check whether database statistics were refreshed after the data move.</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PRACTICAL TIP</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Do not raise memory parameters first; find what is consuming the resource.</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w:t>
      </w:r>
    </w:p>
    <w:p>
      <w:pPr>
        <w:ind w:left="170"/>
        <w:shd w:val="clear" w:color="auto" w:fill="FBFCFE"/>
      </w:pPr>
      <w:r>
        <w:rPr>
          <w:rFonts w:ascii="Calibri" w:hAnsi="Calibri"/>
          <w:b/>
          <w:color w:val="5B7288"/>
          <w:sz w:val="16"/>
        </w:rPr>
        <w:t>SYMPTOMS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CNAME or A record not updated, or updated in the wrong zone</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 xml:space="preserve">Stale </w:t>
      </w:r>
      <w:r>
        <w:rPr>
          <w:rFonts w:ascii="Consolas" w:hAnsi="Consolas"/>
          <w:b w:val="0"/>
          <w:i w:val="0"/>
          <w:color w:val="123A63"/>
          <w:sz w:val="19"/>
          <w:shd w:val="clear" w:color="auto" w:fill="EEF2F7"/>
        </w:rPr>
        <w:t>/etc/hosts</w:t>
      </w:r>
      <w:r>
        <w:rPr>
          <w:rFonts w:ascii="Calibri" w:hAnsi="Calibri"/>
          <w:b w:val="0"/>
          <w:i w:val="0"/>
          <w:color w:val="334E68"/>
          <w:sz w:val="19"/>
        </w:rPr>
        <w:t xml:space="preserve"> entry overriding DNS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TTL still high, or a caching resolver holding the old record</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Private zone not associated with the target VPC</w:t>
      </w:r>
    </w:p>
    <w:p>
      <w:pPr>
        <w:ind w:left="170"/>
        <w:shd w:val="clear" w:color="auto" w:fill="FBFCFE"/>
      </w:pPr>
      <w:r>
        <w:rPr>
          <w:rFonts w:ascii="Calibri" w:hAnsi="Calibri"/>
          <w:b/>
          <w:color w:val="5B7288"/>
          <w:sz w:val="16"/>
        </w:rPr>
        <w:t>FIRST DIAGNOSTICS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 xml:space="preserve">Resolve from the affected host with </w:t>
      </w:r>
      <w:r>
        <w:rPr>
          <w:rFonts w:ascii="Consolas" w:hAnsi="Consolas"/>
          <w:b w:val="0"/>
          <w:i w:val="0"/>
          <w:color w:val="123A63"/>
          <w:sz w:val="19"/>
          <w:shd w:val="clear" w:color="auto" w:fill="EEF2F7"/>
        </w:rPr>
        <w:t>getent hosts</w:t>
      </w:r>
      <w:r>
        <w:rPr>
          <w:rFonts w:ascii="Calibri" w:hAnsi="Calibri"/>
          <w:b w:val="0"/>
          <w:i w:val="0"/>
          <w:color w:val="334E68"/>
          <w:sz w:val="19"/>
        </w:rPr>
        <w:t xml:space="preserve"> and </w:t>
      </w:r>
      <w:r>
        <w:rPr>
          <w:rFonts w:ascii="Consolas" w:hAnsi="Consolas"/>
          <w:b w:val="0"/>
          <w:i w:val="0"/>
          <w:color w:val="123A63"/>
          <w:sz w:val="19"/>
          <w:shd w:val="clear" w:color="auto" w:fill="EEF2F7"/>
        </w:rPr>
        <w:t>nslookup</w:t>
      </w:r>
      <w:r>
        <w:rPr>
          <w:rFonts w:ascii="Calibri" w:hAnsi="Calibri"/>
          <w:b w:val="0"/>
          <w:i w:val="0"/>
          <w:color w:val="334E68"/>
          <w:sz w:val="19"/>
        </w:rPr>
        <w:t>.</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 xml:space="preserve">Check </w:t>
      </w:r>
      <w:r>
        <w:rPr>
          <w:rFonts w:ascii="Consolas" w:hAnsi="Consolas"/>
          <w:b w:val="0"/>
          <w:i w:val="0"/>
          <w:color w:val="123A63"/>
          <w:sz w:val="19"/>
          <w:shd w:val="clear" w:color="auto" w:fill="EEF2F7"/>
        </w:rPr>
        <w:t>/etc/hosts</w:t>
      </w:r>
      <w:r>
        <w:rPr>
          <w:rFonts w:ascii="Calibri" w:hAnsi="Calibri"/>
          <w:b w:val="0"/>
          <w:i w:val="0"/>
          <w:color w:val="334E68"/>
          <w:sz w:val="19"/>
        </w:rPr>
        <w:t xml:space="preserve"> explicitly.</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Verify which zone answers and whether the VPC association is correct.</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Prove it with a real connection test (</w:t>
      </w:r>
      <w:r>
        <w:rPr>
          <w:rFonts w:ascii="Consolas" w:hAnsi="Consolas"/>
          <w:b w:val="0"/>
          <w:i w:val="0"/>
          <w:color w:val="123A63"/>
          <w:sz w:val="19"/>
          <w:shd w:val="clear" w:color="auto" w:fill="EEF2F7"/>
        </w:rPr>
        <w:t>R3trans -d</w:t>
      </w:r>
      <w:r>
        <w:rPr>
          <w:rFonts w:ascii="Calibri" w:hAnsi="Calibri"/>
          <w:b w:val="0"/>
          <w:i w:val="0"/>
          <w:color w:val="334E68"/>
          <w:sz w:val="19"/>
        </w:rPr>
        <w:t>), not by reading the record.</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PRACTICAL TIP</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Lower TTL ahead of cutover as designed, and clear the host-file entries as part of post-processing.</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w:t>
      </w:r>
    </w:p>
    <w:p>
      <w:pPr>
        <w:ind w:left="170"/>
        <w:shd w:val="clear" w:color="auto" w:fill="FBFCFE"/>
      </w:pPr>
      <w:r>
        <w:rPr>
          <w:rFonts w:ascii="Calibri" w:hAnsi="Calibri"/>
          <w:b/>
          <w:color w:val="5B7288"/>
          <w:sz w:val="16"/>
        </w:rPr>
        <w:t>SYMPTOMS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Certificate issued for the old hostname or domain</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Certificate expired during the project</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PSE/keystore not migrated, or migrated with wrong permissions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SSO provider still pointing at the old URL</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SNC configuration mismatch between partners</w:t>
      </w:r>
    </w:p>
    <w:p>
      <w:pPr>
        <w:ind w:left="170"/>
        <w:shd w:val="clear" w:color="auto" w:fill="FBFCFE"/>
      </w:pPr>
      <w:r>
        <w:rPr>
          <w:rFonts w:ascii="Calibri" w:hAnsi="Calibri"/>
          <w:b/>
          <w:color w:val="5B7288"/>
          <w:sz w:val="16"/>
        </w:rPr>
        <w:t>FIRST DIAGNOSTICS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 xml:space="preserve">Check validity and the hostname/domain match in </w:t>
      </w:r>
      <w:r>
        <w:rPr>
          <w:rFonts w:ascii="Consolas" w:hAnsi="Consolas"/>
          <w:b w:val="0"/>
          <w:i w:val="0"/>
          <w:color w:val="123A63"/>
          <w:sz w:val="19"/>
          <w:shd w:val="clear" w:color="auto" w:fill="EEF2F7"/>
        </w:rPr>
        <w:t>STRUST</w:t>
      </w:r>
      <w:r>
        <w:rPr>
          <w:rFonts w:ascii="Calibri" w:hAnsi="Calibri"/>
          <w:b w:val="0"/>
          <w:i w:val="0"/>
          <w:color w:val="334E68"/>
          <w:sz w:val="19"/>
        </w:rPr>
        <w:t>.</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Verify the PSE/keystore files exist with correct ownership.</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Test SNC handshake and SSO logon with a representative user, not an administrator account.</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Confirm the partner side is configured for the new endpoint.</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PRACTICAL TIP</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Certificate reissue has lead time with the issuing authority — raise it during preparation.</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w:t>
      </w:r>
    </w:p>
    <w:p>
      <w:pPr>
        <w:ind w:left="170"/>
        <w:shd w:val="clear" w:color="auto" w:fill="FBFCFE"/>
      </w:pPr>
      <w:r>
        <w:rPr>
          <w:rFonts w:ascii="Calibri" w:hAnsi="Calibri"/>
          <w:b/>
          <w:color w:val="5B7288"/>
          <w:sz w:val="16"/>
        </w:rPr>
        <w:t>SYMPTOMS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Transport directory not synchronized, or permissions wrong</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Domain controller or route definition pointing at the old landscape</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TMS configuration not updated for the new hostnames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ChaRM cycle state inconsistent after the move</w:t>
      </w:r>
    </w:p>
    <w:p>
      <w:pPr>
        <w:ind w:left="170"/>
        <w:shd w:val="clear" w:color="auto" w:fill="FBFCFE"/>
      </w:pPr>
      <w:r>
        <w:rPr>
          <w:rFonts w:ascii="Calibri" w:hAnsi="Calibri"/>
          <w:b/>
          <w:color w:val="5B7288"/>
          <w:sz w:val="16"/>
        </w:rPr>
        <w:t>FIRST DIAGNOSTICS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 xml:space="preserve">Validate </w:t>
      </w:r>
      <w:r>
        <w:rPr>
          <w:rFonts w:ascii="Consolas" w:hAnsi="Consolas"/>
          <w:b w:val="0"/>
          <w:i w:val="0"/>
          <w:color w:val="123A63"/>
          <w:sz w:val="19"/>
          <w:shd w:val="clear" w:color="auto" w:fill="EEF2F7"/>
        </w:rPr>
        <w:t>STMS</w:t>
      </w:r>
      <w:r>
        <w:rPr>
          <w:rFonts w:ascii="Calibri" w:hAnsi="Calibri"/>
          <w:b w:val="0"/>
          <w:i w:val="0"/>
          <w:color w:val="334E68"/>
          <w:sz w:val="19"/>
        </w:rPr>
        <w:t>: domain, systems, routes, transport directory.</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Run a test import through the full route.</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Check ownership and permissions on the transport directory on every host.</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PRACTICAL TIP</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A transport route that only works in one direction is a common half-migrated landscape symptom.</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w:t>
      </w:r>
    </w:p>
    <w:p>
      <w:pPr>
        <w:ind w:left="170"/>
        <w:shd w:val="clear" w:color="auto" w:fill="FBFCFE"/>
      </w:pPr>
      <w:r>
        <w:rPr>
          <w:rFonts w:ascii="Calibri" w:hAnsi="Calibri"/>
          <w:b/>
          <w:color w:val="5B7288"/>
          <w:sz w:val="16"/>
        </w:rPr>
        <w:t>SYMPTOMS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Bucket/path/policy not matching the backup configuration</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Agent not installed, not registered, or pointing at the old master server</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Credentials or IAM role missing on the new host</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Network path to the backup target blocked</w:t>
      </w:r>
    </w:p>
    <w:p>
      <w:pPr>
        <w:ind w:left="170"/>
        <w:shd w:val="clear" w:color="auto" w:fill="FBFCFE"/>
      </w:pPr>
      <w:r>
        <w:rPr>
          <w:rFonts w:ascii="Calibri" w:hAnsi="Calibri"/>
          <w:b/>
          <w:color w:val="5B7288"/>
          <w:sz w:val="16"/>
        </w:rPr>
        <w:t>FIRST DIAGNOSTICS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Check the backup log for the exact failing operation.</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Verify the agent inventory and registration against the source baseline.</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Test the backend path manually with the same identity the backup uses.</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PRACTICAL TIP</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The first backup on the target must succeed before the system is handed to BAU — no exceptions.</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w:t>
      </w:r>
    </w:p>
    <w:p>
      <w:pPr>
        <w:ind w:left="170"/>
        <w:shd w:val="clear" w:color="auto" w:fill="FBFCFE"/>
      </w:pPr>
      <w:r>
        <w:rPr>
          <w:rFonts w:ascii="Calibri" w:hAnsi="Calibri"/>
          <w:b/>
          <w:color w:val="5B7288"/>
          <w:sz w:val="16"/>
        </w:rPr>
        <w:t>SYMPTOMS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Jobs not released after cutover</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Control-M agent not reinstalled or not re-pointed</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Job definitions referencing old hostnames or paths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Dependencies resumed out of order</w:t>
      </w:r>
    </w:p>
    <w:p>
      <w:pPr>
        <w:ind w:left="170"/>
        <w:shd w:val="clear" w:color="auto" w:fill="FBFCFE"/>
      </w:pPr>
      <w:r>
        <w:rPr>
          <w:rFonts w:ascii="Calibri" w:hAnsi="Calibri"/>
          <w:b/>
          <w:color w:val="5B7288"/>
          <w:sz w:val="16"/>
        </w:rPr>
        <w:t>FIRST DIAGNOSTICS</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Compare the job list with the source baseline (</w:t>
      </w:r>
      <w:r>
        <w:rPr>
          <w:rFonts w:ascii="Consolas" w:hAnsi="Consolas"/>
          <w:b w:val="0"/>
          <w:i w:val="0"/>
          <w:color w:val="123A63"/>
          <w:sz w:val="19"/>
          <w:shd w:val="clear" w:color="auto" w:fill="EEF2F7"/>
        </w:rPr>
        <w:t>SM37</w:t>
      </w:r>
      <w:r>
        <w:rPr>
          <w:rFonts w:ascii="Calibri" w:hAnsi="Calibri"/>
          <w:b w:val="0"/>
          <w:i w:val="0"/>
          <w:color w:val="334E68"/>
          <w:sz w:val="19"/>
        </w:rPr>
        <w:t xml:space="preserve"> plus the scheduler).</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Confirm the agent is registered with the correct control.</w:t>
      </w:r>
    </w:p>
    <w:p>
      <w:pPr>
        <w:spacing w:after="40"/>
        <w:ind w:left="567" w:hanging="227"/>
        <w:shd w:val="clear" w:color="auto" w:fill="FBFCFE"/>
      </w:pPr>
      <w:r>
        <w:rPr>
          <w:rFonts w:ascii="Calibri" w:hAnsi="Calibri"/>
          <w:b/>
          <w:color w:val="1B4F86"/>
          <w:sz w:val="19"/>
        </w:rPr>
        <w:t xml:space="preserve">▪  </w:t>
      </w:r>
      <w:r>
        <w:rPr>
          <w:rFonts w:ascii="Calibri" w:hAnsi="Calibri"/>
          <w:b w:val="0"/>
          <w:i w:val="0"/>
          <w:color w:val="334E68"/>
          <w:sz w:val="19"/>
        </w:rPr>
        <w:t>Resume in the agreed order with the job owners on the call.</w:t>
      </w: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PRACTICAL TIP</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Resuming everything at once creates a self-inflicted load spike on go-live day.</w:t>
      </w:r>
    </w:p>
    <w:p>
      <w:pPr>
        <w:spacing w:before="180" w:after="40"/>
        <w:shd w:val="clear" w:color="auto" w:fill="FFFBFB"/>
        <w:pBdr>
          <w:left w:val="single" w:sz="6" w:space="6" w:color="C8434B"/>
          <w:top w:val="single" w:sz="6" w:space="6" w:color="C8434B"/>
          <w:right w:val="single" w:sz="6" w:space="6" w:color="C8434B"/>
        </w:pBdr>
        <w:keepNext/>
      </w:pPr>
      <w:r>
        <w:rPr>
          <w:rFonts w:ascii="Calibri" w:hAnsi="Calibri"/>
          <w:b/>
          <w:color w:val="C8434B"/>
          <w:sz w:val="16"/>
        </w:rPr>
        <w:t>WHEN TO STOP AND ROLL BACK</w:t>
      </w:r>
    </w:p>
    <w:p>
      <w:pPr>
        <w:spacing w:after="40"/>
        <w:ind w:left="567" w:hanging="227"/>
        <w:shd w:val="clear" w:color="auto" w:fill="FFFBFB"/>
      </w:pPr>
      <w:r>
        <w:rPr>
          <w:rFonts w:ascii="Calibri" w:hAnsi="Calibri"/>
          <w:b/>
          <w:color w:val="1B4F86"/>
          <w:sz w:val="19"/>
        </w:rPr>
        <w:t xml:space="preserve">▪  </w:t>
      </w:r>
      <w:r>
        <w:rPr>
          <w:rFonts w:ascii="Calibri" w:hAnsi="Calibri"/>
          <w:b w:val="0"/>
          <w:i w:val="0"/>
          <w:color w:val="334E68"/>
          <w:sz w:val="19"/>
        </w:rPr>
        <w:t>The database cannot be validated and the remaining window cannot absorb the diagnosis.</w:t>
      </w:r>
    </w:p>
    <w:p>
      <w:pPr>
        <w:spacing w:after="40"/>
        <w:ind w:left="567" w:hanging="227"/>
        <w:shd w:val="clear" w:color="auto" w:fill="FFFBFB"/>
      </w:pPr>
      <w:r>
        <w:rPr>
          <w:rFonts w:ascii="Calibri" w:hAnsi="Calibri"/>
          <w:b/>
          <w:color w:val="1B4F86"/>
          <w:sz w:val="19"/>
        </w:rPr>
        <w:t xml:space="preserve">▪  </w:t>
      </w:r>
      <w:r>
        <w:rPr>
          <w:rFonts w:ascii="Calibri" w:hAnsi="Calibri"/>
          <w:b w:val="0"/>
          <w:i w:val="0"/>
          <w:color w:val="334E68"/>
          <w:sz w:val="19"/>
        </w:rPr>
        <w:t>The rollback point is about to expire or be invalidated by the next step.</w:t>
      </w:r>
    </w:p>
    <w:p>
      <w:pPr>
        <w:spacing w:after="40"/>
        <w:ind w:left="567" w:hanging="227"/>
        <w:shd w:val="clear" w:color="auto" w:fill="FFFBFB"/>
      </w:pPr>
      <w:r>
        <w:rPr>
          <w:rFonts w:ascii="Calibri" w:hAnsi="Calibri"/>
          <w:b/>
          <w:color w:val="1B4F86"/>
          <w:sz w:val="19"/>
        </w:rPr>
        <w:t xml:space="preserve">▪  </w:t>
      </w:r>
      <w:r>
        <w:rPr>
          <w:rFonts w:ascii="Calibri" w:hAnsi="Calibri"/>
          <w:b w:val="0"/>
          <w:i w:val="0"/>
          <w:color w:val="334E68"/>
          <w:sz w:val="19"/>
        </w:rPr>
        <w:t>Data consistency cannot be proven (SCN mismatch, corruption found, missing tablespaces).</w:t>
      </w:r>
    </w:p>
    <w:p>
      <w:pPr>
        <w:spacing w:after="40"/>
        <w:ind w:left="567" w:hanging="227"/>
        <w:shd w:val="clear" w:color="auto" w:fill="FFFBFB"/>
      </w:pPr>
      <w:r>
        <w:rPr>
          <w:rFonts w:ascii="Calibri" w:hAnsi="Calibri"/>
          <w:b/>
          <w:color w:val="1B4F86"/>
          <w:sz w:val="19"/>
        </w:rPr>
        <w:t xml:space="preserve">▪  </w:t>
      </w:r>
      <w:r>
        <w:rPr>
          <w:rFonts w:ascii="Calibri" w:hAnsi="Calibri"/>
          <w:b w:val="0"/>
          <w:i w:val="0"/>
          <w:color w:val="334E68"/>
          <w:sz w:val="19"/>
        </w:rPr>
        <w:t>A dependency outside the project's control will not be ready before the business deadline.</w:t>
      </w:r>
    </w:p>
    <w:p>
      <w:pPr>
        <w:spacing w:after="40"/>
        <w:ind w:left="567" w:hanging="227"/>
        <w:shd w:val="clear" w:color="auto" w:fill="FFFBFB"/>
      </w:pPr>
      <w:r>
        <w:rPr>
          <w:rFonts w:ascii="Calibri" w:hAnsi="Calibri"/>
          <w:b/>
          <w:color w:val="1B4F86"/>
          <w:sz w:val="19"/>
        </w:rPr>
        <w:t xml:space="preserve">▪  </w:t>
      </w:r>
      <w:r>
        <w:rPr>
          <w:rFonts w:ascii="Calibri" w:hAnsi="Calibri"/>
          <w:b w:val="0"/>
          <w:i w:val="0"/>
          <w:color w:val="334E68"/>
          <w:sz w:val="19"/>
        </w:rPr>
        <w:t>The Go/No-Go gate lacks a required approval or an unexplained critical open item.</w:t>
      </w:r>
    </w:p>
    <w:p>
      <w:pPr>
        <w:shd w:val="clear" w:color="auto" w:fill="FFFBFB"/>
        <w:pBdr>
          <w:left w:val="single" w:sz="6" w:space="6" w:color="C8434B"/>
          <w:bottom w:val="single" w:sz="6" w:space="6" w:color="C8434B"/>
          <w:right w:val="single" w:sz="6" w:space="6" w:color="C8434B"/>
        </w:pBdr>
        <w:spacing w:after="40"/>
      </w:pPr>
    </w:p>
    <w:p>
      <w:r>
        <w:br w:type="page"/>
      </w:r>
    </w:p>
    <w:p>
      <w:pPr>
        <w:spacing w:after="20"/>
      </w:pPr>
      <w:r>
        <w:rPr>
          <w:rFonts w:ascii="Calibri" w:hAnsi="Calibri"/>
          <w:b/>
          <w:color w:val="1B4F86"/>
          <w:sz w:val="16"/>
        </w:rPr>
        <w:t>SECTION 16</w:t>
      </w:r>
    </w:p>
    <w:p>
      <w:pPr>
        <w:pStyle w:val="Heading1"/>
        <w:pBdr>
          <w:bottom w:val="single" w:sz="12" w:space="5" w:color="1B4F86"/>
        </w:pBdr>
        <w:spacing w:after="160"/>
      </w:pPr>
      <w:r>
        <w:rPr>
          <w:rFonts w:ascii="Calibri Light" w:hAnsi="Calibri Light"/>
          <w:b/>
          <w:color w:val="0F2B4C"/>
          <w:sz w:val="38"/>
        </w:rPr>
        <w:t>16  Key lessons and practical guidance</w:t>
      </w:r>
    </w:p>
    <w:p>
      <w:pPr>
        <w:spacing w:after="200"/>
      </w:pPr>
      <w:r>
        <w:rPr>
          <w:rFonts w:ascii="Calibri" w:hAnsi="Calibri"/>
          <w:i/>
          <w:color w:val="5B7288"/>
          <w:sz w:val="21"/>
        </w:rPr>
        <w:t>Fifteen lessons carried out of the training sessions. Each one is short because the moment you need it will not be a comfortable one.</w:t>
      </w:r>
    </w:p>
    <w:p>
      <w:pPr>
        <w:spacing w:after="60" w:before="160"/>
        <w:keepNext/>
      </w:pPr>
      <w:r>
        <w:rPr>
          <w:rFonts w:ascii="Calibri" w:hAnsi="Calibri"/>
          <w:b/>
          <w:color w:val="5B7288"/>
          <w:sz w:val="15"/>
        </w:rPr>
        <w:t>KEY LESSONS</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82"/>
        <w:gridCol w:w="7325"/>
        <w:gridCol w:w="1831"/>
      </w:tblGrid>
      <w:tr>
        <w:trPr>
          <w:tblHeader/>
          <w:cantSplit/>
        </w:trPr>
        <w:tc>
          <w:tcPr>
            <w:tcW w:type="dxa" w:w="482"/>
            <w:shd w:val="clear" w:color="auto" w:fill="0F2B4C"/>
          </w:tcPr>
          <w:p>
            <w:pPr>
              <w:spacing w:after="20" w:before="20"/>
            </w:pPr>
            <w:r/>
            <w:r>
              <w:rPr>
                <w:rFonts w:ascii="Calibri" w:hAnsi="Calibri"/>
                <w:b/>
                <w:color w:val="FFFFFF"/>
                <w:sz w:val="17"/>
              </w:rPr>
              <w:t>#</w:t>
            </w:r>
          </w:p>
        </w:tc>
        <w:tc>
          <w:tcPr>
            <w:tcW w:type="dxa" w:w="7325"/>
            <w:shd w:val="clear" w:color="auto" w:fill="0F2B4C"/>
          </w:tcPr>
          <w:p>
            <w:pPr>
              <w:spacing w:after="20" w:before="20"/>
            </w:pPr>
            <w:r/>
            <w:r>
              <w:rPr>
                <w:rFonts w:ascii="Calibri" w:hAnsi="Calibri"/>
                <w:b/>
                <w:color w:val="FFFFFF"/>
                <w:sz w:val="17"/>
              </w:rPr>
              <w:t>Lesson</w:t>
            </w:r>
          </w:p>
        </w:tc>
        <w:tc>
          <w:tcPr>
            <w:tcW w:type="dxa" w:w="1831"/>
            <w:shd w:val="clear" w:color="auto" w:fill="0F2B4C"/>
          </w:tcPr>
          <w:p>
            <w:pPr>
              <w:spacing w:after="20" w:before="20"/>
            </w:pPr>
            <w:r/>
            <w:r>
              <w:rPr>
                <w:rFonts w:ascii="Calibri" w:hAnsi="Calibri"/>
                <w:b/>
                <w:color w:val="FFFFFF"/>
                <w:sz w:val="17"/>
              </w:rPr>
              <w:t>Where it applies</w:t>
            </w:r>
          </w:p>
        </w:tc>
      </w:tr>
      <w:tr>
        <w:trPr>
          <w:cantSplit/>
        </w:trPr>
        <w:tc>
          <w:tcPr>
            <w:tcW w:type="dxa" w:w="482"/>
          </w:tcPr>
          <w:p>
            <w:pPr>
              <w:spacing w:after="20" w:before="20"/>
            </w:pPr>
            <w:r/>
            <w:r>
              <w:rPr>
                <w:rFonts w:ascii="Calibri" w:hAnsi="Calibri"/>
                <w:b/>
                <w:i w:val="0"/>
                <w:color w:val="334E68"/>
                <w:sz w:val="17"/>
              </w:rPr>
              <w:t>1</w:t>
            </w:r>
          </w:p>
        </w:tc>
        <w:tc>
          <w:tcPr>
            <w:tcW w:type="dxa" w:w="7325"/>
          </w:tcPr>
          <w:p>
            <w:pPr>
              <w:spacing w:after="20" w:before="20"/>
            </w:pPr>
            <w:r/>
            <w:r>
              <w:rPr>
                <w:rFonts w:ascii="Calibri" w:hAnsi="Calibri"/>
                <w:b w:val="0"/>
                <w:i w:val="0"/>
                <w:color w:val="334E68"/>
                <w:sz w:val="17"/>
              </w:rPr>
              <w:t>Never assume auto-start works. Test it through an actual reboot.</w:t>
            </w:r>
          </w:p>
        </w:tc>
        <w:tc>
          <w:tcPr>
            <w:tcW w:type="dxa" w:w="1831"/>
          </w:tcPr>
          <w:p>
            <w:pPr>
              <w:spacing w:after="20" w:before="20"/>
            </w:pPr>
            <w:r/>
            <w:r>
              <w:rPr>
                <w:rFonts w:ascii="Calibri" w:hAnsi="Calibri"/>
                <w:b w:val="0"/>
                <w:i w:val="0"/>
                <w:color w:val="334E68"/>
                <w:sz w:val="17"/>
              </w:rPr>
              <w:t>4, 7.1</w:t>
            </w:r>
          </w:p>
        </w:tc>
      </w:tr>
      <w:tr>
        <w:trPr>
          <w:cantSplit/>
        </w:trPr>
        <w:tc>
          <w:tcPr>
            <w:tcW w:type="dxa" w:w="482"/>
            <w:shd w:val="clear" w:color="auto" w:fill="FAFBFD"/>
          </w:tcPr>
          <w:p>
            <w:pPr>
              <w:spacing w:after="20" w:before="20"/>
            </w:pPr>
            <w:r/>
            <w:r>
              <w:rPr>
                <w:rFonts w:ascii="Calibri" w:hAnsi="Calibri"/>
                <w:b/>
                <w:i w:val="0"/>
                <w:color w:val="334E68"/>
                <w:sz w:val="17"/>
              </w:rPr>
              <w:t>2</w:t>
            </w:r>
          </w:p>
        </w:tc>
        <w:tc>
          <w:tcPr>
            <w:tcW w:type="dxa" w:w="7325"/>
            <w:shd w:val="clear" w:color="auto" w:fill="FAFBFD"/>
          </w:tcPr>
          <w:p>
            <w:pPr>
              <w:spacing w:after="20" w:before="20"/>
            </w:pPr>
            <w:r/>
            <w:r>
              <w:rPr>
                <w:rFonts w:ascii="Calibri" w:hAnsi="Calibri"/>
                <w:b w:val="0"/>
                <w:i w:val="0"/>
                <w:color w:val="334E68"/>
                <w:sz w:val="17"/>
              </w:rPr>
              <w:t>Always establish a source baseline before migration.</w:t>
            </w:r>
          </w:p>
        </w:tc>
        <w:tc>
          <w:tcPr>
            <w:tcW w:type="dxa" w:w="1831"/>
            <w:shd w:val="clear" w:color="auto" w:fill="FAFBFD"/>
          </w:tcPr>
          <w:p>
            <w:pPr>
              <w:spacing w:after="20" w:before="20"/>
            </w:pPr>
            <w:r/>
            <w:r>
              <w:rPr>
                <w:rFonts w:ascii="Calibri" w:hAnsi="Calibri"/>
                <w:b w:val="0"/>
                <w:i w:val="0"/>
                <w:color w:val="334E68"/>
                <w:sz w:val="17"/>
              </w:rPr>
              <w:t>4</w:t>
            </w:r>
          </w:p>
        </w:tc>
      </w:tr>
      <w:tr>
        <w:trPr>
          <w:cantSplit/>
        </w:trPr>
        <w:tc>
          <w:tcPr>
            <w:tcW w:type="dxa" w:w="482"/>
          </w:tcPr>
          <w:p>
            <w:pPr>
              <w:spacing w:after="20" w:before="20"/>
            </w:pPr>
            <w:r/>
            <w:r>
              <w:rPr>
                <w:rFonts w:ascii="Calibri" w:hAnsi="Calibri"/>
                <w:b/>
                <w:i w:val="0"/>
                <w:color w:val="334E68"/>
                <w:sz w:val="17"/>
              </w:rPr>
              <w:t>3</w:t>
            </w:r>
          </w:p>
        </w:tc>
        <w:tc>
          <w:tcPr>
            <w:tcW w:type="dxa" w:w="7325"/>
          </w:tcPr>
          <w:p>
            <w:pPr>
              <w:spacing w:after="20" w:before="20"/>
            </w:pPr>
            <w:r/>
            <w:r>
              <w:rPr>
                <w:rFonts w:ascii="Calibri" w:hAnsi="Calibri"/>
                <w:b w:val="0"/>
                <w:i w:val="0"/>
                <w:color w:val="334E68"/>
                <w:sz w:val="17"/>
              </w:rPr>
              <w:t>Use the approved build sheet as the central technical input.</w:t>
            </w:r>
          </w:p>
        </w:tc>
        <w:tc>
          <w:tcPr>
            <w:tcW w:type="dxa" w:w="1831"/>
          </w:tcPr>
          <w:p>
            <w:pPr>
              <w:spacing w:after="20" w:before="20"/>
            </w:pPr>
            <w:r/>
            <w:r>
              <w:rPr>
                <w:rFonts w:ascii="Calibri" w:hAnsi="Calibri"/>
                <w:b w:val="0"/>
                <w:i w:val="0"/>
                <w:color w:val="334E68"/>
                <w:sz w:val="17"/>
              </w:rPr>
              <w:t>5.2</w:t>
            </w:r>
          </w:p>
        </w:tc>
      </w:tr>
      <w:tr>
        <w:trPr>
          <w:cantSplit/>
        </w:trPr>
        <w:tc>
          <w:tcPr>
            <w:tcW w:type="dxa" w:w="482"/>
            <w:shd w:val="clear" w:color="auto" w:fill="FAFBFD"/>
          </w:tcPr>
          <w:p>
            <w:pPr>
              <w:spacing w:after="20" w:before="20"/>
            </w:pPr>
            <w:r/>
            <w:r>
              <w:rPr>
                <w:rFonts w:ascii="Calibri" w:hAnsi="Calibri"/>
                <w:b/>
                <w:i w:val="0"/>
                <w:color w:val="334E68"/>
                <w:sz w:val="17"/>
              </w:rPr>
              <w:t>4</w:t>
            </w:r>
          </w:p>
        </w:tc>
        <w:tc>
          <w:tcPr>
            <w:tcW w:type="dxa" w:w="7325"/>
            <w:shd w:val="clear" w:color="auto" w:fill="FAFBFD"/>
          </w:tcPr>
          <w:p>
            <w:pPr>
              <w:spacing w:after="20" w:before="20"/>
            </w:pPr>
            <w:r/>
            <w:r>
              <w:rPr>
                <w:rFonts w:ascii="Calibri" w:hAnsi="Calibri"/>
                <w:b w:val="0"/>
                <w:i w:val="0"/>
                <w:color w:val="334E68"/>
                <w:sz w:val="17"/>
              </w:rPr>
              <w:t>Validate provisioned AWS infrastructure rather than assuming automation produced the expected result.</w:t>
            </w:r>
          </w:p>
        </w:tc>
        <w:tc>
          <w:tcPr>
            <w:tcW w:type="dxa" w:w="1831"/>
            <w:shd w:val="clear" w:color="auto" w:fill="FAFBFD"/>
          </w:tcPr>
          <w:p>
            <w:pPr>
              <w:spacing w:after="20" w:before="20"/>
            </w:pPr>
            <w:r/>
            <w:r>
              <w:rPr>
                <w:rFonts w:ascii="Calibri" w:hAnsi="Calibri"/>
                <w:b w:val="0"/>
                <w:i w:val="0"/>
                <w:color w:val="334E68"/>
                <w:sz w:val="17"/>
              </w:rPr>
              <w:t>5.3</w:t>
            </w:r>
          </w:p>
        </w:tc>
      </w:tr>
      <w:tr>
        <w:trPr>
          <w:cantSplit/>
        </w:trPr>
        <w:tc>
          <w:tcPr>
            <w:tcW w:type="dxa" w:w="482"/>
          </w:tcPr>
          <w:p>
            <w:pPr>
              <w:spacing w:after="20" w:before="20"/>
            </w:pPr>
            <w:r/>
            <w:r>
              <w:rPr>
                <w:rFonts w:ascii="Calibri" w:hAnsi="Calibri"/>
                <w:b/>
                <w:i w:val="0"/>
                <w:color w:val="334E68"/>
                <w:sz w:val="17"/>
              </w:rPr>
              <w:t>5</w:t>
            </w:r>
          </w:p>
        </w:tc>
        <w:tc>
          <w:tcPr>
            <w:tcW w:type="dxa" w:w="7325"/>
          </w:tcPr>
          <w:p>
            <w:pPr>
              <w:spacing w:after="20" w:before="20"/>
            </w:pPr>
            <w:r/>
            <w:r>
              <w:rPr>
                <w:rFonts w:ascii="Calibri" w:hAnsi="Calibri"/>
                <w:b w:val="0"/>
                <w:i w:val="0"/>
                <w:color w:val="334E68"/>
                <w:sz w:val="17"/>
              </w:rPr>
              <w:t>Keep CMDB, inventory and actual infrastructure aligned.</w:t>
            </w:r>
          </w:p>
        </w:tc>
        <w:tc>
          <w:tcPr>
            <w:tcW w:type="dxa" w:w="1831"/>
          </w:tcPr>
          <w:p>
            <w:pPr>
              <w:spacing w:after="20" w:before="20"/>
            </w:pPr>
            <w:r/>
            <w:r>
              <w:rPr>
                <w:rFonts w:ascii="Calibri" w:hAnsi="Calibri"/>
                <w:b w:val="0"/>
                <w:i w:val="0"/>
                <w:color w:val="334E68"/>
                <w:sz w:val="17"/>
              </w:rPr>
              <w:t>5.5</w:t>
            </w:r>
          </w:p>
        </w:tc>
      </w:tr>
      <w:tr>
        <w:trPr>
          <w:cantSplit/>
        </w:trPr>
        <w:tc>
          <w:tcPr>
            <w:tcW w:type="dxa" w:w="482"/>
            <w:shd w:val="clear" w:color="auto" w:fill="FAFBFD"/>
          </w:tcPr>
          <w:p>
            <w:pPr>
              <w:spacing w:after="20" w:before="20"/>
            </w:pPr>
            <w:r/>
            <w:r>
              <w:rPr>
                <w:rFonts w:ascii="Calibri" w:hAnsi="Calibri"/>
                <w:b/>
                <w:i w:val="0"/>
                <w:color w:val="334E68"/>
                <w:sz w:val="17"/>
              </w:rPr>
              <w:t>6</w:t>
            </w:r>
          </w:p>
        </w:tc>
        <w:tc>
          <w:tcPr>
            <w:tcW w:type="dxa" w:w="7325"/>
            <w:shd w:val="clear" w:color="auto" w:fill="FAFBFD"/>
          </w:tcPr>
          <w:p>
            <w:pPr>
              <w:spacing w:after="20" w:before="20"/>
            </w:pPr>
            <w:r/>
            <w:r>
              <w:rPr>
                <w:rFonts w:ascii="Calibri" w:hAnsi="Calibri"/>
                <w:b w:val="0"/>
                <w:i w:val="0"/>
                <w:color w:val="334E68"/>
                <w:sz w:val="17"/>
              </w:rPr>
              <w:t>UID/GID mismatches can create permission and application issues.</w:t>
            </w:r>
          </w:p>
        </w:tc>
        <w:tc>
          <w:tcPr>
            <w:tcW w:type="dxa" w:w="1831"/>
            <w:shd w:val="clear" w:color="auto" w:fill="FAFBFD"/>
          </w:tcPr>
          <w:p>
            <w:pPr>
              <w:spacing w:after="20" w:before="20"/>
            </w:pPr>
            <w:r/>
            <w:r>
              <w:rPr>
                <w:rFonts w:ascii="Calibri" w:hAnsi="Calibri"/>
                <w:b w:val="0"/>
                <w:i w:val="0"/>
                <w:color w:val="334E68"/>
                <w:sz w:val="17"/>
              </w:rPr>
              <w:t>7.2</w:t>
            </w:r>
          </w:p>
        </w:tc>
      </w:tr>
      <w:tr>
        <w:trPr>
          <w:cantSplit/>
        </w:trPr>
        <w:tc>
          <w:tcPr>
            <w:tcW w:type="dxa" w:w="482"/>
          </w:tcPr>
          <w:p>
            <w:pPr>
              <w:spacing w:after="20" w:before="20"/>
            </w:pPr>
            <w:r/>
            <w:r>
              <w:rPr>
                <w:rFonts w:ascii="Calibri" w:hAnsi="Calibri"/>
                <w:b/>
                <w:i w:val="0"/>
                <w:color w:val="334E68"/>
                <w:sz w:val="17"/>
              </w:rPr>
              <w:t>7</w:t>
            </w:r>
          </w:p>
        </w:tc>
        <w:tc>
          <w:tcPr>
            <w:tcW w:type="dxa" w:w="7325"/>
          </w:tcPr>
          <w:p>
            <w:pPr>
              <w:spacing w:after="20" w:before="20"/>
            </w:pPr>
            <w:r/>
            <w:r>
              <w:rPr>
                <w:rFonts w:ascii="Calibri" w:hAnsi="Calibri"/>
                <w:b w:val="0"/>
                <w:i w:val="0"/>
                <w:color w:val="334E68"/>
                <w:sz w:val="17"/>
              </w:rPr>
              <w:t>Validate STMS, RFC, Gateway, certificates, printers and directories explicitly.</w:t>
            </w:r>
          </w:p>
        </w:tc>
        <w:tc>
          <w:tcPr>
            <w:tcW w:type="dxa" w:w="1831"/>
          </w:tcPr>
          <w:p>
            <w:pPr>
              <w:spacing w:after="20" w:before="20"/>
            </w:pPr>
            <w:r/>
            <w:r>
              <w:rPr>
                <w:rFonts w:ascii="Calibri" w:hAnsi="Calibri"/>
                <w:b w:val="0"/>
                <w:i w:val="0"/>
                <w:color w:val="334E68"/>
                <w:sz w:val="17"/>
              </w:rPr>
              <w:t>7.3</w:t>
            </w:r>
          </w:p>
        </w:tc>
      </w:tr>
      <w:tr>
        <w:trPr>
          <w:cantSplit/>
        </w:trPr>
        <w:tc>
          <w:tcPr>
            <w:tcW w:type="dxa" w:w="482"/>
            <w:shd w:val="clear" w:color="auto" w:fill="FAFBFD"/>
          </w:tcPr>
          <w:p>
            <w:pPr>
              <w:spacing w:after="20" w:before="20"/>
            </w:pPr>
            <w:r/>
            <w:r>
              <w:rPr>
                <w:rFonts w:ascii="Calibri" w:hAnsi="Calibri"/>
                <w:b/>
                <w:i w:val="0"/>
                <w:color w:val="334E68"/>
                <w:sz w:val="17"/>
              </w:rPr>
              <w:t>8</w:t>
            </w:r>
          </w:p>
        </w:tc>
        <w:tc>
          <w:tcPr>
            <w:tcW w:type="dxa" w:w="7325"/>
            <w:shd w:val="clear" w:color="auto" w:fill="FAFBFD"/>
          </w:tcPr>
          <w:p>
            <w:pPr>
              <w:spacing w:after="20" w:before="20"/>
            </w:pPr>
            <w:r/>
            <w:r>
              <w:rPr>
                <w:rFonts w:ascii="Calibri" w:hAnsi="Calibri"/>
                <w:b w:val="0"/>
                <w:i w:val="0"/>
                <w:color w:val="334E68"/>
                <w:sz w:val="17"/>
              </w:rPr>
              <w:t>Obtain third-party RFC credentials before cutover when required.</w:t>
            </w:r>
          </w:p>
        </w:tc>
        <w:tc>
          <w:tcPr>
            <w:tcW w:type="dxa" w:w="1831"/>
            <w:shd w:val="clear" w:color="auto" w:fill="FAFBFD"/>
          </w:tcPr>
          <w:p>
            <w:pPr>
              <w:spacing w:after="20" w:before="20"/>
            </w:pPr>
            <w:r/>
            <w:r>
              <w:rPr>
                <w:rFonts w:ascii="Calibri" w:hAnsi="Calibri"/>
                <w:b w:val="0"/>
                <w:i w:val="0"/>
                <w:color w:val="334E68"/>
                <w:sz w:val="17"/>
              </w:rPr>
              <w:t>4.1, 10.3</w:t>
            </w:r>
          </w:p>
        </w:tc>
      </w:tr>
      <w:tr>
        <w:trPr>
          <w:cantSplit/>
        </w:trPr>
        <w:tc>
          <w:tcPr>
            <w:tcW w:type="dxa" w:w="482"/>
          </w:tcPr>
          <w:p>
            <w:pPr>
              <w:spacing w:after="20" w:before="20"/>
            </w:pPr>
            <w:r/>
            <w:r>
              <w:rPr>
                <w:rFonts w:ascii="Calibri" w:hAnsi="Calibri"/>
                <w:b/>
                <w:i w:val="0"/>
                <w:color w:val="334E68"/>
                <w:sz w:val="17"/>
              </w:rPr>
              <w:t>9</w:t>
            </w:r>
          </w:p>
        </w:tc>
        <w:tc>
          <w:tcPr>
            <w:tcW w:type="dxa" w:w="7325"/>
          </w:tcPr>
          <w:p>
            <w:pPr>
              <w:spacing w:after="20" w:before="20"/>
            </w:pPr>
            <w:r/>
            <w:r>
              <w:rPr>
                <w:rFonts w:ascii="Calibri" w:hAnsi="Calibri"/>
                <w:b w:val="0"/>
                <w:i w:val="0"/>
                <w:color w:val="334E68"/>
                <w:sz w:val="17"/>
              </w:rPr>
              <w:t>Test backup and recovery before the actual cutover.</w:t>
            </w:r>
          </w:p>
        </w:tc>
        <w:tc>
          <w:tcPr>
            <w:tcW w:type="dxa" w:w="1831"/>
          </w:tcPr>
          <w:p>
            <w:pPr>
              <w:spacing w:after="20" w:before="20"/>
            </w:pPr>
            <w:r/>
            <w:r>
              <w:rPr>
                <w:rFonts w:ascii="Calibri" w:hAnsi="Calibri"/>
                <w:b w:val="0"/>
                <w:i w:val="0"/>
                <w:color w:val="334E68"/>
                <w:sz w:val="17"/>
              </w:rPr>
              <w:t>6.4</w:t>
            </w:r>
          </w:p>
        </w:tc>
      </w:tr>
      <w:tr>
        <w:trPr>
          <w:cantSplit/>
        </w:trPr>
        <w:tc>
          <w:tcPr>
            <w:tcW w:type="dxa" w:w="482"/>
            <w:shd w:val="clear" w:color="auto" w:fill="FAFBFD"/>
          </w:tcPr>
          <w:p>
            <w:pPr>
              <w:spacing w:after="20" w:before="20"/>
            </w:pPr>
            <w:r/>
            <w:r>
              <w:rPr>
                <w:rFonts w:ascii="Calibri" w:hAnsi="Calibri"/>
                <w:b/>
                <w:i w:val="0"/>
                <w:color w:val="334E68"/>
                <w:sz w:val="17"/>
              </w:rPr>
              <w:t>10</w:t>
            </w:r>
          </w:p>
        </w:tc>
        <w:tc>
          <w:tcPr>
            <w:tcW w:type="dxa" w:w="7325"/>
            <w:shd w:val="clear" w:color="auto" w:fill="FAFBFD"/>
          </w:tcPr>
          <w:p>
            <w:pPr>
              <w:spacing w:after="20" w:before="20"/>
            </w:pPr>
            <w:r/>
            <w:r>
              <w:rPr>
                <w:rFonts w:ascii="Calibri" w:hAnsi="Calibri"/>
                <w:b w:val="0"/>
                <w:i w:val="0"/>
                <w:color w:val="334E68"/>
                <w:sz w:val="17"/>
              </w:rPr>
              <w:t>Keep the source available until the required final backup activity is successfully completed.</w:t>
            </w:r>
          </w:p>
        </w:tc>
        <w:tc>
          <w:tcPr>
            <w:tcW w:type="dxa" w:w="1831"/>
            <w:shd w:val="clear" w:color="auto" w:fill="FAFBFD"/>
          </w:tcPr>
          <w:p>
            <w:pPr>
              <w:spacing w:after="20" w:before="20"/>
            </w:pPr>
            <w:r/>
            <w:r>
              <w:rPr>
                <w:rFonts w:ascii="Calibri" w:hAnsi="Calibri"/>
                <w:b w:val="0"/>
                <w:i w:val="0"/>
                <w:color w:val="334E68"/>
                <w:sz w:val="17"/>
              </w:rPr>
              <w:t>6.4</w:t>
            </w:r>
          </w:p>
        </w:tc>
      </w:tr>
      <w:tr>
        <w:trPr>
          <w:cantSplit/>
        </w:trPr>
        <w:tc>
          <w:tcPr>
            <w:tcW w:type="dxa" w:w="482"/>
          </w:tcPr>
          <w:p>
            <w:pPr>
              <w:spacing w:after="20" w:before="20"/>
            </w:pPr>
            <w:r/>
            <w:r>
              <w:rPr>
                <w:rFonts w:ascii="Calibri" w:hAnsi="Calibri"/>
                <w:b/>
                <w:i w:val="0"/>
                <w:color w:val="334E68"/>
                <w:sz w:val="17"/>
              </w:rPr>
              <w:t>11</w:t>
            </w:r>
          </w:p>
        </w:tc>
        <w:tc>
          <w:tcPr>
            <w:tcW w:type="dxa" w:w="7325"/>
          </w:tcPr>
          <w:p>
            <w:pPr>
              <w:spacing w:after="20" w:before="20"/>
            </w:pPr>
            <w:r/>
            <w:r>
              <w:rPr>
                <w:rFonts w:ascii="Calibri" w:hAnsi="Calibri"/>
                <w:b w:val="0"/>
                <w:i w:val="0"/>
                <w:color w:val="334E68"/>
                <w:sz w:val="17"/>
              </w:rPr>
              <w:t>Capture evidence at every important decision gate.</w:t>
            </w:r>
          </w:p>
        </w:tc>
        <w:tc>
          <w:tcPr>
            <w:tcW w:type="dxa" w:w="1831"/>
          </w:tcPr>
          <w:p>
            <w:pPr>
              <w:spacing w:after="20" w:before="20"/>
            </w:pPr>
            <w:r/>
            <w:r>
              <w:rPr>
                <w:rFonts w:ascii="Calibri" w:hAnsi="Calibri"/>
                <w:b w:val="0"/>
                <w:i w:val="0"/>
                <w:color w:val="334E68"/>
                <w:sz w:val="17"/>
              </w:rPr>
              <w:t>13</w:t>
            </w:r>
          </w:p>
        </w:tc>
      </w:tr>
      <w:tr>
        <w:trPr>
          <w:cantSplit/>
        </w:trPr>
        <w:tc>
          <w:tcPr>
            <w:tcW w:type="dxa" w:w="482"/>
            <w:shd w:val="clear" w:color="auto" w:fill="FAFBFD"/>
          </w:tcPr>
          <w:p>
            <w:pPr>
              <w:spacing w:after="20" w:before="20"/>
            </w:pPr>
            <w:r/>
            <w:r>
              <w:rPr>
                <w:rFonts w:ascii="Calibri" w:hAnsi="Calibri"/>
                <w:b/>
                <w:i w:val="0"/>
                <w:color w:val="334E68"/>
                <w:sz w:val="17"/>
              </w:rPr>
              <w:t>12</w:t>
            </w:r>
          </w:p>
        </w:tc>
        <w:tc>
          <w:tcPr>
            <w:tcW w:type="dxa" w:w="7325"/>
            <w:shd w:val="clear" w:color="auto" w:fill="FAFBFD"/>
          </w:tcPr>
          <w:p>
            <w:pPr>
              <w:spacing w:after="20" w:before="20"/>
            </w:pPr>
            <w:r/>
            <w:r>
              <w:rPr>
                <w:rFonts w:ascii="Calibri" w:hAnsi="Calibri"/>
                <w:b w:val="0"/>
                <w:i w:val="0"/>
                <w:color w:val="334E68"/>
                <w:sz w:val="17"/>
              </w:rPr>
              <w:t>Do not classify a pre-existing source issue as a migration defect without evidence.</w:t>
            </w:r>
          </w:p>
        </w:tc>
        <w:tc>
          <w:tcPr>
            <w:tcW w:type="dxa" w:w="1831"/>
            <w:shd w:val="clear" w:color="auto" w:fill="FAFBFD"/>
          </w:tcPr>
          <w:p>
            <w:pPr>
              <w:spacing w:after="20" w:before="20"/>
            </w:pPr>
            <w:r/>
            <w:r>
              <w:rPr>
                <w:rFonts w:ascii="Calibri" w:hAnsi="Calibri"/>
                <w:b w:val="0"/>
                <w:i w:val="0"/>
                <w:color w:val="334E68"/>
                <w:sz w:val="17"/>
              </w:rPr>
              <w:t>4.4, 13</w:t>
            </w:r>
          </w:p>
        </w:tc>
      </w:tr>
      <w:tr>
        <w:trPr>
          <w:cantSplit/>
        </w:trPr>
        <w:tc>
          <w:tcPr>
            <w:tcW w:type="dxa" w:w="482"/>
          </w:tcPr>
          <w:p>
            <w:pPr>
              <w:spacing w:after="20" w:before="20"/>
            </w:pPr>
            <w:r/>
            <w:r>
              <w:rPr>
                <w:rFonts w:ascii="Calibri" w:hAnsi="Calibri"/>
                <w:b/>
                <w:i w:val="0"/>
                <w:color w:val="334E68"/>
                <w:sz w:val="17"/>
              </w:rPr>
              <w:t>13</w:t>
            </w:r>
          </w:p>
        </w:tc>
        <w:tc>
          <w:tcPr>
            <w:tcW w:type="dxa" w:w="7325"/>
          </w:tcPr>
          <w:p>
            <w:pPr>
              <w:spacing w:after="20" w:before="20"/>
            </w:pPr>
            <w:r/>
            <w:r>
              <w:rPr>
                <w:rFonts w:ascii="Calibri" w:hAnsi="Calibri"/>
                <w:b w:val="0"/>
                <w:i w:val="0"/>
                <w:color w:val="334E68"/>
                <w:sz w:val="17"/>
              </w:rPr>
              <w:t>Go/No-Go must be evidence-driven and supported by technical, functional and owner approvals.</w:t>
            </w:r>
          </w:p>
        </w:tc>
        <w:tc>
          <w:tcPr>
            <w:tcW w:type="dxa" w:w="1831"/>
          </w:tcPr>
          <w:p>
            <w:pPr>
              <w:spacing w:after="20" w:before="20"/>
            </w:pPr>
            <w:r/>
            <w:r>
              <w:rPr>
                <w:rFonts w:ascii="Calibri" w:hAnsi="Calibri"/>
                <w:b w:val="0"/>
                <w:i w:val="0"/>
                <w:color w:val="334E68"/>
                <w:sz w:val="17"/>
              </w:rPr>
              <w:t>10.4</w:t>
            </w:r>
          </w:p>
        </w:tc>
      </w:tr>
      <w:tr>
        <w:trPr>
          <w:cantSplit/>
        </w:trPr>
        <w:tc>
          <w:tcPr>
            <w:tcW w:type="dxa" w:w="482"/>
            <w:shd w:val="clear" w:color="auto" w:fill="FAFBFD"/>
          </w:tcPr>
          <w:p>
            <w:pPr>
              <w:spacing w:after="20" w:before="20"/>
            </w:pPr>
            <w:r/>
            <w:r>
              <w:rPr>
                <w:rFonts w:ascii="Calibri" w:hAnsi="Calibri"/>
                <w:b/>
                <w:i w:val="0"/>
                <w:color w:val="334E68"/>
                <w:sz w:val="17"/>
              </w:rPr>
              <w:t>14</w:t>
            </w:r>
          </w:p>
        </w:tc>
        <w:tc>
          <w:tcPr>
            <w:tcW w:type="dxa" w:w="7325"/>
            <w:shd w:val="clear" w:color="auto" w:fill="FAFBFD"/>
          </w:tcPr>
          <w:p>
            <w:pPr>
              <w:spacing w:after="20" w:before="20"/>
            </w:pPr>
            <w:r/>
            <w:r>
              <w:rPr>
                <w:rFonts w:ascii="Calibri" w:hAnsi="Calibri"/>
                <w:b w:val="0"/>
                <w:i w:val="0"/>
                <w:color w:val="334E68"/>
                <w:sz w:val="17"/>
              </w:rPr>
              <w:t>Rollback readiness must be maintained until the migration is considered safe.</w:t>
            </w:r>
          </w:p>
        </w:tc>
        <w:tc>
          <w:tcPr>
            <w:tcW w:type="dxa" w:w="1831"/>
            <w:shd w:val="clear" w:color="auto" w:fill="FAFBFD"/>
          </w:tcPr>
          <w:p>
            <w:pPr>
              <w:spacing w:after="20" w:before="20"/>
            </w:pPr>
            <w:r/>
            <w:r>
              <w:rPr>
                <w:rFonts w:ascii="Calibri" w:hAnsi="Calibri"/>
                <w:b w:val="0"/>
                <w:i w:val="0"/>
                <w:color w:val="334E68"/>
                <w:sz w:val="17"/>
              </w:rPr>
              <w:t>9.3, 10.5</w:t>
            </w:r>
          </w:p>
        </w:tc>
      </w:tr>
      <w:tr>
        <w:trPr>
          <w:cantSplit/>
        </w:trPr>
        <w:tc>
          <w:tcPr>
            <w:tcW w:type="dxa" w:w="482"/>
          </w:tcPr>
          <w:p>
            <w:pPr>
              <w:spacing w:after="20" w:before="20"/>
            </w:pPr>
            <w:r/>
            <w:r>
              <w:rPr>
                <w:rFonts w:ascii="Calibri" w:hAnsi="Calibri"/>
                <w:b/>
                <w:i w:val="0"/>
                <w:color w:val="334E68"/>
                <w:sz w:val="17"/>
              </w:rPr>
              <w:t>15</w:t>
            </w:r>
          </w:p>
        </w:tc>
        <w:tc>
          <w:tcPr>
            <w:tcW w:type="dxa" w:w="7325"/>
          </w:tcPr>
          <w:p>
            <w:pPr>
              <w:spacing w:after="20" w:before="20"/>
            </w:pPr>
            <w:r/>
            <w:r>
              <w:rPr>
                <w:rFonts w:ascii="Calibri" w:hAnsi="Calibri"/>
                <w:b w:val="0"/>
                <w:i w:val="0"/>
                <w:color w:val="334E68"/>
                <w:sz w:val="17"/>
              </w:rPr>
              <w:t>During hypercare, compare actual issues with the pre-migration baseline.</w:t>
            </w:r>
          </w:p>
        </w:tc>
        <w:tc>
          <w:tcPr>
            <w:tcW w:type="dxa" w:w="1831"/>
          </w:tcPr>
          <w:p>
            <w:pPr>
              <w:spacing w:after="20" w:before="20"/>
            </w:pPr>
            <w:r/>
            <w:r>
              <w:rPr>
                <w:rFonts w:ascii="Calibri" w:hAnsi="Calibri"/>
                <w:b w:val="0"/>
                <w:i w:val="0"/>
                <w:color w:val="334E68"/>
                <w:sz w:val="17"/>
              </w:rPr>
              <w:t>10.6</w:t>
            </w:r>
          </w:p>
        </w:tc>
      </w:tr>
    </w:tbl>
    <w:p>
      <w:pPr>
        <w:spacing w:after="40"/>
      </w:pPr>
    </w:p>
    <w:p>
      <w:pPr>
        <w:pStyle w:val="Heading2"/>
        <w:pBdr>
          <w:bottom w:val="single" w:sz="6" w:space="3" w:color="E8EDF3"/>
        </w:pBdr>
      </w:pPr>
      <w:r>
        <w:rPr>
          <w:rFonts w:ascii="Calibri" w:hAnsi="Calibri"/>
          <w:b/>
          <w:color w:val="0F2B4C"/>
          <w:sz w:val="26"/>
        </w:rPr>
        <w:t>16.1  Anti-patterns the training warned against</w:t>
      </w:r>
    </w:p>
    <w:p>
      <w:pPr>
        <w:spacing w:before="100" w:after="20"/>
        <w:shd w:val="clear" w:color="auto" w:fill="F7F9FC"/>
        <w:pBdr>
          <w:left w:val="single" w:sz="18" w:space="6" w:color="9EC3EC"/>
        </w:pBdr>
      </w:pPr>
      <w:r>
        <w:rPr>
          <w:rFonts w:ascii="Calibri" w:hAnsi="Calibri"/>
          <w:b/>
          <w:color w:val="0F2B4C"/>
          <w:sz w:val="19"/>
        </w:rPr>
        <w:t>Silent fixes</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Repairing something during cutover without recording it. It becomes an unapproved change nobody can explain later.</w:t>
      </w:r>
    </w:p>
    <w:p>
      <w:pPr>
        <w:spacing w:before="100" w:after="20"/>
        <w:shd w:val="clear" w:color="auto" w:fill="F7F9FC"/>
        <w:pBdr>
          <w:left w:val="single" w:sz="18" w:space="6" w:color="9EC3EC"/>
        </w:pBdr>
      </w:pPr>
      <w:r>
        <w:rPr>
          <w:rFonts w:ascii="Calibri" w:hAnsi="Calibri"/>
          <w:b/>
          <w:color w:val="0F2B4C"/>
          <w:sz w:val="19"/>
        </w:rPr>
        <w:t>Assertion instead of evidence</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“It was working” with no timestamp, no output and no comparison to the baseline.</w:t>
      </w:r>
    </w:p>
    <w:p>
      <w:pPr>
        <w:spacing w:before="100" w:after="20"/>
        <w:shd w:val="clear" w:color="auto" w:fill="F7F9FC"/>
        <w:pBdr>
          <w:left w:val="single" w:sz="18" w:space="6" w:color="9EC3EC"/>
        </w:pBdr>
      </w:pPr>
      <w:r>
        <w:rPr>
          <w:rFonts w:ascii="Calibri" w:hAnsi="Calibri"/>
          <w:b/>
          <w:color w:val="0F2B4C"/>
          <w:sz w:val="19"/>
        </w:rPr>
        <w:t>Automation absolution</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Assuming the automated build is correct because it completed. Completion is not correctness.</w:t>
      </w:r>
    </w:p>
    <w:p>
      <w:pPr>
        <w:spacing w:before="100" w:after="20"/>
        <w:shd w:val="clear" w:color="auto" w:fill="F7F9FC"/>
        <w:pBdr>
          <w:left w:val="single" w:sz="18" w:space="6" w:color="9EC3EC"/>
        </w:pBdr>
      </w:pPr>
      <w:r>
        <w:rPr>
          <w:rFonts w:ascii="Calibri" w:hAnsi="Calibri"/>
          <w:b/>
          <w:color w:val="0F2B4C"/>
          <w:sz w:val="19"/>
        </w:rPr>
        <w:t>Parameter-first troubleshooting</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Raising memory, timeouts or buffer sizes before identifying what is consuming the resource.</w:t>
      </w:r>
    </w:p>
    <w:p>
      <w:pPr>
        <w:spacing w:before="100" w:after="20"/>
        <w:shd w:val="clear" w:color="auto" w:fill="F7F9FC"/>
        <w:pBdr>
          <w:left w:val="single" w:sz="18" w:space="6" w:color="9EC3EC"/>
        </w:pBdr>
      </w:pPr>
      <w:r>
        <w:rPr>
          <w:rFonts w:ascii="Calibri" w:hAnsi="Calibri"/>
          <w:b/>
          <w:color w:val="0F2B4C"/>
          <w:sz w:val="19"/>
        </w:rPr>
        <w:t>Shared ownership</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Three engineers making independent changes to one SID during validation.</w:t>
      </w:r>
    </w:p>
    <w:p>
      <w:pPr>
        <w:spacing w:before="100" w:after="20"/>
        <w:shd w:val="clear" w:color="auto" w:fill="F7F9FC"/>
        <w:pBdr>
          <w:left w:val="single" w:sz="18" w:space="6" w:color="9EC3EC"/>
        </w:pBdr>
      </w:pPr>
      <w:r>
        <w:rPr>
          <w:rFonts w:ascii="Calibri" w:hAnsi="Calibri"/>
          <w:b/>
          <w:color w:val="0F2B4C"/>
          <w:sz w:val="19"/>
        </w:rPr>
        <w:t>Compressed discovery</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Shortening discovery to protect the schedule, then paying for it in the cutover window.</w:t>
      </w:r>
    </w:p>
    <w:p>
      <w:pPr>
        <w:spacing w:before="100" w:after="20"/>
        <w:shd w:val="clear" w:color="auto" w:fill="F7F9FC"/>
        <w:pBdr>
          <w:left w:val="single" w:sz="18" w:space="6" w:color="9EC3EC"/>
        </w:pBdr>
      </w:pPr>
      <w:r>
        <w:rPr>
          <w:rFonts w:ascii="Calibri" w:hAnsi="Calibri"/>
          <w:b/>
          <w:color w:val="0F2B4C"/>
          <w:sz w:val="19"/>
        </w:rPr>
        <w:t>Unrehearsed rollback</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A rollback plan that exists in a document but has never been executed or timed.</w:t>
      </w:r>
    </w:p>
    <w:p>
      <w:pPr>
        <w:spacing w:before="100" w:after="20"/>
        <w:shd w:val="clear" w:color="auto" w:fill="F7F9FC"/>
        <w:pBdr>
          <w:left w:val="single" w:sz="18" w:space="6" w:color="9EC3EC"/>
        </w:pBdr>
      </w:pPr>
      <w:r>
        <w:rPr>
          <w:rFonts w:ascii="Calibri" w:hAnsi="Calibri"/>
          <w:b/>
          <w:color w:val="0F2B4C"/>
          <w:sz w:val="19"/>
        </w:rPr>
        <w:t>Late credential requests</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Third-party and middleware credentials requested in cutover week.</w:t>
      </w:r>
    </w:p>
    <w:p>
      <w:pPr>
        <w:spacing w:before="100" w:after="20"/>
        <w:shd w:val="clear" w:color="auto" w:fill="F7F9FC"/>
        <w:pBdr>
          <w:left w:val="single" w:sz="18" w:space="6" w:color="9EC3EC"/>
        </w:pBdr>
      </w:pPr>
      <w:r>
        <w:rPr>
          <w:rFonts w:ascii="Calibri" w:hAnsi="Calibri"/>
          <w:b/>
          <w:color w:val="0F2B4C"/>
          <w:sz w:val="19"/>
        </w:rPr>
        <w:t>Cropped screenshots</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Evidence that shows only the success line and none of the context around it.</w:t>
      </w:r>
    </w:p>
    <w:p>
      <w:pPr>
        <w:spacing w:before="100" w:after="20"/>
        <w:shd w:val="clear" w:color="auto" w:fill="F7F9FC"/>
        <w:pBdr>
          <w:left w:val="single" w:sz="18" w:space="6" w:color="9EC3EC"/>
        </w:pBdr>
      </w:pPr>
      <w:r>
        <w:rPr>
          <w:rFonts w:ascii="Calibri" w:hAnsi="Calibri"/>
          <w:b/>
          <w:color w:val="0F2B4C"/>
          <w:sz w:val="19"/>
        </w:rPr>
        <w:t>Hypercare amnesia</w:t>
      </w:r>
    </w:p>
    <w:p>
      <w:pPr>
        <w:spacing w:after="120"/>
        <w:ind w:left="170"/>
        <w:shd w:val="clear" w:color="auto" w:fill="F7F9FC"/>
        <w:pBdr>
          <w:left w:val="single" w:sz="6" w:space="6" w:color="9EC3EC"/>
          <w:right w:val="single" w:sz="6" w:space="6" w:color="9EC3EC"/>
        </w:pBdr>
      </w:pPr>
      <w:r>
        <w:rPr>
          <w:rFonts w:ascii="Calibri" w:hAnsi="Calibri"/>
          <w:b w:val="0"/>
          <w:i w:val="0"/>
          <w:color w:val="334E68"/>
          <w:sz w:val="18"/>
        </w:rPr>
        <w:t>Losing the baseline at go-live, so every pre-existing fault becomes a migration defect.</w:t>
      </w:r>
    </w:p>
    <w:p>
      <w:r>
        <w:br w:type="page"/>
      </w:r>
    </w:p>
    <w:p>
      <w:pPr>
        <w:spacing w:after="20"/>
      </w:pPr>
      <w:r>
        <w:rPr>
          <w:rFonts w:ascii="Calibri" w:hAnsi="Calibri"/>
          <w:b/>
          <w:color w:val="1B4F86"/>
          <w:sz w:val="16"/>
        </w:rPr>
        <w:t>SECTION 17</w:t>
      </w:r>
    </w:p>
    <w:p>
      <w:pPr>
        <w:pStyle w:val="Heading1"/>
        <w:pBdr>
          <w:bottom w:val="single" w:sz="12" w:space="5" w:color="1B4F86"/>
        </w:pBdr>
        <w:spacing w:after="160"/>
      </w:pPr>
      <w:r>
        <w:rPr>
          <w:rFonts w:ascii="Calibri Light" w:hAnsi="Calibri Light"/>
          <w:b/>
          <w:color w:val="0F2B4C"/>
          <w:sz w:val="38"/>
        </w:rPr>
        <w:t>17  Final knowledge check</w:t>
      </w:r>
    </w:p>
    <w:p>
      <w:pPr>
        <w:spacing w:after="200"/>
      </w:pPr>
      <w:r>
        <w:rPr>
          <w:rFonts w:ascii="Calibri" w:hAnsi="Calibri"/>
          <w:i/>
          <w:color w:val="5B7288"/>
          <w:sz w:val="21"/>
        </w:rPr>
        <w:t>Sixteen questions. The first twelve are from the source training; the last four were added during the professional review to cover points the modules rely on. Answers are hidden until opened — this is a self-test, not a reading exercise.</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1</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val="0"/>
          <w:color w:val="334E68"/>
          <w:sz w:val="18"/>
        </w:rPr>
        <w:t>It provides the evidence used for target comparison and it is what allows you to distinguish migration-related failures from pre-existing issues. Without a baseline, every post-migration problem is arguable: you cannot prove whether the migration caused it, and you cannot prove that a fix is needed. The baseline covers OS, SAP, database, interfaces, directories, workload, memory, backup status and known failures — each with a timestamp.</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2</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val="0"/>
          <w:color w:val="334E68"/>
          <w:sz w:val="18"/>
        </w:rPr>
        <w:t>It is the approved system information used for target provisioning and for validating what was provisioned. It is prepared from the sizing report and architecture, peer-reviewed, finalised with the customer, and then used twice: as the input to automation, and as the reference the migration team validates the built environment against.</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3</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val="0"/>
          <w:color w:val="334E68"/>
          <w:sz w:val="18"/>
        </w:rPr>
        <w:t>SystemDB provides central management and monitoring for the HANA system and holds the backup catalogue; TenantDB contains the application and data workload for a specific SAP system. They have separate login contexts and credentials, and both can reside on the same HANA server or VM. Neither is an HA component — high availability is a separate infrastructure-level design.</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4</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val="0"/>
          <w:color w:val="334E68"/>
          <w:sz w:val="18"/>
        </w:rPr>
        <w:t>To confirm that the backup destination, configuration, permissions and the recovery process actually work before they are needed under production pressure. The test also produces the evidence required at Gate 1 and gives you a realistic duration estimate for the cutover window.</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5</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val="0"/>
          <w:color w:val="334E68"/>
          <w:sz w:val="18"/>
        </w:rPr>
        <w:t>RFC destinations and their connectivity, including the relevant TCP/IP, HTTP and external connections. In a migration it is used twice: to enumerate the interface baseline before the move, and to prove each destination still works after it — compared against that baseline, so pre-existing failures are not mistaken for migration defects.</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6</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val="0"/>
          <w:color w:val="334E68"/>
          <w:sz w:val="18"/>
        </w:rPr>
        <w:t>Transport landscape management: the transport domain and its controller, the systems in the landscape, the routes between them, and the transport directory. After migration you validate all four and prove the route works with a test import — a landscape that only transports in one direction is a common half-migrated symptom.</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7</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val="0"/>
          <w:color w:val="334E68"/>
          <w:sz w:val="18"/>
        </w:rPr>
        <w:t xml:space="preserve">Because mismatches cause permission problems, inter-server communication issues, SAP file-access problems and application failures that appear far from their cause. Compare the numeric IDs for </w:t>
      </w:r>
      <w:r>
        <w:rPr>
          <w:rFonts w:ascii="Consolas" w:hAnsi="Consolas"/>
          <w:b w:val="0"/>
          <w:i w:val="0"/>
          <w:color w:val="123A63"/>
          <w:sz w:val="18"/>
          <w:shd w:val="clear" w:color="auto" w:fill="EEF2F7"/>
        </w:rPr>
        <w:t>sapadm</w:t>
      </w:r>
      <w:r>
        <w:rPr>
          <w:rFonts w:ascii="Calibri" w:hAnsi="Calibri"/>
          <w:b w:val="0"/>
          <w:i w:val="0"/>
          <w:color w:val="334E68"/>
          <w:sz w:val="18"/>
        </w:rPr>
        <w:t xml:space="preserve">, </w:t>
      </w:r>
      <w:r>
        <w:rPr>
          <w:rFonts w:ascii="Consolas" w:hAnsi="Consolas"/>
          <w:b w:val="0"/>
          <w:i w:val="0"/>
          <w:color w:val="123A63"/>
          <w:sz w:val="18"/>
          <w:shd w:val="clear" w:color="auto" w:fill="EEF2F7"/>
        </w:rPr>
        <w:t>&lt;sid&gt;adm</w:t>
      </w:r>
      <w:r>
        <w:rPr>
          <w:rFonts w:ascii="Calibri" w:hAnsi="Calibri"/>
          <w:b w:val="0"/>
          <w:i w:val="0"/>
          <w:color w:val="334E68"/>
          <w:sz w:val="18"/>
        </w:rPr>
        <w:t>, the database users and their groups — not just the names, which can be identical while the numbers differ.</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8</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val="0"/>
          <w:color w:val="334E68"/>
          <w:sz w:val="18"/>
        </w:rPr>
        <w:t>To verify synchronization and data consistency between the source primary and the target standby before the switchover. Matching SCN values (with no apply gap) are the evidence that no committed data will be lost when the roles are swapped, and they are attached to the change ticket for approval.</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9</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val="0"/>
          <w:color w:val="334E68"/>
          <w:sz w:val="18"/>
        </w:rPr>
        <w:t>It provides a rollback recovery point before subsequent migration activities. Taken after the standby is synchronized and before the role change, it lets you restore the target to a known consistent state if the switchover or the following validation fails.</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10</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val="0"/>
          <w:color w:val="334E68"/>
          <w:sz w:val="18"/>
        </w:rPr>
        <w:t>To ensure the system is released only after the required technical, functional and owner approvals are in place, with evidence and confirmed rollback readiness. It is a governance control, not a formality: a No-Go with documented reasons is a successful use of the gate.</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11</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val="0"/>
          <w:color w:val="334E68"/>
          <w:sz w:val="18"/>
        </w:rPr>
        <w:t>Execute the agreed rollback procedure — the one prepared and rehearsed before the window. Restore the snapshot or recover the source, revert DNS/CNAME, restart the source, re-validate connectivity, then record the reason, the evidence and the path back into the incident and change process.</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12</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val="0"/>
          <w:color w:val="334E68"/>
          <w:sz w:val="18"/>
        </w:rPr>
        <w:t>15 days after successful go-live. During that period, users are unlocked, background jobs and Control-M activities are resumed with the owning teams, remaining EDG/SAProuter configuration is completed, and every issue is classified as migration-related or pre-existing and routed to the responsible support team.</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13</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color w:val="334E68"/>
          <w:sz w:val="18"/>
        </w:rPr>
        <w:t>Added during the review pass.</w:t>
      </w:r>
      <w:r>
        <w:rPr>
          <w:rFonts w:ascii="Calibri" w:hAnsi="Calibri"/>
          <w:b w:val="0"/>
          <w:i w:val="0"/>
          <w:color w:val="334E68"/>
          <w:sz w:val="18"/>
        </w:rPr>
        <w:t xml:space="preserve"> Because it is the definitive SAP-to-database connectivity check. Starting SAP with a failing database connection generates hundreds of secondary errors in the work process and dispatcher traces that hide the real cause and consume window time; diagnosing </w:t>
      </w:r>
      <w:r>
        <w:rPr>
          <w:rFonts w:ascii="Consolas" w:hAnsi="Consolas"/>
          <w:b w:val="0"/>
          <w:i w:val="0"/>
          <w:color w:val="123A63"/>
          <w:sz w:val="18"/>
          <w:shd w:val="clear" w:color="auto" w:fill="EEF2F7"/>
        </w:rPr>
        <w:t>trans.log</w:t>
      </w:r>
      <w:r>
        <w:rPr>
          <w:rFonts w:ascii="Calibri" w:hAnsi="Calibri"/>
          <w:b w:val="0"/>
          <w:i w:val="0"/>
          <w:color w:val="334E68"/>
          <w:sz w:val="18"/>
        </w:rPr>
        <w:t xml:space="preserve"> first is faster and safer.</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14</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color w:val="334E68"/>
          <w:sz w:val="18"/>
        </w:rPr>
        <w:t>Added during the review pass.</w:t>
      </w:r>
      <w:r>
        <w:rPr>
          <w:rFonts w:ascii="Calibri" w:hAnsi="Calibri"/>
          <w:b w:val="0"/>
          <w:i w:val="0"/>
          <w:color w:val="334E68"/>
          <w:sz w:val="18"/>
        </w:rPr>
        <w:t xml:space="preserve"> An enabled, active service can still fail at boot because of dependency ordering — late-mounting file systems, network not yet up, a cluster-owned virtual IP, or an unreachable database. Only a reboot proves the sequence. A return code of 127 indicates a missing command or unresolved shared library (path, environment, library dependency); 255 is a generic failure from the start script or SAP program and must be diagnosed from the service journal and the SAP traces.</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15</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color w:val="334E68"/>
          <w:sz w:val="18"/>
        </w:rPr>
        <w:t>Added during the review pass.</w:t>
      </w:r>
      <w:r>
        <w:rPr>
          <w:rFonts w:ascii="Calibri" w:hAnsi="Calibri"/>
          <w:b w:val="0"/>
          <w:i w:val="0"/>
          <w:color w:val="334E68"/>
          <w:sz w:val="18"/>
        </w:rPr>
        <w:t xml:space="preserve"> A switchover is a planned, reversible role swap in which both databases end in valid roles and you can switch back; it is the migration mechanism. A failover is a disaster-recovery action taken when the primary is lost: the standby becomes primary and the old primary typically needs rebuilding. Migration runbooks must never describe a failover when they mean a switchover.</w:t>
      </w:r>
    </w:p>
    <w:p>
      <w:pPr>
        <w:spacing w:before="140" w:after="40"/>
        <w:shd w:val="clear" w:color="auto" w:fill="F4F7FB"/>
        <w:pBdr>
          <w:left w:val="single" w:sz="6" w:space="6" w:color="9EC3EC"/>
          <w:top w:val="single" w:sz="6" w:space="6" w:color="9EC3EC"/>
          <w:right w:val="single" w:sz="6" w:space="6" w:color="9EC3EC"/>
        </w:pBdr>
        <w:keepNext/>
      </w:pPr>
      <w:r>
        <w:rPr>
          <w:rFonts w:ascii="Calibri" w:hAnsi="Calibri"/>
          <w:b/>
          <w:color w:val="1B4F86"/>
          <w:sz w:val="19"/>
        </w:rPr>
        <w:t xml:space="preserve">Q1.  </w:t>
      </w:r>
      <w:r>
        <w:rPr>
          <w:rFonts w:ascii="Calibri" w:hAnsi="Calibri"/>
          <w:b/>
          <w:color w:val="0F2B4C"/>
          <w:sz w:val="19"/>
        </w:rPr>
        <w:t>16</w:t>
      </w:r>
    </w:p>
    <w:p>
      <w:pPr>
        <w:spacing w:after="40"/>
        <w:ind w:left="170"/>
        <w:shd w:val="clear" w:color="auto" w:fill="FBFCFE"/>
        <w:pBdr>
          <w:left w:val="single" w:sz="6" w:space="6" w:color="9EC3EC"/>
          <w:bottom w:val="single" w:sz="6" w:space="6" w:color="9EC3EC"/>
          <w:right w:val="single" w:sz="6" w:space="6" w:color="9EC3EC"/>
        </w:pBdr>
      </w:pPr>
      <w:r>
        <w:rPr>
          <w:rFonts w:ascii="Calibri" w:hAnsi="Calibri"/>
          <w:b w:val="0"/>
          <w:i/>
          <w:color w:val="334E68"/>
          <w:sz w:val="18"/>
        </w:rPr>
        <w:t>Added during the review pass.</w:t>
      </w:r>
      <w:r>
        <w:rPr>
          <w:rFonts w:ascii="Calibri" w:hAnsi="Calibri"/>
          <w:b w:val="0"/>
          <w:i w:val="0"/>
          <w:color w:val="334E68"/>
          <w:sz w:val="18"/>
        </w:rPr>
        <w:t xml:space="preserve"> Record it in the source baseline with evidence and a timestamp, classify it as a pre-existing condition, and route it to BAU support rather than absorbing it as a migration defect. If it is fixed during the migration, record the fix as a change — an unrecorded fix is an unapproved change that nobody can explain later.</w:t>
      </w:r>
    </w:p>
    <w:p>
      <w:pPr>
        <w:pStyle w:val="Heading2"/>
        <w:pBdr>
          <w:bottom w:val="single" w:sz="6" w:space="3" w:color="E8EDF3"/>
        </w:pBdr>
      </w:pPr>
      <w:r>
        <w:rPr>
          <w:rFonts w:ascii="Calibri" w:hAnsi="Calibri"/>
          <w:b/>
          <w:color w:val="0F2B4C"/>
          <w:sz w:val="26"/>
        </w:rPr>
        <w:t>17.1  Scoring guidance for trainers</w:t>
      </w:r>
    </w:p>
    <w:p>
      <w:pPr>
        <w:spacing w:after="60" w:before="160"/>
        <w:keepNext/>
      </w:pPr>
      <w:r>
        <w:rPr>
          <w:rFonts w:ascii="Calibri" w:hAnsi="Calibri"/>
          <w:b/>
          <w:color w:val="5B7288"/>
          <w:sz w:val="15"/>
        </w:rPr>
        <w:t>SCORING BANDS</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1157"/>
        <w:gridCol w:w="3855"/>
        <w:gridCol w:w="4626"/>
      </w:tblGrid>
      <w:tr>
        <w:trPr>
          <w:tblHeader/>
          <w:cantSplit/>
        </w:trPr>
        <w:tc>
          <w:tcPr>
            <w:tcW w:type="dxa" w:w="1157"/>
            <w:shd w:val="clear" w:color="auto" w:fill="0F2B4C"/>
          </w:tcPr>
          <w:p>
            <w:pPr>
              <w:spacing w:after="20" w:before="20"/>
            </w:pPr>
            <w:r/>
            <w:r>
              <w:rPr>
                <w:rFonts w:ascii="Calibri" w:hAnsi="Calibri"/>
                <w:b/>
                <w:color w:val="FFFFFF"/>
                <w:sz w:val="17"/>
              </w:rPr>
              <w:t>Score</w:t>
            </w:r>
          </w:p>
        </w:tc>
        <w:tc>
          <w:tcPr>
            <w:tcW w:type="dxa" w:w="3855"/>
            <w:shd w:val="clear" w:color="auto" w:fill="0F2B4C"/>
          </w:tcPr>
          <w:p>
            <w:pPr>
              <w:spacing w:after="20" w:before="20"/>
            </w:pPr>
            <w:r/>
            <w:r>
              <w:rPr>
                <w:rFonts w:ascii="Calibri" w:hAnsi="Calibri"/>
                <w:b/>
                <w:color w:val="FFFFFF"/>
                <w:sz w:val="17"/>
              </w:rPr>
              <w:t>Interpretation</w:t>
            </w:r>
          </w:p>
        </w:tc>
        <w:tc>
          <w:tcPr>
            <w:tcW w:type="dxa" w:w="4626"/>
            <w:shd w:val="clear" w:color="auto" w:fill="0F2B4C"/>
          </w:tcPr>
          <w:p>
            <w:pPr>
              <w:spacing w:after="20" w:before="20"/>
            </w:pPr>
            <w:r/>
            <w:r>
              <w:rPr>
                <w:rFonts w:ascii="Calibri" w:hAnsi="Calibri"/>
                <w:b/>
                <w:color w:val="FFFFFF"/>
                <w:sz w:val="17"/>
              </w:rPr>
              <w:t>Recommended action</w:t>
            </w:r>
          </w:p>
        </w:tc>
      </w:tr>
      <w:tr>
        <w:trPr>
          <w:cantSplit/>
        </w:trPr>
        <w:tc>
          <w:tcPr>
            <w:tcW w:type="dxa" w:w="1157"/>
          </w:tcPr>
          <w:p>
            <w:pPr>
              <w:spacing w:after="20" w:before="20"/>
            </w:pPr>
            <w:r/>
            <w:r>
              <w:rPr>
                <w:rFonts w:ascii="Calibri" w:hAnsi="Calibri"/>
                <w:b/>
                <w:i w:val="0"/>
                <w:color w:val="334E68"/>
                <w:sz w:val="17"/>
              </w:rPr>
              <w:t>14–16</w:t>
            </w:r>
          </w:p>
        </w:tc>
        <w:tc>
          <w:tcPr>
            <w:tcW w:type="dxa" w:w="3855"/>
          </w:tcPr>
          <w:p>
            <w:pPr>
              <w:spacing w:after="20" w:before="20"/>
            </w:pPr>
            <w:r/>
            <w:r>
              <w:rPr>
                <w:rFonts w:ascii="Calibri" w:hAnsi="Calibri"/>
                <w:b w:val="0"/>
                <w:i w:val="0"/>
                <w:color w:val="334E68"/>
                <w:sz w:val="17"/>
              </w:rPr>
              <w:t>Ready to take ownership of a system in a migration wave.</w:t>
            </w:r>
          </w:p>
        </w:tc>
        <w:tc>
          <w:tcPr>
            <w:tcW w:type="dxa" w:w="4626"/>
          </w:tcPr>
          <w:p>
            <w:pPr>
              <w:spacing w:after="20" w:before="20"/>
            </w:pPr>
            <w:r/>
            <w:r>
              <w:rPr>
                <w:rFonts w:ascii="Calibri" w:hAnsi="Calibri"/>
                <w:b w:val="0"/>
                <w:i w:val="0"/>
                <w:color w:val="334E68"/>
                <w:sz w:val="17"/>
              </w:rPr>
              <w:t>Assign a SID and a guide; proceed to supervised execution.</w:t>
            </w:r>
          </w:p>
        </w:tc>
      </w:tr>
      <w:tr>
        <w:trPr>
          <w:cantSplit/>
        </w:trPr>
        <w:tc>
          <w:tcPr>
            <w:tcW w:type="dxa" w:w="1157"/>
            <w:shd w:val="clear" w:color="auto" w:fill="FAFBFD"/>
          </w:tcPr>
          <w:p>
            <w:pPr>
              <w:spacing w:after="20" w:before="20"/>
            </w:pPr>
            <w:r/>
            <w:r>
              <w:rPr>
                <w:rFonts w:ascii="Calibri" w:hAnsi="Calibri"/>
                <w:b/>
                <w:i w:val="0"/>
                <w:color w:val="334E68"/>
                <w:sz w:val="17"/>
              </w:rPr>
              <w:t>11–13</w:t>
            </w:r>
          </w:p>
        </w:tc>
        <w:tc>
          <w:tcPr>
            <w:tcW w:type="dxa" w:w="3855"/>
            <w:shd w:val="clear" w:color="auto" w:fill="FAFBFD"/>
          </w:tcPr>
          <w:p>
            <w:pPr>
              <w:spacing w:after="20" w:before="20"/>
            </w:pPr>
            <w:r/>
            <w:r>
              <w:rPr>
                <w:rFonts w:ascii="Calibri" w:hAnsi="Calibri"/>
                <w:b w:val="0"/>
                <w:i w:val="0"/>
                <w:color w:val="334E68"/>
                <w:sz w:val="17"/>
              </w:rPr>
              <w:t>Sound understanding with gaps.</w:t>
            </w:r>
          </w:p>
        </w:tc>
        <w:tc>
          <w:tcPr>
            <w:tcW w:type="dxa" w:w="4626"/>
            <w:shd w:val="clear" w:color="auto" w:fill="FAFBFD"/>
          </w:tcPr>
          <w:p>
            <w:pPr>
              <w:spacing w:after="20" w:before="20"/>
            </w:pPr>
            <w:r/>
            <w:r>
              <w:rPr>
                <w:rFonts w:ascii="Calibri" w:hAnsi="Calibri"/>
                <w:b w:val="0"/>
                <w:i w:val="0"/>
                <w:color w:val="334E68"/>
                <w:sz w:val="17"/>
              </w:rPr>
              <w:t>Re-read the modules behind the missed questions; re-test before assignment.</w:t>
            </w:r>
          </w:p>
        </w:tc>
      </w:tr>
      <w:tr>
        <w:trPr>
          <w:cantSplit/>
        </w:trPr>
        <w:tc>
          <w:tcPr>
            <w:tcW w:type="dxa" w:w="1157"/>
          </w:tcPr>
          <w:p>
            <w:pPr>
              <w:spacing w:after="20" w:before="20"/>
            </w:pPr>
            <w:r/>
            <w:r>
              <w:rPr>
                <w:rFonts w:ascii="Calibri" w:hAnsi="Calibri"/>
                <w:b/>
                <w:i w:val="0"/>
                <w:color w:val="334E68"/>
                <w:sz w:val="17"/>
              </w:rPr>
              <w:t>8–10</w:t>
            </w:r>
          </w:p>
        </w:tc>
        <w:tc>
          <w:tcPr>
            <w:tcW w:type="dxa" w:w="3855"/>
          </w:tcPr>
          <w:p>
            <w:pPr>
              <w:spacing w:after="20" w:before="20"/>
            </w:pPr>
            <w:r/>
            <w:r>
              <w:rPr>
                <w:rFonts w:ascii="Calibri" w:hAnsi="Calibri"/>
                <w:b w:val="0"/>
                <w:i w:val="0"/>
                <w:color w:val="334E68"/>
                <w:sz w:val="17"/>
              </w:rPr>
              <w:t>Partial readiness.</w:t>
            </w:r>
          </w:p>
        </w:tc>
        <w:tc>
          <w:tcPr>
            <w:tcW w:type="dxa" w:w="4626"/>
          </w:tcPr>
          <w:p>
            <w:pPr>
              <w:spacing w:after="20" w:before="20"/>
            </w:pPr>
            <w:r/>
            <w:r>
              <w:rPr>
                <w:rFonts w:ascii="Calibri" w:hAnsi="Calibri"/>
                <w:b w:val="0"/>
                <w:i w:val="0"/>
                <w:color w:val="334E68"/>
                <w:sz w:val="17"/>
              </w:rPr>
              <w:t>Paired execution only, with the guide performing the validation and the trainee observing.</w:t>
            </w:r>
          </w:p>
        </w:tc>
      </w:tr>
      <w:tr>
        <w:trPr>
          <w:cantSplit/>
        </w:trPr>
        <w:tc>
          <w:tcPr>
            <w:tcW w:type="dxa" w:w="1157"/>
            <w:shd w:val="clear" w:color="auto" w:fill="FAFBFD"/>
          </w:tcPr>
          <w:p>
            <w:pPr>
              <w:spacing w:after="20" w:before="20"/>
            </w:pPr>
            <w:r/>
            <w:r>
              <w:rPr>
                <w:rFonts w:ascii="Calibri" w:hAnsi="Calibri"/>
                <w:b/>
                <w:i w:val="0"/>
                <w:color w:val="334E68"/>
                <w:sz w:val="17"/>
              </w:rPr>
              <w:t>Below 8</w:t>
            </w:r>
          </w:p>
        </w:tc>
        <w:tc>
          <w:tcPr>
            <w:tcW w:type="dxa" w:w="3855"/>
            <w:shd w:val="clear" w:color="auto" w:fill="FAFBFD"/>
          </w:tcPr>
          <w:p>
            <w:pPr>
              <w:spacing w:after="20" w:before="20"/>
            </w:pPr>
            <w:r/>
            <w:r>
              <w:rPr>
                <w:rFonts w:ascii="Calibri" w:hAnsi="Calibri"/>
                <w:b w:val="0"/>
                <w:i w:val="0"/>
                <w:color w:val="334E68"/>
                <w:sz w:val="17"/>
              </w:rPr>
              <w:t>Not yet ready for independent migration work.</w:t>
            </w:r>
          </w:p>
        </w:tc>
        <w:tc>
          <w:tcPr>
            <w:tcW w:type="dxa" w:w="4626"/>
            <w:shd w:val="clear" w:color="auto" w:fill="FAFBFD"/>
          </w:tcPr>
          <w:p>
            <w:pPr>
              <w:spacing w:after="20" w:before="20"/>
            </w:pPr>
            <w:r/>
            <w:r>
              <w:rPr>
                <w:rFonts w:ascii="Calibri" w:hAnsi="Calibri"/>
                <w:b w:val="0"/>
                <w:i w:val="0"/>
                <w:color w:val="334E68"/>
                <w:sz w:val="17"/>
              </w:rPr>
              <w:t>Repeat the training; focus on Modules 1, 4 and 7 and the evidence model.</w:t>
            </w:r>
          </w:p>
        </w:tc>
      </w:tr>
    </w:tbl>
    <w:p>
      <w:pPr>
        <w:spacing w:after="40"/>
      </w:pP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PRACTICAL ASSESSMENT SUGGESTION</w:t>
      </w:r>
    </w:p>
    <w:p>
      <w:pPr>
        <w:spacing w:after="40"/>
        <w:ind w:left="170"/>
        <w:shd w:val="clear" w:color="auto" w:fill="F4F7FB"/>
        <w:pBdr>
          <w:left w:val="single" w:sz="6" w:space="6" w:color="0F2B4C"/>
          <w:bottom w:val="single" w:sz="6" w:space="6" w:color="0F2B4C"/>
          <w:right w:val="single" w:sz="6" w:space="6" w:color="0F2B4C"/>
        </w:pBdr>
      </w:pPr>
      <w:r>
        <w:rPr>
          <w:rFonts w:ascii="Calibri" w:hAnsi="Calibri"/>
          <w:b w:val="0"/>
          <w:i w:val="0"/>
          <w:color w:val="334E68"/>
          <w:sz w:val="18"/>
        </w:rPr>
        <w:t>A written check tests recall; migration work tests judgement. Pair this quiz with a practical exercise: give the trainee a source baseline pack and a target system, and ask them to complete one Section 12 checklist, produce the evidence, classify three seeded deviations correctly, and present the result as if at a Go/No-Go gate.</w:t>
      </w:r>
    </w:p>
    <w:p>
      <w:r>
        <w:br w:type="page"/>
      </w:r>
    </w:p>
    <w:p>
      <w:pPr>
        <w:spacing w:after="20"/>
      </w:pPr>
      <w:r>
        <w:rPr>
          <w:rFonts w:ascii="Calibri" w:hAnsi="Calibri"/>
          <w:b/>
          <w:color w:val="1B4F86"/>
          <w:sz w:val="16"/>
        </w:rPr>
        <w:t>APPENDIX A</w:t>
      </w:r>
    </w:p>
    <w:p>
      <w:pPr>
        <w:pStyle w:val="Heading1"/>
        <w:pBdr>
          <w:bottom w:val="single" w:sz="12" w:space="5" w:color="1B4F86"/>
        </w:pBdr>
        <w:spacing w:after="160"/>
      </w:pPr>
      <w:r>
        <w:rPr>
          <w:rFonts w:ascii="Calibri Light" w:hAnsi="Calibri Light"/>
          <w:b/>
          <w:color w:val="0F2B4C"/>
          <w:sz w:val="38"/>
        </w:rPr>
        <w:t>A  Appendix A — Source training coverage</w:t>
      </w:r>
    </w:p>
    <w:p>
      <w:pPr>
        <w:spacing w:after="200"/>
      </w:pPr>
      <w:r>
        <w:rPr>
          <w:rFonts w:ascii="Calibri" w:hAnsi="Calibri"/>
          <w:i/>
          <w:color w:val="5B7288"/>
          <w:sz w:val="21"/>
        </w:rPr>
        <w:t>The supplied consolidated material included multiple training/MOM sections. This handbook reorganises them into a reusable training format; the mapping below preserves traceability to the source.</w:t>
      </w:r>
    </w:p>
    <w:p>
      <w:pPr>
        <w:spacing w:after="60" w:before="160"/>
        <w:keepNext/>
      </w:pPr>
      <w:r>
        <w:rPr>
          <w:rFonts w:ascii="Calibri" w:hAnsi="Calibri"/>
          <w:b/>
          <w:color w:val="5B7288"/>
          <w:sz w:val="15"/>
        </w:rPr>
        <w:t>SOURCE COVERAGE MAP</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891"/>
        <w:gridCol w:w="4433"/>
        <w:gridCol w:w="2313"/>
      </w:tblGrid>
      <w:tr>
        <w:trPr>
          <w:tblHeader/>
          <w:cantSplit/>
        </w:trPr>
        <w:tc>
          <w:tcPr>
            <w:tcW w:type="dxa" w:w="2891"/>
            <w:shd w:val="clear" w:color="auto" w:fill="0F2B4C"/>
          </w:tcPr>
          <w:p>
            <w:pPr>
              <w:spacing w:after="20" w:before="20"/>
            </w:pPr>
            <w:r/>
            <w:r>
              <w:rPr>
                <w:rFonts w:ascii="Calibri" w:hAnsi="Calibri"/>
                <w:b/>
                <w:color w:val="FFFFFF"/>
                <w:sz w:val="17"/>
              </w:rPr>
              <w:t>Source training / MOM section</w:t>
            </w:r>
          </w:p>
        </w:tc>
        <w:tc>
          <w:tcPr>
            <w:tcW w:type="dxa" w:w="4433"/>
            <w:shd w:val="clear" w:color="auto" w:fill="0F2B4C"/>
          </w:tcPr>
          <w:p>
            <w:pPr>
              <w:spacing w:after="20" w:before="20"/>
            </w:pPr>
            <w:r/>
            <w:r>
              <w:rPr>
                <w:rFonts w:ascii="Calibri" w:hAnsi="Calibri"/>
                <w:b/>
                <w:color w:val="FFFFFF"/>
                <w:sz w:val="17"/>
              </w:rPr>
              <w:t>Content covered</w:t>
            </w:r>
          </w:p>
        </w:tc>
        <w:tc>
          <w:tcPr>
            <w:tcW w:type="dxa" w:w="2313"/>
            <w:shd w:val="clear" w:color="auto" w:fill="0F2B4C"/>
          </w:tcPr>
          <w:p>
            <w:pPr>
              <w:spacing w:after="20" w:before="20"/>
            </w:pPr>
            <w:r/>
            <w:r>
              <w:rPr>
                <w:rFonts w:ascii="Calibri" w:hAnsi="Calibri"/>
                <w:b/>
                <w:color w:val="FFFFFF"/>
                <w:sz w:val="17"/>
              </w:rPr>
              <w:t>Mapped to</w:t>
            </w:r>
          </w:p>
        </w:tc>
      </w:tr>
      <w:tr>
        <w:trPr>
          <w:cantSplit/>
        </w:trPr>
        <w:tc>
          <w:tcPr>
            <w:tcW w:type="dxa" w:w="2891"/>
          </w:tcPr>
          <w:p>
            <w:pPr>
              <w:spacing w:after="20" w:before="20"/>
            </w:pPr>
            <w:r/>
            <w:r>
              <w:rPr>
                <w:rFonts w:ascii="Calibri" w:hAnsi="Calibri"/>
                <w:b/>
                <w:i w:val="0"/>
                <w:color w:val="334E68"/>
                <w:sz w:val="17"/>
              </w:rPr>
              <w:t>Final checklist session</w:t>
            </w:r>
          </w:p>
        </w:tc>
        <w:tc>
          <w:tcPr>
            <w:tcW w:type="dxa" w:w="4433"/>
          </w:tcPr>
          <w:p>
            <w:pPr>
              <w:spacing w:after="20" w:before="20"/>
            </w:pPr>
            <w:r/>
            <w:r>
              <w:rPr>
                <w:rFonts w:ascii="Calibri" w:hAnsi="Calibri"/>
                <w:b w:val="0"/>
                <w:i w:val="0"/>
                <w:color w:val="334E68"/>
                <w:sz w:val="17"/>
              </w:rPr>
              <w:t>Consolidated end-of-project checklist review and open items</w:t>
            </w:r>
          </w:p>
        </w:tc>
        <w:tc>
          <w:tcPr>
            <w:tcW w:type="dxa" w:w="2313"/>
          </w:tcPr>
          <w:p>
            <w:pPr>
              <w:spacing w:after="20" w:before="20"/>
            </w:pPr>
            <w:r/>
            <w:r>
              <w:rPr>
                <w:rFonts w:ascii="Calibri" w:hAnsi="Calibri"/>
                <w:b w:val="0"/>
                <w:i w:val="0"/>
                <w:color w:val="334E68"/>
                <w:sz w:val="17"/>
              </w:rPr>
              <w:t>Sections 10, 12</w:t>
            </w:r>
          </w:p>
        </w:tc>
      </w:tr>
      <w:tr>
        <w:trPr>
          <w:cantSplit/>
        </w:trPr>
        <w:tc>
          <w:tcPr>
            <w:tcW w:type="dxa" w:w="2891"/>
            <w:shd w:val="clear" w:color="auto" w:fill="FAFBFD"/>
          </w:tcPr>
          <w:p>
            <w:pPr>
              <w:spacing w:after="20" w:before="20"/>
            </w:pPr>
            <w:r/>
            <w:r>
              <w:rPr>
                <w:rFonts w:ascii="Calibri" w:hAnsi="Calibri"/>
                <w:b/>
                <w:i w:val="0"/>
                <w:color w:val="334E68"/>
                <w:sz w:val="17"/>
              </w:rPr>
              <w:t>SAP-to-AWS migration checklist</w:t>
            </w:r>
          </w:p>
        </w:tc>
        <w:tc>
          <w:tcPr>
            <w:tcW w:type="dxa" w:w="4433"/>
            <w:shd w:val="clear" w:color="auto" w:fill="FAFBFD"/>
          </w:tcPr>
          <w:p>
            <w:pPr>
              <w:spacing w:after="20" w:before="20"/>
            </w:pPr>
            <w:r/>
            <w:r>
              <w:rPr>
                <w:rFonts w:ascii="Calibri" w:hAnsi="Calibri"/>
                <w:b w:val="0"/>
                <w:i w:val="0"/>
                <w:color w:val="334E68"/>
                <w:sz w:val="17"/>
              </w:rPr>
              <w:t>Preparation, discovery, sizing, architecture, build and validation steps</w:t>
            </w:r>
          </w:p>
        </w:tc>
        <w:tc>
          <w:tcPr>
            <w:tcW w:type="dxa" w:w="2313"/>
            <w:shd w:val="clear" w:color="auto" w:fill="FAFBFD"/>
          </w:tcPr>
          <w:p>
            <w:pPr>
              <w:spacing w:after="20" w:before="20"/>
            </w:pPr>
            <w:r/>
            <w:r>
              <w:rPr>
                <w:rFonts w:ascii="Calibri" w:hAnsi="Calibri"/>
                <w:b w:val="0"/>
                <w:i w:val="0"/>
                <w:color w:val="334E68"/>
                <w:sz w:val="17"/>
              </w:rPr>
              <w:t>Sections 3, 4, 5, 7</w:t>
            </w:r>
          </w:p>
        </w:tc>
      </w:tr>
      <w:tr>
        <w:trPr>
          <w:cantSplit/>
        </w:trPr>
        <w:tc>
          <w:tcPr>
            <w:tcW w:type="dxa" w:w="2891"/>
          </w:tcPr>
          <w:p>
            <w:pPr>
              <w:spacing w:after="20" w:before="20"/>
            </w:pPr>
            <w:r/>
            <w:r>
              <w:rPr>
                <w:rFonts w:ascii="Calibri" w:hAnsi="Calibri"/>
                <w:b/>
                <w:i w:val="0"/>
                <w:color w:val="334E68"/>
                <w:sz w:val="17"/>
              </w:rPr>
              <w:t>HANA MDC and recovery</w:t>
            </w:r>
          </w:p>
        </w:tc>
        <w:tc>
          <w:tcPr>
            <w:tcW w:type="dxa" w:w="4433"/>
          </w:tcPr>
          <w:p>
            <w:pPr>
              <w:spacing w:after="20" w:before="20"/>
            </w:pPr>
            <w:r/>
            <w:r>
              <w:rPr>
                <w:rFonts w:ascii="Calibri" w:hAnsi="Calibri"/>
                <w:b w:val="0"/>
                <w:i w:val="0"/>
                <w:color w:val="334E68"/>
                <w:sz w:val="17"/>
              </w:rPr>
              <w:t>SystemDB/TenantDB, pre-checks, S3 backup backend, recovery sequence</w:t>
            </w:r>
          </w:p>
        </w:tc>
        <w:tc>
          <w:tcPr>
            <w:tcW w:type="dxa" w:w="2313"/>
          </w:tcPr>
          <w:p>
            <w:pPr>
              <w:spacing w:after="20" w:before="20"/>
            </w:pPr>
            <w:r/>
            <w:r>
              <w:rPr>
                <w:rFonts w:ascii="Calibri" w:hAnsi="Calibri"/>
                <w:b w:val="0"/>
                <w:i w:val="0"/>
                <w:color w:val="334E68"/>
                <w:sz w:val="17"/>
              </w:rPr>
              <w:t>Section 6</w:t>
            </w:r>
          </w:p>
        </w:tc>
      </w:tr>
      <w:tr>
        <w:trPr>
          <w:cantSplit/>
        </w:trPr>
        <w:tc>
          <w:tcPr>
            <w:tcW w:type="dxa" w:w="2891"/>
            <w:shd w:val="clear" w:color="auto" w:fill="FAFBFD"/>
          </w:tcPr>
          <w:p>
            <w:pPr>
              <w:spacing w:after="20" w:before="20"/>
            </w:pPr>
            <w:r/>
            <w:r>
              <w:rPr>
                <w:rFonts w:ascii="Calibri" w:hAnsi="Calibri"/>
                <w:b/>
                <w:i w:val="0"/>
                <w:color w:val="334E68"/>
                <w:sz w:val="17"/>
              </w:rPr>
              <w:t>SAP validation / monitoring / troubleshooting</w:t>
            </w:r>
          </w:p>
        </w:tc>
        <w:tc>
          <w:tcPr>
            <w:tcW w:type="dxa" w:w="4433"/>
            <w:shd w:val="clear" w:color="auto" w:fill="FAFBFD"/>
          </w:tcPr>
          <w:p>
            <w:pPr>
              <w:spacing w:after="20" w:before="20"/>
            </w:pPr>
            <w:r/>
            <w:r>
              <w:rPr>
                <w:rFonts w:ascii="Calibri" w:hAnsi="Calibri"/>
                <w:b w:val="0"/>
                <w:i w:val="0"/>
                <w:color w:val="334E68"/>
                <w:sz w:val="17"/>
              </w:rPr>
              <w:t>OS, SAP and database validation; ST02, ST03/ST03N, STAD, RZ10/RZ11</w:t>
            </w:r>
          </w:p>
        </w:tc>
        <w:tc>
          <w:tcPr>
            <w:tcW w:type="dxa" w:w="2313"/>
            <w:shd w:val="clear" w:color="auto" w:fill="FAFBFD"/>
          </w:tcPr>
          <w:p>
            <w:pPr>
              <w:spacing w:after="20" w:before="20"/>
            </w:pPr>
            <w:r/>
            <w:r>
              <w:rPr>
                <w:rFonts w:ascii="Calibri" w:hAnsi="Calibri"/>
                <w:b w:val="0"/>
                <w:i w:val="0"/>
                <w:color w:val="334E68"/>
                <w:sz w:val="17"/>
              </w:rPr>
              <w:t>Sections 7, 8</w:t>
            </w:r>
          </w:p>
        </w:tc>
      </w:tr>
      <w:tr>
        <w:trPr>
          <w:cantSplit/>
        </w:trPr>
        <w:tc>
          <w:tcPr>
            <w:tcW w:type="dxa" w:w="2891"/>
          </w:tcPr>
          <w:p>
            <w:pPr>
              <w:spacing w:after="20" w:before="20"/>
            </w:pPr>
            <w:r/>
            <w:r>
              <w:rPr>
                <w:rFonts w:ascii="Calibri" w:hAnsi="Calibri"/>
                <w:b/>
                <w:i w:val="0"/>
                <w:color w:val="334E68"/>
                <w:sz w:val="17"/>
              </w:rPr>
              <w:t>Oracle migration and switchover</w:t>
            </w:r>
          </w:p>
        </w:tc>
        <w:tc>
          <w:tcPr>
            <w:tcW w:type="dxa" w:w="4433"/>
          </w:tcPr>
          <w:p>
            <w:pPr>
              <w:spacing w:after="20" w:before="20"/>
            </w:pPr>
            <w:r/>
            <w:r>
              <w:rPr>
                <w:rFonts w:ascii="Calibri" w:hAnsi="Calibri"/>
                <w:b w:val="0"/>
                <w:i w:val="0"/>
                <w:color w:val="334E68"/>
                <w:sz w:val="17"/>
              </w:rPr>
              <w:t>Data Guard, SCN, snapshot, DBVERIFY, RMAN, DNS/IPAM</w:t>
            </w:r>
          </w:p>
        </w:tc>
        <w:tc>
          <w:tcPr>
            <w:tcW w:type="dxa" w:w="2313"/>
          </w:tcPr>
          <w:p>
            <w:pPr>
              <w:spacing w:after="20" w:before="20"/>
            </w:pPr>
            <w:r/>
            <w:r>
              <w:rPr>
                <w:rFonts w:ascii="Calibri" w:hAnsi="Calibri"/>
                <w:b w:val="0"/>
                <w:i w:val="0"/>
                <w:color w:val="334E68"/>
                <w:sz w:val="17"/>
              </w:rPr>
              <w:t>Section 9</w:t>
            </w:r>
          </w:p>
        </w:tc>
      </w:tr>
      <w:tr>
        <w:trPr>
          <w:cantSplit/>
        </w:trPr>
        <w:tc>
          <w:tcPr>
            <w:tcW w:type="dxa" w:w="2891"/>
            <w:shd w:val="clear" w:color="auto" w:fill="FAFBFD"/>
          </w:tcPr>
          <w:p>
            <w:pPr>
              <w:spacing w:after="20" w:before="20"/>
            </w:pPr>
            <w:r/>
            <w:r>
              <w:rPr>
                <w:rFonts w:ascii="Calibri" w:hAnsi="Calibri"/>
                <w:b/>
                <w:i w:val="0"/>
                <w:color w:val="334E68"/>
                <w:sz w:val="17"/>
              </w:rPr>
              <w:t>Cutover and go-live</w:t>
            </w:r>
          </w:p>
        </w:tc>
        <w:tc>
          <w:tcPr>
            <w:tcW w:type="dxa" w:w="4433"/>
            <w:shd w:val="clear" w:color="auto" w:fill="FAFBFD"/>
          </w:tcPr>
          <w:p>
            <w:pPr>
              <w:spacing w:after="20" w:before="20"/>
            </w:pPr>
            <w:r/>
            <w:r>
              <w:rPr>
                <w:rFonts w:ascii="Calibri" w:hAnsi="Calibri"/>
                <w:b w:val="0"/>
                <w:i w:val="0"/>
                <w:color w:val="334E68"/>
                <w:sz w:val="17"/>
              </w:rPr>
              <w:t>Shutdown, post-processing, functional validation, Go/No-Go, rollback</w:t>
            </w:r>
          </w:p>
        </w:tc>
        <w:tc>
          <w:tcPr>
            <w:tcW w:type="dxa" w:w="2313"/>
            <w:shd w:val="clear" w:color="auto" w:fill="FAFBFD"/>
          </w:tcPr>
          <w:p>
            <w:pPr>
              <w:spacing w:after="20" w:before="20"/>
            </w:pPr>
            <w:r/>
            <w:r>
              <w:rPr>
                <w:rFonts w:ascii="Calibri" w:hAnsi="Calibri"/>
                <w:b w:val="0"/>
                <w:i w:val="0"/>
                <w:color w:val="334E68"/>
                <w:sz w:val="17"/>
              </w:rPr>
              <w:t>Section 10</w:t>
            </w:r>
          </w:p>
        </w:tc>
      </w:tr>
      <w:tr>
        <w:trPr>
          <w:cantSplit/>
        </w:trPr>
        <w:tc>
          <w:tcPr>
            <w:tcW w:type="dxa" w:w="2891"/>
          </w:tcPr>
          <w:p>
            <w:pPr>
              <w:spacing w:after="20" w:before="20"/>
            </w:pPr>
            <w:r/>
            <w:r>
              <w:rPr>
                <w:rFonts w:ascii="Calibri" w:hAnsi="Calibri"/>
                <w:b/>
                <w:i w:val="0"/>
                <w:color w:val="334E68"/>
                <w:sz w:val="17"/>
              </w:rPr>
              <w:t>Ownership and evidence model</w:t>
            </w:r>
          </w:p>
        </w:tc>
        <w:tc>
          <w:tcPr>
            <w:tcW w:type="dxa" w:w="4433"/>
          </w:tcPr>
          <w:p>
            <w:pPr>
              <w:spacing w:after="20" w:before="20"/>
            </w:pPr>
            <w:r/>
            <w:r>
              <w:rPr>
                <w:rFonts w:ascii="Calibri" w:hAnsi="Calibri"/>
                <w:b w:val="0"/>
                <w:i w:val="0"/>
                <w:color w:val="334E68"/>
                <w:sz w:val="17"/>
              </w:rPr>
              <w:t>System ownership, guides, evidence lifecycle and categories</w:t>
            </w:r>
          </w:p>
        </w:tc>
        <w:tc>
          <w:tcPr>
            <w:tcW w:type="dxa" w:w="2313"/>
          </w:tcPr>
          <w:p>
            <w:pPr>
              <w:spacing w:after="20" w:before="20"/>
            </w:pPr>
            <w:r/>
            <w:r>
              <w:rPr>
                <w:rFonts w:ascii="Calibri" w:hAnsi="Calibri"/>
                <w:b w:val="0"/>
                <w:i w:val="0"/>
                <w:color w:val="334E68"/>
                <w:sz w:val="17"/>
              </w:rPr>
              <w:t>Sections 13, 14</w:t>
            </w:r>
          </w:p>
        </w:tc>
      </w:tr>
    </w:tbl>
    <w:p>
      <w:pPr>
        <w:spacing w:after="40"/>
      </w:pPr>
    </w:p>
    <w:p>
      <w:pPr>
        <w:spacing w:before="180" w:after="40"/>
        <w:shd w:val="clear" w:color="auto" w:fill="F4F7FB"/>
        <w:pBdr>
          <w:left w:val="single" w:sz="6" w:space="6" w:color="0F2B4C"/>
          <w:top w:val="single" w:sz="6" w:space="6" w:color="0F2B4C"/>
          <w:right w:val="single" w:sz="6" w:space="6" w:color="0F2B4C"/>
        </w:pBdr>
        <w:keepNext/>
      </w:pPr>
      <w:r>
        <w:rPr>
          <w:rFonts w:ascii="Calibri" w:hAnsi="Calibri"/>
          <w:b/>
          <w:color w:val="0F2B4C"/>
          <w:sz w:val="16"/>
        </w:rPr>
        <w:t>WHAT CHANGED DURING CONSOLIDATION</w:t>
      </w:r>
    </w:p>
    <w:p>
      <w:pPr>
        <w:spacing w:after="40"/>
        <w:ind w:left="567" w:hanging="227"/>
        <w:shd w:val="clear" w:color="auto" w:fill="F4F7FB"/>
      </w:pPr>
      <w:r>
        <w:rPr>
          <w:rFonts w:ascii="Calibri" w:hAnsi="Calibri"/>
          <w:b/>
          <w:color w:val="1B4F86"/>
          <w:sz w:val="19"/>
        </w:rPr>
        <w:t xml:space="preserve">▪  </w:t>
      </w:r>
      <w:r>
        <w:rPr>
          <w:rFonts w:ascii="Calibri" w:hAnsi="Calibri"/>
          <w:b w:val="0"/>
          <w:i w:val="0"/>
          <w:color w:val="334E68"/>
          <w:sz w:val="19"/>
        </w:rPr>
        <w:t>Material was re-sequenced to follow the migration lifecycle rather than the order in which sessions were delivered.</w:t>
      </w:r>
    </w:p>
    <w:p>
      <w:pPr>
        <w:spacing w:after="40"/>
        <w:ind w:left="567" w:hanging="227"/>
        <w:shd w:val="clear" w:color="auto" w:fill="F4F7FB"/>
      </w:pPr>
      <w:r>
        <w:rPr>
          <w:rFonts w:ascii="Calibri" w:hAnsi="Calibri"/>
          <w:b/>
          <w:color w:val="1B4F86"/>
          <w:sz w:val="19"/>
        </w:rPr>
        <w:t xml:space="preserve">▪  </w:t>
      </w:r>
      <w:r>
        <w:rPr>
          <w:rFonts w:ascii="Calibri" w:hAnsi="Calibri"/>
          <w:b w:val="0"/>
          <w:i w:val="0"/>
          <w:color w:val="334E68"/>
          <w:sz w:val="19"/>
        </w:rPr>
        <w:t>Repeated content across MOM sections was merged, keeping the most complete version of each instruction.</w:t>
      </w:r>
    </w:p>
    <w:p>
      <w:pPr>
        <w:spacing w:after="40"/>
        <w:ind w:left="567" w:hanging="227"/>
        <w:shd w:val="clear" w:color="auto" w:fill="F4F7FB"/>
      </w:pPr>
      <w:r>
        <w:rPr>
          <w:rFonts w:ascii="Calibri" w:hAnsi="Calibri"/>
          <w:b/>
          <w:color w:val="1B4F86"/>
          <w:sz w:val="19"/>
        </w:rPr>
        <w:t xml:space="preserve">▪  </w:t>
      </w:r>
      <w:r>
        <w:rPr>
          <w:rFonts w:ascii="Calibri" w:hAnsi="Calibri"/>
          <w:b w:val="0"/>
          <w:i w:val="0"/>
          <w:color w:val="334E68"/>
          <w:sz w:val="19"/>
        </w:rPr>
        <w:t>Implicit knowledge (why a step matters, what a failure looks like) was made explicit for a training audience.</w:t>
      </w:r>
    </w:p>
    <w:p>
      <w:pPr>
        <w:spacing w:after="40"/>
        <w:ind w:left="567" w:hanging="227"/>
        <w:shd w:val="clear" w:color="auto" w:fill="F4F7FB"/>
      </w:pPr>
      <w:r>
        <w:rPr>
          <w:rFonts w:ascii="Calibri" w:hAnsi="Calibri"/>
          <w:b/>
          <w:color w:val="1B4F86"/>
          <w:sz w:val="19"/>
        </w:rPr>
        <w:t xml:space="preserve">▪  </w:t>
      </w:r>
      <w:r>
        <w:rPr>
          <w:rFonts w:ascii="Calibri" w:hAnsi="Calibri"/>
          <w:b w:val="0"/>
          <w:i w:val="0"/>
          <w:color w:val="334E68"/>
          <w:sz w:val="19"/>
        </w:rPr>
        <w:t xml:space="preserve">Source terminology was preserved verbatim, including client-specific terms, which are tagged </w:t>
      </w:r>
      <w:r>
        <w:rPr>
          <w:rFonts w:ascii="Calibri" w:hAnsi="Calibri"/>
          <w:b w:val="0"/>
          <w:i w:val="0"/>
          <w:color w:val="334E68"/>
          <w:sz w:val="19"/>
        </w:rPr>
        <w:t>source term</w:t>
      </w:r>
      <w:r>
        <w:rPr>
          <w:rFonts w:ascii="Calibri" w:hAnsi="Calibri"/>
          <w:b w:val="0"/>
          <w:i w:val="0"/>
          <w:color w:val="334E68"/>
          <w:sz w:val="19"/>
        </w:rPr>
        <w:t xml:space="preserve"> throughout.</w:t>
      </w:r>
    </w:p>
    <w:p>
      <w:pPr>
        <w:spacing w:after="40"/>
        <w:ind w:left="567" w:hanging="227"/>
        <w:shd w:val="clear" w:color="auto" w:fill="F4F7FB"/>
      </w:pPr>
      <w:r>
        <w:rPr>
          <w:rFonts w:ascii="Calibri" w:hAnsi="Calibri"/>
          <w:b/>
          <w:color w:val="1B4F86"/>
          <w:sz w:val="19"/>
        </w:rPr>
        <w:t xml:space="preserve">▪  </w:t>
      </w:r>
      <w:r>
        <w:rPr>
          <w:rFonts w:ascii="Calibri" w:hAnsi="Calibri"/>
          <w:b w:val="0"/>
          <w:i w:val="0"/>
          <w:color w:val="334E68"/>
          <w:sz w:val="19"/>
        </w:rPr>
        <w:t>No technical value from the source was silently altered. Corrections and clarifications are listed in Appendix D.</w:t>
      </w:r>
    </w:p>
    <w:p>
      <w:pPr>
        <w:shd w:val="clear" w:color="auto" w:fill="F4F7FB"/>
        <w:pBdr>
          <w:left w:val="single" w:sz="6" w:space="6" w:color="0F2B4C"/>
          <w:bottom w:val="single" w:sz="6" w:space="6" w:color="0F2B4C"/>
          <w:right w:val="single" w:sz="6" w:space="6" w:color="0F2B4C"/>
        </w:pBdr>
        <w:spacing w:after="40"/>
      </w:pPr>
    </w:p>
    <w:p>
      <w:r>
        <w:br w:type="page"/>
      </w:r>
    </w:p>
    <w:p>
      <w:pPr>
        <w:spacing w:after="20"/>
      </w:pPr>
      <w:r>
        <w:rPr>
          <w:rFonts w:ascii="Calibri" w:hAnsi="Calibri"/>
          <w:b/>
          <w:color w:val="1B4F86"/>
          <w:sz w:val="16"/>
        </w:rPr>
        <w:t>APPENDIX B</w:t>
      </w:r>
    </w:p>
    <w:p>
      <w:pPr>
        <w:pStyle w:val="Heading1"/>
        <w:pBdr>
          <w:bottom w:val="single" w:sz="12" w:space="5" w:color="1B4F86"/>
        </w:pBdr>
        <w:spacing w:after="160"/>
      </w:pPr>
      <w:r>
        <w:rPr>
          <w:rFonts w:ascii="Calibri Light" w:hAnsi="Calibri Light"/>
          <w:b/>
          <w:color w:val="0F2B4C"/>
          <w:sz w:val="38"/>
        </w:rPr>
        <w:t>B  Appendix B — Training completion record</w:t>
      </w:r>
    </w:p>
    <w:p>
      <w:pPr>
        <w:spacing w:after="200"/>
      </w:pPr>
      <w:r>
        <w:rPr>
          <w:rFonts w:ascii="Calibri" w:hAnsi="Calibri"/>
          <w:i/>
          <w:color w:val="5B7288"/>
          <w:sz w:val="21"/>
        </w:rPr>
        <w:t>One row per module per attendee. Sign-off means the attendee has completed the material and can answer the associated knowledge-check questions.</w:t>
      </w:r>
    </w:p>
    <w:p>
      <w:pPr>
        <w:spacing w:after="60" w:before="160"/>
        <w:keepNext/>
      </w:pPr>
      <w:r>
        <w:rPr>
          <w:rFonts w:ascii="Calibri" w:hAnsi="Calibri"/>
          <w:b/>
          <w:color w:val="5B7288"/>
          <w:sz w:val="15"/>
        </w:rPr>
        <w:t>COMPLETION RECORD — ATTENDEE COPY</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891"/>
        <w:gridCol w:w="1928"/>
        <w:gridCol w:w="1349"/>
        <w:gridCol w:w="1735"/>
        <w:gridCol w:w="1735"/>
      </w:tblGrid>
      <w:tr>
        <w:trPr>
          <w:tblHeader/>
          <w:cantSplit/>
        </w:trPr>
        <w:tc>
          <w:tcPr>
            <w:tcW w:type="dxa" w:w="2891"/>
            <w:shd w:val="clear" w:color="auto" w:fill="0F2B4C"/>
          </w:tcPr>
          <w:p>
            <w:pPr>
              <w:spacing w:after="20" w:before="20"/>
            </w:pPr>
            <w:r/>
            <w:r>
              <w:rPr>
                <w:rFonts w:ascii="Calibri" w:hAnsi="Calibri"/>
                <w:b/>
                <w:color w:val="FFFFFF"/>
                <w:sz w:val="17"/>
              </w:rPr>
              <w:t>Module</w:t>
            </w:r>
          </w:p>
        </w:tc>
        <w:tc>
          <w:tcPr>
            <w:tcW w:type="dxa" w:w="1928"/>
            <w:shd w:val="clear" w:color="auto" w:fill="0F2B4C"/>
          </w:tcPr>
          <w:p>
            <w:pPr>
              <w:spacing w:after="20" w:before="20"/>
            </w:pPr>
            <w:r/>
            <w:r>
              <w:rPr>
                <w:rFonts w:ascii="Calibri" w:hAnsi="Calibri"/>
                <w:b/>
                <w:color w:val="FFFFFF"/>
                <w:sz w:val="17"/>
              </w:rPr>
              <w:t>Completed by</w:t>
            </w:r>
          </w:p>
        </w:tc>
        <w:tc>
          <w:tcPr>
            <w:tcW w:type="dxa" w:w="1349"/>
            <w:shd w:val="clear" w:color="auto" w:fill="0F2B4C"/>
          </w:tcPr>
          <w:p>
            <w:pPr>
              <w:spacing w:after="20" w:before="20"/>
            </w:pPr>
            <w:r/>
            <w:r>
              <w:rPr>
                <w:rFonts w:ascii="Calibri" w:hAnsi="Calibri"/>
                <w:b/>
                <w:color w:val="FFFFFF"/>
                <w:sz w:val="17"/>
              </w:rPr>
              <w:t>Date</w:t>
            </w:r>
          </w:p>
        </w:tc>
        <w:tc>
          <w:tcPr>
            <w:tcW w:type="dxa" w:w="1735"/>
            <w:shd w:val="clear" w:color="auto" w:fill="0F2B4C"/>
          </w:tcPr>
          <w:p>
            <w:pPr>
              <w:spacing w:after="20" w:before="20"/>
            </w:pPr>
            <w:r/>
            <w:r>
              <w:rPr>
                <w:rFonts w:ascii="Calibri" w:hAnsi="Calibri"/>
                <w:b/>
                <w:color w:val="FFFFFF"/>
                <w:sz w:val="17"/>
              </w:rPr>
              <w:t>Trainer sign-off</w:t>
            </w:r>
          </w:p>
        </w:tc>
        <w:tc>
          <w:tcPr>
            <w:tcW w:type="dxa" w:w="1735"/>
            <w:shd w:val="clear" w:color="auto" w:fill="0F2B4C"/>
          </w:tcPr>
          <w:p>
            <w:pPr>
              <w:spacing w:after="20" w:before="20"/>
            </w:pPr>
            <w:r/>
            <w:r>
              <w:rPr>
                <w:rFonts w:ascii="Calibri" w:hAnsi="Calibri"/>
                <w:b/>
                <w:color w:val="FFFFFF"/>
                <w:sz w:val="17"/>
              </w:rPr>
              <w:t>Knowledge check score</w:t>
            </w:r>
          </w:p>
        </w:tc>
      </w:tr>
      <w:tr>
        <w:trPr>
          <w:cantSplit/>
        </w:trPr>
        <w:tc>
          <w:tcPr>
            <w:tcW w:type="dxa" w:w="2891"/>
          </w:tcPr>
          <w:p>
            <w:pPr>
              <w:spacing w:after="20" w:before="20"/>
            </w:pPr>
            <w:r/>
            <w:r>
              <w:rPr>
                <w:rFonts w:ascii="Calibri" w:hAnsi="Calibri"/>
                <w:b/>
                <w:i w:val="0"/>
                <w:color w:val="334E68"/>
                <w:sz w:val="17"/>
              </w:rPr>
              <w:t>Preparation &amp;amp; Discovery</w:t>
            </w:r>
          </w:p>
        </w:tc>
        <w:tc>
          <w:tcPr>
            <w:tcW w:type="dxa" w:w="1928"/>
          </w:tcPr>
          <w:p>
            <w:pPr>
              <w:spacing w:after="20" w:before="20"/>
            </w:pPr>
            <w:r/>
          </w:p>
        </w:tc>
        <w:tc>
          <w:tcPr>
            <w:tcW w:type="dxa" w:w="1349"/>
          </w:tcPr>
          <w:p>
            <w:pPr>
              <w:spacing w:after="20" w:before="20"/>
            </w:pPr>
            <w:r/>
          </w:p>
        </w:tc>
        <w:tc>
          <w:tcPr>
            <w:tcW w:type="dxa" w:w="1735"/>
          </w:tcPr>
          <w:p>
            <w:pPr>
              <w:spacing w:after="20" w:before="20"/>
            </w:pPr>
            <w:r/>
          </w:p>
        </w:tc>
        <w:tc>
          <w:tcPr>
            <w:tcW w:type="dxa" w:w="1735"/>
          </w:tcPr>
          <w:p>
            <w:pPr>
              <w:spacing w:after="20" w:before="20"/>
            </w:pPr>
            <w:r/>
          </w:p>
        </w:tc>
      </w:tr>
      <w:tr>
        <w:trPr>
          <w:cantSplit/>
        </w:trPr>
        <w:tc>
          <w:tcPr>
            <w:tcW w:type="dxa" w:w="2891"/>
            <w:shd w:val="clear" w:color="auto" w:fill="FAFBFD"/>
          </w:tcPr>
          <w:p>
            <w:pPr>
              <w:spacing w:after="20" w:before="20"/>
            </w:pPr>
            <w:r/>
            <w:r>
              <w:rPr>
                <w:rFonts w:ascii="Calibri" w:hAnsi="Calibri"/>
                <w:b/>
                <w:i w:val="0"/>
                <w:color w:val="334E68"/>
                <w:sz w:val="17"/>
              </w:rPr>
              <w:t>AWS Build &amp;amp; Architecture</w:t>
            </w:r>
          </w:p>
        </w:tc>
        <w:tc>
          <w:tcPr>
            <w:tcW w:type="dxa" w:w="1928"/>
            <w:shd w:val="clear" w:color="auto" w:fill="FAFBFD"/>
          </w:tcPr>
          <w:p>
            <w:pPr>
              <w:spacing w:after="20" w:before="20"/>
            </w:pPr>
            <w:r/>
          </w:p>
        </w:tc>
        <w:tc>
          <w:tcPr>
            <w:tcW w:type="dxa" w:w="1349"/>
            <w:shd w:val="clear" w:color="auto" w:fill="FAFBFD"/>
          </w:tcPr>
          <w:p>
            <w:pPr>
              <w:spacing w:after="20" w:before="20"/>
            </w:pPr>
            <w:r/>
          </w:p>
        </w:tc>
        <w:tc>
          <w:tcPr>
            <w:tcW w:type="dxa" w:w="1735"/>
            <w:shd w:val="clear" w:color="auto" w:fill="FAFBFD"/>
          </w:tcPr>
          <w:p>
            <w:pPr>
              <w:spacing w:after="20" w:before="20"/>
            </w:pPr>
            <w:r/>
          </w:p>
        </w:tc>
        <w:tc>
          <w:tcPr>
            <w:tcW w:type="dxa" w:w="1735"/>
            <w:shd w:val="clear" w:color="auto" w:fill="FAFBFD"/>
          </w:tcPr>
          <w:p>
            <w:pPr>
              <w:spacing w:after="20" w:before="20"/>
            </w:pPr>
            <w:r/>
          </w:p>
        </w:tc>
      </w:tr>
      <w:tr>
        <w:trPr>
          <w:cantSplit/>
        </w:trPr>
        <w:tc>
          <w:tcPr>
            <w:tcW w:type="dxa" w:w="2891"/>
          </w:tcPr>
          <w:p>
            <w:pPr>
              <w:spacing w:after="20" w:before="20"/>
            </w:pPr>
            <w:r/>
            <w:r>
              <w:rPr>
                <w:rFonts w:ascii="Calibri" w:hAnsi="Calibri"/>
                <w:b/>
                <w:i w:val="0"/>
                <w:color w:val="334E68"/>
                <w:sz w:val="17"/>
              </w:rPr>
              <w:t>HANA Backup &amp;amp; Recovery</w:t>
            </w:r>
          </w:p>
        </w:tc>
        <w:tc>
          <w:tcPr>
            <w:tcW w:type="dxa" w:w="1928"/>
          </w:tcPr>
          <w:p>
            <w:pPr>
              <w:spacing w:after="20" w:before="20"/>
            </w:pPr>
            <w:r/>
          </w:p>
        </w:tc>
        <w:tc>
          <w:tcPr>
            <w:tcW w:type="dxa" w:w="1349"/>
          </w:tcPr>
          <w:p>
            <w:pPr>
              <w:spacing w:after="20" w:before="20"/>
            </w:pPr>
            <w:r/>
          </w:p>
        </w:tc>
        <w:tc>
          <w:tcPr>
            <w:tcW w:type="dxa" w:w="1735"/>
          </w:tcPr>
          <w:p>
            <w:pPr>
              <w:spacing w:after="20" w:before="20"/>
            </w:pPr>
            <w:r/>
          </w:p>
        </w:tc>
        <w:tc>
          <w:tcPr>
            <w:tcW w:type="dxa" w:w="1735"/>
          </w:tcPr>
          <w:p>
            <w:pPr>
              <w:spacing w:after="20" w:before="20"/>
            </w:pPr>
            <w:r/>
          </w:p>
        </w:tc>
      </w:tr>
      <w:tr>
        <w:trPr>
          <w:cantSplit/>
        </w:trPr>
        <w:tc>
          <w:tcPr>
            <w:tcW w:type="dxa" w:w="2891"/>
            <w:shd w:val="clear" w:color="auto" w:fill="FAFBFD"/>
          </w:tcPr>
          <w:p>
            <w:pPr>
              <w:spacing w:after="20" w:before="20"/>
            </w:pPr>
            <w:r/>
            <w:r>
              <w:rPr>
                <w:rFonts w:ascii="Calibri" w:hAnsi="Calibri"/>
                <w:b/>
                <w:i w:val="0"/>
                <w:color w:val="334E68"/>
                <w:sz w:val="17"/>
              </w:rPr>
              <w:t>SAP Validation &amp;amp; Monitoring</w:t>
            </w:r>
          </w:p>
        </w:tc>
        <w:tc>
          <w:tcPr>
            <w:tcW w:type="dxa" w:w="1928"/>
            <w:shd w:val="clear" w:color="auto" w:fill="FAFBFD"/>
          </w:tcPr>
          <w:p>
            <w:pPr>
              <w:spacing w:after="20" w:before="20"/>
            </w:pPr>
            <w:r/>
          </w:p>
        </w:tc>
        <w:tc>
          <w:tcPr>
            <w:tcW w:type="dxa" w:w="1349"/>
            <w:shd w:val="clear" w:color="auto" w:fill="FAFBFD"/>
          </w:tcPr>
          <w:p>
            <w:pPr>
              <w:spacing w:after="20" w:before="20"/>
            </w:pPr>
            <w:r/>
          </w:p>
        </w:tc>
        <w:tc>
          <w:tcPr>
            <w:tcW w:type="dxa" w:w="1735"/>
            <w:shd w:val="clear" w:color="auto" w:fill="FAFBFD"/>
          </w:tcPr>
          <w:p>
            <w:pPr>
              <w:spacing w:after="20" w:before="20"/>
            </w:pPr>
            <w:r/>
          </w:p>
        </w:tc>
        <w:tc>
          <w:tcPr>
            <w:tcW w:type="dxa" w:w="1735"/>
            <w:shd w:val="clear" w:color="auto" w:fill="FAFBFD"/>
          </w:tcPr>
          <w:p>
            <w:pPr>
              <w:spacing w:after="20" w:before="20"/>
            </w:pPr>
            <w:r/>
          </w:p>
        </w:tc>
      </w:tr>
      <w:tr>
        <w:trPr>
          <w:cantSplit/>
        </w:trPr>
        <w:tc>
          <w:tcPr>
            <w:tcW w:type="dxa" w:w="2891"/>
          </w:tcPr>
          <w:p>
            <w:pPr>
              <w:spacing w:after="20" w:before="20"/>
            </w:pPr>
            <w:r/>
            <w:r>
              <w:rPr>
                <w:rFonts w:ascii="Calibri" w:hAnsi="Calibri"/>
                <w:b/>
                <w:i w:val="0"/>
                <w:color w:val="334E68"/>
                <w:sz w:val="17"/>
              </w:rPr>
              <w:t>Performance &amp;amp; Troubleshooting</w:t>
            </w:r>
          </w:p>
        </w:tc>
        <w:tc>
          <w:tcPr>
            <w:tcW w:type="dxa" w:w="1928"/>
          </w:tcPr>
          <w:p>
            <w:pPr>
              <w:spacing w:after="20" w:before="20"/>
            </w:pPr>
            <w:r/>
          </w:p>
        </w:tc>
        <w:tc>
          <w:tcPr>
            <w:tcW w:type="dxa" w:w="1349"/>
          </w:tcPr>
          <w:p>
            <w:pPr>
              <w:spacing w:after="20" w:before="20"/>
            </w:pPr>
            <w:r/>
          </w:p>
        </w:tc>
        <w:tc>
          <w:tcPr>
            <w:tcW w:type="dxa" w:w="1735"/>
          </w:tcPr>
          <w:p>
            <w:pPr>
              <w:spacing w:after="20" w:before="20"/>
            </w:pPr>
            <w:r/>
          </w:p>
        </w:tc>
        <w:tc>
          <w:tcPr>
            <w:tcW w:type="dxa" w:w="1735"/>
          </w:tcPr>
          <w:p>
            <w:pPr>
              <w:spacing w:after="20" w:before="20"/>
            </w:pPr>
            <w:r/>
          </w:p>
        </w:tc>
      </w:tr>
      <w:tr>
        <w:trPr>
          <w:cantSplit/>
        </w:trPr>
        <w:tc>
          <w:tcPr>
            <w:tcW w:type="dxa" w:w="2891"/>
            <w:shd w:val="clear" w:color="auto" w:fill="FAFBFD"/>
          </w:tcPr>
          <w:p>
            <w:pPr>
              <w:spacing w:after="20" w:before="20"/>
            </w:pPr>
            <w:r/>
            <w:r>
              <w:rPr>
                <w:rFonts w:ascii="Calibri" w:hAnsi="Calibri"/>
                <w:b/>
                <w:i w:val="0"/>
                <w:color w:val="334E68"/>
                <w:sz w:val="17"/>
              </w:rPr>
              <w:t>Oracle &amp;amp; Cutover</w:t>
            </w:r>
          </w:p>
        </w:tc>
        <w:tc>
          <w:tcPr>
            <w:tcW w:type="dxa" w:w="1928"/>
            <w:shd w:val="clear" w:color="auto" w:fill="FAFBFD"/>
          </w:tcPr>
          <w:p>
            <w:pPr>
              <w:spacing w:after="20" w:before="20"/>
            </w:pPr>
            <w:r/>
          </w:p>
        </w:tc>
        <w:tc>
          <w:tcPr>
            <w:tcW w:type="dxa" w:w="1349"/>
            <w:shd w:val="clear" w:color="auto" w:fill="FAFBFD"/>
          </w:tcPr>
          <w:p>
            <w:pPr>
              <w:spacing w:after="20" w:before="20"/>
            </w:pPr>
            <w:r/>
          </w:p>
        </w:tc>
        <w:tc>
          <w:tcPr>
            <w:tcW w:type="dxa" w:w="1735"/>
            <w:shd w:val="clear" w:color="auto" w:fill="FAFBFD"/>
          </w:tcPr>
          <w:p>
            <w:pPr>
              <w:spacing w:after="20" w:before="20"/>
            </w:pPr>
            <w:r/>
          </w:p>
        </w:tc>
        <w:tc>
          <w:tcPr>
            <w:tcW w:type="dxa" w:w="1735"/>
            <w:shd w:val="clear" w:color="auto" w:fill="FAFBFD"/>
          </w:tcPr>
          <w:p>
            <w:pPr>
              <w:spacing w:after="20" w:before="20"/>
            </w:pPr>
            <w:r/>
          </w:p>
        </w:tc>
      </w:tr>
      <w:tr>
        <w:trPr>
          <w:cantSplit/>
        </w:trPr>
        <w:tc>
          <w:tcPr>
            <w:tcW w:type="dxa" w:w="2891"/>
          </w:tcPr>
          <w:p>
            <w:pPr>
              <w:spacing w:after="20" w:before="20"/>
            </w:pPr>
            <w:r/>
            <w:r>
              <w:rPr>
                <w:rFonts w:ascii="Calibri" w:hAnsi="Calibri"/>
                <w:b/>
                <w:i w:val="0"/>
                <w:color w:val="334E68"/>
                <w:sz w:val="17"/>
              </w:rPr>
              <w:t>Go-Live &amp;amp; Hypercare</w:t>
            </w:r>
          </w:p>
        </w:tc>
        <w:tc>
          <w:tcPr>
            <w:tcW w:type="dxa" w:w="1928"/>
          </w:tcPr>
          <w:p>
            <w:pPr>
              <w:spacing w:after="20" w:before="20"/>
            </w:pPr>
            <w:r/>
          </w:p>
        </w:tc>
        <w:tc>
          <w:tcPr>
            <w:tcW w:type="dxa" w:w="1349"/>
          </w:tcPr>
          <w:p>
            <w:pPr>
              <w:spacing w:after="20" w:before="20"/>
            </w:pPr>
            <w:r/>
          </w:p>
        </w:tc>
        <w:tc>
          <w:tcPr>
            <w:tcW w:type="dxa" w:w="1735"/>
          </w:tcPr>
          <w:p>
            <w:pPr>
              <w:spacing w:after="20" w:before="20"/>
            </w:pPr>
            <w:r/>
          </w:p>
        </w:tc>
        <w:tc>
          <w:tcPr>
            <w:tcW w:type="dxa" w:w="1735"/>
          </w:tcPr>
          <w:p>
            <w:pPr>
              <w:spacing w:after="20" w:before="20"/>
            </w:pPr>
            <w:r/>
          </w:p>
        </w:tc>
      </w:tr>
      <w:tr>
        <w:trPr>
          <w:cantSplit/>
        </w:trPr>
        <w:tc>
          <w:tcPr>
            <w:tcW w:type="dxa" w:w="2891"/>
            <w:shd w:val="clear" w:color="auto" w:fill="FAFBFD"/>
          </w:tcPr>
          <w:p>
            <w:pPr>
              <w:spacing w:after="20" w:before="20"/>
            </w:pPr>
            <w:r/>
            <w:r>
              <w:rPr>
                <w:rFonts w:ascii="Calibri" w:hAnsi="Calibri"/>
                <w:b/>
                <w:i w:val="0"/>
                <w:color w:val="334E68"/>
                <w:sz w:val="17"/>
              </w:rPr>
              <w:t>Evidence &amp;amp; Ownership model</w:t>
            </w:r>
          </w:p>
        </w:tc>
        <w:tc>
          <w:tcPr>
            <w:tcW w:type="dxa" w:w="1928"/>
            <w:shd w:val="clear" w:color="auto" w:fill="FAFBFD"/>
          </w:tcPr>
          <w:p>
            <w:pPr>
              <w:spacing w:after="20" w:before="20"/>
            </w:pPr>
            <w:r/>
          </w:p>
        </w:tc>
        <w:tc>
          <w:tcPr>
            <w:tcW w:type="dxa" w:w="1349"/>
            <w:shd w:val="clear" w:color="auto" w:fill="FAFBFD"/>
          </w:tcPr>
          <w:p>
            <w:pPr>
              <w:spacing w:after="20" w:before="20"/>
            </w:pPr>
            <w:r/>
          </w:p>
        </w:tc>
        <w:tc>
          <w:tcPr>
            <w:tcW w:type="dxa" w:w="1735"/>
            <w:shd w:val="clear" w:color="auto" w:fill="FAFBFD"/>
          </w:tcPr>
          <w:p>
            <w:pPr>
              <w:spacing w:after="20" w:before="20"/>
            </w:pPr>
            <w:r/>
          </w:p>
        </w:tc>
        <w:tc>
          <w:tcPr>
            <w:tcW w:type="dxa" w:w="1735"/>
            <w:shd w:val="clear" w:color="auto" w:fill="FAFBFD"/>
          </w:tcPr>
          <w:p>
            <w:pPr>
              <w:spacing w:after="20" w:before="20"/>
            </w:pPr>
            <w:r/>
          </w:p>
        </w:tc>
      </w:tr>
    </w:tbl>
    <w:p>
      <w:pPr>
        <w:spacing w:after="40"/>
      </w:pPr>
    </w:p>
    <w:p>
      <w:pPr>
        <w:pStyle w:val="Heading2"/>
        <w:pBdr>
          <w:bottom w:val="single" w:sz="6" w:space="3" w:color="E8EDF3"/>
        </w:pBdr>
      </w:pPr>
      <w:r>
        <w:rPr>
          <w:rFonts w:ascii="Calibri" w:hAnsi="Calibri"/>
          <w:b/>
          <w:color w:val="0F2B4C"/>
          <w:sz w:val="26"/>
        </w:rPr>
        <w:t>B.1  Session register</w:t>
      </w:r>
    </w:p>
    <w:p>
      <w:pPr>
        <w:spacing w:after="60" w:before="160"/>
        <w:keepNext/>
      </w:pPr>
      <w:r>
        <w:rPr>
          <w:rFonts w:ascii="Calibri" w:hAnsi="Calibri"/>
          <w:b/>
          <w:color w:val="5B7288"/>
          <w:sz w:val="15"/>
        </w:rPr>
        <w:t>SESSION REGISTER (MOM CONSOLIDATION SOURCE)</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1157"/>
        <w:gridCol w:w="964"/>
        <w:gridCol w:w="964"/>
        <w:gridCol w:w="1349"/>
        <w:gridCol w:w="1542"/>
        <w:gridCol w:w="1928"/>
        <w:gridCol w:w="1735"/>
      </w:tblGrid>
      <w:tr>
        <w:trPr>
          <w:tblHeader/>
          <w:cantSplit/>
        </w:trPr>
        <w:tc>
          <w:tcPr>
            <w:tcW w:type="dxa" w:w="1157"/>
            <w:shd w:val="clear" w:color="auto" w:fill="0F2B4C"/>
          </w:tcPr>
          <w:p>
            <w:pPr>
              <w:spacing w:after="20" w:before="20"/>
            </w:pPr>
            <w:r/>
            <w:r>
              <w:rPr>
                <w:rFonts w:ascii="Calibri" w:hAnsi="Calibri"/>
                <w:b/>
                <w:color w:val="FFFFFF"/>
                <w:sz w:val="17"/>
              </w:rPr>
              <w:t>Session</w:t>
            </w:r>
          </w:p>
        </w:tc>
        <w:tc>
          <w:tcPr>
            <w:tcW w:type="dxa" w:w="964"/>
            <w:shd w:val="clear" w:color="auto" w:fill="0F2B4C"/>
          </w:tcPr>
          <w:p>
            <w:pPr>
              <w:spacing w:after="20" w:before="20"/>
            </w:pPr>
            <w:r/>
            <w:r>
              <w:rPr>
                <w:rFonts w:ascii="Calibri" w:hAnsi="Calibri"/>
                <w:b/>
                <w:color w:val="FFFFFF"/>
                <w:sz w:val="17"/>
              </w:rPr>
              <w:t>Date</w:t>
            </w:r>
          </w:p>
        </w:tc>
        <w:tc>
          <w:tcPr>
            <w:tcW w:type="dxa" w:w="964"/>
            <w:shd w:val="clear" w:color="auto" w:fill="0F2B4C"/>
          </w:tcPr>
          <w:p>
            <w:pPr>
              <w:spacing w:after="20" w:before="20"/>
            </w:pPr>
            <w:r/>
            <w:r>
              <w:rPr>
                <w:rFonts w:ascii="Calibri" w:hAnsi="Calibri"/>
                <w:b/>
                <w:color w:val="FFFFFF"/>
                <w:sz w:val="17"/>
              </w:rPr>
              <w:t>Duration</w:t>
            </w:r>
          </w:p>
        </w:tc>
        <w:tc>
          <w:tcPr>
            <w:tcW w:type="dxa" w:w="1349"/>
            <w:shd w:val="clear" w:color="auto" w:fill="0F2B4C"/>
          </w:tcPr>
          <w:p>
            <w:pPr>
              <w:spacing w:after="20" w:before="20"/>
            </w:pPr>
            <w:r/>
            <w:r>
              <w:rPr>
                <w:rFonts w:ascii="Calibri" w:hAnsi="Calibri"/>
                <w:b/>
                <w:color w:val="FFFFFF"/>
                <w:sz w:val="17"/>
              </w:rPr>
              <w:t>Trainer</w:t>
            </w:r>
          </w:p>
        </w:tc>
        <w:tc>
          <w:tcPr>
            <w:tcW w:type="dxa" w:w="1542"/>
            <w:shd w:val="clear" w:color="auto" w:fill="0F2B4C"/>
          </w:tcPr>
          <w:p>
            <w:pPr>
              <w:spacing w:after="20" w:before="20"/>
            </w:pPr>
            <w:r/>
            <w:r>
              <w:rPr>
                <w:rFonts w:ascii="Calibri" w:hAnsi="Calibri"/>
                <w:b/>
                <w:color w:val="FFFFFF"/>
                <w:sz w:val="17"/>
              </w:rPr>
              <w:t>Attendees</w:t>
            </w:r>
          </w:p>
        </w:tc>
        <w:tc>
          <w:tcPr>
            <w:tcW w:type="dxa" w:w="1928"/>
            <w:shd w:val="clear" w:color="auto" w:fill="0F2B4C"/>
          </w:tcPr>
          <w:p>
            <w:pPr>
              <w:spacing w:after="20" w:before="20"/>
            </w:pPr>
            <w:r/>
            <w:r>
              <w:rPr>
                <w:rFonts w:ascii="Calibri" w:hAnsi="Calibri"/>
                <w:b/>
                <w:color w:val="FFFFFF"/>
                <w:sz w:val="17"/>
              </w:rPr>
              <w:t>Topics covered</w:t>
            </w:r>
          </w:p>
        </w:tc>
        <w:tc>
          <w:tcPr>
            <w:tcW w:type="dxa" w:w="1735"/>
            <w:shd w:val="clear" w:color="auto" w:fill="0F2B4C"/>
          </w:tcPr>
          <w:p>
            <w:pPr>
              <w:spacing w:after="20" w:before="20"/>
            </w:pPr>
            <w:r/>
            <w:r>
              <w:rPr>
                <w:rFonts w:ascii="Calibri" w:hAnsi="Calibri"/>
                <w:b/>
                <w:color w:val="FFFFFF"/>
                <w:sz w:val="17"/>
              </w:rPr>
              <w:t>Actions from the session</w:t>
            </w:r>
          </w:p>
        </w:tc>
      </w:tr>
      <w:tr>
        <w:trPr>
          <w:cantSplit/>
        </w:trPr>
        <w:tc>
          <w:tcPr>
            <w:tcW w:type="dxa" w:w="1157"/>
          </w:tcPr>
          <w:p>
            <w:pPr>
              <w:spacing w:after="20" w:before="20"/>
            </w:pPr>
            <w:r/>
          </w:p>
        </w:tc>
        <w:tc>
          <w:tcPr>
            <w:tcW w:type="dxa" w:w="964"/>
          </w:tcPr>
          <w:p>
            <w:pPr>
              <w:spacing w:after="20" w:before="20"/>
            </w:pPr>
            <w:r/>
          </w:p>
        </w:tc>
        <w:tc>
          <w:tcPr>
            <w:tcW w:type="dxa" w:w="964"/>
          </w:tcPr>
          <w:p>
            <w:pPr>
              <w:spacing w:after="20" w:before="20"/>
            </w:pPr>
            <w:r/>
          </w:p>
        </w:tc>
        <w:tc>
          <w:tcPr>
            <w:tcW w:type="dxa" w:w="1349"/>
          </w:tcPr>
          <w:p>
            <w:pPr>
              <w:spacing w:after="20" w:before="20"/>
            </w:pPr>
            <w:r/>
          </w:p>
        </w:tc>
        <w:tc>
          <w:tcPr>
            <w:tcW w:type="dxa" w:w="1542"/>
          </w:tcPr>
          <w:p>
            <w:pPr>
              <w:spacing w:after="20" w:before="20"/>
            </w:pPr>
            <w:r/>
          </w:p>
        </w:tc>
        <w:tc>
          <w:tcPr>
            <w:tcW w:type="dxa" w:w="1928"/>
          </w:tcPr>
          <w:p>
            <w:pPr>
              <w:spacing w:after="20" w:before="20"/>
            </w:pPr>
            <w:r/>
          </w:p>
        </w:tc>
        <w:tc>
          <w:tcPr>
            <w:tcW w:type="dxa" w:w="1735"/>
          </w:tcPr>
          <w:p>
            <w:pPr>
              <w:spacing w:after="20" w:before="20"/>
            </w:pPr>
            <w:r/>
          </w:p>
        </w:tc>
      </w:tr>
      <w:tr>
        <w:trPr>
          <w:cantSplit/>
        </w:trPr>
        <w:tc>
          <w:tcPr>
            <w:tcW w:type="dxa" w:w="1157"/>
            <w:shd w:val="clear" w:color="auto" w:fill="FAFBFD"/>
          </w:tcPr>
          <w:p>
            <w:pPr>
              <w:spacing w:after="20" w:before="20"/>
            </w:pPr>
            <w:r/>
          </w:p>
        </w:tc>
        <w:tc>
          <w:tcPr>
            <w:tcW w:type="dxa" w:w="964"/>
            <w:shd w:val="clear" w:color="auto" w:fill="FAFBFD"/>
          </w:tcPr>
          <w:p>
            <w:pPr>
              <w:spacing w:after="20" w:before="20"/>
            </w:pPr>
            <w:r/>
          </w:p>
        </w:tc>
        <w:tc>
          <w:tcPr>
            <w:tcW w:type="dxa" w:w="964"/>
            <w:shd w:val="clear" w:color="auto" w:fill="FAFBFD"/>
          </w:tcPr>
          <w:p>
            <w:pPr>
              <w:spacing w:after="20" w:before="20"/>
            </w:pPr>
            <w:r/>
          </w:p>
        </w:tc>
        <w:tc>
          <w:tcPr>
            <w:tcW w:type="dxa" w:w="1349"/>
            <w:shd w:val="clear" w:color="auto" w:fill="FAFBFD"/>
          </w:tcPr>
          <w:p>
            <w:pPr>
              <w:spacing w:after="20" w:before="20"/>
            </w:pPr>
            <w:r/>
          </w:p>
        </w:tc>
        <w:tc>
          <w:tcPr>
            <w:tcW w:type="dxa" w:w="1542"/>
            <w:shd w:val="clear" w:color="auto" w:fill="FAFBFD"/>
          </w:tcPr>
          <w:p>
            <w:pPr>
              <w:spacing w:after="20" w:before="20"/>
            </w:pPr>
            <w:r/>
          </w:p>
        </w:tc>
        <w:tc>
          <w:tcPr>
            <w:tcW w:type="dxa" w:w="1928"/>
            <w:shd w:val="clear" w:color="auto" w:fill="FAFBFD"/>
          </w:tcPr>
          <w:p>
            <w:pPr>
              <w:spacing w:after="20" w:before="20"/>
            </w:pPr>
            <w:r/>
          </w:p>
        </w:tc>
        <w:tc>
          <w:tcPr>
            <w:tcW w:type="dxa" w:w="1735"/>
            <w:shd w:val="clear" w:color="auto" w:fill="FAFBFD"/>
          </w:tcPr>
          <w:p>
            <w:pPr>
              <w:spacing w:after="20" w:before="20"/>
            </w:pPr>
            <w:r/>
          </w:p>
        </w:tc>
      </w:tr>
      <w:tr>
        <w:trPr>
          <w:cantSplit/>
        </w:trPr>
        <w:tc>
          <w:tcPr>
            <w:tcW w:type="dxa" w:w="1157"/>
          </w:tcPr>
          <w:p>
            <w:pPr>
              <w:spacing w:after="20" w:before="20"/>
            </w:pPr>
            <w:r/>
          </w:p>
        </w:tc>
        <w:tc>
          <w:tcPr>
            <w:tcW w:type="dxa" w:w="964"/>
          </w:tcPr>
          <w:p>
            <w:pPr>
              <w:spacing w:after="20" w:before="20"/>
            </w:pPr>
            <w:r/>
          </w:p>
        </w:tc>
        <w:tc>
          <w:tcPr>
            <w:tcW w:type="dxa" w:w="964"/>
          </w:tcPr>
          <w:p>
            <w:pPr>
              <w:spacing w:after="20" w:before="20"/>
            </w:pPr>
            <w:r/>
          </w:p>
        </w:tc>
        <w:tc>
          <w:tcPr>
            <w:tcW w:type="dxa" w:w="1349"/>
          </w:tcPr>
          <w:p>
            <w:pPr>
              <w:spacing w:after="20" w:before="20"/>
            </w:pPr>
            <w:r/>
          </w:p>
        </w:tc>
        <w:tc>
          <w:tcPr>
            <w:tcW w:type="dxa" w:w="1542"/>
          </w:tcPr>
          <w:p>
            <w:pPr>
              <w:spacing w:after="20" w:before="20"/>
            </w:pPr>
            <w:r/>
          </w:p>
        </w:tc>
        <w:tc>
          <w:tcPr>
            <w:tcW w:type="dxa" w:w="1928"/>
          </w:tcPr>
          <w:p>
            <w:pPr>
              <w:spacing w:after="20" w:before="20"/>
            </w:pPr>
            <w:r/>
          </w:p>
        </w:tc>
        <w:tc>
          <w:tcPr>
            <w:tcW w:type="dxa" w:w="1735"/>
          </w:tcPr>
          <w:p>
            <w:pPr>
              <w:spacing w:after="20" w:before="20"/>
            </w:pPr>
            <w:r/>
          </w:p>
        </w:tc>
      </w:tr>
      <w:tr>
        <w:trPr>
          <w:cantSplit/>
        </w:trPr>
        <w:tc>
          <w:tcPr>
            <w:tcW w:type="dxa" w:w="1157"/>
            <w:shd w:val="clear" w:color="auto" w:fill="FAFBFD"/>
          </w:tcPr>
          <w:p>
            <w:pPr>
              <w:spacing w:after="20" w:before="20"/>
            </w:pPr>
            <w:r/>
          </w:p>
        </w:tc>
        <w:tc>
          <w:tcPr>
            <w:tcW w:type="dxa" w:w="964"/>
            <w:shd w:val="clear" w:color="auto" w:fill="FAFBFD"/>
          </w:tcPr>
          <w:p>
            <w:pPr>
              <w:spacing w:after="20" w:before="20"/>
            </w:pPr>
            <w:r/>
          </w:p>
        </w:tc>
        <w:tc>
          <w:tcPr>
            <w:tcW w:type="dxa" w:w="964"/>
            <w:shd w:val="clear" w:color="auto" w:fill="FAFBFD"/>
          </w:tcPr>
          <w:p>
            <w:pPr>
              <w:spacing w:after="20" w:before="20"/>
            </w:pPr>
            <w:r/>
          </w:p>
        </w:tc>
        <w:tc>
          <w:tcPr>
            <w:tcW w:type="dxa" w:w="1349"/>
            <w:shd w:val="clear" w:color="auto" w:fill="FAFBFD"/>
          </w:tcPr>
          <w:p>
            <w:pPr>
              <w:spacing w:after="20" w:before="20"/>
            </w:pPr>
            <w:r/>
          </w:p>
        </w:tc>
        <w:tc>
          <w:tcPr>
            <w:tcW w:type="dxa" w:w="1542"/>
            <w:shd w:val="clear" w:color="auto" w:fill="FAFBFD"/>
          </w:tcPr>
          <w:p>
            <w:pPr>
              <w:spacing w:after="20" w:before="20"/>
            </w:pPr>
            <w:r/>
          </w:p>
        </w:tc>
        <w:tc>
          <w:tcPr>
            <w:tcW w:type="dxa" w:w="1928"/>
            <w:shd w:val="clear" w:color="auto" w:fill="FAFBFD"/>
          </w:tcPr>
          <w:p>
            <w:pPr>
              <w:spacing w:after="20" w:before="20"/>
            </w:pPr>
            <w:r/>
          </w:p>
        </w:tc>
        <w:tc>
          <w:tcPr>
            <w:tcW w:type="dxa" w:w="1735"/>
            <w:shd w:val="clear" w:color="auto" w:fill="FAFBFD"/>
          </w:tcPr>
          <w:p>
            <w:pPr>
              <w:spacing w:after="20" w:before="20"/>
            </w:pPr>
            <w:r/>
          </w:p>
        </w:tc>
      </w:tr>
      <w:tr>
        <w:trPr>
          <w:cantSplit/>
        </w:trPr>
        <w:tc>
          <w:tcPr>
            <w:tcW w:type="dxa" w:w="1157"/>
          </w:tcPr>
          <w:p>
            <w:pPr>
              <w:spacing w:after="20" w:before="20"/>
            </w:pPr>
            <w:r/>
          </w:p>
        </w:tc>
        <w:tc>
          <w:tcPr>
            <w:tcW w:type="dxa" w:w="964"/>
          </w:tcPr>
          <w:p>
            <w:pPr>
              <w:spacing w:after="20" w:before="20"/>
            </w:pPr>
            <w:r/>
          </w:p>
        </w:tc>
        <w:tc>
          <w:tcPr>
            <w:tcW w:type="dxa" w:w="964"/>
          </w:tcPr>
          <w:p>
            <w:pPr>
              <w:spacing w:after="20" w:before="20"/>
            </w:pPr>
            <w:r/>
          </w:p>
        </w:tc>
        <w:tc>
          <w:tcPr>
            <w:tcW w:type="dxa" w:w="1349"/>
          </w:tcPr>
          <w:p>
            <w:pPr>
              <w:spacing w:after="20" w:before="20"/>
            </w:pPr>
            <w:r/>
          </w:p>
        </w:tc>
        <w:tc>
          <w:tcPr>
            <w:tcW w:type="dxa" w:w="1542"/>
          </w:tcPr>
          <w:p>
            <w:pPr>
              <w:spacing w:after="20" w:before="20"/>
            </w:pPr>
            <w:r/>
          </w:p>
        </w:tc>
        <w:tc>
          <w:tcPr>
            <w:tcW w:type="dxa" w:w="1928"/>
          </w:tcPr>
          <w:p>
            <w:pPr>
              <w:spacing w:after="20" w:before="20"/>
            </w:pPr>
            <w:r/>
          </w:p>
        </w:tc>
        <w:tc>
          <w:tcPr>
            <w:tcW w:type="dxa" w:w="1735"/>
          </w:tcPr>
          <w:p>
            <w:pPr>
              <w:spacing w:after="20" w:before="20"/>
            </w:pPr>
            <w:r/>
          </w:p>
        </w:tc>
      </w:tr>
      <w:tr>
        <w:trPr>
          <w:cantSplit/>
        </w:trPr>
        <w:tc>
          <w:tcPr>
            <w:tcW w:type="dxa" w:w="1157"/>
            <w:shd w:val="clear" w:color="auto" w:fill="FAFBFD"/>
          </w:tcPr>
          <w:p>
            <w:pPr>
              <w:spacing w:after="20" w:before="20"/>
            </w:pPr>
            <w:r/>
          </w:p>
        </w:tc>
        <w:tc>
          <w:tcPr>
            <w:tcW w:type="dxa" w:w="964"/>
            <w:shd w:val="clear" w:color="auto" w:fill="FAFBFD"/>
          </w:tcPr>
          <w:p>
            <w:pPr>
              <w:spacing w:after="20" w:before="20"/>
            </w:pPr>
            <w:r/>
          </w:p>
        </w:tc>
        <w:tc>
          <w:tcPr>
            <w:tcW w:type="dxa" w:w="964"/>
            <w:shd w:val="clear" w:color="auto" w:fill="FAFBFD"/>
          </w:tcPr>
          <w:p>
            <w:pPr>
              <w:spacing w:after="20" w:before="20"/>
            </w:pPr>
            <w:r/>
          </w:p>
        </w:tc>
        <w:tc>
          <w:tcPr>
            <w:tcW w:type="dxa" w:w="1349"/>
            <w:shd w:val="clear" w:color="auto" w:fill="FAFBFD"/>
          </w:tcPr>
          <w:p>
            <w:pPr>
              <w:spacing w:after="20" w:before="20"/>
            </w:pPr>
            <w:r/>
          </w:p>
        </w:tc>
        <w:tc>
          <w:tcPr>
            <w:tcW w:type="dxa" w:w="1542"/>
            <w:shd w:val="clear" w:color="auto" w:fill="FAFBFD"/>
          </w:tcPr>
          <w:p>
            <w:pPr>
              <w:spacing w:after="20" w:before="20"/>
            </w:pPr>
            <w:r/>
          </w:p>
        </w:tc>
        <w:tc>
          <w:tcPr>
            <w:tcW w:type="dxa" w:w="1928"/>
            <w:shd w:val="clear" w:color="auto" w:fill="FAFBFD"/>
          </w:tcPr>
          <w:p>
            <w:pPr>
              <w:spacing w:after="20" w:before="20"/>
            </w:pPr>
            <w:r/>
          </w:p>
        </w:tc>
        <w:tc>
          <w:tcPr>
            <w:tcW w:type="dxa" w:w="1735"/>
            <w:shd w:val="clear" w:color="auto" w:fill="FAFBFD"/>
          </w:tcPr>
          <w:p>
            <w:pPr>
              <w:spacing w:after="20" w:before="20"/>
            </w:pPr>
            <w:r/>
          </w:p>
        </w:tc>
      </w:tr>
    </w:tbl>
    <w:p>
      <w:pPr>
        <w:spacing w:after="40"/>
      </w:pPr>
    </w:p>
    <w:p>
      <w:pPr>
        <w:pStyle w:val="Heading2"/>
        <w:pBdr>
          <w:bottom w:val="single" w:sz="6" w:space="3" w:color="E8EDF3"/>
        </w:pBdr>
      </w:pPr>
      <w:r>
        <w:rPr>
          <w:rFonts w:ascii="Calibri" w:hAnsi="Calibri"/>
          <w:b/>
          <w:color w:val="0F2B4C"/>
          <w:sz w:val="26"/>
        </w:rPr>
        <w:t>B.2  Competency confirmation</w:t>
      </w:r>
    </w:p>
    <w:p>
      <w:pPr>
        <w:spacing w:after="60" w:before="160"/>
        <w:keepNext/>
      </w:pPr>
      <w:r>
        <w:rPr>
          <w:rFonts w:ascii="Calibri" w:hAnsi="Calibri"/>
          <w:b/>
          <w:color w:val="5B7288"/>
          <w:sz w:val="15"/>
        </w:rPr>
        <w:t>PRACTICAL COMPETENCY CONFIRMATION</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4626"/>
        <w:gridCol w:w="1928"/>
        <w:gridCol w:w="1542"/>
        <w:gridCol w:w="1542"/>
      </w:tblGrid>
      <w:tr>
        <w:trPr>
          <w:tblHeader/>
          <w:cantSplit/>
        </w:trPr>
        <w:tc>
          <w:tcPr>
            <w:tcW w:type="dxa" w:w="4626"/>
            <w:shd w:val="clear" w:color="auto" w:fill="0F2B4C"/>
          </w:tcPr>
          <w:p>
            <w:pPr>
              <w:spacing w:after="20" w:before="20"/>
            </w:pPr>
            <w:r/>
            <w:r>
              <w:rPr>
                <w:rFonts w:ascii="Calibri" w:hAnsi="Calibri"/>
                <w:b/>
                <w:color w:val="FFFFFF"/>
                <w:sz w:val="17"/>
              </w:rPr>
              <w:t>Competency</w:t>
            </w:r>
          </w:p>
        </w:tc>
        <w:tc>
          <w:tcPr>
            <w:tcW w:type="dxa" w:w="1928"/>
            <w:shd w:val="clear" w:color="auto" w:fill="0F2B4C"/>
          </w:tcPr>
          <w:p>
            <w:pPr>
              <w:spacing w:after="20" w:before="20"/>
            </w:pPr>
            <w:r/>
            <w:r>
              <w:rPr>
                <w:rFonts w:ascii="Calibri" w:hAnsi="Calibri"/>
                <w:b/>
                <w:color w:val="FFFFFF"/>
                <w:sz w:val="17"/>
              </w:rPr>
              <w:t>Assessed by</w:t>
            </w:r>
          </w:p>
        </w:tc>
        <w:tc>
          <w:tcPr>
            <w:tcW w:type="dxa" w:w="1542"/>
            <w:shd w:val="clear" w:color="auto" w:fill="0F2B4C"/>
          </w:tcPr>
          <w:p>
            <w:pPr>
              <w:spacing w:after="20" w:before="20"/>
            </w:pPr>
            <w:r/>
            <w:r>
              <w:rPr>
                <w:rFonts w:ascii="Calibri" w:hAnsi="Calibri"/>
                <w:b/>
                <w:color w:val="FFFFFF"/>
                <w:sz w:val="17"/>
              </w:rPr>
              <w:t>Result</w:t>
            </w:r>
          </w:p>
        </w:tc>
        <w:tc>
          <w:tcPr>
            <w:tcW w:type="dxa" w:w="1542"/>
            <w:shd w:val="clear" w:color="auto" w:fill="0F2B4C"/>
          </w:tcPr>
          <w:p>
            <w:pPr>
              <w:spacing w:after="20" w:before="20"/>
            </w:pPr>
            <w:r/>
            <w:r>
              <w:rPr>
                <w:rFonts w:ascii="Calibri" w:hAnsi="Calibri"/>
                <w:b/>
                <w:color w:val="FFFFFF"/>
                <w:sz w:val="17"/>
              </w:rPr>
              <w:t>Date</w:t>
            </w:r>
          </w:p>
        </w:tc>
      </w:tr>
      <w:tr>
        <w:trPr>
          <w:cantSplit/>
        </w:trPr>
        <w:tc>
          <w:tcPr>
            <w:tcW w:type="dxa" w:w="4626"/>
          </w:tcPr>
          <w:p>
            <w:pPr>
              <w:spacing w:after="20" w:before="20"/>
            </w:pPr>
            <w:r/>
            <w:r>
              <w:rPr>
                <w:rFonts w:ascii="Calibri" w:hAnsi="Calibri"/>
                <w:b/>
                <w:i w:val="0"/>
                <w:color w:val="334E68"/>
                <w:sz w:val="17"/>
              </w:rPr>
              <w:t>Can build and use a source baseline pack</w:t>
            </w:r>
          </w:p>
        </w:tc>
        <w:tc>
          <w:tcPr>
            <w:tcW w:type="dxa" w:w="1928"/>
          </w:tcPr>
          <w:p>
            <w:pPr>
              <w:spacing w:after="20" w:before="20"/>
            </w:pPr>
            <w:r/>
          </w:p>
        </w:tc>
        <w:tc>
          <w:tcPr>
            <w:tcW w:type="dxa" w:w="1542"/>
          </w:tcPr>
          <w:p>
            <w:pPr>
              <w:spacing w:after="20" w:before="20"/>
            </w:pPr>
            <w:r/>
          </w:p>
        </w:tc>
        <w:tc>
          <w:tcPr>
            <w:tcW w:type="dxa" w:w="1542"/>
          </w:tcPr>
          <w:p>
            <w:pPr>
              <w:spacing w:after="20" w:before="20"/>
            </w:pPr>
            <w:r/>
          </w:p>
        </w:tc>
      </w:tr>
      <w:tr>
        <w:trPr>
          <w:cantSplit/>
        </w:trPr>
        <w:tc>
          <w:tcPr>
            <w:tcW w:type="dxa" w:w="4626"/>
            <w:shd w:val="clear" w:color="auto" w:fill="FAFBFD"/>
          </w:tcPr>
          <w:p>
            <w:pPr>
              <w:spacing w:after="20" w:before="20"/>
            </w:pPr>
            <w:r/>
            <w:r>
              <w:rPr>
                <w:rFonts w:ascii="Calibri" w:hAnsi="Calibri"/>
                <w:b/>
                <w:i w:val="0"/>
                <w:color w:val="334E68"/>
                <w:sz w:val="17"/>
              </w:rPr>
              <w:t>Can validate a provisioned AWS target against a build sheet</w:t>
            </w:r>
          </w:p>
        </w:tc>
        <w:tc>
          <w:tcPr>
            <w:tcW w:type="dxa" w:w="1928"/>
            <w:shd w:val="clear" w:color="auto" w:fill="FAFBFD"/>
          </w:tcPr>
          <w:p>
            <w:pPr>
              <w:spacing w:after="20" w:before="20"/>
            </w:pPr>
            <w:r/>
          </w:p>
        </w:tc>
        <w:tc>
          <w:tcPr>
            <w:tcW w:type="dxa" w:w="1542"/>
            <w:shd w:val="clear" w:color="auto" w:fill="FAFBFD"/>
          </w:tcPr>
          <w:p>
            <w:pPr>
              <w:spacing w:after="20" w:before="20"/>
            </w:pPr>
            <w:r/>
          </w:p>
        </w:tc>
        <w:tc>
          <w:tcPr>
            <w:tcW w:type="dxa" w:w="1542"/>
            <w:shd w:val="clear" w:color="auto" w:fill="FAFBFD"/>
          </w:tcPr>
          <w:p>
            <w:pPr>
              <w:spacing w:after="20" w:before="20"/>
            </w:pPr>
            <w:r/>
          </w:p>
        </w:tc>
      </w:tr>
      <w:tr>
        <w:trPr>
          <w:cantSplit/>
        </w:trPr>
        <w:tc>
          <w:tcPr>
            <w:tcW w:type="dxa" w:w="4626"/>
          </w:tcPr>
          <w:p>
            <w:pPr>
              <w:spacing w:after="20" w:before="20"/>
            </w:pPr>
            <w:r/>
            <w:r>
              <w:rPr>
                <w:rFonts w:ascii="Calibri" w:hAnsi="Calibri"/>
                <w:b/>
                <w:i w:val="0"/>
                <w:color w:val="334E68"/>
                <w:sz w:val="17"/>
              </w:rPr>
              <w:t>Can perform SAP Basis post-migration validation end to end</w:t>
            </w:r>
          </w:p>
        </w:tc>
        <w:tc>
          <w:tcPr>
            <w:tcW w:type="dxa" w:w="1928"/>
          </w:tcPr>
          <w:p>
            <w:pPr>
              <w:spacing w:after="20" w:before="20"/>
            </w:pPr>
            <w:r/>
          </w:p>
        </w:tc>
        <w:tc>
          <w:tcPr>
            <w:tcW w:type="dxa" w:w="1542"/>
          </w:tcPr>
          <w:p>
            <w:pPr>
              <w:spacing w:after="20" w:before="20"/>
            </w:pPr>
            <w:r/>
          </w:p>
        </w:tc>
        <w:tc>
          <w:tcPr>
            <w:tcW w:type="dxa" w:w="1542"/>
          </w:tcPr>
          <w:p>
            <w:pPr>
              <w:spacing w:after="20" w:before="20"/>
            </w:pPr>
            <w:r/>
          </w:p>
        </w:tc>
      </w:tr>
      <w:tr>
        <w:trPr>
          <w:cantSplit/>
        </w:trPr>
        <w:tc>
          <w:tcPr>
            <w:tcW w:type="dxa" w:w="4626"/>
            <w:shd w:val="clear" w:color="auto" w:fill="FAFBFD"/>
          </w:tcPr>
          <w:p>
            <w:pPr>
              <w:spacing w:after="20" w:before="20"/>
            </w:pPr>
            <w:r/>
            <w:r>
              <w:rPr>
                <w:rFonts w:ascii="Calibri" w:hAnsi="Calibri"/>
                <w:b/>
                <w:i w:val="0"/>
                <w:color w:val="334E68"/>
                <w:sz w:val="17"/>
              </w:rPr>
              <w:t>Can execute and interpret the HANA backup/recovery test</w:t>
            </w:r>
          </w:p>
        </w:tc>
        <w:tc>
          <w:tcPr>
            <w:tcW w:type="dxa" w:w="1928"/>
            <w:shd w:val="clear" w:color="auto" w:fill="FAFBFD"/>
          </w:tcPr>
          <w:p>
            <w:pPr>
              <w:spacing w:after="20" w:before="20"/>
            </w:pPr>
            <w:r/>
          </w:p>
        </w:tc>
        <w:tc>
          <w:tcPr>
            <w:tcW w:type="dxa" w:w="1542"/>
            <w:shd w:val="clear" w:color="auto" w:fill="FAFBFD"/>
          </w:tcPr>
          <w:p>
            <w:pPr>
              <w:spacing w:after="20" w:before="20"/>
            </w:pPr>
            <w:r/>
          </w:p>
        </w:tc>
        <w:tc>
          <w:tcPr>
            <w:tcW w:type="dxa" w:w="1542"/>
            <w:shd w:val="clear" w:color="auto" w:fill="FAFBFD"/>
          </w:tcPr>
          <w:p>
            <w:pPr>
              <w:spacing w:after="20" w:before="20"/>
            </w:pPr>
            <w:r/>
          </w:p>
        </w:tc>
      </w:tr>
      <w:tr>
        <w:trPr>
          <w:cantSplit/>
        </w:trPr>
        <w:tc>
          <w:tcPr>
            <w:tcW w:type="dxa" w:w="4626"/>
          </w:tcPr>
          <w:p>
            <w:pPr>
              <w:spacing w:after="20" w:before="20"/>
            </w:pPr>
            <w:r/>
            <w:r>
              <w:rPr>
                <w:rFonts w:ascii="Calibri" w:hAnsi="Calibri"/>
                <w:b/>
                <w:i w:val="0"/>
                <w:color w:val="334E68"/>
                <w:sz w:val="17"/>
              </w:rPr>
              <w:t>Can support an Oracle Data Guard switchover and validate the new primary</w:t>
            </w:r>
          </w:p>
        </w:tc>
        <w:tc>
          <w:tcPr>
            <w:tcW w:type="dxa" w:w="1928"/>
          </w:tcPr>
          <w:p>
            <w:pPr>
              <w:spacing w:after="20" w:before="20"/>
            </w:pPr>
            <w:r/>
          </w:p>
        </w:tc>
        <w:tc>
          <w:tcPr>
            <w:tcW w:type="dxa" w:w="1542"/>
          </w:tcPr>
          <w:p>
            <w:pPr>
              <w:spacing w:after="20" w:before="20"/>
            </w:pPr>
            <w:r/>
          </w:p>
        </w:tc>
        <w:tc>
          <w:tcPr>
            <w:tcW w:type="dxa" w:w="1542"/>
          </w:tcPr>
          <w:p>
            <w:pPr>
              <w:spacing w:after="20" w:before="20"/>
            </w:pPr>
            <w:r/>
          </w:p>
        </w:tc>
      </w:tr>
      <w:tr>
        <w:trPr>
          <w:cantSplit/>
        </w:trPr>
        <w:tc>
          <w:tcPr>
            <w:tcW w:type="dxa" w:w="4626"/>
            <w:shd w:val="clear" w:color="auto" w:fill="FAFBFD"/>
          </w:tcPr>
          <w:p>
            <w:pPr>
              <w:spacing w:after="20" w:before="20"/>
            </w:pPr>
            <w:r/>
            <w:r>
              <w:rPr>
                <w:rFonts w:ascii="Calibri" w:hAnsi="Calibri"/>
                <w:b/>
                <w:i w:val="0"/>
                <w:color w:val="334E68"/>
                <w:sz w:val="17"/>
              </w:rPr>
              <w:t>Can perform cutover post-processing and interpret R3trans -d</w:t>
            </w:r>
          </w:p>
        </w:tc>
        <w:tc>
          <w:tcPr>
            <w:tcW w:type="dxa" w:w="1928"/>
            <w:shd w:val="clear" w:color="auto" w:fill="FAFBFD"/>
          </w:tcPr>
          <w:p>
            <w:pPr>
              <w:spacing w:after="20" w:before="20"/>
            </w:pPr>
            <w:r/>
          </w:p>
        </w:tc>
        <w:tc>
          <w:tcPr>
            <w:tcW w:type="dxa" w:w="1542"/>
            <w:shd w:val="clear" w:color="auto" w:fill="FAFBFD"/>
          </w:tcPr>
          <w:p>
            <w:pPr>
              <w:spacing w:after="20" w:before="20"/>
            </w:pPr>
            <w:r/>
          </w:p>
        </w:tc>
        <w:tc>
          <w:tcPr>
            <w:tcW w:type="dxa" w:w="1542"/>
            <w:shd w:val="clear" w:color="auto" w:fill="FAFBFD"/>
          </w:tcPr>
          <w:p>
            <w:pPr>
              <w:spacing w:after="20" w:before="20"/>
            </w:pPr>
            <w:r/>
          </w:p>
        </w:tc>
      </w:tr>
      <w:tr>
        <w:trPr>
          <w:cantSplit/>
        </w:trPr>
        <w:tc>
          <w:tcPr>
            <w:tcW w:type="dxa" w:w="4626"/>
          </w:tcPr>
          <w:p>
            <w:pPr>
              <w:spacing w:after="20" w:before="20"/>
            </w:pPr>
            <w:r/>
            <w:r>
              <w:rPr>
                <w:rFonts w:ascii="Calibri" w:hAnsi="Calibri"/>
                <w:b/>
                <w:i w:val="0"/>
                <w:color w:val="334E68"/>
                <w:sz w:val="17"/>
              </w:rPr>
              <w:t>Can triage a performance issue to the correct owning team</w:t>
            </w:r>
          </w:p>
        </w:tc>
        <w:tc>
          <w:tcPr>
            <w:tcW w:type="dxa" w:w="1928"/>
          </w:tcPr>
          <w:p>
            <w:pPr>
              <w:spacing w:after="20" w:before="20"/>
            </w:pPr>
            <w:r/>
          </w:p>
        </w:tc>
        <w:tc>
          <w:tcPr>
            <w:tcW w:type="dxa" w:w="1542"/>
          </w:tcPr>
          <w:p>
            <w:pPr>
              <w:spacing w:after="20" w:before="20"/>
            </w:pPr>
            <w:r/>
          </w:p>
        </w:tc>
        <w:tc>
          <w:tcPr>
            <w:tcW w:type="dxa" w:w="1542"/>
          </w:tcPr>
          <w:p>
            <w:pPr>
              <w:spacing w:after="20" w:before="20"/>
            </w:pPr>
            <w:r/>
          </w:p>
        </w:tc>
      </w:tr>
      <w:tr>
        <w:trPr>
          <w:cantSplit/>
        </w:trPr>
        <w:tc>
          <w:tcPr>
            <w:tcW w:type="dxa" w:w="4626"/>
            <w:shd w:val="clear" w:color="auto" w:fill="FAFBFD"/>
          </w:tcPr>
          <w:p>
            <w:pPr>
              <w:spacing w:after="20" w:before="20"/>
            </w:pPr>
            <w:r/>
            <w:r>
              <w:rPr>
                <w:rFonts w:ascii="Calibri" w:hAnsi="Calibri"/>
                <w:b/>
                <w:i w:val="0"/>
                <w:color w:val="334E68"/>
                <w:sz w:val="17"/>
              </w:rPr>
              <w:t>Can present evidence at a Go/No-Go gate</w:t>
            </w:r>
          </w:p>
        </w:tc>
        <w:tc>
          <w:tcPr>
            <w:tcW w:type="dxa" w:w="1928"/>
            <w:shd w:val="clear" w:color="auto" w:fill="FAFBFD"/>
          </w:tcPr>
          <w:p>
            <w:pPr>
              <w:spacing w:after="20" w:before="20"/>
            </w:pPr>
            <w:r/>
          </w:p>
        </w:tc>
        <w:tc>
          <w:tcPr>
            <w:tcW w:type="dxa" w:w="1542"/>
            <w:shd w:val="clear" w:color="auto" w:fill="FAFBFD"/>
          </w:tcPr>
          <w:p>
            <w:pPr>
              <w:spacing w:after="20" w:before="20"/>
            </w:pPr>
            <w:r/>
          </w:p>
        </w:tc>
        <w:tc>
          <w:tcPr>
            <w:tcW w:type="dxa" w:w="1542"/>
            <w:shd w:val="clear" w:color="auto" w:fill="FAFBFD"/>
          </w:tcPr>
          <w:p>
            <w:pPr>
              <w:spacing w:after="20" w:before="20"/>
            </w:pPr>
            <w:r/>
          </w:p>
        </w:tc>
      </w:tr>
      <w:tr>
        <w:trPr>
          <w:cantSplit/>
        </w:trPr>
        <w:tc>
          <w:tcPr>
            <w:tcW w:type="dxa" w:w="4626"/>
          </w:tcPr>
          <w:p>
            <w:pPr>
              <w:spacing w:after="20" w:before="20"/>
            </w:pPr>
            <w:r/>
            <w:r>
              <w:rPr>
                <w:rFonts w:ascii="Calibri" w:hAnsi="Calibri"/>
                <w:b/>
                <w:i w:val="0"/>
                <w:color w:val="334E68"/>
                <w:sz w:val="17"/>
              </w:rPr>
              <w:t>Can classify a hypercare issue against the baseline</w:t>
            </w:r>
          </w:p>
        </w:tc>
        <w:tc>
          <w:tcPr>
            <w:tcW w:type="dxa" w:w="1928"/>
          </w:tcPr>
          <w:p>
            <w:pPr>
              <w:spacing w:after="20" w:before="20"/>
            </w:pPr>
            <w:r/>
          </w:p>
        </w:tc>
        <w:tc>
          <w:tcPr>
            <w:tcW w:type="dxa" w:w="1542"/>
          </w:tcPr>
          <w:p>
            <w:pPr>
              <w:spacing w:after="20" w:before="20"/>
            </w:pPr>
            <w:r/>
          </w:p>
        </w:tc>
        <w:tc>
          <w:tcPr>
            <w:tcW w:type="dxa" w:w="1542"/>
          </w:tcPr>
          <w:p>
            <w:pPr>
              <w:spacing w:after="20" w:before="20"/>
            </w:pPr>
            <w:r/>
          </w:p>
        </w:tc>
      </w:tr>
    </w:tbl>
    <w:p>
      <w:pPr>
        <w:spacing w:after="40"/>
      </w:pPr>
    </w:p>
    <w:p>
      <w:r>
        <w:br w:type="page"/>
      </w:r>
    </w:p>
    <w:p>
      <w:pPr>
        <w:spacing w:after="20"/>
      </w:pPr>
      <w:r>
        <w:rPr>
          <w:rFonts w:ascii="Calibri" w:hAnsi="Calibri"/>
          <w:b/>
          <w:color w:val="1B4F86"/>
          <w:sz w:val="16"/>
        </w:rPr>
        <w:t>APPENDIX C</w:t>
      </w:r>
    </w:p>
    <w:p>
      <w:pPr>
        <w:pStyle w:val="Heading1"/>
        <w:pBdr>
          <w:bottom w:val="single" w:sz="12" w:space="5" w:color="1B4F86"/>
        </w:pBdr>
        <w:spacing w:after="160"/>
      </w:pPr>
      <w:r>
        <w:rPr>
          <w:rFonts w:ascii="Calibri Light" w:hAnsi="Calibri Light"/>
          <w:b/>
          <w:color w:val="0F2B4C"/>
          <w:sz w:val="38"/>
        </w:rPr>
        <w:t>C  Appendix C — Glossary and acronyms</w:t>
      </w:r>
    </w:p>
    <w:p>
      <w:pPr>
        <w:spacing w:after="200"/>
      </w:pPr>
      <w:r>
        <w:rPr>
          <w:rFonts w:ascii="Calibri" w:hAnsi="Calibri"/>
          <w:i/>
          <w:color w:val="5B7288"/>
          <w:sz w:val="21"/>
        </w:rPr>
        <w:t>Terms used in this handbook. Client-specific terms carried over from the source material are marked and should be confirmed against the project glossary before use.</w:t>
      </w:r>
    </w:p>
    <w:p>
      <w:r>
        <w:br w:type="page"/>
      </w:r>
    </w:p>
    <w:p>
      <w:pPr>
        <w:spacing w:after="20"/>
      </w:pPr>
      <w:r>
        <w:rPr>
          <w:rFonts w:ascii="Calibri" w:hAnsi="Calibri"/>
          <w:b/>
          <w:color w:val="1B4F86"/>
          <w:sz w:val="16"/>
        </w:rPr>
        <w:t>APPENDIX D</w:t>
      </w:r>
    </w:p>
    <w:p>
      <w:pPr>
        <w:pStyle w:val="Heading1"/>
        <w:pBdr>
          <w:bottom w:val="single" w:sz="12" w:space="5" w:color="1B4F86"/>
        </w:pBdr>
        <w:spacing w:after="160"/>
      </w:pPr>
      <w:r>
        <w:rPr>
          <w:rFonts w:ascii="Calibri Light" w:hAnsi="Calibri Light"/>
          <w:b/>
          <w:color w:val="0F2B4C"/>
          <w:sz w:val="38"/>
        </w:rPr>
        <w:t>D  Appendix D — Technical review and vetting notes</w:t>
      </w:r>
    </w:p>
    <w:p>
      <w:pPr>
        <w:spacing w:after="200"/>
      </w:pPr>
      <w:r>
        <w:rPr>
          <w:rFonts w:ascii="Calibri" w:hAnsi="Calibri"/>
          <w:i/>
          <w:color w:val="5B7288"/>
          <w:sz w:val="21"/>
        </w:rPr>
        <w:t>This handbook was reviewed for technical accuracy and professional consistency. Every editorial change and every flagged ambiguity is recorded here so a reviewer can see exactly what was preserved from the source and what was clarified.</w:t>
      </w:r>
    </w:p>
    <w:p>
      <w:pPr>
        <w:pStyle w:val="Heading2"/>
        <w:pBdr>
          <w:bottom w:val="single" w:sz="6" w:space="3" w:color="E8EDF3"/>
        </w:pBdr>
      </w:pPr>
      <w:r>
        <w:rPr>
          <w:rFonts w:ascii="Calibri" w:hAnsi="Calibri"/>
          <w:b/>
          <w:color w:val="0F2B4C"/>
          <w:sz w:val="26"/>
        </w:rPr>
        <w:t>D.1  Vetting summary</w:t>
      </w:r>
    </w:p>
    <w:p>
      <w:pPr>
        <w:spacing w:before="100" w:after="20"/>
        <w:shd w:val="clear" w:color="auto" w:fill="F4F7FB"/>
        <w:pBdr>
          <w:left w:val="single" w:sz="18" w:space="6" w:color="1B4F86"/>
        </w:pBdr>
      </w:pPr>
      <w:r>
        <w:rPr>
          <w:rFonts w:ascii="Calibri" w:hAnsi="Calibri"/>
          <w:b/>
          <w:color w:val="0F2B4C"/>
          <w:sz w:val="26"/>
        </w:rPr>
        <w:t>tables reviewed</w:t>
      </w:r>
      <w:r>
        <w:rPr>
          <w:rFonts w:ascii="Calibri" w:hAnsi="Calibri"/>
          <w:b/>
          <w:color w:val="5B7288"/>
          <w:sz w:val="16"/>
        </w:rPr>
        <w:t xml:space="preserve">   67</w:t>
      </w:r>
    </w:p>
    <w:p>
      <w:pPr>
        <w:shd w:val="clear" w:color="auto" w:fill="F4F7FB"/>
        <w:pBdr>
          <w:left w:val="single" w:sz="18" w:space="6" w:color="1B4F86"/>
        </w:pBdr>
        <w:spacing w:after="80"/>
      </w:pPr>
      <w:r>
        <w:rPr>
          <w:rFonts w:ascii="Calibri" w:hAnsi="Calibri"/>
          <w:color w:val="5B7288"/>
          <w:sz w:val="17"/>
        </w:rPr>
        <w:t>Every table, checklist and statement checked for technical accuracy</w:t>
      </w:r>
    </w:p>
    <w:p>
      <w:pPr>
        <w:spacing w:before="100" w:after="20"/>
        <w:shd w:val="clear" w:color="auto" w:fill="F4F7FB"/>
        <w:pBdr>
          <w:left w:val="single" w:sz="18" w:space="6" w:color="1B4F86"/>
        </w:pBdr>
      </w:pPr>
      <w:r>
        <w:rPr>
          <w:rFonts w:ascii="Calibri" w:hAnsi="Calibri"/>
          <w:b/>
          <w:color w:val="0F2B4C"/>
          <w:sz w:val="26"/>
        </w:rPr>
        <w:t>corrections</w:t>
      </w:r>
      <w:r>
        <w:rPr>
          <w:rFonts w:ascii="Calibri" w:hAnsi="Calibri"/>
          <w:b/>
          <w:color w:val="5B7288"/>
          <w:sz w:val="16"/>
        </w:rPr>
        <w:t xml:space="preserve">   12</w:t>
      </w:r>
    </w:p>
    <w:p>
      <w:pPr>
        <w:shd w:val="clear" w:color="auto" w:fill="F4F7FB"/>
        <w:pBdr>
          <w:left w:val="single" w:sz="18" w:space="6" w:color="1B4F86"/>
        </w:pBdr>
        <w:spacing w:after="80"/>
      </w:pPr>
      <w:r>
        <w:rPr>
          <w:rFonts w:ascii="Calibri" w:hAnsi="Calibri"/>
          <w:color w:val="5B7288"/>
          <w:sz w:val="17"/>
        </w:rPr>
        <w:t>Technical clarifications added where the source was imprecise</w:t>
      </w:r>
    </w:p>
    <w:p>
      <w:pPr>
        <w:spacing w:before="100" w:after="20"/>
        <w:shd w:val="clear" w:color="auto" w:fill="F4F7FB"/>
        <w:pBdr>
          <w:left w:val="single" w:sz="18" w:space="6" w:color="1B4F86"/>
        </w:pBdr>
      </w:pPr>
      <w:r>
        <w:rPr>
          <w:rFonts w:ascii="Calibri" w:hAnsi="Calibri"/>
          <w:b/>
          <w:color w:val="0F2B4C"/>
          <w:sz w:val="26"/>
        </w:rPr>
        <w:t>terms flagged</w:t>
      </w:r>
      <w:r>
        <w:rPr>
          <w:rFonts w:ascii="Calibri" w:hAnsi="Calibri"/>
          <w:b/>
          <w:color w:val="5B7288"/>
          <w:sz w:val="16"/>
        </w:rPr>
        <w:t xml:space="preserve">   9</w:t>
      </w:r>
    </w:p>
    <w:p>
      <w:pPr>
        <w:shd w:val="clear" w:color="auto" w:fill="F4F7FB"/>
        <w:pBdr>
          <w:left w:val="single" w:sz="18" w:space="6" w:color="1B4F86"/>
        </w:pBdr>
        <w:spacing w:after="80"/>
      </w:pPr>
      <w:r>
        <w:rPr>
          <w:rFonts w:ascii="Calibri" w:hAnsi="Calibri"/>
          <w:color w:val="5B7288"/>
          <w:sz w:val="17"/>
        </w:rPr>
        <w:t>Client-specific or unverifiable terms retained but marked</w:t>
      </w:r>
    </w:p>
    <w:p>
      <w:pPr>
        <w:spacing w:before="100" w:after="20"/>
        <w:shd w:val="clear" w:color="auto" w:fill="F4F7FB"/>
        <w:pBdr>
          <w:left w:val="single" w:sz="18" w:space="6" w:color="1B4F86"/>
        </w:pBdr>
      </w:pPr>
      <w:r>
        <w:rPr>
          <w:rFonts w:ascii="Calibri" w:hAnsi="Calibri"/>
          <w:b/>
          <w:color w:val="0F2B4C"/>
          <w:sz w:val="26"/>
        </w:rPr>
        <w:t>quiz questions added</w:t>
      </w:r>
      <w:r>
        <w:rPr>
          <w:rFonts w:ascii="Calibri" w:hAnsi="Calibri"/>
          <w:b/>
          <w:color w:val="5B7288"/>
          <w:sz w:val="16"/>
        </w:rPr>
        <w:t xml:space="preserve">   4</w:t>
      </w:r>
    </w:p>
    <w:p>
      <w:pPr>
        <w:shd w:val="clear" w:color="auto" w:fill="F4F7FB"/>
        <w:pBdr>
          <w:left w:val="single" w:sz="18" w:space="6" w:color="1B4F86"/>
        </w:pBdr>
        <w:spacing w:after="80"/>
      </w:pPr>
      <w:r>
        <w:rPr>
          <w:rFonts w:ascii="Calibri" w:hAnsi="Calibri"/>
          <w:color w:val="5B7288"/>
          <w:sz w:val="17"/>
        </w:rPr>
        <w:t>Review-pass questions covering points the modules rely on</w:t>
      </w:r>
    </w:p>
    <w:p>
      <w:pPr>
        <w:pStyle w:val="Heading2"/>
        <w:pBdr>
          <w:bottom w:val="single" w:sz="6" w:space="3" w:color="E8EDF3"/>
        </w:pBdr>
      </w:pPr>
      <w:r>
        <w:rPr>
          <w:rFonts w:ascii="Calibri" w:hAnsi="Calibri"/>
          <w:b/>
          <w:color w:val="0F2B4C"/>
          <w:sz w:val="26"/>
        </w:rPr>
        <w:t>D.2  Technical corrections and clarifications</w:t>
      </w:r>
    </w:p>
    <w:p>
      <w:pPr>
        <w:spacing w:after="60" w:before="160"/>
        <w:keepNext/>
      </w:pPr>
      <w:r>
        <w:rPr>
          <w:rFonts w:ascii="Calibri" w:hAnsi="Calibri"/>
          <w:b/>
          <w:color w:val="5B7288"/>
          <w:sz w:val="15"/>
        </w:rPr>
        <w:t>CORRECTIONS AND CLARIFICATIONS</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386"/>
        <w:gridCol w:w="2313"/>
        <w:gridCol w:w="3277"/>
        <w:gridCol w:w="3662"/>
      </w:tblGrid>
      <w:tr>
        <w:trPr>
          <w:tblHeader/>
          <w:cantSplit/>
        </w:trPr>
        <w:tc>
          <w:tcPr>
            <w:tcW w:type="dxa" w:w="386"/>
            <w:shd w:val="clear" w:color="auto" w:fill="0F2B4C"/>
          </w:tcPr>
          <w:p>
            <w:pPr>
              <w:spacing w:after="20" w:before="20"/>
            </w:pPr>
            <w:r/>
            <w:r>
              <w:rPr>
                <w:rFonts w:ascii="Calibri" w:hAnsi="Calibri"/>
                <w:b/>
                <w:color w:val="FFFFFF"/>
                <w:sz w:val="17"/>
              </w:rPr>
              <w:t>#</w:t>
            </w:r>
          </w:p>
        </w:tc>
        <w:tc>
          <w:tcPr>
            <w:tcW w:type="dxa" w:w="2313"/>
            <w:shd w:val="clear" w:color="auto" w:fill="0F2B4C"/>
          </w:tcPr>
          <w:p>
            <w:pPr>
              <w:spacing w:after="20" w:before="20"/>
            </w:pPr>
            <w:r/>
            <w:r>
              <w:rPr>
                <w:rFonts w:ascii="Calibri" w:hAnsi="Calibri"/>
                <w:b/>
                <w:color w:val="FFFFFF"/>
                <w:sz w:val="17"/>
              </w:rPr>
              <w:t>Source statement</w:t>
            </w:r>
          </w:p>
        </w:tc>
        <w:tc>
          <w:tcPr>
            <w:tcW w:type="dxa" w:w="3277"/>
            <w:shd w:val="clear" w:color="auto" w:fill="0F2B4C"/>
          </w:tcPr>
          <w:p>
            <w:pPr>
              <w:spacing w:after="20" w:before="20"/>
            </w:pPr>
            <w:r/>
            <w:r>
              <w:rPr>
                <w:rFonts w:ascii="Calibri" w:hAnsi="Calibri"/>
                <w:b/>
                <w:color w:val="FFFFFF"/>
                <w:sz w:val="17"/>
              </w:rPr>
              <w:t>Review finding</w:t>
            </w:r>
          </w:p>
        </w:tc>
        <w:tc>
          <w:tcPr>
            <w:tcW w:type="dxa" w:w="3662"/>
            <w:shd w:val="clear" w:color="auto" w:fill="0F2B4C"/>
          </w:tcPr>
          <w:p>
            <w:pPr>
              <w:spacing w:after="20" w:before="20"/>
            </w:pPr>
            <w:r/>
            <w:r>
              <w:rPr>
                <w:rFonts w:ascii="Calibri" w:hAnsi="Calibri"/>
                <w:b/>
                <w:color w:val="FFFFFF"/>
                <w:sz w:val="17"/>
              </w:rPr>
              <w:t>Action taken</w:t>
            </w:r>
          </w:p>
        </w:tc>
      </w:tr>
      <w:tr>
        <w:trPr>
          <w:cantSplit/>
        </w:trPr>
        <w:tc>
          <w:tcPr>
            <w:tcW w:type="dxa" w:w="386"/>
          </w:tcPr>
          <w:p>
            <w:pPr>
              <w:spacing w:after="20" w:before="20"/>
            </w:pPr>
            <w:r/>
            <w:r>
              <w:rPr>
                <w:rFonts w:ascii="Calibri" w:hAnsi="Calibri"/>
                <w:b/>
                <w:i w:val="0"/>
                <w:color w:val="334E68"/>
                <w:sz w:val="17"/>
              </w:rPr>
              <w:t>1</w:t>
            </w:r>
          </w:p>
        </w:tc>
        <w:tc>
          <w:tcPr>
            <w:tcW w:type="dxa" w:w="2313"/>
          </w:tcPr>
          <w:p>
            <w:pPr>
              <w:spacing w:after="20" w:before="20"/>
            </w:pPr>
            <w:r/>
            <w:r>
              <w:rPr>
                <w:rFonts w:ascii="Calibri" w:hAnsi="Calibri"/>
                <w:b w:val="0"/>
                <w:i w:val="0"/>
                <w:color w:val="334E68"/>
                <w:sz w:val="17"/>
              </w:rPr>
              <w:t>“Run R3TRANS -d and confirm return code 0000.”</w:t>
            </w:r>
          </w:p>
        </w:tc>
        <w:tc>
          <w:tcPr>
            <w:tcW w:type="dxa" w:w="3277"/>
          </w:tcPr>
          <w:p>
            <w:pPr>
              <w:spacing w:after="20" w:before="20"/>
            </w:pPr>
            <w:r/>
            <w:r>
              <w:rPr>
                <w:rFonts w:ascii="Calibri" w:hAnsi="Calibri"/>
                <w:b w:val="0"/>
                <w:i w:val="0"/>
                <w:color w:val="334E68"/>
                <w:sz w:val="17"/>
              </w:rPr>
              <w:t>Correct, but the source did not say what to do when the code is not 0000, nor which codes appear in practice.</w:t>
            </w:r>
          </w:p>
        </w:tc>
        <w:tc>
          <w:tcPr>
            <w:tcW w:type="dxa" w:w="3662"/>
          </w:tcPr>
          <w:p>
            <w:pPr>
              <w:spacing w:after="20" w:before="20"/>
            </w:pPr>
            <w:r/>
            <w:r>
              <w:rPr>
                <w:rFonts w:ascii="Calibri" w:hAnsi="Calibri"/>
                <w:b w:val="0"/>
                <w:i w:val="0"/>
                <w:color w:val="334E68"/>
                <w:sz w:val="17"/>
              </w:rPr>
              <w:t xml:space="preserve">Retained the 0000 requirement; added the diagnostic sequence (read </w:t>
            </w:r>
            <w:r>
              <w:rPr>
                <w:rFonts w:ascii="Consolas" w:hAnsi="Consolas"/>
                <w:b w:val="0"/>
                <w:i w:val="0"/>
                <w:color w:val="123A63"/>
                <w:sz w:val="17"/>
                <w:shd w:val="clear" w:color="auto" w:fill="EEF2F7"/>
              </w:rPr>
              <w:t>trans.log</w:t>
            </w:r>
            <w:r>
              <w:rPr>
                <w:rFonts w:ascii="Calibri" w:hAnsi="Calibri"/>
                <w:b w:val="0"/>
                <w:i w:val="0"/>
                <w:color w:val="334E68"/>
                <w:sz w:val="17"/>
              </w:rPr>
              <w:t>, test the DB connection independently) and common non-zero codes with a note to confirm them against the release in use. Section 10.2.</w:t>
            </w:r>
          </w:p>
        </w:tc>
      </w:tr>
      <w:tr>
        <w:trPr>
          <w:cantSplit/>
        </w:trPr>
        <w:tc>
          <w:tcPr>
            <w:tcW w:type="dxa" w:w="386"/>
            <w:shd w:val="clear" w:color="auto" w:fill="FAFBFD"/>
          </w:tcPr>
          <w:p>
            <w:pPr>
              <w:spacing w:after="20" w:before="20"/>
            </w:pPr>
            <w:r/>
            <w:r>
              <w:rPr>
                <w:rFonts w:ascii="Calibri" w:hAnsi="Calibri"/>
                <w:b/>
                <w:i w:val="0"/>
                <w:color w:val="334E68"/>
                <w:sz w:val="17"/>
              </w:rPr>
              <w:t>2</w:t>
            </w:r>
          </w:p>
        </w:tc>
        <w:tc>
          <w:tcPr>
            <w:tcW w:type="dxa" w:w="2313"/>
            <w:shd w:val="clear" w:color="auto" w:fill="FAFBFD"/>
          </w:tcPr>
          <w:p>
            <w:pPr>
              <w:spacing w:after="20" w:before="20"/>
            </w:pPr>
            <w:r/>
            <w:r>
              <w:rPr>
                <w:rFonts w:ascii="Calibri" w:hAnsi="Calibri"/>
                <w:b w:val="0"/>
                <w:i w:val="0"/>
                <w:color w:val="334E68"/>
                <w:sz w:val="17"/>
              </w:rPr>
              <w:t>“Service status Active, return code 0 … return codes such as 127 or 255 were discussed.”</w:t>
            </w:r>
          </w:p>
        </w:tc>
        <w:tc>
          <w:tcPr>
            <w:tcW w:type="dxa" w:w="3277"/>
            <w:shd w:val="clear" w:color="auto" w:fill="FAFBFD"/>
          </w:tcPr>
          <w:p>
            <w:pPr>
              <w:spacing w:after="20" w:before="20"/>
            </w:pPr>
            <w:r/>
            <w:r>
              <w:rPr>
                <w:rFonts w:ascii="Calibri" w:hAnsi="Calibri"/>
                <w:b w:val="0"/>
                <w:i w:val="0"/>
                <w:color w:val="334E68"/>
                <w:sz w:val="17"/>
              </w:rPr>
              <w:t>Accurate but incomplete: 127 and 255 are shell/service-level codes whose meaning depends on the start mechanism.</w:t>
            </w:r>
          </w:p>
        </w:tc>
        <w:tc>
          <w:tcPr>
            <w:tcW w:type="dxa" w:w="3662"/>
            <w:shd w:val="clear" w:color="auto" w:fill="FAFBFD"/>
          </w:tcPr>
          <w:p>
            <w:pPr>
              <w:spacing w:after="20" w:before="20"/>
            </w:pPr>
            <w:r/>
            <w:r>
              <w:rPr>
                <w:rFonts w:ascii="Calibri" w:hAnsi="Calibri"/>
                <w:b w:val="0"/>
                <w:i w:val="0"/>
                <w:color w:val="334E68"/>
                <w:sz w:val="17"/>
              </w:rPr>
              <w:t>Presented as a diagnostic table (0 = success, 127 = command/library not found, 255 = generic failure) with the explicit caveat that the mapping is a starting point. Section 7.1.</w:t>
            </w:r>
          </w:p>
        </w:tc>
      </w:tr>
      <w:tr>
        <w:trPr>
          <w:cantSplit/>
        </w:trPr>
        <w:tc>
          <w:tcPr>
            <w:tcW w:type="dxa" w:w="386"/>
          </w:tcPr>
          <w:p>
            <w:pPr>
              <w:spacing w:after="20" w:before="20"/>
            </w:pPr>
            <w:r/>
            <w:r>
              <w:rPr>
                <w:rFonts w:ascii="Calibri" w:hAnsi="Calibri"/>
                <w:b/>
                <w:i w:val="0"/>
                <w:color w:val="334E68"/>
                <w:sz w:val="17"/>
              </w:rPr>
              <w:t>3</w:t>
            </w:r>
          </w:p>
        </w:tc>
        <w:tc>
          <w:tcPr>
            <w:tcW w:type="dxa" w:w="2313"/>
          </w:tcPr>
          <w:p>
            <w:pPr>
              <w:spacing w:after="20" w:before="20"/>
            </w:pPr>
            <w:r/>
            <w:r>
              <w:rPr>
                <w:rFonts w:ascii="Calibri" w:hAnsi="Calibri"/>
                <w:b w:val="0"/>
                <w:i w:val="0"/>
                <w:color w:val="334E68"/>
                <w:sz w:val="17"/>
              </w:rPr>
              <w:t>“STAD detailed analysis” listed alongside ST03/ST03N without distinction.</w:t>
            </w:r>
          </w:p>
        </w:tc>
        <w:tc>
          <w:tcPr>
            <w:tcW w:type="dxa" w:w="3277"/>
          </w:tcPr>
          <w:p>
            <w:pPr>
              <w:spacing w:after="20" w:before="20"/>
            </w:pPr>
            <w:r/>
            <w:r>
              <w:rPr>
                <w:rFonts w:ascii="Calibri" w:hAnsi="Calibri"/>
                <w:b w:val="0"/>
                <w:i w:val="0"/>
                <w:color w:val="334E68"/>
                <w:sz w:val="17"/>
              </w:rPr>
              <w:t>ST03/ST03N are aggregate workload statistics; STAD shows the individual statistical records behind them. Conflating them leads to wrong triage.</w:t>
            </w:r>
          </w:p>
        </w:tc>
        <w:tc>
          <w:tcPr>
            <w:tcW w:type="dxa" w:w="3662"/>
          </w:tcPr>
          <w:p>
            <w:pPr>
              <w:spacing w:after="20" w:before="20"/>
            </w:pPr>
            <w:r/>
            <w:r>
              <w:rPr>
                <w:rFonts w:ascii="Calibri" w:hAnsi="Calibri"/>
                <w:b w:val="0"/>
                <w:i w:val="0"/>
                <w:color w:val="334E68"/>
                <w:sz w:val="17"/>
              </w:rPr>
              <w:t>Added the aggregate-versus-record distinction and the drill-down path. Sections 8.3, 8.4.</w:t>
            </w:r>
          </w:p>
        </w:tc>
      </w:tr>
      <w:tr>
        <w:trPr>
          <w:cantSplit/>
        </w:trPr>
        <w:tc>
          <w:tcPr>
            <w:tcW w:type="dxa" w:w="386"/>
            <w:shd w:val="clear" w:color="auto" w:fill="FAFBFD"/>
          </w:tcPr>
          <w:p>
            <w:pPr>
              <w:spacing w:after="20" w:before="20"/>
            </w:pPr>
            <w:r/>
            <w:r>
              <w:rPr>
                <w:rFonts w:ascii="Calibri" w:hAnsi="Calibri"/>
                <w:b/>
                <w:i w:val="0"/>
                <w:color w:val="334E68"/>
                <w:sz w:val="17"/>
              </w:rPr>
              <w:t>4</w:t>
            </w:r>
          </w:p>
        </w:tc>
        <w:tc>
          <w:tcPr>
            <w:tcW w:type="dxa" w:w="2313"/>
            <w:shd w:val="clear" w:color="auto" w:fill="FAFBFD"/>
          </w:tcPr>
          <w:p>
            <w:pPr>
              <w:spacing w:after="20" w:before="20"/>
            </w:pPr>
            <w:r/>
            <w:r>
              <w:rPr>
                <w:rFonts w:ascii="Calibri" w:hAnsi="Calibri"/>
                <w:b w:val="0"/>
                <w:i w:val="0"/>
                <w:color w:val="334E68"/>
                <w:sz w:val="17"/>
              </w:rPr>
              <w:t>“ST03 is used for workload analysis.”</w:t>
            </w:r>
          </w:p>
        </w:tc>
        <w:tc>
          <w:tcPr>
            <w:tcW w:type="dxa" w:w="3277"/>
            <w:shd w:val="clear" w:color="auto" w:fill="FAFBFD"/>
          </w:tcPr>
          <w:p>
            <w:pPr>
              <w:spacing w:after="20" w:before="20"/>
            </w:pPr>
            <w:r/>
            <w:r>
              <w:rPr>
                <w:rFonts w:ascii="Calibri" w:hAnsi="Calibri"/>
                <w:b w:val="0"/>
                <w:i w:val="0"/>
                <w:color w:val="334E68"/>
                <w:sz w:val="17"/>
              </w:rPr>
              <w:t>ST03N is the current workload transaction in modern releases; ST03 is legacy but still referenced in runbooks.</w:t>
            </w:r>
          </w:p>
        </w:tc>
        <w:tc>
          <w:tcPr>
            <w:tcW w:type="dxa" w:w="3662"/>
            <w:shd w:val="clear" w:color="auto" w:fill="FAFBFD"/>
          </w:tcPr>
          <w:p>
            <w:pPr>
              <w:spacing w:after="20" w:before="20"/>
            </w:pPr>
            <w:r/>
            <w:r>
              <w:rPr>
                <w:rFonts w:ascii="Calibri" w:hAnsi="Calibri"/>
                <w:b w:val="0"/>
                <w:i w:val="0"/>
                <w:color w:val="334E68"/>
                <w:sz w:val="17"/>
              </w:rPr>
              <w:t>Both retained, with a footnote explaining the relationship so the source terminology stays recognisable. Sections 8.3, 11.1.</w:t>
            </w:r>
          </w:p>
        </w:tc>
      </w:tr>
      <w:tr>
        <w:trPr>
          <w:cantSplit/>
        </w:trPr>
        <w:tc>
          <w:tcPr>
            <w:tcW w:type="dxa" w:w="386"/>
          </w:tcPr>
          <w:p>
            <w:pPr>
              <w:spacing w:after="20" w:before="20"/>
            </w:pPr>
            <w:r/>
            <w:r>
              <w:rPr>
                <w:rFonts w:ascii="Calibri" w:hAnsi="Calibri"/>
                <w:b/>
                <w:i w:val="0"/>
                <w:color w:val="334E68"/>
                <w:sz w:val="17"/>
              </w:rPr>
              <w:t>5</w:t>
            </w:r>
          </w:p>
        </w:tc>
        <w:tc>
          <w:tcPr>
            <w:tcW w:type="dxa" w:w="2313"/>
          </w:tcPr>
          <w:p>
            <w:pPr>
              <w:spacing w:after="20" w:before="20"/>
            </w:pPr>
            <w:r/>
            <w:r>
              <w:rPr>
                <w:rFonts w:ascii="Calibri" w:hAnsi="Calibri"/>
                <w:b w:val="0"/>
                <w:i w:val="0"/>
                <w:color w:val="334E68"/>
                <w:sz w:val="17"/>
              </w:rPr>
              <w:t>“SystemDB and TenantDB … should not be confused with HA server architecture.”</w:t>
            </w:r>
          </w:p>
        </w:tc>
        <w:tc>
          <w:tcPr>
            <w:tcW w:type="dxa" w:w="3277"/>
          </w:tcPr>
          <w:p>
            <w:pPr>
              <w:spacing w:after="20" w:before="20"/>
            </w:pPr>
            <w:r/>
            <w:r>
              <w:rPr>
                <w:rFonts w:ascii="Calibri" w:hAnsi="Calibri"/>
                <w:b w:val="0"/>
                <w:i w:val="0"/>
                <w:color w:val="334E68"/>
                <w:sz w:val="17"/>
              </w:rPr>
              <w:t>Correct and important, but the source did not name the actual HA mechanism.</w:t>
            </w:r>
          </w:p>
        </w:tc>
        <w:tc>
          <w:tcPr>
            <w:tcW w:type="dxa" w:w="3662"/>
          </w:tcPr>
          <w:p>
            <w:pPr>
              <w:spacing w:after="20" w:before="20"/>
            </w:pPr>
            <w:r/>
            <w:r>
              <w:rPr>
                <w:rFonts w:ascii="Calibri" w:hAnsi="Calibri"/>
                <w:b w:val="0"/>
                <w:i w:val="0"/>
                <w:color w:val="334E68"/>
                <w:sz w:val="17"/>
              </w:rPr>
              <w:t>Added HANA System Replication (HSR) as the HA mechanism, clearly separated from the container model. Sections 6.1, Figure 4.</w:t>
            </w:r>
          </w:p>
        </w:tc>
      </w:tr>
      <w:tr>
        <w:trPr>
          <w:cantSplit/>
        </w:trPr>
        <w:tc>
          <w:tcPr>
            <w:tcW w:type="dxa" w:w="386"/>
            <w:shd w:val="clear" w:color="auto" w:fill="FAFBFD"/>
          </w:tcPr>
          <w:p>
            <w:pPr>
              <w:spacing w:after="20" w:before="20"/>
            </w:pPr>
            <w:r/>
            <w:r>
              <w:rPr>
                <w:rFonts w:ascii="Calibri" w:hAnsi="Calibri"/>
                <w:b/>
                <w:i w:val="0"/>
                <w:color w:val="334E68"/>
                <w:sz w:val="17"/>
              </w:rPr>
              <w:t>6</w:t>
            </w:r>
          </w:p>
        </w:tc>
        <w:tc>
          <w:tcPr>
            <w:tcW w:type="dxa" w:w="2313"/>
            <w:shd w:val="clear" w:color="auto" w:fill="FAFBFD"/>
          </w:tcPr>
          <w:p>
            <w:pPr>
              <w:spacing w:after="20" w:before="20"/>
            </w:pPr>
            <w:r/>
            <w:r>
              <w:rPr>
                <w:rFonts w:ascii="Calibri" w:hAnsi="Calibri"/>
                <w:b w:val="0"/>
                <w:i w:val="0"/>
                <w:color w:val="334E68"/>
                <w:sz w:val="17"/>
              </w:rPr>
              <w:t>S3 as the HANA backup backend, mechanism unnamed.</w:t>
            </w:r>
          </w:p>
        </w:tc>
        <w:tc>
          <w:tcPr>
            <w:tcW w:type="dxa" w:w="3277"/>
            <w:shd w:val="clear" w:color="auto" w:fill="FAFBFD"/>
          </w:tcPr>
          <w:p>
            <w:pPr>
              <w:spacing w:after="20" w:before="20"/>
            </w:pPr>
            <w:r/>
            <w:r>
              <w:rPr>
                <w:rFonts w:ascii="Calibri" w:hAnsi="Calibri"/>
                <w:b w:val="0"/>
                <w:i w:val="0"/>
                <w:color w:val="334E68"/>
                <w:sz w:val="17"/>
              </w:rPr>
              <w:t>The mechanism (certified Backint agent versus file-based backup) changes the configuration, permissions, logs and restore syntax.</w:t>
            </w:r>
          </w:p>
        </w:tc>
        <w:tc>
          <w:tcPr>
            <w:tcW w:type="dxa" w:w="3662"/>
            <w:shd w:val="clear" w:color="auto" w:fill="FAFBFD"/>
          </w:tcPr>
          <w:p>
            <w:pPr>
              <w:spacing w:after="20" w:before="20"/>
            </w:pPr>
            <w:r/>
            <w:r>
              <w:rPr>
                <w:rFonts w:ascii="Calibri" w:hAnsi="Calibri"/>
                <w:b w:val="0"/>
                <w:i w:val="0"/>
                <w:color w:val="334E68"/>
                <w:sz w:val="17"/>
              </w:rPr>
              <w:t>Flagged for confirmation with the project HANA standard; both options described. Section 6.3.</w:t>
            </w:r>
          </w:p>
        </w:tc>
      </w:tr>
      <w:tr>
        <w:trPr>
          <w:cantSplit/>
        </w:trPr>
        <w:tc>
          <w:tcPr>
            <w:tcW w:type="dxa" w:w="386"/>
          </w:tcPr>
          <w:p>
            <w:pPr>
              <w:spacing w:after="20" w:before="20"/>
            </w:pPr>
            <w:r/>
            <w:r>
              <w:rPr>
                <w:rFonts w:ascii="Calibri" w:hAnsi="Calibri"/>
                <w:b/>
                <w:i w:val="0"/>
                <w:color w:val="334E68"/>
                <w:sz w:val="17"/>
              </w:rPr>
              <w:t>7</w:t>
            </w:r>
          </w:p>
        </w:tc>
        <w:tc>
          <w:tcPr>
            <w:tcW w:type="dxa" w:w="2313"/>
          </w:tcPr>
          <w:p>
            <w:pPr>
              <w:spacing w:after="20" w:before="20"/>
            </w:pPr>
            <w:r/>
            <w:r>
              <w:rPr>
                <w:rFonts w:ascii="Calibri" w:hAnsi="Calibri"/>
                <w:b w:val="0"/>
                <w:i w:val="0"/>
                <w:color w:val="334E68"/>
                <w:sz w:val="17"/>
              </w:rPr>
              <w:t>“The target standby is activated as the new primary.”</w:t>
            </w:r>
          </w:p>
        </w:tc>
        <w:tc>
          <w:tcPr>
            <w:tcW w:type="dxa" w:w="3277"/>
          </w:tcPr>
          <w:p>
            <w:pPr>
              <w:spacing w:after="20" w:before="20"/>
            </w:pPr>
            <w:r/>
            <w:r>
              <w:rPr>
                <w:rFonts w:ascii="Calibri" w:hAnsi="Calibri"/>
                <w:b w:val="0"/>
                <w:i w:val="0"/>
                <w:color w:val="334E68"/>
                <w:sz w:val="17"/>
              </w:rPr>
              <w:t>Correct for the scenario, but the source used switchover and activation language interchangeably, and did not distinguish it from failover.</w:t>
            </w:r>
          </w:p>
        </w:tc>
        <w:tc>
          <w:tcPr>
            <w:tcW w:type="dxa" w:w="3662"/>
          </w:tcPr>
          <w:p>
            <w:pPr>
              <w:spacing w:after="20" w:before="20"/>
            </w:pPr>
            <w:r/>
            <w:r>
              <w:rPr>
                <w:rFonts w:ascii="Calibri" w:hAnsi="Calibri"/>
                <w:b w:val="0"/>
                <w:i w:val="0"/>
                <w:color w:val="334E68"/>
                <w:sz w:val="17"/>
              </w:rPr>
              <w:t>Added the switchover-versus-failover distinction and a vocabulary table; noted that command syntax belongs to the project runbook. Section 9.1, Figure 5.</w:t>
            </w:r>
          </w:p>
        </w:tc>
      </w:tr>
      <w:tr>
        <w:trPr>
          <w:cantSplit/>
        </w:trPr>
        <w:tc>
          <w:tcPr>
            <w:tcW w:type="dxa" w:w="386"/>
            <w:shd w:val="clear" w:color="auto" w:fill="FAFBFD"/>
          </w:tcPr>
          <w:p>
            <w:pPr>
              <w:spacing w:after="20" w:before="20"/>
            </w:pPr>
            <w:r/>
            <w:r>
              <w:rPr>
                <w:rFonts w:ascii="Calibri" w:hAnsi="Calibri"/>
                <w:b/>
                <w:i w:val="0"/>
                <w:color w:val="334E68"/>
                <w:sz w:val="17"/>
              </w:rPr>
              <w:t>8</w:t>
            </w:r>
          </w:p>
        </w:tc>
        <w:tc>
          <w:tcPr>
            <w:tcW w:type="dxa" w:w="2313"/>
            <w:shd w:val="clear" w:color="auto" w:fill="FAFBFD"/>
          </w:tcPr>
          <w:p>
            <w:pPr>
              <w:spacing w:after="20" w:before="20"/>
            </w:pPr>
            <w:r/>
            <w:r>
              <w:rPr>
                <w:rFonts w:ascii="Calibri" w:hAnsi="Calibri"/>
                <w:b w:val="0"/>
                <w:i w:val="0"/>
                <w:color w:val="334E68"/>
                <w:sz w:val="17"/>
              </w:rPr>
              <w:t>“Take the required AWS disk-level snapshot before subsequent activities.”</w:t>
            </w:r>
          </w:p>
        </w:tc>
        <w:tc>
          <w:tcPr>
            <w:tcW w:type="dxa" w:w="3277"/>
            <w:shd w:val="clear" w:color="auto" w:fill="FAFBFD"/>
          </w:tcPr>
          <w:p>
            <w:pPr>
              <w:spacing w:after="20" w:before="20"/>
            </w:pPr>
            <w:r/>
            <w:r>
              <w:rPr>
                <w:rFonts w:ascii="Calibri" w:hAnsi="Calibri"/>
                <w:b w:val="0"/>
                <w:i w:val="0"/>
                <w:color w:val="334E68"/>
                <w:sz w:val="17"/>
              </w:rPr>
              <w:t>Correct, but timing and consistency type matter: a snapshot taken before synchronisation completes, or a crash-consistent snapshot where an application-consistent one is required, is not a reliable recovery point.</w:t>
            </w:r>
          </w:p>
        </w:tc>
        <w:tc>
          <w:tcPr>
            <w:tcW w:type="dxa" w:w="3662"/>
            <w:shd w:val="clear" w:color="auto" w:fill="FAFBFD"/>
          </w:tcPr>
          <w:p>
            <w:pPr>
              <w:spacing w:after="20" w:before="20"/>
            </w:pPr>
            <w:r/>
            <w:r>
              <w:rPr>
                <w:rFonts w:ascii="Calibri" w:hAnsi="Calibri"/>
                <w:b w:val="0"/>
                <w:i w:val="0"/>
                <w:color w:val="334E68"/>
                <w:sz w:val="17"/>
              </w:rPr>
              <w:t>Specified the timing (after synchronisation, before role change) and flagged the consistency decision as a DBA-lead call. Section 9.3.</w:t>
            </w:r>
          </w:p>
        </w:tc>
      </w:tr>
      <w:tr>
        <w:trPr>
          <w:cantSplit/>
        </w:trPr>
        <w:tc>
          <w:tcPr>
            <w:tcW w:type="dxa" w:w="386"/>
          </w:tcPr>
          <w:p>
            <w:pPr>
              <w:spacing w:after="20" w:before="20"/>
            </w:pPr>
            <w:r/>
            <w:r>
              <w:rPr>
                <w:rFonts w:ascii="Calibri" w:hAnsi="Calibri"/>
                <w:b/>
                <w:i w:val="0"/>
                <w:color w:val="334E68"/>
                <w:sz w:val="17"/>
              </w:rPr>
              <w:t>9</w:t>
            </w:r>
          </w:p>
        </w:tc>
        <w:tc>
          <w:tcPr>
            <w:tcW w:type="dxa" w:w="2313"/>
          </w:tcPr>
          <w:p>
            <w:pPr>
              <w:spacing w:after="20" w:before="20"/>
            </w:pPr>
            <w:r/>
            <w:r>
              <w:rPr>
                <w:rFonts w:ascii="Calibri" w:hAnsi="Calibri"/>
                <w:b w:val="0"/>
                <w:i w:val="0"/>
                <w:color w:val="334E68"/>
                <w:sz w:val="17"/>
              </w:rPr>
              <w:t>“Extended Memory → if exhausted → Heap/Private Memory.”</w:t>
            </w:r>
          </w:p>
        </w:tc>
        <w:tc>
          <w:tcPr>
            <w:tcW w:type="dxa" w:w="3277"/>
          </w:tcPr>
          <w:p>
            <w:pPr>
              <w:spacing w:after="20" w:before="20"/>
            </w:pPr>
            <w:r/>
            <w:r>
              <w:rPr>
                <w:rFonts w:ascii="Calibri" w:hAnsi="Calibri"/>
                <w:b w:val="0"/>
                <w:i w:val="0"/>
                <w:color w:val="334E68"/>
                <w:sz w:val="17"/>
              </w:rPr>
              <w:t>Correct as a general relationship, but incomplete without roll area and paging, which is where the user-visible symptom often appears.</w:t>
            </w:r>
          </w:p>
        </w:tc>
        <w:tc>
          <w:tcPr>
            <w:tcW w:type="dxa" w:w="3662"/>
          </w:tcPr>
          <w:p>
            <w:pPr>
              <w:spacing w:after="20" w:before="20"/>
            </w:pPr>
            <w:r/>
            <w:r>
              <w:rPr>
                <w:rFonts w:ascii="Calibri" w:hAnsi="Calibri"/>
                <w:b w:val="0"/>
                <w:i w:val="0"/>
                <w:color w:val="334E68"/>
                <w:sz w:val="17"/>
              </w:rPr>
              <w:t>Extended the model to roll, EM, heap/private and paging, and added the “find the cause, don't raise the parameter” rule. Section 8.1, Figure 7.</w:t>
            </w:r>
          </w:p>
        </w:tc>
      </w:tr>
      <w:tr>
        <w:trPr>
          <w:cantSplit/>
        </w:trPr>
        <w:tc>
          <w:tcPr>
            <w:tcW w:type="dxa" w:w="386"/>
            <w:shd w:val="clear" w:color="auto" w:fill="FAFBFD"/>
          </w:tcPr>
          <w:p>
            <w:pPr>
              <w:spacing w:after="20" w:before="20"/>
            </w:pPr>
            <w:r/>
            <w:r>
              <w:rPr>
                <w:rFonts w:ascii="Calibri" w:hAnsi="Calibri"/>
                <w:b/>
                <w:i w:val="0"/>
                <w:color w:val="334E68"/>
                <w:sz w:val="17"/>
              </w:rPr>
              <w:t>10</w:t>
            </w:r>
          </w:p>
        </w:tc>
        <w:tc>
          <w:tcPr>
            <w:tcW w:type="dxa" w:w="2313"/>
            <w:shd w:val="clear" w:color="auto" w:fill="FAFBFD"/>
          </w:tcPr>
          <w:p>
            <w:pPr>
              <w:spacing w:after="20" w:before="20"/>
            </w:pPr>
            <w:r/>
            <w:r>
              <w:rPr>
                <w:rFonts w:ascii="Calibri" w:hAnsi="Calibri"/>
                <w:b w:val="0"/>
                <w:i w:val="0"/>
                <w:color w:val="334E68"/>
                <w:sz w:val="17"/>
              </w:rPr>
              <w:t>“Approximately 1200 ms response time and 40% average database request time.”</w:t>
            </w:r>
          </w:p>
        </w:tc>
        <w:tc>
          <w:tcPr>
            <w:tcW w:type="dxa" w:w="3277"/>
            <w:shd w:val="clear" w:color="auto" w:fill="FAFBFD"/>
          </w:tcPr>
          <w:p>
            <w:pPr>
              <w:spacing w:after="20" w:before="20"/>
            </w:pPr>
            <w:r/>
            <w:r>
              <w:rPr>
                <w:rFonts w:ascii="Calibri" w:hAnsi="Calibri"/>
                <w:b w:val="0"/>
                <w:i w:val="0"/>
                <w:color w:val="334E68"/>
                <w:sz w:val="17"/>
              </w:rPr>
              <w:t>These are discussion values, not standards. Quoting them without qualification risks them being configured as production thresholds.</w:t>
            </w:r>
          </w:p>
        </w:tc>
        <w:tc>
          <w:tcPr>
            <w:tcW w:type="dxa" w:w="3662"/>
            <w:shd w:val="clear" w:color="auto" w:fill="FAFBFD"/>
          </w:tcPr>
          <w:p>
            <w:pPr>
              <w:spacing w:after="20" w:before="20"/>
            </w:pPr>
            <w:r/>
            <w:r>
              <w:rPr>
                <w:rFonts w:ascii="Calibri" w:hAnsi="Calibri"/>
                <w:b w:val="0"/>
                <w:i w:val="0"/>
                <w:color w:val="334E68"/>
                <w:sz w:val="17"/>
              </w:rPr>
              <w:t>Retained verbatim with a prominent caution to validate against the applicable SAP and client baseline. Section 8.4.</w:t>
            </w:r>
          </w:p>
        </w:tc>
      </w:tr>
      <w:tr>
        <w:trPr>
          <w:cantSplit/>
        </w:trPr>
        <w:tc>
          <w:tcPr>
            <w:tcW w:type="dxa" w:w="386"/>
          </w:tcPr>
          <w:p>
            <w:pPr>
              <w:spacing w:after="20" w:before="20"/>
            </w:pPr>
            <w:r/>
            <w:r>
              <w:rPr>
                <w:rFonts w:ascii="Calibri" w:hAnsi="Calibri"/>
                <w:b/>
                <w:i w:val="0"/>
                <w:color w:val="334E68"/>
                <w:sz w:val="17"/>
              </w:rPr>
              <w:t>11</w:t>
            </w:r>
          </w:p>
        </w:tc>
        <w:tc>
          <w:tcPr>
            <w:tcW w:type="dxa" w:w="2313"/>
          </w:tcPr>
          <w:p>
            <w:pPr>
              <w:spacing w:after="20" w:before="20"/>
            </w:pPr>
            <w:r/>
            <w:r>
              <w:rPr>
                <w:rFonts w:ascii="Calibri" w:hAnsi="Calibri"/>
                <w:b w:val="0"/>
                <w:i w:val="0"/>
                <w:color w:val="334E68"/>
                <w:sz w:val="17"/>
              </w:rPr>
              <w:t>“Identify NFS dependencies and determine whether the share is maintained/copied or migrated to AWS EFS.”</w:t>
            </w:r>
          </w:p>
        </w:tc>
        <w:tc>
          <w:tcPr>
            <w:tcW w:type="dxa" w:w="3277"/>
          </w:tcPr>
          <w:p>
            <w:pPr>
              <w:spacing w:after="20" w:before="20"/>
            </w:pPr>
            <w:r/>
            <w:r>
              <w:rPr>
                <w:rFonts w:ascii="Calibri" w:hAnsi="Calibri"/>
                <w:b w:val="0"/>
                <w:i w:val="0"/>
                <w:color w:val="334E68"/>
                <w:sz w:val="17"/>
              </w:rPr>
              <w:t>Correct, but EFS is not always the right target for SAP NFS workloads; performance characteristics and NFS feature requirements may point elsewhere.</w:t>
            </w:r>
          </w:p>
        </w:tc>
        <w:tc>
          <w:tcPr>
            <w:tcW w:type="dxa" w:w="3662"/>
          </w:tcPr>
          <w:p>
            <w:pPr>
              <w:spacing w:after="20" w:before="20"/>
            </w:pPr>
            <w:r/>
            <w:r>
              <w:rPr>
                <w:rFonts w:ascii="Calibri" w:hAnsi="Calibri"/>
                <w:b w:val="0"/>
                <w:i w:val="0"/>
                <w:color w:val="334E68"/>
                <w:sz w:val="17"/>
              </w:rPr>
              <w:t>Added FSx for NetApp ONTAP as an alternative in the glossary and a note to confirm performance requirements per share. Sections 4.3, Appendix C.</w:t>
            </w:r>
          </w:p>
        </w:tc>
      </w:tr>
      <w:tr>
        <w:trPr>
          <w:cantSplit/>
        </w:trPr>
        <w:tc>
          <w:tcPr>
            <w:tcW w:type="dxa" w:w="386"/>
            <w:shd w:val="clear" w:color="auto" w:fill="FAFBFD"/>
          </w:tcPr>
          <w:p>
            <w:pPr>
              <w:spacing w:after="20" w:before="20"/>
            </w:pPr>
            <w:r/>
            <w:r>
              <w:rPr>
                <w:rFonts w:ascii="Calibri" w:hAnsi="Calibri"/>
                <w:b/>
                <w:i w:val="0"/>
                <w:color w:val="334E68"/>
                <w:sz w:val="17"/>
              </w:rPr>
              <w:t>12</w:t>
            </w:r>
          </w:p>
        </w:tc>
        <w:tc>
          <w:tcPr>
            <w:tcW w:type="dxa" w:w="2313"/>
            <w:shd w:val="clear" w:color="auto" w:fill="FAFBFD"/>
          </w:tcPr>
          <w:p>
            <w:pPr>
              <w:spacing w:after="20" w:before="20"/>
            </w:pPr>
            <w:r/>
            <w:r>
              <w:rPr>
                <w:rFonts w:ascii="Calibri" w:hAnsi="Calibri"/>
                <w:b w:val="0"/>
                <w:i w:val="0"/>
                <w:color w:val="334E68"/>
                <w:sz w:val="17"/>
              </w:rPr>
              <w:t>“Provide 15 days of hypercare.”</w:t>
            </w:r>
          </w:p>
        </w:tc>
        <w:tc>
          <w:tcPr>
            <w:tcW w:type="dxa" w:w="3277"/>
            <w:shd w:val="clear" w:color="auto" w:fill="FAFBFD"/>
          </w:tcPr>
          <w:p>
            <w:pPr>
              <w:spacing w:after="20" w:before="20"/>
            </w:pPr>
            <w:r/>
            <w:r>
              <w:rPr>
                <w:rFonts w:ascii="Calibri" w:hAnsi="Calibri"/>
                <w:b w:val="0"/>
                <w:i w:val="0"/>
                <w:color w:val="334E68"/>
                <w:sz w:val="17"/>
              </w:rPr>
              <w:t>Client/programme-specific commitment rather than an industry standard.</w:t>
            </w:r>
          </w:p>
        </w:tc>
        <w:tc>
          <w:tcPr>
            <w:tcW w:type="dxa" w:w="3662"/>
            <w:shd w:val="clear" w:color="auto" w:fill="FAFBFD"/>
          </w:tcPr>
          <w:p>
            <w:pPr>
              <w:spacing w:after="20" w:before="20"/>
            </w:pPr>
            <w:r/>
            <w:r>
              <w:rPr>
                <w:rFonts w:ascii="Calibri" w:hAnsi="Calibri"/>
                <w:b w:val="0"/>
                <w:i w:val="0"/>
                <w:color w:val="334E68"/>
                <w:sz w:val="17"/>
              </w:rPr>
              <w:t>Retained as stated, and labelled explicitly as the period stated in the source training. Sections 10.6, 17 (Q12).</w:t>
            </w:r>
          </w:p>
        </w:tc>
      </w:tr>
    </w:tbl>
    <w:p>
      <w:pPr>
        <w:spacing w:after="40"/>
      </w:pPr>
    </w:p>
    <w:p>
      <w:pPr>
        <w:pStyle w:val="Heading2"/>
        <w:pBdr>
          <w:bottom w:val="single" w:sz="6" w:space="3" w:color="E8EDF3"/>
        </w:pBdr>
      </w:pPr>
      <w:r>
        <w:rPr>
          <w:rFonts w:ascii="Calibri" w:hAnsi="Calibri"/>
          <w:b/>
          <w:color w:val="0F2B4C"/>
          <w:sz w:val="26"/>
        </w:rPr>
        <w:t>D.3  Terms preserved but flagged for confirmation</w:t>
      </w:r>
    </w:p>
    <w:p>
      <w:pPr>
        <w:spacing w:after="60" w:before="160"/>
        <w:keepNext/>
      </w:pPr>
      <w:r>
        <w:rPr>
          <w:rFonts w:ascii="Calibri" w:hAnsi="Calibri"/>
          <w:b/>
          <w:color w:val="5B7288"/>
          <w:sz w:val="15"/>
        </w:rPr>
        <w:t>FLAGGED TERMS</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1735"/>
        <w:gridCol w:w="1735"/>
        <w:gridCol w:w="6168"/>
      </w:tblGrid>
      <w:tr>
        <w:trPr>
          <w:tblHeader/>
          <w:cantSplit/>
        </w:trPr>
        <w:tc>
          <w:tcPr>
            <w:tcW w:type="dxa" w:w="1735"/>
            <w:shd w:val="clear" w:color="auto" w:fill="0F2B4C"/>
          </w:tcPr>
          <w:p>
            <w:pPr>
              <w:spacing w:after="20" w:before="20"/>
            </w:pPr>
            <w:r/>
            <w:r>
              <w:rPr>
                <w:rFonts w:ascii="Calibri" w:hAnsi="Calibri"/>
                <w:b/>
                <w:color w:val="FFFFFF"/>
                <w:sz w:val="17"/>
              </w:rPr>
              <w:t>Term</w:t>
            </w:r>
          </w:p>
        </w:tc>
        <w:tc>
          <w:tcPr>
            <w:tcW w:type="dxa" w:w="1735"/>
            <w:shd w:val="clear" w:color="auto" w:fill="0F2B4C"/>
          </w:tcPr>
          <w:p>
            <w:pPr>
              <w:spacing w:after="20" w:before="20"/>
            </w:pPr>
            <w:r/>
            <w:r>
              <w:rPr>
                <w:rFonts w:ascii="Calibri" w:hAnsi="Calibri"/>
                <w:b/>
                <w:color w:val="FFFFFF"/>
                <w:sz w:val="17"/>
              </w:rPr>
              <w:t>Where used</w:t>
            </w:r>
          </w:p>
        </w:tc>
        <w:tc>
          <w:tcPr>
            <w:tcW w:type="dxa" w:w="6168"/>
            <w:shd w:val="clear" w:color="auto" w:fill="0F2B4C"/>
          </w:tcPr>
          <w:p>
            <w:pPr>
              <w:spacing w:after="20" w:before="20"/>
            </w:pPr>
            <w:r/>
            <w:r>
              <w:rPr>
                <w:rFonts w:ascii="Calibri" w:hAnsi="Calibri"/>
                <w:b/>
                <w:color w:val="FFFFFF"/>
                <w:sz w:val="17"/>
              </w:rPr>
              <w:t>Why it is flagged</w:t>
            </w:r>
          </w:p>
        </w:tc>
      </w:tr>
      <w:tr>
        <w:trPr>
          <w:cantSplit/>
        </w:trPr>
        <w:tc>
          <w:tcPr>
            <w:tcW w:type="dxa" w:w="1735"/>
          </w:tcPr>
          <w:p>
            <w:pPr>
              <w:spacing w:after="20" w:before="20"/>
            </w:pPr>
            <w:r/>
            <w:r>
              <w:rPr>
                <w:rFonts w:ascii="Calibri" w:hAnsi="Calibri"/>
                <w:b/>
                <w:i w:val="0"/>
                <w:color w:val="334E68"/>
                <w:sz w:val="17"/>
              </w:rPr>
              <w:t>ADPU</w:t>
            </w:r>
          </w:p>
        </w:tc>
        <w:tc>
          <w:tcPr>
            <w:tcW w:type="dxa" w:w="1735"/>
          </w:tcPr>
          <w:p>
            <w:pPr>
              <w:spacing w:after="20" w:before="20"/>
            </w:pPr>
            <w:r/>
            <w:r>
              <w:rPr>
                <w:rFonts w:ascii="Calibri" w:hAnsi="Calibri"/>
                <w:b w:val="0"/>
                <w:i w:val="0"/>
                <w:color w:val="334E68"/>
                <w:sz w:val="17"/>
              </w:rPr>
              <w:t>Section 10.4</w:t>
            </w:r>
          </w:p>
        </w:tc>
        <w:tc>
          <w:tcPr>
            <w:tcW w:type="dxa" w:w="6168"/>
          </w:tcPr>
          <w:p>
            <w:pPr>
              <w:spacing w:after="20" w:before="20"/>
            </w:pPr>
            <w:r/>
            <w:r>
              <w:rPr>
                <w:rFonts w:ascii="Calibri" w:hAnsi="Calibri"/>
                <w:b w:val="0"/>
                <w:i w:val="0"/>
                <w:color w:val="334E68"/>
                <w:sz w:val="17"/>
              </w:rPr>
              <w:t>Sign-off step named in the source training; the exact expansion and scope are client-specific.</w:t>
            </w:r>
          </w:p>
        </w:tc>
      </w:tr>
      <w:tr>
        <w:trPr>
          <w:cantSplit/>
        </w:trPr>
        <w:tc>
          <w:tcPr>
            <w:tcW w:type="dxa" w:w="1735"/>
            <w:shd w:val="clear" w:color="auto" w:fill="FAFBFD"/>
          </w:tcPr>
          <w:p>
            <w:pPr>
              <w:spacing w:after="20" w:before="20"/>
            </w:pPr>
            <w:r/>
            <w:r>
              <w:rPr>
                <w:rFonts w:ascii="Calibri" w:hAnsi="Calibri"/>
                <w:b/>
                <w:i w:val="0"/>
                <w:color w:val="334E68"/>
                <w:sz w:val="17"/>
              </w:rPr>
              <w:t>MBox</w:t>
            </w:r>
          </w:p>
        </w:tc>
        <w:tc>
          <w:tcPr>
            <w:tcW w:type="dxa" w:w="1735"/>
            <w:shd w:val="clear" w:color="auto" w:fill="FAFBFD"/>
          </w:tcPr>
          <w:p>
            <w:pPr>
              <w:spacing w:after="20" w:before="20"/>
            </w:pPr>
            <w:r/>
            <w:r>
              <w:rPr>
                <w:rFonts w:ascii="Calibri" w:hAnsi="Calibri"/>
                <w:b w:val="0"/>
                <w:i w:val="0"/>
                <w:color w:val="334E68"/>
                <w:sz w:val="17"/>
              </w:rPr>
              <w:t>Section 10.3</w:t>
            </w:r>
          </w:p>
        </w:tc>
        <w:tc>
          <w:tcPr>
            <w:tcW w:type="dxa" w:w="6168"/>
            <w:shd w:val="clear" w:color="auto" w:fill="FAFBFD"/>
          </w:tcPr>
          <w:p>
            <w:pPr>
              <w:spacing w:after="20" w:before="20"/>
            </w:pPr>
            <w:r/>
            <w:r>
              <w:rPr>
                <w:rFonts w:ascii="Calibri" w:hAnsi="Calibri"/>
                <w:b w:val="0"/>
                <w:i w:val="0"/>
                <w:color w:val="334E68"/>
                <w:sz w:val="17"/>
              </w:rPr>
              <w:t>Integration component named in the source; not a generally documented product name in this context.</w:t>
            </w:r>
          </w:p>
        </w:tc>
      </w:tr>
      <w:tr>
        <w:trPr>
          <w:cantSplit/>
        </w:trPr>
        <w:tc>
          <w:tcPr>
            <w:tcW w:type="dxa" w:w="1735"/>
          </w:tcPr>
          <w:p>
            <w:pPr>
              <w:spacing w:after="20" w:before="20"/>
            </w:pPr>
            <w:r/>
            <w:r>
              <w:rPr>
                <w:rFonts w:ascii="Calibri" w:hAnsi="Calibri"/>
                <w:b/>
                <w:i w:val="0"/>
                <w:color w:val="334E68"/>
                <w:sz w:val="17"/>
              </w:rPr>
              <w:t>OEM / OBM</w:t>
            </w:r>
          </w:p>
        </w:tc>
        <w:tc>
          <w:tcPr>
            <w:tcW w:type="dxa" w:w="1735"/>
          </w:tcPr>
          <w:p>
            <w:pPr>
              <w:spacing w:after="20" w:before="20"/>
            </w:pPr>
            <w:r/>
            <w:r>
              <w:rPr>
                <w:rFonts w:ascii="Calibri" w:hAnsi="Calibri"/>
                <w:b w:val="0"/>
                <w:i w:val="0"/>
                <w:color w:val="334E68"/>
                <w:sz w:val="17"/>
              </w:rPr>
              <w:t>Sections 4.3, 9.3</w:t>
            </w:r>
          </w:p>
        </w:tc>
        <w:tc>
          <w:tcPr>
            <w:tcW w:type="dxa" w:w="6168"/>
          </w:tcPr>
          <w:p>
            <w:pPr>
              <w:spacing w:after="20" w:before="20"/>
            </w:pPr>
            <w:r/>
            <w:r>
              <w:rPr>
                <w:rFonts w:ascii="Calibri" w:hAnsi="Calibri"/>
                <w:b w:val="0"/>
                <w:i w:val="0"/>
                <w:color w:val="334E68"/>
                <w:sz w:val="17"/>
              </w:rPr>
              <w:t>Used together in the source for external agents; OEM is most likely Oracle Enterprise Manager, OBM is unclear.</w:t>
            </w:r>
          </w:p>
        </w:tc>
      </w:tr>
      <w:tr>
        <w:trPr>
          <w:cantSplit/>
        </w:trPr>
        <w:tc>
          <w:tcPr>
            <w:tcW w:type="dxa" w:w="1735"/>
            <w:shd w:val="clear" w:color="auto" w:fill="FAFBFD"/>
          </w:tcPr>
          <w:p>
            <w:pPr>
              <w:spacing w:after="20" w:before="20"/>
            </w:pPr>
            <w:r/>
            <w:r>
              <w:rPr>
                <w:rFonts w:ascii="Calibri" w:hAnsi="Calibri"/>
                <w:b/>
                <w:i w:val="0"/>
                <w:color w:val="334E68"/>
                <w:sz w:val="17"/>
              </w:rPr>
              <w:t>EDG</w:t>
            </w:r>
          </w:p>
        </w:tc>
        <w:tc>
          <w:tcPr>
            <w:tcW w:type="dxa" w:w="1735"/>
            <w:shd w:val="clear" w:color="auto" w:fill="FAFBFD"/>
          </w:tcPr>
          <w:p>
            <w:pPr>
              <w:spacing w:after="20" w:before="20"/>
            </w:pPr>
            <w:r/>
            <w:r>
              <w:rPr>
                <w:rFonts w:ascii="Calibri" w:hAnsi="Calibri"/>
                <w:b w:val="0"/>
                <w:i w:val="0"/>
                <w:color w:val="334E68"/>
                <w:sz w:val="17"/>
              </w:rPr>
              <w:t>Section 10.6</w:t>
            </w:r>
          </w:p>
        </w:tc>
        <w:tc>
          <w:tcPr>
            <w:tcW w:type="dxa" w:w="6168"/>
            <w:shd w:val="clear" w:color="auto" w:fill="FAFBFD"/>
          </w:tcPr>
          <w:p>
            <w:pPr>
              <w:spacing w:after="20" w:before="20"/>
            </w:pPr>
            <w:r/>
            <w:r>
              <w:rPr>
                <w:rFonts w:ascii="Calibri" w:hAnsi="Calibri"/>
                <w:b w:val="0"/>
                <w:i w:val="0"/>
                <w:color w:val="334E68"/>
                <w:sz w:val="17"/>
              </w:rPr>
              <w:t>Post-go-live configuration item named in the source; expansion is client-specific.</w:t>
            </w:r>
          </w:p>
        </w:tc>
      </w:tr>
      <w:tr>
        <w:trPr>
          <w:cantSplit/>
        </w:trPr>
        <w:tc>
          <w:tcPr>
            <w:tcW w:type="dxa" w:w="1735"/>
          </w:tcPr>
          <w:p>
            <w:pPr>
              <w:spacing w:after="20" w:before="20"/>
            </w:pPr>
            <w:r/>
            <w:r>
              <w:rPr>
                <w:rFonts w:ascii="Calibri" w:hAnsi="Calibri"/>
                <w:b/>
                <w:i w:val="0"/>
                <w:color w:val="334E68"/>
                <w:sz w:val="17"/>
              </w:rPr>
              <w:t>Type 3 RFC passwords</w:t>
            </w:r>
          </w:p>
        </w:tc>
        <w:tc>
          <w:tcPr>
            <w:tcW w:type="dxa" w:w="1735"/>
          </w:tcPr>
          <w:p>
            <w:pPr>
              <w:spacing w:after="20" w:before="20"/>
            </w:pPr>
            <w:r/>
            <w:r>
              <w:rPr>
                <w:rFonts w:ascii="Calibri" w:hAnsi="Calibri"/>
                <w:b w:val="0"/>
                <w:i w:val="0"/>
                <w:color w:val="334E68"/>
                <w:sz w:val="17"/>
              </w:rPr>
              <w:t>Section 10.3</w:t>
            </w:r>
          </w:p>
        </w:tc>
        <w:tc>
          <w:tcPr>
            <w:tcW w:type="dxa" w:w="6168"/>
          </w:tcPr>
          <w:p>
            <w:pPr>
              <w:spacing w:after="20" w:before="20"/>
            </w:pPr>
            <w:r/>
            <w:r>
              <w:rPr>
                <w:rFonts w:ascii="Calibri" w:hAnsi="Calibri"/>
                <w:b w:val="0"/>
                <w:i w:val="0"/>
                <w:color w:val="334E68"/>
                <w:sz w:val="17"/>
              </w:rPr>
              <w:t>Type 3 is the ABAP-to-ABAP RFC connection type; the password-update requirement depends on the project's credential handling.</w:t>
            </w:r>
          </w:p>
        </w:tc>
      </w:tr>
      <w:tr>
        <w:trPr>
          <w:cantSplit/>
        </w:trPr>
        <w:tc>
          <w:tcPr>
            <w:tcW w:type="dxa" w:w="1735"/>
            <w:shd w:val="clear" w:color="auto" w:fill="FAFBFD"/>
          </w:tcPr>
          <w:p>
            <w:pPr>
              <w:spacing w:after="20" w:before="20"/>
            </w:pPr>
            <w:r/>
            <w:r>
              <w:rPr>
                <w:rFonts w:ascii="Calibri" w:hAnsi="Calibri"/>
                <w:b/>
                <w:i w:val="0"/>
                <w:color w:val="334E68"/>
                <w:sz w:val="17"/>
              </w:rPr>
              <w:t>saproot.sh / Oracle root scripts</w:t>
            </w:r>
          </w:p>
        </w:tc>
        <w:tc>
          <w:tcPr>
            <w:tcW w:type="dxa" w:w="1735"/>
            <w:shd w:val="clear" w:color="auto" w:fill="FAFBFD"/>
          </w:tcPr>
          <w:p>
            <w:pPr>
              <w:spacing w:after="20" w:before="20"/>
            </w:pPr>
            <w:r/>
            <w:r>
              <w:rPr>
                <w:rFonts w:ascii="Calibri" w:hAnsi="Calibri"/>
                <w:b w:val="0"/>
                <w:i w:val="0"/>
                <w:color w:val="334E68"/>
                <w:sz w:val="17"/>
              </w:rPr>
              <w:t>Section 10.2</w:t>
            </w:r>
          </w:p>
        </w:tc>
        <w:tc>
          <w:tcPr>
            <w:tcW w:type="dxa" w:w="6168"/>
            <w:shd w:val="clear" w:color="auto" w:fill="FAFBFD"/>
          </w:tcPr>
          <w:p>
            <w:pPr>
              <w:spacing w:after="20" w:before="20"/>
            </w:pPr>
            <w:r/>
            <w:r>
              <w:rPr>
                <w:rFonts w:ascii="Calibri" w:hAnsi="Calibri"/>
                <w:b w:val="0"/>
                <w:i w:val="0"/>
                <w:color w:val="334E68"/>
                <w:sz w:val="17"/>
              </w:rPr>
              <w:t>Correct in principle; exact script names vary by database, platform and SAP release.</w:t>
            </w:r>
          </w:p>
        </w:tc>
      </w:tr>
      <w:tr>
        <w:trPr>
          <w:cantSplit/>
        </w:trPr>
        <w:tc>
          <w:tcPr>
            <w:tcW w:type="dxa" w:w="1735"/>
          </w:tcPr>
          <w:p>
            <w:pPr>
              <w:spacing w:after="20" w:before="20"/>
            </w:pPr>
            <w:r/>
            <w:r>
              <w:rPr>
                <w:rFonts w:ascii="Calibri" w:hAnsi="Calibri"/>
                <w:b/>
                <w:i w:val="0"/>
                <w:color w:val="334E68"/>
                <w:sz w:val="17"/>
              </w:rPr>
              <w:t>webMethods / MuleSoft</w:t>
            </w:r>
          </w:p>
        </w:tc>
        <w:tc>
          <w:tcPr>
            <w:tcW w:type="dxa" w:w="1735"/>
          </w:tcPr>
          <w:p>
            <w:pPr>
              <w:spacing w:after="20" w:before="20"/>
            </w:pPr>
            <w:r/>
            <w:r>
              <w:rPr>
                <w:rFonts w:ascii="Calibri" w:hAnsi="Calibri"/>
                <w:b w:val="0"/>
                <w:i w:val="0"/>
                <w:color w:val="334E68"/>
                <w:sz w:val="17"/>
              </w:rPr>
              <w:t>Sections 10.3, 13</w:t>
            </w:r>
          </w:p>
        </w:tc>
        <w:tc>
          <w:tcPr>
            <w:tcW w:type="dxa" w:w="6168"/>
          </w:tcPr>
          <w:p>
            <w:pPr>
              <w:spacing w:after="20" w:before="20"/>
            </w:pPr>
            <w:r/>
            <w:r>
              <w:rPr>
                <w:rFonts w:ascii="Calibri" w:hAnsi="Calibri"/>
                <w:b w:val="0"/>
                <w:i w:val="0"/>
                <w:color w:val="334E68"/>
                <w:sz w:val="17"/>
              </w:rPr>
              <w:t>Named middleware in the source landscape; the applicable set is project-specific.</w:t>
            </w:r>
          </w:p>
        </w:tc>
      </w:tr>
      <w:tr>
        <w:trPr>
          <w:cantSplit/>
        </w:trPr>
        <w:tc>
          <w:tcPr>
            <w:tcW w:type="dxa" w:w="1735"/>
            <w:shd w:val="clear" w:color="auto" w:fill="FAFBFD"/>
          </w:tcPr>
          <w:p>
            <w:pPr>
              <w:spacing w:after="20" w:before="20"/>
            </w:pPr>
            <w:r/>
            <w:r>
              <w:rPr>
                <w:rFonts w:ascii="Calibri" w:hAnsi="Calibri"/>
                <w:b/>
                <w:i w:val="0"/>
                <w:color w:val="334E68"/>
                <w:sz w:val="17"/>
              </w:rPr>
              <w:t>Chef</w:t>
            </w:r>
          </w:p>
        </w:tc>
        <w:tc>
          <w:tcPr>
            <w:tcW w:type="dxa" w:w="1735"/>
            <w:shd w:val="clear" w:color="auto" w:fill="FAFBFD"/>
          </w:tcPr>
          <w:p>
            <w:pPr>
              <w:spacing w:after="20" w:before="20"/>
            </w:pPr>
            <w:r/>
            <w:r>
              <w:rPr>
                <w:rFonts w:ascii="Calibri" w:hAnsi="Calibri"/>
                <w:b w:val="0"/>
                <w:i w:val="0"/>
                <w:color w:val="334E68"/>
                <w:sz w:val="17"/>
              </w:rPr>
              <w:t>Sections 5.4, 11.2</w:t>
            </w:r>
          </w:p>
        </w:tc>
        <w:tc>
          <w:tcPr>
            <w:tcW w:type="dxa" w:w="6168"/>
            <w:shd w:val="clear" w:color="auto" w:fill="FAFBFD"/>
          </w:tcPr>
          <w:p>
            <w:pPr>
              <w:spacing w:after="20" w:before="20"/>
            </w:pPr>
            <w:r/>
            <w:r>
              <w:rPr>
                <w:rFonts w:ascii="Calibri" w:hAnsi="Calibri"/>
                <w:b w:val="0"/>
                <w:i w:val="0"/>
                <w:color w:val="334E68"/>
                <w:sz w:val="17"/>
              </w:rPr>
              <w:t>Configuration-management tool named in the source; the automation standard may differ by programme.</w:t>
            </w:r>
          </w:p>
        </w:tc>
      </w:tr>
      <w:tr>
        <w:trPr>
          <w:cantSplit/>
        </w:trPr>
        <w:tc>
          <w:tcPr>
            <w:tcW w:type="dxa" w:w="1735"/>
          </w:tcPr>
          <w:p>
            <w:pPr>
              <w:spacing w:after="20" w:before="20"/>
            </w:pPr>
            <w:r/>
            <w:r>
              <w:rPr>
                <w:rFonts w:ascii="Calibri" w:hAnsi="Calibri"/>
                <w:b/>
                <w:i w:val="0"/>
                <w:color w:val="334E68"/>
                <w:sz w:val="17"/>
              </w:rPr>
              <w:t>≈1200 ms / ≈40% DB time</w:t>
            </w:r>
          </w:p>
        </w:tc>
        <w:tc>
          <w:tcPr>
            <w:tcW w:type="dxa" w:w="1735"/>
          </w:tcPr>
          <w:p>
            <w:pPr>
              <w:spacing w:after="20" w:before="20"/>
            </w:pPr>
            <w:r/>
            <w:r>
              <w:rPr>
                <w:rFonts w:ascii="Calibri" w:hAnsi="Calibri"/>
                <w:b w:val="0"/>
                <w:i w:val="0"/>
                <w:color w:val="334E68"/>
                <w:sz w:val="17"/>
              </w:rPr>
              <w:t>Section 8.4</w:t>
            </w:r>
          </w:p>
        </w:tc>
        <w:tc>
          <w:tcPr>
            <w:tcW w:type="dxa" w:w="6168"/>
          </w:tcPr>
          <w:p>
            <w:pPr>
              <w:spacing w:after="20" w:before="20"/>
            </w:pPr>
            <w:r/>
            <w:r>
              <w:rPr>
                <w:rFonts w:ascii="Calibri" w:hAnsi="Calibri"/>
                <w:b w:val="0"/>
                <w:i w:val="0"/>
                <w:color w:val="334E68"/>
                <w:sz w:val="17"/>
              </w:rPr>
              <w:t>Discussion values from the source training, not validated production thresholds.</w:t>
            </w:r>
          </w:p>
        </w:tc>
      </w:tr>
    </w:tbl>
    <w:p>
      <w:pPr>
        <w:spacing w:after="40"/>
      </w:pPr>
    </w:p>
    <w:p>
      <w:pPr>
        <w:spacing w:before="180" w:after="40"/>
        <w:shd w:val="clear" w:color="auto" w:fill="FFFDF5"/>
        <w:pBdr>
          <w:left w:val="single" w:sz="6" w:space="6" w:color="D9A520"/>
          <w:top w:val="single" w:sz="6" w:space="6" w:color="D9A520"/>
          <w:right w:val="single" w:sz="6" w:space="6" w:color="D9A520"/>
        </w:pBdr>
        <w:keepNext/>
      </w:pPr>
      <w:r>
        <w:rPr>
          <w:rFonts w:ascii="Calibri" w:hAnsi="Calibri"/>
          <w:b/>
          <w:color w:val="D9A520"/>
          <w:sz w:val="16"/>
        </w:rPr>
        <w:t>OPEN ITEMS FOR THE PROGRAMME TO CLOSE</w:t>
      </w:r>
    </w:p>
    <w:p>
      <w:pPr>
        <w:spacing w:after="40"/>
        <w:ind w:left="567" w:hanging="227"/>
        <w:shd w:val="clear" w:color="auto" w:fill="FFFDF5"/>
      </w:pPr>
      <w:r>
        <w:rPr>
          <w:rFonts w:ascii="Calibri" w:hAnsi="Calibri"/>
          <w:b/>
          <w:color w:val="1B4F86"/>
          <w:sz w:val="19"/>
        </w:rPr>
        <w:t xml:space="preserve">▪  </w:t>
      </w:r>
      <w:r>
        <w:rPr>
          <w:rFonts w:ascii="Calibri" w:hAnsi="Calibri"/>
          <w:b w:val="0"/>
          <w:i w:val="0"/>
          <w:color w:val="334E68"/>
          <w:sz w:val="19"/>
        </w:rPr>
        <w:t>Confirm the exact meaning of ADPU, MBox, EDG and OBM in the project glossary, then remove the flags.</w:t>
      </w:r>
    </w:p>
    <w:p>
      <w:pPr>
        <w:spacing w:after="40"/>
        <w:ind w:left="567" w:hanging="227"/>
        <w:shd w:val="clear" w:color="auto" w:fill="FFFDF5"/>
      </w:pPr>
      <w:r>
        <w:rPr>
          <w:rFonts w:ascii="Calibri" w:hAnsi="Calibri"/>
          <w:b/>
          <w:color w:val="1B4F86"/>
          <w:sz w:val="19"/>
        </w:rPr>
        <w:t xml:space="preserve">▪  </w:t>
      </w:r>
      <w:r>
        <w:rPr>
          <w:rFonts w:ascii="Calibri" w:hAnsi="Calibri"/>
          <w:b w:val="0"/>
          <w:i w:val="0"/>
          <w:color w:val="334E68"/>
          <w:sz w:val="19"/>
        </w:rPr>
        <w:t>Confirm the HANA backup mechanism (Backint agent versus file-based) and record the configuration file set.</w:t>
      </w:r>
    </w:p>
    <w:p>
      <w:pPr>
        <w:spacing w:after="40"/>
        <w:ind w:left="567" w:hanging="227"/>
        <w:shd w:val="clear" w:color="auto" w:fill="FFFDF5"/>
      </w:pPr>
      <w:r>
        <w:rPr>
          <w:rFonts w:ascii="Calibri" w:hAnsi="Calibri"/>
          <w:b/>
          <w:color w:val="1B4F86"/>
          <w:sz w:val="19"/>
        </w:rPr>
        <w:t xml:space="preserve">▪  </w:t>
      </w:r>
      <w:r>
        <w:rPr>
          <w:rFonts w:ascii="Calibri" w:hAnsi="Calibri"/>
          <w:b w:val="0"/>
          <w:i w:val="0"/>
          <w:color w:val="334E68"/>
          <w:sz w:val="19"/>
        </w:rPr>
        <w:t>Confirm whether the pre-switchover snapshot must be application-consistent, and record the decision.</w:t>
      </w:r>
    </w:p>
    <w:p>
      <w:pPr>
        <w:spacing w:after="40"/>
        <w:ind w:left="567" w:hanging="227"/>
        <w:shd w:val="clear" w:color="auto" w:fill="FFFDF5"/>
      </w:pPr>
      <w:r>
        <w:rPr>
          <w:rFonts w:ascii="Calibri" w:hAnsi="Calibri"/>
          <w:b/>
          <w:color w:val="1B4F86"/>
          <w:sz w:val="19"/>
        </w:rPr>
        <w:t xml:space="preserve">▪  </w:t>
      </w:r>
      <w:r>
        <w:rPr>
          <w:rFonts w:ascii="Calibri" w:hAnsi="Calibri"/>
          <w:b w:val="0"/>
          <w:i w:val="0"/>
          <w:color w:val="334E68"/>
          <w:sz w:val="19"/>
        </w:rPr>
        <w:t>Validate the performance thresholds against the client baseline before they are used for alerting.</w:t>
      </w:r>
    </w:p>
    <w:p>
      <w:pPr>
        <w:spacing w:after="40"/>
        <w:ind w:left="567" w:hanging="227"/>
        <w:shd w:val="clear" w:color="auto" w:fill="FFFDF5"/>
      </w:pPr>
      <w:r>
        <w:rPr>
          <w:rFonts w:ascii="Calibri" w:hAnsi="Calibri"/>
          <w:b/>
          <w:color w:val="1B4F86"/>
          <w:sz w:val="19"/>
        </w:rPr>
        <w:t xml:space="preserve">▪  </w:t>
      </w:r>
      <w:r>
        <w:rPr>
          <w:rFonts w:ascii="Calibri" w:hAnsi="Calibri"/>
          <w:b w:val="0"/>
          <w:i w:val="0"/>
          <w:color w:val="334E68"/>
          <w:sz w:val="19"/>
        </w:rPr>
        <w:t>Confirm the NFS target per share (EFS, FSx for NetApp ONTAP, or copy/maintain) against performance requirements.</w:t>
      </w:r>
    </w:p>
    <w:p>
      <w:pPr>
        <w:spacing w:after="40"/>
        <w:ind w:left="567" w:hanging="227"/>
        <w:shd w:val="clear" w:color="auto" w:fill="FFFDF5"/>
      </w:pPr>
      <w:r>
        <w:rPr>
          <w:rFonts w:ascii="Calibri" w:hAnsi="Calibri"/>
          <w:b/>
          <w:color w:val="1B4F86"/>
          <w:sz w:val="19"/>
        </w:rPr>
        <w:t xml:space="preserve">▪  </w:t>
      </w:r>
      <w:r>
        <w:rPr>
          <w:rFonts w:ascii="Calibri" w:hAnsi="Calibri"/>
          <w:b w:val="0"/>
          <w:i w:val="0"/>
          <w:color w:val="334E68"/>
          <w:sz w:val="19"/>
        </w:rPr>
        <w:t>Confirm the SAP license reissue path and hardware-key change procedure for each migrated system.</w:t>
      </w:r>
    </w:p>
    <w:p>
      <w:pPr>
        <w:spacing w:after="40"/>
        <w:ind w:left="567" w:hanging="227"/>
        <w:shd w:val="clear" w:color="auto" w:fill="FFFDF5"/>
      </w:pPr>
      <w:r>
        <w:rPr>
          <w:rFonts w:ascii="Calibri" w:hAnsi="Calibri"/>
          <w:b/>
          <w:color w:val="1B4F86"/>
          <w:sz w:val="19"/>
        </w:rPr>
        <w:t xml:space="preserve">▪  </w:t>
      </w:r>
      <w:r>
        <w:rPr>
          <w:rFonts w:ascii="Calibri" w:hAnsi="Calibri"/>
          <w:b w:val="0"/>
          <w:i w:val="0"/>
          <w:color w:val="334E68"/>
          <w:sz w:val="19"/>
        </w:rPr>
        <w:t>Replace the placeholder reviewer and approver names in Section 0.5 before the document is issued externally.</w:t>
      </w:r>
    </w:p>
    <w:p>
      <w:pPr>
        <w:shd w:val="clear" w:color="auto" w:fill="FFFDF5"/>
        <w:pBdr>
          <w:left w:val="single" w:sz="6" w:space="6" w:color="D9A520"/>
          <w:bottom w:val="single" w:sz="6" w:space="6" w:color="D9A520"/>
          <w:right w:val="single" w:sz="6" w:space="6" w:color="D9A520"/>
        </w:pBdr>
        <w:spacing w:after="40"/>
      </w:pPr>
    </w:p>
    <w:p>
      <w:pPr>
        <w:pStyle w:val="Heading2"/>
        <w:pBdr>
          <w:bottom w:val="single" w:sz="6" w:space="3" w:color="E8EDF3"/>
        </w:pBdr>
      </w:pPr>
      <w:r>
        <w:rPr>
          <w:rFonts w:ascii="Calibri" w:hAnsi="Calibri"/>
          <w:b/>
          <w:color w:val="0F2B4C"/>
          <w:sz w:val="26"/>
        </w:rPr>
        <w:t>D.4  Review method</w:t>
      </w:r>
    </w:p>
    <w:p>
      <w:pPr>
        <w:spacing w:after="40"/>
        <w:ind w:left="578" w:hanging="227"/>
      </w:pPr>
      <w:r>
        <w:rPr>
          <w:rFonts w:ascii="Calibri" w:hAnsi="Calibri"/>
          <w:b/>
          <w:color w:val="0F2B4C"/>
          <w:sz w:val="19"/>
        </w:rPr>
        <w:t xml:space="preserve">1.  </w:t>
      </w:r>
      <w:r>
        <w:rPr>
          <w:rFonts w:ascii="Calibri" w:hAnsi="Calibri"/>
          <w:b w:val="0"/>
          <w:i w:val="0"/>
          <w:color w:val="334E68"/>
          <w:sz w:val="19"/>
        </w:rPr>
        <w:t>Structural review: re-sequenced the source material to follow the migration lifecycle and removed duplication across MOM sections.</w:t>
      </w:r>
    </w:p>
    <w:p>
      <w:pPr>
        <w:spacing w:after="40"/>
        <w:ind w:left="578" w:hanging="227"/>
      </w:pPr>
      <w:r>
        <w:rPr>
          <w:rFonts w:ascii="Calibri" w:hAnsi="Calibri"/>
          <w:b/>
          <w:color w:val="0F2B4C"/>
          <w:sz w:val="19"/>
        </w:rPr>
        <w:t xml:space="preserve">2.  </w:t>
      </w:r>
      <w:r>
        <w:rPr>
          <w:rFonts w:ascii="Calibri" w:hAnsi="Calibri"/>
          <w:b w:val="0"/>
          <w:i w:val="0"/>
          <w:color w:val="334E68"/>
          <w:sz w:val="19"/>
        </w:rPr>
        <w:t>Technical review: verified each transaction, command, concept and sequence against standard SAP Basis, HANA, Oracle and AWS practice; recorded findings in D.2.</w:t>
      </w:r>
    </w:p>
    <w:p>
      <w:pPr>
        <w:spacing w:after="40"/>
        <w:ind w:left="578" w:hanging="227"/>
      </w:pPr>
      <w:r>
        <w:rPr>
          <w:rFonts w:ascii="Calibri" w:hAnsi="Calibri"/>
          <w:b/>
          <w:color w:val="0F2B4C"/>
          <w:sz w:val="19"/>
        </w:rPr>
        <w:t xml:space="preserve">3.  </w:t>
      </w:r>
      <w:r>
        <w:rPr>
          <w:rFonts w:ascii="Calibri" w:hAnsi="Calibri"/>
          <w:b w:val="0"/>
          <w:i w:val="0"/>
          <w:color w:val="334E68"/>
          <w:sz w:val="19"/>
        </w:rPr>
        <w:t>Terminology review: preserved source wording, tagged client-specific terms, and added a glossary (Appendix C).</w:t>
      </w:r>
    </w:p>
    <w:p>
      <w:pPr>
        <w:spacing w:after="40"/>
        <w:ind w:left="578" w:hanging="227"/>
      </w:pPr>
      <w:r>
        <w:rPr>
          <w:rFonts w:ascii="Calibri" w:hAnsi="Calibri"/>
          <w:b/>
          <w:color w:val="0F2B4C"/>
          <w:sz w:val="19"/>
        </w:rPr>
        <w:t xml:space="preserve">4.  </w:t>
      </w:r>
      <w:r>
        <w:rPr>
          <w:rFonts w:ascii="Calibri" w:hAnsi="Calibri"/>
          <w:b w:val="0"/>
          <w:i w:val="0"/>
          <w:color w:val="334E68"/>
          <w:sz w:val="19"/>
        </w:rPr>
        <w:t>Consistency review: cross-checked every cross-reference, checklist item, figure and quiz question against the module text.</w:t>
      </w:r>
    </w:p>
    <w:p>
      <w:pPr>
        <w:spacing w:after="40"/>
        <w:ind w:left="578" w:hanging="227"/>
      </w:pPr>
      <w:r>
        <w:rPr>
          <w:rFonts w:ascii="Calibri" w:hAnsi="Calibri"/>
          <w:b/>
          <w:color w:val="0F2B4C"/>
          <w:sz w:val="19"/>
        </w:rPr>
        <w:t xml:space="preserve">5.  </w:t>
      </w:r>
      <w:r>
        <w:rPr>
          <w:rFonts w:ascii="Calibri" w:hAnsi="Calibri"/>
          <w:b w:val="0"/>
          <w:i w:val="0"/>
          <w:color w:val="334E68"/>
          <w:sz w:val="19"/>
        </w:rPr>
        <w:t>Usability review: added entry/exit criteria, role reading paths, expected outputs, a troubleshooting playbook and an escalation model.</w:t>
      </w:r>
    </w:p>
    <w:p>
      <w:pPr>
        <w:spacing w:after="40"/>
        <w:ind w:left="578" w:hanging="227"/>
      </w:pPr>
      <w:r>
        <w:rPr>
          <w:rFonts w:ascii="Calibri" w:hAnsi="Calibri"/>
          <w:b/>
          <w:color w:val="0F2B4C"/>
          <w:sz w:val="19"/>
        </w:rPr>
        <w:t xml:space="preserve">6.  </w:t>
      </w:r>
      <w:r>
        <w:rPr>
          <w:rFonts w:ascii="Calibri" w:hAnsi="Calibri"/>
          <w:b w:val="0"/>
          <w:i w:val="0"/>
          <w:color w:val="334E68"/>
          <w:sz w:val="19"/>
        </w:rPr>
        <w:t>Diagram review: each figure was generated programmatically and checked geometrically for text overflow and container fit before publication.</w:t>
      </w:r>
    </w:p>
    <w:p>
      <w:pPr>
        <w:pStyle w:val="Heading2"/>
        <w:pBdr>
          <w:bottom w:val="single" w:sz="6" w:space="3" w:color="E8EDF3"/>
        </w:pBdr>
      </w:pPr>
      <w:r>
        <w:rPr>
          <w:rFonts w:ascii="Calibri" w:hAnsi="Calibri"/>
          <w:b/>
          <w:color w:val="0F2B4C"/>
          <w:sz w:val="26"/>
        </w:rPr>
        <w:t>D.5  Quality-control results</w:t>
      </w:r>
    </w:p>
    <w:p>
      <w:pPr>
        <w:spacing w:after="60" w:before="160"/>
        <w:keepNext/>
      </w:pPr>
      <w:r>
        <w:rPr>
          <w:rFonts w:ascii="Calibri" w:hAnsi="Calibri"/>
          <w:b/>
          <w:color w:val="5B7288"/>
          <w:sz w:val="15"/>
        </w:rPr>
        <w:t>QC RESULTS FOR THIS RELEASE</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2313"/>
        <w:gridCol w:w="4626"/>
        <w:gridCol w:w="2699"/>
      </w:tblGrid>
      <w:tr>
        <w:trPr>
          <w:tblHeader/>
          <w:cantSplit/>
        </w:trPr>
        <w:tc>
          <w:tcPr>
            <w:tcW w:type="dxa" w:w="2313"/>
            <w:shd w:val="clear" w:color="auto" w:fill="0F2B4C"/>
          </w:tcPr>
          <w:p>
            <w:pPr>
              <w:spacing w:after="20" w:before="20"/>
            </w:pPr>
            <w:r/>
            <w:r>
              <w:rPr>
                <w:rFonts w:ascii="Calibri" w:hAnsi="Calibri"/>
                <w:b/>
                <w:color w:val="FFFFFF"/>
                <w:sz w:val="17"/>
              </w:rPr>
              <w:t>Control</w:t>
            </w:r>
          </w:p>
        </w:tc>
        <w:tc>
          <w:tcPr>
            <w:tcW w:type="dxa" w:w="4626"/>
            <w:shd w:val="clear" w:color="auto" w:fill="0F2B4C"/>
          </w:tcPr>
          <w:p>
            <w:pPr>
              <w:spacing w:after="20" w:before="20"/>
            </w:pPr>
            <w:r/>
            <w:r>
              <w:rPr>
                <w:rFonts w:ascii="Calibri" w:hAnsi="Calibri"/>
                <w:b/>
                <w:color w:val="FFFFFF"/>
                <w:sz w:val="17"/>
              </w:rPr>
              <w:t>Method</w:t>
            </w:r>
          </w:p>
        </w:tc>
        <w:tc>
          <w:tcPr>
            <w:tcW w:type="dxa" w:w="2699"/>
            <w:shd w:val="clear" w:color="auto" w:fill="0F2B4C"/>
          </w:tcPr>
          <w:p>
            <w:pPr>
              <w:spacing w:after="20" w:before="20"/>
            </w:pPr>
            <w:r/>
            <w:r>
              <w:rPr>
                <w:rFonts w:ascii="Calibri" w:hAnsi="Calibri"/>
                <w:b/>
                <w:color w:val="FFFFFF"/>
                <w:sz w:val="17"/>
              </w:rPr>
              <w:t>Result for v1.0</w:t>
            </w:r>
          </w:p>
        </w:tc>
      </w:tr>
      <w:tr>
        <w:trPr>
          <w:cantSplit/>
        </w:trPr>
        <w:tc>
          <w:tcPr>
            <w:tcW w:type="dxa" w:w="2313"/>
          </w:tcPr>
          <w:p>
            <w:pPr>
              <w:spacing w:after="20" w:before="20"/>
            </w:pPr>
            <w:r/>
            <w:r>
              <w:rPr>
                <w:rFonts w:ascii="Calibri" w:hAnsi="Calibri"/>
                <w:b/>
                <w:i w:val="0"/>
                <w:color w:val="334E68"/>
                <w:sz w:val="17"/>
              </w:rPr>
              <w:t>Diagram geometry</w:t>
            </w:r>
          </w:p>
        </w:tc>
        <w:tc>
          <w:tcPr>
            <w:tcW w:type="dxa" w:w="4626"/>
          </w:tcPr>
          <w:p>
            <w:pPr>
              <w:spacing w:after="20" w:before="20"/>
            </w:pPr>
            <w:r/>
            <w:r>
              <w:rPr>
                <w:rFonts w:ascii="Calibri" w:hAnsi="Calibri"/>
                <w:b w:val="0"/>
                <w:i w:val="0"/>
                <w:color w:val="334E68"/>
                <w:sz w:val="17"/>
              </w:rPr>
              <w:t>Every SVG text node measured against its container and the viewBox (</w:t>
            </w:r>
            <w:r>
              <w:rPr>
                <w:rFonts w:ascii="Consolas" w:hAnsi="Consolas"/>
                <w:b w:val="0"/>
                <w:i w:val="0"/>
                <w:color w:val="123A63"/>
                <w:sz w:val="17"/>
                <w:shd w:val="clear" w:color="auto" w:fill="EEF2F7"/>
              </w:rPr>
              <w:t>training/tools/svg_qa.py</w:t>
            </w:r>
            <w:r>
              <w:rPr>
                <w:rFonts w:ascii="Calibri" w:hAnsi="Calibri"/>
                <w:b w:val="0"/>
                <w:i w:val="0"/>
                <w:color w:val="334E68"/>
                <w:sz w:val="17"/>
              </w:rPr>
              <w:t>)</w:t>
            </w:r>
          </w:p>
        </w:tc>
        <w:tc>
          <w:tcPr>
            <w:tcW w:type="dxa" w:w="2699"/>
          </w:tcPr>
          <w:p>
            <w:pPr>
              <w:spacing w:after="20" w:before="20"/>
            </w:pPr>
            <w:r/>
            <w:r>
              <w:rPr>
                <w:rFonts w:ascii="Calibri" w:hAnsi="Calibri"/>
                <w:b w:val="0"/>
                <w:i w:val="0"/>
                <w:color w:val="334E68"/>
                <w:sz w:val="17"/>
              </w:rPr>
              <w:t>0 overflow issues across 8 figures</w:t>
            </w:r>
          </w:p>
        </w:tc>
      </w:tr>
      <w:tr>
        <w:trPr>
          <w:cantSplit/>
        </w:trPr>
        <w:tc>
          <w:tcPr>
            <w:tcW w:type="dxa" w:w="2313"/>
            <w:shd w:val="clear" w:color="auto" w:fill="FAFBFD"/>
          </w:tcPr>
          <w:p>
            <w:pPr>
              <w:spacing w:after="20" w:before="20"/>
            </w:pPr>
            <w:r/>
            <w:r>
              <w:rPr>
                <w:rFonts w:ascii="Calibri" w:hAnsi="Calibri"/>
                <w:b/>
                <w:i w:val="0"/>
                <w:color w:val="334E68"/>
                <w:sz w:val="17"/>
              </w:rPr>
              <w:t>Markup integrity</w:t>
            </w:r>
          </w:p>
        </w:tc>
        <w:tc>
          <w:tcPr>
            <w:tcW w:type="dxa" w:w="4626"/>
            <w:shd w:val="clear" w:color="auto" w:fill="FAFBFD"/>
          </w:tcPr>
          <w:p>
            <w:pPr>
              <w:spacing w:after="20" w:before="20"/>
            </w:pPr>
            <w:r/>
            <w:r>
              <w:rPr>
                <w:rFonts w:ascii="Calibri" w:hAnsi="Calibri"/>
                <w:b w:val="0"/>
                <w:i w:val="0"/>
                <w:color w:val="334E68"/>
                <w:sz w:val="17"/>
              </w:rPr>
              <w:t>HTML parsed and tag balance, duplicate ids and anchors verified at build time (</w:t>
            </w:r>
            <w:r>
              <w:rPr>
                <w:rFonts w:ascii="Consolas" w:hAnsi="Consolas"/>
                <w:b w:val="0"/>
                <w:i w:val="0"/>
                <w:color w:val="123A63"/>
                <w:sz w:val="17"/>
                <w:shd w:val="clear" w:color="auto" w:fill="EEF2F7"/>
              </w:rPr>
              <w:t>build_handbook.py</w:t>
            </w:r>
            <w:r>
              <w:rPr>
                <w:rFonts w:ascii="Calibri" w:hAnsi="Calibri"/>
                <w:b w:val="0"/>
                <w:i w:val="0"/>
                <w:color w:val="334E68"/>
                <w:sz w:val="17"/>
              </w:rPr>
              <w:t xml:space="preserve"> QC pass)</w:t>
            </w:r>
          </w:p>
        </w:tc>
        <w:tc>
          <w:tcPr>
            <w:tcW w:type="dxa" w:w="2699"/>
            <w:shd w:val="clear" w:color="auto" w:fill="FAFBFD"/>
          </w:tcPr>
          <w:p>
            <w:pPr>
              <w:spacing w:after="20" w:before="20"/>
            </w:pPr>
            <w:r/>
            <w:r>
              <w:rPr>
                <w:rFonts w:ascii="Calibri" w:hAnsi="Calibri"/>
                <w:b w:val="0"/>
                <w:i w:val="0"/>
                <w:color w:val="334E68"/>
                <w:sz w:val="17"/>
              </w:rPr>
              <w:t>Clean: 0 broken anchors, 0 duplicate ids</w:t>
            </w:r>
          </w:p>
        </w:tc>
      </w:tr>
      <w:tr>
        <w:trPr>
          <w:cantSplit/>
        </w:trPr>
        <w:tc>
          <w:tcPr>
            <w:tcW w:type="dxa" w:w="2313"/>
          </w:tcPr>
          <w:p>
            <w:pPr>
              <w:spacing w:after="20" w:before="20"/>
            </w:pPr>
            <w:r/>
            <w:r>
              <w:rPr>
                <w:rFonts w:ascii="Calibri" w:hAnsi="Calibri"/>
                <w:b/>
                <w:i w:val="0"/>
                <w:color w:val="334E68"/>
                <w:sz w:val="17"/>
              </w:rPr>
              <w:t>Figure and table cross-references</w:t>
            </w:r>
          </w:p>
        </w:tc>
        <w:tc>
          <w:tcPr>
            <w:tcW w:type="dxa" w:w="4626"/>
          </w:tcPr>
          <w:p>
            <w:pPr>
              <w:spacing w:after="20" w:before="20"/>
            </w:pPr>
            <w:r/>
            <w:r>
              <w:rPr>
                <w:rFonts w:ascii="Calibri" w:hAnsi="Calibri"/>
                <w:b w:val="0"/>
                <w:i w:val="0"/>
                <w:color w:val="334E68"/>
                <w:sz w:val="17"/>
              </w:rPr>
              <w:t xml:space="preserve">All internal </w:t>
            </w:r>
            <w:r>
              <w:rPr>
                <w:rFonts w:ascii="Consolas" w:hAnsi="Consolas"/>
                <w:b w:val="0"/>
                <w:i w:val="0"/>
                <w:color w:val="123A63"/>
                <w:sz w:val="17"/>
                <w:shd w:val="clear" w:color="auto" w:fill="EEF2F7"/>
              </w:rPr>
              <w:t>#</w:t>
            </w:r>
            <w:r>
              <w:rPr>
                <w:rFonts w:ascii="Calibri" w:hAnsi="Calibri"/>
                <w:b w:val="0"/>
                <w:i w:val="0"/>
                <w:color w:val="334E68"/>
                <w:sz w:val="17"/>
              </w:rPr>
              <w:t xml:space="preserve"> anchors resolved programmatically</w:t>
            </w:r>
          </w:p>
        </w:tc>
        <w:tc>
          <w:tcPr>
            <w:tcW w:type="dxa" w:w="2699"/>
          </w:tcPr>
          <w:p>
            <w:pPr>
              <w:spacing w:after="20" w:before="20"/>
            </w:pPr>
            <w:r/>
            <w:r>
              <w:rPr>
                <w:rFonts w:ascii="Calibri" w:hAnsi="Calibri"/>
                <w:b w:val="0"/>
                <w:i w:val="0"/>
                <w:color w:val="334E68"/>
                <w:sz w:val="17"/>
              </w:rPr>
              <w:t>All resolve</w:t>
            </w:r>
          </w:p>
        </w:tc>
      </w:tr>
      <w:tr>
        <w:trPr>
          <w:cantSplit/>
        </w:trPr>
        <w:tc>
          <w:tcPr>
            <w:tcW w:type="dxa" w:w="2313"/>
            <w:shd w:val="clear" w:color="auto" w:fill="FAFBFD"/>
          </w:tcPr>
          <w:p>
            <w:pPr>
              <w:spacing w:after="20" w:before="20"/>
            </w:pPr>
            <w:r/>
            <w:r>
              <w:rPr>
                <w:rFonts w:ascii="Calibri" w:hAnsi="Calibri"/>
                <w:b/>
                <w:i w:val="0"/>
                <w:color w:val="334E68"/>
                <w:sz w:val="17"/>
              </w:rPr>
              <w:t>Checklist integrity</w:t>
            </w:r>
          </w:p>
        </w:tc>
        <w:tc>
          <w:tcPr>
            <w:tcW w:type="dxa" w:w="4626"/>
            <w:shd w:val="clear" w:color="auto" w:fill="FAFBFD"/>
          </w:tcPr>
          <w:p>
            <w:pPr>
              <w:spacing w:after="20" w:before="20"/>
            </w:pPr>
            <w:r/>
            <w:r>
              <w:rPr>
                <w:rFonts w:ascii="Calibri" w:hAnsi="Calibri"/>
                <w:b w:val="0"/>
                <w:i w:val="0"/>
                <w:color w:val="334E68"/>
                <w:sz w:val="17"/>
              </w:rPr>
              <w:t>Unique persisted ids, status capture and progress metering verified in the generated HTML</w:t>
            </w:r>
          </w:p>
        </w:tc>
        <w:tc>
          <w:tcPr>
            <w:tcW w:type="dxa" w:w="2699"/>
            <w:shd w:val="clear" w:color="auto" w:fill="FAFBFD"/>
          </w:tcPr>
          <w:p>
            <w:pPr>
              <w:spacing w:after="20" w:before="20"/>
            </w:pPr>
            <w:r/>
            <w:r>
              <w:rPr>
                <w:rFonts w:ascii="Calibri" w:hAnsi="Calibri"/>
                <w:b w:val="0"/>
                <w:i w:val="0"/>
                <w:color w:val="334E68"/>
                <w:sz w:val="17"/>
              </w:rPr>
              <w:t>15 checklists, 209 items</w:t>
            </w:r>
          </w:p>
        </w:tc>
      </w:tr>
      <w:tr>
        <w:trPr>
          <w:cantSplit/>
        </w:trPr>
        <w:tc>
          <w:tcPr>
            <w:tcW w:type="dxa" w:w="2313"/>
          </w:tcPr>
          <w:p>
            <w:pPr>
              <w:spacing w:after="20" w:before="20"/>
            </w:pPr>
            <w:r/>
            <w:r>
              <w:rPr>
                <w:rFonts w:ascii="Calibri" w:hAnsi="Calibri"/>
                <w:b/>
                <w:i w:val="0"/>
                <w:color w:val="334E68"/>
                <w:sz w:val="17"/>
              </w:rPr>
              <w:t>Source traceability</w:t>
            </w:r>
          </w:p>
        </w:tc>
        <w:tc>
          <w:tcPr>
            <w:tcW w:type="dxa" w:w="4626"/>
          </w:tcPr>
          <w:p>
            <w:pPr>
              <w:spacing w:after="20" w:before="20"/>
            </w:pPr>
            <w:r/>
            <w:r>
              <w:rPr>
                <w:rFonts w:ascii="Calibri" w:hAnsi="Calibri"/>
                <w:b w:val="0"/>
                <w:i w:val="0"/>
                <w:color w:val="334E68"/>
                <w:sz w:val="17"/>
              </w:rPr>
              <w:t>Every source training section mapped to a handbook section (Appendix A)</w:t>
            </w:r>
          </w:p>
        </w:tc>
        <w:tc>
          <w:tcPr>
            <w:tcW w:type="dxa" w:w="2699"/>
          </w:tcPr>
          <w:p>
            <w:pPr>
              <w:spacing w:after="20" w:before="20"/>
            </w:pPr>
            <w:r/>
            <w:r>
              <w:rPr>
                <w:rFonts w:ascii="Calibri" w:hAnsi="Calibri"/>
                <w:b w:val="0"/>
                <w:i w:val="0"/>
                <w:color w:val="334E68"/>
                <w:sz w:val="17"/>
              </w:rPr>
              <w:t>7 of 7 mapped</w:t>
            </w:r>
          </w:p>
        </w:tc>
      </w:tr>
      <w:tr>
        <w:trPr>
          <w:cantSplit/>
        </w:trPr>
        <w:tc>
          <w:tcPr>
            <w:tcW w:type="dxa" w:w="2313"/>
            <w:shd w:val="clear" w:color="auto" w:fill="FAFBFD"/>
          </w:tcPr>
          <w:p>
            <w:pPr>
              <w:spacing w:after="20" w:before="20"/>
            </w:pPr>
            <w:r/>
            <w:r>
              <w:rPr>
                <w:rFonts w:ascii="Calibri" w:hAnsi="Calibri"/>
                <w:b/>
                <w:i w:val="0"/>
                <w:color w:val="334E68"/>
                <w:sz w:val="17"/>
              </w:rPr>
              <w:t>Terminology consistency</w:t>
            </w:r>
          </w:p>
        </w:tc>
        <w:tc>
          <w:tcPr>
            <w:tcW w:type="dxa" w:w="4626"/>
            <w:shd w:val="clear" w:color="auto" w:fill="FAFBFD"/>
          </w:tcPr>
          <w:p>
            <w:pPr>
              <w:spacing w:after="20" w:before="20"/>
            </w:pPr>
            <w:r/>
            <w:r>
              <w:rPr>
                <w:rFonts w:ascii="Calibri" w:hAnsi="Calibri"/>
                <w:b w:val="0"/>
                <w:i w:val="0"/>
                <w:color w:val="334E68"/>
                <w:sz w:val="17"/>
              </w:rPr>
              <w:t>Glossary coverage of the acronyms and terms used in the body (Appendix C)</w:t>
            </w:r>
          </w:p>
        </w:tc>
        <w:tc>
          <w:tcPr>
            <w:tcW w:type="dxa" w:w="2699"/>
            <w:shd w:val="clear" w:color="auto" w:fill="FAFBFD"/>
          </w:tcPr>
          <w:p>
            <w:pPr>
              <w:spacing w:after="20" w:before="20"/>
            </w:pPr>
            <w:r/>
            <w:r>
              <w:rPr>
                <w:rFonts w:ascii="Calibri" w:hAnsi="Calibri"/>
                <w:b w:val="0"/>
                <w:i w:val="0"/>
                <w:color w:val="334E68"/>
                <w:sz w:val="17"/>
              </w:rPr>
              <w:t>53 terms</w:t>
            </w:r>
          </w:p>
        </w:tc>
      </w:tr>
      <w:tr>
        <w:trPr>
          <w:cantSplit/>
        </w:trPr>
        <w:tc>
          <w:tcPr>
            <w:tcW w:type="dxa" w:w="2313"/>
          </w:tcPr>
          <w:p>
            <w:pPr>
              <w:spacing w:after="20" w:before="20"/>
            </w:pPr>
            <w:r/>
            <w:r>
              <w:rPr>
                <w:rFonts w:ascii="Calibri" w:hAnsi="Calibri"/>
                <w:b/>
                <w:i w:val="0"/>
                <w:color w:val="334E68"/>
                <w:sz w:val="17"/>
              </w:rPr>
              <w:t>Knowledge check</w:t>
            </w:r>
          </w:p>
        </w:tc>
        <w:tc>
          <w:tcPr>
            <w:tcW w:type="dxa" w:w="4626"/>
          </w:tcPr>
          <w:p>
            <w:pPr>
              <w:spacing w:after="20" w:before="20"/>
            </w:pPr>
            <w:r/>
            <w:r>
              <w:rPr>
                <w:rFonts w:ascii="Calibri" w:hAnsi="Calibri"/>
                <w:b w:val="0"/>
                <w:i w:val="0"/>
                <w:color w:val="334E68"/>
                <w:sz w:val="17"/>
              </w:rPr>
              <w:t>Questions verified against the module text; four review-pass questions added</w:t>
            </w:r>
          </w:p>
        </w:tc>
        <w:tc>
          <w:tcPr>
            <w:tcW w:type="dxa" w:w="2699"/>
          </w:tcPr>
          <w:p>
            <w:pPr>
              <w:spacing w:after="20" w:before="20"/>
            </w:pPr>
            <w:r/>
            <w:r>
              <w:rPr>
                <w:rFonts w:ascii="Calibri" w:hAnsi="Calibri"/>
                <w:b w:val="0"/>
                <w:i w:val="0"/>
                <w:color w:val="334E68"/>
                <w:sz w:val="17"/>
              </w:rPr>
              <w:t>16 questions</w:t>
            </w:r>
          </w:p>
        </w:tc>
      </w:tr>
      <w:tr>
        <w:trPr>
          <w:cantSplit/>
        </w:trPr>
        <w:tc>
          <w:tcPr>
            <w:tcW w:type="dxa" w:w="2313"/>
            <w:shd w:val="clear" w:color="auto" w:fill="FAFBFD"/>
          </w:tcPr>
          <w:p>
            <w:pPr>
              <w:spacing w:after="20" w:before="20"/>
            </w:pPr>
            <w:r/>
            <w:r>
              <w:rPr>
                <w:rFonts w:ascii="Calibri" w:hAnsi="Calibri"/>
                <w:b/>
                <w:i w:val="0"/>
                <w:color w:val="334E68"/>
                <w:sz w:val="17"/>
              </w:rPr>
              <w:t>Word version parity</w:t>
            </w:r>
          </w:p>
        </w:tc>
        <w:tc>
          <w:tcPr>
            <w:tcW w:type="dxa" w:w="4626"/>
            <w:shd w:val="clear" w:color="auto" w:fill="FAFBFD"/>
          </w:tcPr>
          <w:p>
            <w:pPr>
              <w:spacing w:after="20" w:before="20"/>
            </w:pPr>
            <w:r/>
            <w:r>
              <w:rPr>
                <w:rFonts w:ascii="Calibri" w:hAnsi="Calibri"/>
                <w:b w:val="0"/>
                <w:i w:val="0"/>
                <w:color w:val="334E68"/>
                <w:sz w:val="17"/>
              </w:rPr>
              <w:t>DOCX rendered from the same HTML source; headings, tables, figures and checklists verified present</w:t>
            </w:r>
          </w:p>
        </w:tc>
        <w:tc>
          <w:tcPr>
            <w:tcW w:type="dxa" w:w="2699"/>
            <w:shd w:val="clear" w:color="auto" w:fill="FAFBFD"/>
          </w:tcPr>
          <w:p>
            <w:pPr>
              <w:spacing w:after="20" w:before="20"/>
            </w:pPr>
            <w:r/>
            <w:r>
              <w:rPr>
                <w:rFonts w:ascii="Calibri" w:hAnsi="Calibri"/>
                <w:b w:val="0"/>
                <w:i w:val="0"/>
                <w:color w:val="334E68"/>
                <w:sz w:val="17"/>
              </w:rPr>
              <w:t>26 top-level sections, 91 tables</w:t>
            </w:r>
          </w:p>
        </w:tc>
      </w:tr>
    </w:tbl>
    <w:p>
      <w:pPr>
        <w:spacing w:after="40"/>
      </w:pPr>
    </w:p>
    <w:p>
      <w:r>
        <w:br w:type="page"/>
      </w:r>
    </w:p>
    <w:p>
      <w:pPr>
        <w:spacing w:after="20"/>
      </w:pPr>
      <w:r>
        <w:rPr>
          <w:rFonts w:ascii="Calibri" w:hAnsi="Calibri"/>
          <w:b/>
          <w:color w:val="1B4F86"/>
          <w:sz w:val="16"/>
        </w:rPr>
        <w:t>APPENDIX E</w:t>
      </w:r>
    </w:p>
    <w:p>
      <w:pPr>
        <w:pStyle w:val="Heading1"/>
        <w:pBdr>
          <w:bottom w:val="single" w:sz="12" w:space="5" w:color="1B4F86"/>
        </w:pBdr>
        <w:spacing w:after="160"/>
      </w:pPr>
      <w:r>
        <w:rPr>
          <w:rFonts w:ascii="Calibri Light" w:hAnsi="Calibri Light"/>
          <w:b/>
          <w:color w:val="0F2B4C"/>
          <w:sz w:val="38"/>
        </w:rPr>
        <w:t>E  Appendix E — Version control and change requests</w:t>
      </w:r>
    </w:p>
    <w:p>
      <w:pPr>
        <w:spacing w:after="200"/>
      </w:pPr>
      <w:r>
        <w:rPr>
          <w:rFonts w:ascii="Calibri" w:hAnsi="Calibri"/>
          <w:i/>
          <w:color w:val="5B7288"/>
          <w:sz w:val="21"/>
        </w:rPr>
        <w:t>This handbook is a controlled document. Raise corrections and additions through the change-request record below so the next version reflects what the field actually learned.</w:t>
      </w:r>
    </w:p>
    <w:p>
      <w:pPr>
        <w:spacing w:after="60" w:before="160"/>
        <w:keepNext/>
      </w:pPr>
      <w:r>
        <w:rPr>
          <w:rFonts w:ascii="Calibri" w:hAnsi="Calibri"/>
          <w:b/>
          <w:color w:val="5B7288"/>
          <w:sz w:val="15"/>
        </w:rPr>
        <w:t>CHANGE-REQUEST LOG</w:t>
      </w:r>
    </w:p>
    <w:tbl>
      <w:tblPr>
        <w:tblStyle w:val="TableGrid"/>
        <w:tblW w:type="auto" w:w="0"/>
        <w:jc w:val="left"/>
        <w:tblLook w:firstColumn="1" w:firstRow="1" w:lastColumn="0" w:lastRow="0" w:noHBand="0" w:noVBand="1" w:val="04A0"/>
        <w:tblBorders>
          <w:top w:val="single" w:sz="6" w:space="0" w:color="C7D2E0"/>
          <w:left w:val="single" w:sz="6" w:space="0" w:color="C7D2E0"/>
          <w:bottom w:val="single" w:sz="6" w:space="0" w:color="C7D2E0"/>
          <w:right w:val="single" w:sz="6" w:space="0" w:color="C7D2E0"/>
          <w:insideH w:val="single" w:sz="6" w:space="0" w:color="DCE3EC"/>
          <w:insideV w:val="single" w:sz="6" w:space="0" w:color="DCE3EC"/>
        </w:tblBorders>
        <w:tblLayout w:type="fixed"/>
        <w:tblCellMar>
          <w:top w:w="60" w:type="dxa"/>
          <w:left w:w="100" w:type="dxa"/>
          <w:bottom w:w="60" w:type="dxa"/>
          <w:right w:w="100" w:type="dxa"/>
        </w:tblCellMar>
        <w:tblLayout w:type="fixed"/>
      </w:tblPr>
      <w:tblGrid>
        <w:gridCol w:w="675"/>
        <w:gridCol w:w="1253"/>
        <w:gridCol w:w="867"/>
        <w:gridCol w:w="1349"/>
        <w:gridCol w:w="3373"/>
        <w:gridCol w:w="1253"/>
        <w:gridCol w:w="867"/>
      </w:tblGrid>
      <w:tr>
        <w:trPr>
          <w:tblHeader/>
          <w:cantSplit/>
        </w:trPr>
        <w:tc>
          <w:tcPr>
            <w:tcW w:type="dxa" w:w="675"/>
            <w:shd w:val="clear" w:color="auto" w:fill="0F2B4C"/>
          </w:tcPr>
          <w:p>
            <w:pPr>
              <w:spacing w:after="20" w:before="20"/>
            </w:pPr>
            <w:r/>
            <w:r>
              <w:rPr>
                <w:rFonts w:ascii="Calibri" w:hAnsi="Calibri"/>
                <w:b/>
                <w:color w:val="FFFFFF"/>
                <w:sz w:val="17"/>
              </w:rPr>
              <w:t>CR #</w:t>
            </w:r>
          </w:p>
        </w:tc>
        <w:tc>
          <w:tcPr>
            <w:tcW w:type="dxa" w:w="1253"/>
            <w:shd w:val="clear" w:color="auto" w:fill="0F2B4C"/>
          </w:tcPr>
          <w:p>
            <w:pPr>
              <w:spacing w:after="20" w:before="20"/>
            </w:pPr>
            <w:r/>
            <w:r>
              <w:rPr>
                <w:rFonts w:ascii="Calibri" w:hAnsi="Calibri"/>
                <w:b/>
                <w:color w:val="FFFFFF"/>
                <w:sz w:val="17"/>
              </w:rPr>
              <w:t>Raised by</w:t>
            </w:r>
          </w:p>
        </w:tc>
        <w:tc>
          <w:tcPr>
            <w:tcW w:type="dxa" w:w="867"/>
            <w:shd w:val="clear" w:color="auto" w:fill="0F2B4C"/>
          </w:tcPr>
          <w:p>
            <w:pPr>
              <w:spacing w:after="20" w:before="20"/>
            </w:pPr>
            <w:r/>
            <w:r>
              <w:rPr>
                <w:rFonts w:ascii="Calibri" w:hAnsi="Calibri"/>
                <w:b/>
                <w:color w:val="FFFFFF"/>
                <w:sz w:val="17"/>
              </w:rPr>
              <w:t>Date</w:t>
            </w:r>
          </w:p>
        </w:tc>
        <w:tc>
          <w:tcPr>
            <w:tcW w:type="dxa" w:w="1349"/>
            <w:shd w:val="clear" w:color="auto" w:fill="0F2B4C"/>
          </w:tcPr>
          <w:p>
            <w:pPr>
              <w:spacing w:after="20" w:before="20"/>
            </w:pPr>
            <w:r/>
            <w:r>
              <w:rPr>
                <w:rFonts w:ascii="Calibri" w:hAnsi="Calibri"/>
                <w:b/>
                <w:color w:val="FFFFFF"/>
                <w:sz w:val="17"/>
              </w:rPr>
              <w:t>Section affected</w:t>
            </w:r>
          </w:p>
        </w:tc>
        <w:tc>
          <w:tcPr>
            <w:tcW w:type="dxa" w:w="3373"/>
            <w:shd w:val="clear" w:color="auto" w:fill="0F2B4C"/>
          </w:tcPr>
          <w:p>
            <w:pPr>
              <w:spacing w:after="20" w:before="20"/>
            </w:pPr>
            <w:r/>
            <w:r>
              <w:rPr>
                <w:rFonts w:ascii="Calibri" w:hAnsi="Calibri"/>
                <w:b/>
                <w:color w:val="FFFFFF"/>
                <w:sz w:val="17"/>
              </w:rPr>
              <w:t>Description of the requested change</w:t>
            </w:r>
          </w:p>
        </w:tc>
        <w:tc>
          <w:tcPr>
            <w:tcW w:type="dxa" w:w="1253"/>
            <w:shd w:val="clear" w:color="auto" w:fill="0F2B4C"/>
          </w:tcPr>
          <w:p>
            <w:pPr>
              <w:spacing w:after="20" w:before="20"/>
            </w:pPr>
            <w:r/>
            <w:r>
              <w:rPr>
                <w:rFonts w:ascii="Calibri" w:hAnsi="Calibri"/>
                <w:b/>
                <w:color w:val="FFFFFF"/>
                <w:sz w:val="17"/>
              </w:rPr>
              <w:t>Disposition</w:t>
            </w:r>
          </w:p>
        </w:tc>
        <w:tc>
          <w:tcPr>
            <w:tcW w:type="dxa" w:w="867"/>
            <w:shd w:val="clear" w:color="auto" w:fill="0F2B4C"/>
          </w:tcPr>
          <w:p>
            <w:pPr>
              <w:spacing w:after="20" w:before="20"/>
            </w:pPr>
            <w:r/>
            <w:r>
              <w:rPr>
                <w:rFonts w:ascii="Calibri" w:hAnsi="Calibri"/>
                <w:b/>
                <w:color w:val="FFFFFF"/>
                <w:sz w:val="17"/>
              </w:rPr>
              <w:t>Closed in version</w:t>
            </w:r>
          </w:p>
        </w:tc>
      </w:tr>
      <w:tr>
        <w:trPr>
          <w:cantSplit/>
        </w:trPr>
        <w:tc>
          <w:tcPr>
            <w:tcW w:type="dxa" w:w="675"/>
          </w:tcPr>
          <w:p>
            <w:pPr>
              <w:spacing w:after="20" w:before="20"/>
            </w:pPr>
            <w:r/>
          </w:p>
        </w:tc>
        <w:tc>
          <w:tcPr>
            <w:tcW w:type="dxa" w:w="1253"/>
          </w:tcPr>
          <w:p>
            <w:pPr>
              <w:spacing w:after="20" w:before="20"/>
            </w:pPr>
            <w:r/>
          </w:p>
        </w:tc>
        <w:tc>
          <w:tcPr>
            <w:tcW w:type="dxa" w:w="867"/>
          </w:tcPr>
          <w:p>
            <w:pPr>
              <w:spacing w:after="20" w:before="20"/>
            </w:pPr>
            <w:r/>
          </w:p>
        </w:tc>
        <w:tc>
          <w:tcPr>
            <w:tcW w:type="dxa" w:w="1349"/>
          </w:tcPr>
          <w:p>
            <w:pPr>
              <w:spacing w:after="20" w:before="20"/>
            </w:pPr>
            <w:r/>
          </w:p>
        </w:tc>
        <w:tc>
          <w:tcPr>
            <w:tcW w:type="dxa" w:w="3373"/>
          </w:tcPr>
          <w:p>
            <w:pPr>
              <w:spacing w:after="20" w:before="20"/>
            </w:pPr>
            <w:r/>
          </w:p>
        </w:tc>
        <w:tc>
          <w:tcPr>
            <w:tcW w:type="dxa" w:w="1253"/>
          </w:tcPr>
          <w:p>
            <w:pPr>
              <w:spacing w:after="20" w:before="20"/>
            </w:pPr>
            <w:r/>
          </w:p>
        </w:tc>
        <w:tc>
          <w:tcPr>
            <w:tcW w:type="dxa" w:w="867"/>
          </w:tcPr>
          <w:p>
            <w:pPr>
              <w:spacing w:after="20" w:before="20"/>
            </w:pPr>
            <w:r/>
          </w:p>
        </w:tc>
      </w:tr>
      <w:tr>
        <w:trPr>
          <w:cantSplit/>
        </w:trPr>
        <w:tc>
          <w:tcPr>
            <w:tcW w:type="dxa" w:w="675"/>
            <w:shd w:val="clear" w:color="auto" w:fill="FAFBFD"/>
          </w:tcPr>
          <w:p>
            <w:pPr>
              <w:spacing w:after="20" w:before="20"/>
            </w:pPr>
            <w:r/>
          </w:p>
        </w:tc>
        <w:tc>
          <w:tcPr>
            <w:tcW w:type="dxa" w:w="1253"/>
            <w:shd w:val="clear" w:color="auto" w:fill="FAFBFD"/>
          </w:tcPr>
          <w:p>
            <w:pPr>
              <w:spacing w:after="20" w:before="20"/>
            </w:pPr>
            <w:r/>
          </w:p>
        </w:tc>
        <w:tc>
          <w:tcPr>
            <w:tcW w:type="dxa" w:w="867"/>
            <w:shd w:val="clear" w:color="auto" w:fill="FAFBFD"/>
          </w:tcPr>
          <w:p>
            <w:pPr>
              <w:spacing w:after="20" w:before="20"/>
            </w:pPr>
            <w:r/>
          </w:p>
        </w:tc>
        <w:tc>
          <w:tcPr>
            <w:tcW w:type="dxa" w:w="1349"/>
            <w:shd w:val="clear" w:color="auto" w:fill="FAFBFD"/>
          </w:tcPr>
          <w:p>
            <w:pPr>
              <w:spacing w:after="20" w:before="20"/>
            </w:pPr>
            <w:r/>
          </w:p>
        </w:tc>
        <w:tc>
          <w:tcPr>
            <w:tcW w:type="dxa" w:w="3373"/>
            <w:shd w:val="clear" w:color="auto" w:fill="FAFBFD"/>
          </w:tcPr>
          <w:p>
            <w:pPr>
              <w:spacing w:after="20" w:before="20"/>
            </w:pPr>
            <w:r/>
          </w:p>
        </w:tc>
        <w:tc>
          <w:tcPr>
            <w:tcW w:type="dxa" w:w="1253"/>
            <w:shd w:val="clear" w:color="auto" w:fill="FAFBFD"/>
          </w:tcPr>
          <w:p>
            <w:pPr>
              <w:spacing w:after="20" w:before="20"/>
            </w:pPr>
            <w:r/>
          </w:p>
        </w:tc>
        <w:tc>
          <w:tcPr>
            <w:tcW w:type="dxa" w:w="867"/>
            <w:shd w:val="clear" w:color="auto" w:fill="FAFBFD"/>
          </w:tcPr>
          <w:p>
            <w:pPr>
              <w:spacing w:after="20" w:before="20"/>
            </w:pPr>
            <w:r/>
          </w:p>
        </w:tc>
      </w:tr>
      <w:tr>
        <w:trPr>
          <w:cantSplit/>
        </w:trPr>
        <w:tc>
          <w:tcPr>
            <w:tcW w:type="dxa" w:w="675"/>
          </w:tcPr>
          <w:p>
            <w:pPr>
              <w:spacing w:after="20" w:before="20"/>
            </w:pPr>
            <w:r/>
          </w:p>
        </w:tc>
        <w:tc>
          <w:tcPr>
            <w:tcW w:type="dxa" w:w="1253"/>
          </w:tcPr>
          <w:p>
            <w:pPr>
              <w:spacing w:after="20" w:before="20"/>
            </w:pPr>
            <w:r/>
          </w:p>
        </w:tc>
        <w:tc>
          <w:tcPr>
            <w:tcW w:type="dxa" w:w="867"/>
          </w:tcPr>
          <w:p>
            <w:pPr>
              <w:spacing w:after="20" w:before="20"/>
            </w:pPr>
            <w:r/>
          </w:p>
        </w:tc>
        <w:tc>
          <w:tcPr>
            <w:tcW w:type="dxa" w:w="1349"/>
          </w:tcPr>
          <w:p>
            <w:pPr>
              <w:spacing w:after="20" w:before="20"/>
            </w:pPr>
            <w:r/>
          </w:p>
        </w:tc>
        <w:tc>
          <w:tcPr>
            <w:tcW w:type="dxa" w:w="3373"/>
          </w:tcPr>
          <w:p>
            <w:pPr>
              <w:spacing w:after="20" w:before="20"/>
            </w:pPr>
            <w:r/>
          </w:p>
        </w:tc>
        <w:tc>
          <w:tcPr>
            <w:tcW w:type="dxa" w:w="1253"/>
          </w:tcPr>
          <w:p>
            <w:pPr>
              <w:spacing w:after="20" w:before="20"/>
            </w:pPr>
            <w:r/>
          </w:p>
        </w:tc>
        <w:tc>
          <w:tcPr>
            <w:tcW w:type="dxa" w:w="867"/>
          </w:tcPr>
          <w:p>
            <w:pPr>
              <w:spacing w:after="20" w:before="20"/>
            </w:pPr>
            <w:r/>
          </w:p>
        </w:tc>
      </w:tr>
      <w:tr>
        <w:trPr>
          <w:cantSplit/>
        </w:trPr>
        <w:tc>
          <w:tcPr>
            <w:tcW w:type="dxa" w:w="675"/>
            <w:shd w:val="clear" w:color="auto" w:fill="FAFBFD"/>
          </w:tcPr>
          <w:p>
            <w:pPr>
              <w:spacing w:after="20" w:before="20"/>
            </w:pPr>
            <w:r/>
          </w:p>
        </w:tc>
        <w:tc>
          <w:tcPr>
            <w:tcW w:type="dxa" w:w="1253"/>
            <w:shd w:val="clear" w:color="auto" w:fill="FAFBFD"/>
          </w:tcPr>
          <w:p>
            <w:pPr>
              <w:spacing w:after="20" w:before="20"/>
            </w:pPr>
            <w:r/>
          </w:p>
        </w:tc>
        <w:tc>
          <w:tcPr>
            <w:tcW w:type="dxa" w:w="867"/>
            <w:shd w:val="clear" w:color="auto" w:fill="FAFBFD"/>
          </w:tcPr>
          <w:p>
            <w:pPr>
              <w:spacing w:after="20" w:before="20"/>
            </w:pPr>
            <w:r/>
          </w:p>
        </w:tc>
        <w:tc>
          <w:tcPr>
            <w:tcW w:type="dxa" w:w="1349"/>
            <w:shd w:val="clear" w:color="auto" w:fill="FAFBFD"/>
          </w:tcPr>
          <w:p>
            <w:pPr>
              <w:spacing w:after="20" w:before="20"/>
            </w:pPr>
            <w:r/>
          </w:p>
        </w:tc>
        <w:tc>
          <w:tcPr>
            <w:tcW w:type="dxa" w:w="3373"/>
            <w:shd w:val="clear" w:color="auto" w:fill="FAFBFD"/>
          </w:tcPr>
          <w:p>
            <w:pPr>
              <w:spacing w:after="20" w:before="20"/>
            </w:pPr>
            <w:r/>
          </w:p>
        </w:tc>
        <w:tc>
          <w:tcPr>
            <w:tcW w:type="dxa" w:w="1253"/>
            <w:shd w:val="clear" w:color="auto" w:fill="FAFBFD"/>
          </w:tcPr>
          <w:p>
            <w:pPr>
              <w:spacing w:after="20" w:before="20"/>
            </w:pPr>
            <w:r/>
          </w:p>
        </w:tc>
        <w:tc>
          <w:tcPr>
            <w:tcW w:type="dxa" w:w="867"/>
            <w:shd w:val="clear" w:color="auto" w:fill="FAFBFD"/>
          </w:tcPr>
          <w:p>
            <w:pPr>
              <w:spacing w:after="20" w:before="20"/>
            </w:pPr>
            <w:r/>
          </w:p>
        </w:tc>
      </w:tr>
      <w:tr>
        <w:trPr>
          <w:cantSplit/>
        </w:trPr>
        <w:tc>
          <w:tcPr>
            <w:tcW w:type="dxa" w:w="675"/>
          </w:tcPr>
          <w:p>
            <w:pPr>
              <w:spacing w:after="20" w:before="20"/>
            </w:pPr>
            <w:r/>
          </w:p>
        </w:tc>
        <w:tc>
          <w:tcPr>
            <w:tcW w:type="dxa" w:w="1253"/>
          </w:tcPr>
          <w:p>
            <w:pPr>
              <w:spacing w:after="20" w:before="20"/>
            </w:pPr>
            <w:r/>
          </w:p>
        </w:tc>
        <w:tc>
          <w:tcPr>
            <w:tcW w:type="dxa" w:w="867"/>
          </w:tcPr>
          <w:p>
            <w:pPr>
              <w:spacing w:after="20" w:before="20"/>
            </w:pPr>
            <w:r/>
          </w:p>
        </w:tc>
        <w:tc>
          <w:tcPr>
            <w:tcW w:type="dxa" w:w="1349"/>
          </w:tcPr>
          <w:p>
            <w:pPr>
              <w:spacing w:after="20" w:before="20"/>
            </w:pPr>
            <w:r/>
          </w:p>
        </w:tc>
        <w:tc>
          <w:tcPr>
            <w:tcW w:type="dxa" w:w="3373"/>
          </w:tcPr>
          <w:p>
            <w:pPr>
              <w:spacing w:after="20" w:before="20"/>
            </w:pPr>
            <w:r/>
          </w:p>
        </w:tc>
        <w:tc>
          <w:tcPr>
            <w:tcW w:type="dxa" w:w="1253"/>
          </w:tcPr>
          <w:p>
            <w:pPr>
              <w:spacing w:after="20" w:before="20"/>
            </w:pPr>
            <w:r/>
          </w:p>
        </w:tc>
        <w:tc>
          <w:tcPr>
            <w:tcW w:type="dxa" w:w="867"/>
          </w:tcPr>
          <w:p>
            <w:pPr>
              <w:spacing w:after="20" w:before="20"/>
            </w:pPr>
            <w:r/>
          </w:p>
        </w:tc>
      </w:tr>
      <w:tr>
        <w:trPr>
          <w:cantSplit/>
        </w:trPr>
        <w:tc>
          <w:tcPr>
            <w:tcW w:type="dxa" w:w="675"/>
            <w:shd w:val="clear" w:color="auto" w:fill="FAFBFD"/>
          </w:tcPr>
          <w:p>
            <w:pPr>
              <w:spacing w:after="20" w:before="20"/>
            </w:pPr>
            <w:r/>
          </w:p>
        </w:tc>
        <w:tc>
          <w:tcPr>
            <w:tcW w:type="dxa" w:w="1253"/>
            <w:shd w:val="clear" w:color="auto" w:fill="FAFBFD"/>
          </w:tcPr>
          <w:p>
            <w:pPr>
              <w:spacing w:after="20" w:before="20"/>
            </w:pPr>
            <w:r/>
          </w:p>
        </w:tc>
        <w:tc>
          <w:tcPr>
            <w:tcW w:type="dxa" w:w="867"/>
            <w:shd w:val="clear" w:color="auto" w:fill="FAFBFD"/>
          </w:tcPr>
          <w:p>
            <w:pPr>
              <w:spacing w:after="20" w:before="20"/>
            </w:pPr>
            <w:r/>
          </w:p>
        </w:tc>
        <w:tc>
          <w:tcPr>
            <w:tcW w:type="dxa" w:w="1349"/>
            <w:shd w:val="clear" w:color="auto" w:fill="FAFBFD"/>
          </w:tcPr>
          <w:p>
            <w:pPr>
              <w:spacing w:after="20" w:before="20"/>
            </w:pPr>
            <w:r/>
          </w:p>
        </w:tc>
        <w:tc>
          <w:tcPr>
            <w:tcW w:type="dxa" w:w="3373"/>
            <w:shd w:val="clear" w:color="auto" w:fill="FAFBFD"/>
          </w:tcPr>
          <w:p>
            <w:pPr>
              <w:spacing w:after="20" w:before="20"/>
            </w:pPr>
            <w:r/>
          </w:p>
        </w:tc>
        <w:tc>
          <w:tcPr>
            <w:tcW w:type="dxa" w:w="1253"/>
            <w:shd w:val="clear" w:color="auto" w:fill="FAFBFD"/>
          </w:tcPr>
          <w:p>
            <w:pPr>
              <w:spacing w:after="20" w:before="20"/>
            </w:pPr>
            <w:r/>
          </w:p>
        </w:tc>
        <w:tc>
          <w:tcPr>
            <w:tcW w:type="dxa" w:w="867"/>
            <w:shd w:val="clear" w:color="auto" w:fill="FAFBFD"/>
          </w:tcPr>
          <w:p>
            <w:pPr>
              <w:spacing w:after="20" w:before="20"/>
            </w:pPr>
            <w:r/>
          </w:p>
        </w:tc>
      </w:tr>
    </w:tbl>
    <w:p>
      <w:pPr>
        <w:spacing w:after="40"/>
      </w:pPr>
    </w:p>
    <w:p>
      <w:pPr>
        <w:pStyle w:val="Heading2"/>
        <w:pBdr>
          <w:bottom w:val="single" w:sz="6" w:space="3" w:color="E8EDF3"/>
        </w:pBdr>
      </w:pPr>
      <w:r>
        <w:rPr>
          <w:rFonts w:ascii="Calibri" w:hAnsi="Calibri"/>
          <w:b/>
          <w:color w:val="0F2B4C"/>
          <w:sz w:val="26"/>
        </w:rPr>
        <w:t>E.1  Review cycle</w:t>
      </w:r>
    </w:p>
    <w:p>
      <w:pPr>
        <w:spacing w:after="40"/>
        <w:ind w:left="351" w:hanging="227"/>
      </w:pPr>
      <w:r>
        <w:rPr>
          <w:rFonts w:ascii="Calibri" w:hAnsi="Calibri"/>
          <w:b/>
          <w:color w:val="1B4F86"/>
          <w:sz w:val="19"/>
        </w:rPr>
        <w:t xml:space="preserve">▪  </w:t>
      </w:r>
      <w:r>
        <w:rPr>
          <w:rFonts w:ascii="Calibri" w:hAnsi="Calibri"/>
          <w:b w:val="0"/>
          <w:i w:val="0"/>
          <w:color w:val="334E68"/>
          <w:sz w:val="19"/>
        </w:rPr>
        <w:t>Review this handbook after every migration wave, and at minimum every six months.</w:t>
      </w:r>
    </w:p>
    <w:p>
      <w:pPr>
        <w:spacing w:after="40"/>
        <w:ind w:left="351" w:hanging="227"/>
      </w:pPr>
      <w:r>
        <w:rPr>
          <w:rFonts w:ascii="Calibri" w:hAnsi="Calibri"/>
          <w:b/>
          <w:color w:val="1B4F86"/>
          <w:sz w:val="19"/>
        </w:rPr>
        <w:t xml:space="preserve">▪  </w:t>
      </w:r>
      <w:r>
        <w:rPr>
          <w:rFonts w:ascii="Calibri" w:hAnsi="Calibri"/>
          <w:b w:val="0"/>
          <w:i w:val="0"/>
          <w:color w:val="334E68"/>
          <w:sz w:val="19"/>
        </w:rPr>
        <w:t>Update it when a project runbook, SAP release, AWS service behaviour or client standard changes the guidance.</w:t>
      </w:r>
    </w:p>
    <w:p>
      <w:pPr>
        <w:spacing w:after="40"/>
        <w:ind w:left="351" w:hanging="227"/>
      </w:pPr>
      <w:r>
        <w:rPr>
          <w:rFonts w:ascii="Calibri" w:hAnsi="Calibri"/>
          <w:b/>
          <w:color w:val="1B4F86"/>
          <w:sz w:val="19"/>
        </w:rPr>
        <w:t xml:space="preserve">▪  </w:t>
      </w:r>
      <w:r>
        <w:rPr>
          <w:rFonts w:ascii="Calibri" w:hAnsi="Calibri"/>
          <w:b w:val="0"/>
          <w:i w:val="0"/>
          <w:color w:val="334E68"/>
          <w:sz w:val="19"/>
        </w:rPr>
        <w:t>Re-run the technical review (Appendix D method) whenever a module is materially changed.</w:t>
      </w:r>
    </w:p>
    <w:p>
      <w:pPr>
        <w:spacing w:after="40"/>
        <w:ind w:left="351" w:hanging="227"/>
      </w:pPr>
      <w:r>
        <w:rPr>
          <w:rFonts w:ascii="Calibri" w:hAnsi="Calibri"/>
          <w:b/>
          <w:color w:val="1B4F86"/>
          <w:sz w:val="19"/>
        </w:rPr>
        <w:t xml:space="preserve">▪  </w:t>
      </w:r>
      <w:r>
        <w:rPr>
          <w:rFonts w:ascii="Calibri" w:hAnsi="Calibri"/>
          <w:b w:val="0"/>
          <w:i w:val="0"/>
          <w:color w:val="334E68"/>
          <w:sz w:val="19"/>
        </w:rPr>
        <w:t>Retire superseded versions to the archive with their evidence packs; do not leave multiple live copies in circulation.</w:t>
      </w:r>
    </w:p>
    <w:p>
      <w:pPr>
        <w:spacing w:after="40"/>
        <w:ind w:left="351" w:hanging="227"/>
      </w:pPr>
      <w:r>
        <w:rPr>
          <w:rFonts w:ascii="Calibri" w:hAnsi="Calibri"/>
          <w:b/>
          <w:color w:val="1B4F86"/>
          <w:sz w:val="19"/>
        </w:rPr>
        <w:t xml:space="preserve">▪  </w:t>
      </w:r>
      <w:r>
        <w:rPr>
          <w:rFonts w:ascii="Calibri" w:hAnsi="Calibri"/>
          <w:b w:val="0"/>
          <w:i w:val="0"/>
          <w:color w:val="334E68"/>
          <w:sz w:val="19"/>
        </w:rPr>
        <w:t>Circulate the finalized material only after confirmation and sign-off, as required by the ownership model in Section 14.</w:t>
      </w:r>
    </w:p>
    <w:p>
      <w:pPr>
        <w:spacing w:before="180" w:after="40"/>
        <w:shd w:val="clear" w:color="auto" w:fill="F8FCF9"/>
        <w:pBdr>
          <w:left w:val="single" w:sz="6" w:space="6" w:color="3D9A5F"/>
          <w:top w:val="single" w:sz="6" w:space="6" w:color="3D9A5F"/>
          <w:right w:val="single" w:sz="6" w:space="6" w:color="3D9A5F"/>
        </w:pBdr>
        <w:keepNext/>
      </w:pPr>
      <w:r>
        <w:rPr>
          <w:rFonts w:ascii="Calibri" w:hAnsi="Calibri"/>
          <w:b/>
          <w:color w:val="3D9A5F"/>
          <w:sz w:val="16"/>
        </w:rPr>
        <w:t>END OF HANDBOOK</w:t>
      </w:r>
    </w:p>
    <w:p>
      <w:pPr>
        <w:spacing w:after="40"/>
        <w:ind w:left="170"/>
        <w:shd w:val="clear" w:color="auto" w:fill="F8FCF9"/>
        <w:pBdr>
          <w:left w:val="single" w:sz="6" w:space="6" w:color="3D9A5F"/>
          <w:bottom w:val="single" w:sz="6" w:space="6" w:color="3D9A5F"/>
          <w:right w:val="single" w:sz="6" w:space="6" w:color="3D9A5F"/>
        </w:pBdr>
      </w:pPr>
      <w:r>
        <w:rPr>
          <w:rFonts w:ascii="Calibri" w:hAnsi="Calibri"/>
          <w:b w:val="0"/>
          <w:i w:val="0"/>
          <w:color w:val="334E68"/>
          <w:sz w:val="18"/>
        </w:rPr>
        <w:t>Consolidated Training Material · 2026 · SAP Migration Training Handbook · Version 1.0 · Internal — training use. Prepared from the consolidated training/MOM source document; primary trainer Amit Prajapati.</w:t>
      </w:r>
    </w:p>
    <w:sectPr w:rsidR="00FC693F" w:rsidRPr="0006063C" w:rsidSect="00034616">
      <w:headerReference w:type="default" r:id="rId9"/>
      <w:footerReference w:type="default" r:id="rId10"/>
      <w:pgSz w:w="11906" w:h="16838"/>
      <w:pgMar w:top="1020" w:right="1134" w:bottom="1020"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C7D2E0"/>
      </w:pBdr>
    </w:pPr>
    <w:r/>
    <w:r>
      <w:rPr>
        <w:color w:val="5B7288"/>
        <w:sz w:val="16"/>
      </w:rPr>
      <w:t xml:space="preserve">Internal — training use   ·   SAP-MIG-TRN-HB-001   ·   v1.0   ·   Page </w:t>
    </w:r>
    <w:r>
      <w:rPr>
        <w:color w:val="5B7288"/>
        <w:sz w:val="16"/>
      </w:rPr>
      <w:fldChar w:fldCharType="begin"/>
    </w:r>
    <w:r>
      <w:rPr>
        <w:color w:val="5B7288"/>
        <w:sz w:val="16"/>
      </w:rPr>
      <w:instrText xml:space="preserve">PAGE</w:instrText>
    </w:r>
    <w:r>
      <w:rPr>
        <w:color w:val="5B7288"/>
        <w:sz w:val="16"/>
      </w:rPr>
      <w:fldChar w:fldCharType="separate"/>
    </w:r>
    <w:r>
      <w:rPr>
        <w:color w:val="5B7288"/>
        <w:sz w:val="16"/>
      </w:rPr>
      <w:t>1</w:t>
    </w:r>
    <w:r>
      <w:rPr>
        <w:color w:val="5B7288"/>
        <w:sz w:val="16"/>
      </w:rPr>
      <w:fldChar w:fldCharType="end"/>
    </w:r>
    <w:r>
      <w:rPr>
        <w:color w:val="5B7288"/>
        <w:sz w:val="16"/>
      </w:rPr>
      <w:t xml:space="preserve"> of </w:t>
    </w:r>
    <w:r>
      <w:rPr>
        <w:color w:val="5B7288"/>
        <w:sz w:val="16"/>
      </w:rPr>
      <w:fldChar w:fldCharType="begin"/>
    </w:r>
    <w:r>
      <w:rPr>
        <w:color w:val="5B7288"/>
        <w:sz w:val="16"/>
      </w:rPr>
      <w:instrText xml:space="preserve">NUMPAGES</w:instrText>
    </w:r>
    <w:r>
      <w:rPr>
        <w:color w:val="5B7288"/>
        <w:sz w:val="16"/>
      </w:rPr>
      <w:fldChar w:fldCharType="separate"/>
    </w:r>
    <w:r>
      <w:rPr>
        <w:color w:val="5B7288"/>
        <w:sz w:val="16"/>
      </w:rPr>
      <w:t>1</w:t>
    </w:r>
    <w:r>
      <w:rPr>
        <w:color w:val="5B7288"/>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C7D2E0"/>
      </w:pBdr>
    </w:pPr>
    <w:r/>
    <w:r>
      <w:rPr>
        <w:rFonts w:ascii="Calibri" w:hAnsi="Calibri"/>
        <w:color w:val="5B7288"/>
        <w:sz w:val="16"/>
      </w:rPr>
      <w:t>SAP Migration Training Handbook · v1.0 · Internal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Calibri" w:hAnsi="Calibri" w:cs="Calibri" w:eastAsia="Calibri"/>
      <w:color w:val="334E6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Light" w:hAnsi="Calibri Light" w:cs="Calibri Light"/>
      <w:b/>
      <w:bCs/>
      <w:i w:val="0"/>
      <w:color w:val="0F2B4C"/>
      <w:sz w:val="42"/>
      <w:szCs w:val="28"/>
    </w:rPr>
  </w:style>
  <w:style w:type="paragraph" w:styleId="Heading2">
    <w:name w:val="heading 2"/>
    <w:basedOn w:val="Normal"/>
    <w:next w:val="Normal"/>
    <w:link w:val="Heading2Char"/>
    <w:uiPriority w:val="9"/>
    <w:unhideWhenUsed/>
    <w:qFormat/>
    <w:rsid w:val="00FC693F"/>
    <w:pPr>
      <w:keepNext/>
      <w:keepLines/>
      <w:spacing w:before="400" w:after="140"/>
      <w:outlineLvl w:val="1"/>
    </w:pPr>
    <w:rPr>
      <w:rFonts w:asciiTheme="majorHAnsi" w:eastAsiaTheme="majorEastAsia" w:hAnsiTheme="majorHAnsi" w:cstheme="majorBidi" w:ascii="Calibri Light" w:hAnsi="Calibri Light" w:cs="Calibri Light"/>
      <w:b/>
      <w:bCs/>
      <w:i w:val="0"/>
      <w:color w:val="0F2B4C"/>
      <w:sz w:val="32"/>
      <w:szCs w:val="26"/>
    </w:rPr>
  </w:style>
  <w:style w:type="paragraph" w:styleId="Heading3">
    <w:name w:val="heading 3"/>
    <w:basedOn w:val="Normal"/>
    <w:next w:val="Normal"/>
    <w:link w:val="Heading3Char"/>
    <w:uiPriority w:val="9"/>
    <w:unhideWhenUsed/>
    <w:qFormat/>
    <w:rsid w:val="00FC693F"/>
    <w:pPr>
      <w:keepNext/>
      <w:keepLines/>
      <w:spacing w:before="300" w:after="100"/>
      <w:outlineLvl w:val="2"/>
    </w:pPr>
    <w:rPr>
      <w:rFonts w:asciiTheme="majorHAnsi" w:eastAsiaTheme="majorEastAsia" w:hAnsiTheme="majorHAnsi" w:cstheme="majorBidi" w:ascii="Calibri" w:hAnsi="Calibri" w:cs="Calibri"/>
      <w:b/>
      <w:bCs/>
      <w:i w:val="0"/>
      <w:color w:val="1B4F86"/>
      <w:sz w:val="25"/>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ascii="Calibri" w:hAnsi="Calibri" w:cs="Calibri"/>
      <w:b/>
      <w:bCs/>
      <w:i w:val="0"/>
      <w:iCs/>
      <w:color w:val="173A6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SAP Migration Training Handbook</dc:title>
  <dc:subject>SAP → AWS Migration | HANA | Oracle | Basis Validation | Cutover | Hypercare</dc:subject>
  <dc:creator>Amit Prajapati</dc:creator>
  <cp:keywords>SAP, AWS, HANA, Oracle, Data Guard, migration, cutover, hypercare, Basis, validation</cp:keywords>
  <dc:description>Version 1.0 — vetted release. Consolidated from the supplied training/MOM source document. Internal training use; does not replace approved project runbooks.</dc:description>
  <cp:lastModifiedBy/>
  <cp:revision>1</cp:revision>
  <dcterms:created xsi:type="dcterms:W3CDTF">2013-12-23T23:15:00Z</dcterms:created>
  <dcterms:modified xsi:type="dcterms:W3CDTF">2013-12-23T23:15:00Z</dcterms:modified>
  <cp:category>Consolidated Training &amp; Knowledge Transfer Handbook</cp:category>
</cp:coreProperties>
</file>