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System Architecture Diagram</w:t>
      </w:r>
    </w:p>
    <w:p>
      <w:pPr>
        <w:jc w:val="center"/>
      </w:pPr>
      <w:r>
        <w:rPr>
          <w:color w:val="505050"/>
          <w:sz w:val="24"/>
        </w:rPr>
        <w:t>Cloud deployment design for Dockerized microservices</w:t>
      </w:r>
    </w:p>
    <w:p/>
    <w:p>
      <w:r>
        <w:t>The diagram below shows the final target architecture for the microservices application, including containerized services, API gateway/load balancer, managed database, CI/CD pipeline, container registry, and observability components.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1447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4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Explanation</w:t>
      </w:r>
    </w:p>
    <w:p>
      <w:pPr>
        <w:pStyle w:val="ListBullet"/>
      </w:pPr>
      <w:r>
        <w:t>Users access the application through HTTPS using a cloud load balancer or application gateway.</w:t>
      </w:r>
    </w:p>
    <w:p>
      <w:pPr>
        <w:pStyle w:val="ListBullet"/>
      </w:pPr>
      <w:r>
        <w:t>API Gateway routes requests to independent microservices such as User Service, Task Service, and Notification Service.</w:t>
      </w:r>
    </w:p>
    <w:p>
      <w:pPr>
        <w:pStyle w:val="ListBullet"/>
      </w:pPr>
      <w:r>
        <w:t>The CI/CD pipeline builds Docker images and pushes them to a container registry before deployment.</w:t>
      </w:r>
    </w:p>
    <w:p>
      <w:pPr>
        <w:pStyle w:val="ListBullet"/>
      </w:pPr>
      <w:r>
        <w:t>Logs, metrics, traces, and alerts are collected through CloudWatch/Azure Monitor and optionally Prometheus/Grafana.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Final Evaluation Deliverable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System Architecture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03_System_Architecture_Diagram_Document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