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480" w:before="0" w:after="0"/>
        <w:jc w:val="center"/>
        <w:rPr>
          <w:sz w:val="22"/>
          <w:szCs w:val="22"/>
        </w:rPr>
      </w:pPr>
      <w:r>
        <w:rPr>
          <w:b/>
          <w:bCs/>
          <w:sz w:val="22"/>
          <w:szCs w:val="22"/>
        </w:rPr>
        <w:t>A CSF-centric Image Morphometry Approach via DL-based Segmentation of ICV</w:t>
      </w:r>
      <w:r>
        <w:rPr>
          <w:sz w:val="22"/>
          <w:szCs w:val="22"/>
        </w:rPr>
        <w:t xml:space="preserve">  </w:t>
      </w:r>
    </w:p>
    <w:p>
      <w:pPr>
        <w:pStyle w:val="Body"/>
        <w:spacing w:lineRule="auto" w:line="480" w:before="0" w:after="0"/>
        <w:jc w:val="center"/>
        <w:rPr>
          <w:sz w:val="22"/>
          <w:szCs w:val="22"/>
        </w:rPr>
      </w:pPr>
      <w:r>
        <w:rPr>
          <w:sz w:val="22"/>
          <w:szCs w:val="22"/>
        </w:rPr>
        <w:t>Guray Erus</w:t>
      </w:r>
      <w:r>
        <w:rPr>
          <w:sz w:val="22"/>
          <w:szCs w:val="22"/>
          <w:vertAlign w:val="superscript"/>
        </w:rPr>
        <w:t>1</w:t>
      </w:r>
      <w:r>
        <w:rPr>
          <w:sz w:val="22"/>
          <w:szCs w:val="22"/>
        </w:rPr>
        <w:t xml:space="preserve">, </w:t>
      </w:r>
      <w:r>
        <w:rPr>
          <w:sz w:val="22"/>
          <w:szCs w:val="22"/>
        </w:rPr>
        <w:t>Jimit Doshi, Junhao Wen</w:t>
      </w:r>
      <w:r>
        <w:rPr>
          <w:sz w:val="22"/>
          <w:szCs w:val="22"/>
          <w:vertAlign w:val="superscript"/>
        </w:rPr>
        <w:t>1</w:t>
      </w:r>
      <w:r>
        <w:rPr>
          <w:sz w:val="22"/>
          <w:szCs w:val="22"/>
        </w:rPr>
        <w:t>, Sindhuja Tirumalai Govindarajan</w:t>
      </w:r>
      <w:r>
        <w:rPr>
          <w:sz w:val="22"/>
          <w:szCs w:val="22"/>
          <w:vertAlign w:val="superscript"/>
        </w:rPr>
        <w:t>1</w:t>
      </w:r>
      <w:r>
        <w:rPr>
          <w:sz w:val="22"/>
          <w:szCs w:val="22"/>
        </w:rPr>
        <w:t>, Dhivya Srinivasan</w:t>
      </w:r>
      <w:r>
        <w:rPr>
          <w:sz w:val="22"/>
          <w:szCs w:val="22"/>
          <w:vertAlign w:val="superscript"/>
        </w:rPr>
        <w:t>1</w:t>
      </w:r>
      <w:r>
        <w:rPr>
          <w:sz w:val="22"/>
          <w:szCs w:val="22"/>
        </w:rPr>
        <w:t>, Yuhan Cui</w:t>
      </w:r>
      <w:r>
        <w:rPr>
          <w:sz w:val="22"/>
          <w:szCs w:val="22"/>
          <w:vertAlign w:val="superscript"/>
        </w:rPr>
        <w:t>1</w:t>
      </w:r>
      <w:r>
        <w:rPr>
          <w:sz w:val="22"/>
          <w:szCs w:val="22"/>
        </w:rPr>
        <w:t xml:space="preserve">,  </w:t>
      </w:r>
      <w:r>
        <w:rPr>
          <w:sz w:val="22"/>
          <w:szCs w:val="22"/>
        </w:rPr>
        <w:t>Christos Davatzikos</w:t>
      </w:r>
      <w:r>
        <w:rPr>
          <w:sz w:val="22"/>
          <w:szCs w:val="22"/>
          <w:vertAlign w:val="superscript"/>
        </w:rPr>
        <w:t>1</w:t>
      </w:r>
    </w:p>
    <w:p>
      <w:pPr>
        <w:pStyle w:val="Body"/>
        <w:spacing w:lineRule="auto" w:line="480" w:before="0" w:after="0"/>
        <w:jc w:val="center"/>
        <w:rPr>
          <w:sz w:val="22"/>
          <w:szCs w:val="22"/>
        </w:rPr>
      </w:pPr>
      <w:r>
        <w:rPr>
          <w:sz w:val="22"/>
          <w:szCs w:val="22"/>
          <w:vertAlign w:val="superscript"/>
        </w:rPr>
        <w:t>1</w:t>
      </w:r>
      <w:r>
        <w:rPr>
          <w:sz w:val="22"/>
          <w:szCs w:val="22"/>
        </w:rPr>
        <w:t xml:space="preserve">Artificial Intelligence in Biomedical Imaging Laboratory (AIBIL), Center for Biomedical Image Computing and Analytics, Perelman School of Medicine, University of Pennsylvania, Philadelphia, USA </w:t>
      </w:r>
    </w:p>
    <w:p>
      <w:pPr>
        <w:pStyle w:val="Body"/>
        <w:spacing w:lineRule="auto" w:line="480" w:before="0" w:after="0"/>
        <w:jc w:val="left"/>
        <w:rPr>
          <w:sz w:val="22"/>
          <w:szCs w:val="22"/>
        </w:rPr>
      </w:pPr>
      <w:r>
        <w:rPr>
          <w:sz w:val="22"/>
          <w:szCs w:val="22"/>
        </w:rPr>
      </w:r>
    </w:p>
    <w:p>
      <w:pPr>
        <w:pStyle w:val="Body"/>
        <w:spacing w:lineRule="auto" w:line="480" w:before="0" w:after="0"/>
        <w:jc w:val="both"/>
        <w:rPr>
          <w:b/>
          <w:b/>
          <w:bCs/>
          <w:sz w:val="22"/>
          <w:szCs w:val="22"/>
        </w:rPr>
      </w:pPr>
      <w:r>
        <w:rPr>
          <w:b/>
          <w:bCs/>
          <w:sz w:val="22"/>
          <w:szCs w:val="22"/>
        </w:rPr>
        <w:t>Introduction</w:t>
      </w:r>
    </w:p>
    <w:p>
      <w:pPr>
        <w:pStyle w:val="Body"/>
        <w:spacing w:lineRule="auto" w:line="480" w:before="0" w:after="0"/>
        <w:jc w:val="both"/>
        <w:rPr/>
      </w:pPr>
      <w:r>
        <w:rPr>
          <w:sz w:val="22"/>
          <w:szCs w:val="22"/>
        </w:rPr>
        <w:t xml:space="preserve">Neuroimaging pipelines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often</w:t>
      </w:r>
      <w:r>
        <w:rPr>
          <w:sz w:val="22"/>
          <w:szCs w:val="22"/>
        </w:rPr>
        <w:t xml:space="preserve"> focus on GM and WM, while overlooking cerebro-spinal fluid (CSF), considering it simply as “background”.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Along with other purposes</w:t>
      </w:r>
      <w:r>
        <w:rPr>
          <w:sz w:val="22"/>
          <w:szCs w:val="22"/>
        </w:rPr>
        <w:t xml:space="preserve">, proper segmentation of cortical CSF is critical for accurate estimation of the intra-cranial volume (ICV), an important measure used for adjusting </w:t>
      </w:r>
      <w:r>
        <w:rPr>
          <w:sz w:val="22"/>
          <w:szCs w:val="22"/>
        </w:rPr>
        <w:t xml:space="preserve">volumetric imaging measures </w:t>
      </w:r>
      <w:r>
        <w:rPr>
          <w:sz w:val="22"/>
          <w:szCs w:val="22"/>
        </w:rPr>
        <w:t xml:space="preserve">against variations in head size across individuals. Existing T1-based methods have a tendency to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calculate a tight mask around the cerebral cortex, thus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potentially </w:t>
      </w:r>
      <w:r>
        <w:rPr>
          <w:sz w:val="22"/>
          <w:szCs w:val="22"/>
        </w:rPr>
        <w:t xml:space="preserve">under-estimating the ICV </w:t>
      </w:r>
      <w:r>
        <w:rPr>
          <w:i w:val="false"/>
          <w:iCs w:val="false"/>
          <w:sz w:val="22"/>
          <w:szCs w:val="22"/>
        </w:rPr>
        <w:t>[1,2]</w:t>
      </w:r>
      <w:r>
        <w:rPr>
          <w:sz w:val="22"/>
          <w:szCs w:val="22"/>
        </w:rPr>
        <w:t xml:space="preserve">. We present DLICV, a deep learning method for ICV segmentation from raw T1 images, that combines a convolutional network, an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elaborate </w:t>
      </w:r>
      <w:r>
        <w:rPr>
          <w:sz w:val="22"/>
          <w:szCs w:val="22"/>
        </w:rPr>
        <w:t xml:space="preserve">training strategy with large and carefully curated datasets, and a strategy to transfer label information </w:t>
      </w:r>
      <w:r>
        <w:rPr>
          <w:sz w:val="22"/>
          <w:szCs w:val="22"/>
        </w:rPr>
        <w:t xml:space="preserve">derived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from </w:t>
      </w:r>
      <w:r>
        <w:rPr>
          <w:sz w:val="22"/>
          <w:szCs w:val="22"/>
        </w:rPr>
        <w:t xml:space="preserve">T2-weighted images </w:t>
      </w:r>
      <w:r>
        <w:rPr>
          <w:sz w:val="22"/>
          <w:szCs w:val="22"/>
        </w:rPr>
        <w:t>with better ICV contrast</w:t>
      </w:r>
      <w:r>
        <w:rPr>
          <w:sz w:val="22"/>
          <w:szCs w:val="22"/>
        </w:rPr>
        <w:t xml:space="preserve">. Second, we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propose</w:t>
      </w:r>
      <w:r>
        <w:rPr>
          <w:sz w:val="22"/>
          <w:szCs w:val="22"/>
        </w:rPr>
        <w:t xml:space="preserve"> atlas-based, as well as data-driven decomposition of CSF, to quantify </w:t>
      </w:r>
      <w:r>
        <w:rPr>
          <w:sz w:val="22"/>
          <w:szCs w:val="22"/>
        </w:rPr>
        <w:t>and analyze</w:t>
      </w:r>
      <w:r>
        <w:rPr>
          <w:sz w:val="22"/>
          <w:szCs w:val="22"/>
        </w:rPr>
        <w:t xml:space="preserve"> regional CSF volumes. We provide an open-source software package </w:t>
      </w:r>
      <w:r>
        <w:rPr>
          <w:sz w:val="22"/>
          <w:szCs w:val="22"/>
        </w:rPr>
        <w:t xml:space="preserve">with trained models </w:t>
      </w:r>
      <w:r>
        <w:rPr>
          <w:sz w:val="22"/>
          <w:szCs w:val="22"/>
        </w:rPr>
        <w:t>for DLICV segmentation</w:t>
      </w:r>
      <w:r>
        <w:rPr>
          <w:rStyle w:val="FootnoteAnchor"/>
          <w:sz w:val="22"/>
          <w:szCs w:val="22"/>
        </w:rPr>
        <w:footnoteReference w:id="2"/>
      </w:r>
      <w:r>
        <w:rPr>
          <w:sz w:val="22"/>
          <w:szCs w:val="22"/>
        </w:rPr>
        <w:t>.</w:t>
      </w:r>
    </w:p>
    <w:p>
      <w:pPr>
        <w:pStyle w:val="Body"/>
        <w:spacing w:lineRule="auto" w:line="480" w:before="0" w:after="0"/>
        <w:jc w:val="both"/>
        <w:rPr>
          <w:b/>
          <w:b/>
          <w:bCs/>
          <w:sz w:val="22"/>
          <w:szCs w:val="22"/>
        </w:rPr>
      </w:pPr>
      <w:r>
        <w:rPr>
          <w:b/>
          <w:bCs/>
          <w:sz w:val="22"/>
          <w:szCs w:val="22"/>
        </w:rPr>
        <w:t>Methods</w:t>
      </w:r>
    </w:p>
    <w:p>
      <w:pPr>
        <w:pStyle w:val="Body"/>
        <w:spacing w:lineRule="auto" w:line="480" w:before="0" w:after="0"/>
        <w:jc w:val="both"/>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The</w:t>
      </w:r>
      <w:r>
        <w:rPr>
          <w:sz w:val="22"/>
          <w:szCs w:val="22"/>
        </w:rPr>
        <w:t xml:space="preserve"> main premise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of DLICV </w:t>
      </w:r>
      <w:r>
        <w:rPr>
          <w:sz w:val="22"/>
          <w:szCs w:val="22"/>
        </w:rPr>
        <w:t>is that the relatively more explicit, i.e. higher contrast, ICV boundary on T2 images is present on T1 images, but visually less perceivable an</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d more difficult to delineate. To learn this implicit boundary, we extend a UNet architecture for generic segmentation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3-4</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and propose a training strategy that uses only the T1 scans as input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data</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yet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reference masks derived from T1+T2 scans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as labels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Training stage uses a diverse and large multi-study dataset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derived from 22 different datasets that are part of the ISTAGING consortium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5</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Training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includes automated and semi-automated steps for selection of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the most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representative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and diverse image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subset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specifically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by automatically detecting cluster centers of each dataset,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quality verification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using an in-house visualization tool</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and iterative refinement of the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deep learning</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model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(Fig 1A)</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p>
    <w:p>
      <w:pPr>
        <w:pStyle w:val="Body"/>
        <w:spacing w:lineRule="auto" w:line="480" w:before="0" w:after="0"/>
        <w:jc w:val="both"/>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DLICV segmentation is followed by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calculation of voxelwise CSF-tissue density maps (CSF-RAVENS) in a common atlas space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6</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and C</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SF feature extraction for quantifying regional CSF. As cortical CSF lacks clear regional boundaries, we propose two alternatives: 1) by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adapt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ing a set of pre-defined multi-atlas regions of interest (ROIs) with dense cortical segmentation via image morphology, and 2)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vertAlign w:val="baseline"/>
          <w:lang w:val="en-US" w:eastAsia="zh-CN" w:bidi="hi-IN"/>
        </w:rPr>
        <w:t>using</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ROIs obtained via NNMF, which identifies data-driven components of CSF covariation across subjects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7</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(Fig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2</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p>
    <w:p>
      <w:pPr>
        <w:pStyle w:val="Body"/>
        <w:spacing w:lineRule="auto" w:line="480" w:before="0" w:after="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Results</w:t>
      </w:r>
    </w:p>
    <w:p>
      <w:pPr>
        <w:pStyle w:val="Body"/>
        <w:spacing w:lineRule="auto" w:line="480" w:before="0" w:after="0"/>
        <w:jc w:val="both"/>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Qualitative and quantitative validations on large datasets demonstrate that DLICV provides accurate segmentation of ICV, with significantly reduced failure rates, and importantly, achieving ICV values that are minimally biased by age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F</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ig 1.</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B</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DLICV consistently obtained age slopes reduced by a factor of 2 in comparison to benchmark methods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8</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9</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(Fig 1</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C</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sz w:val="22"/>
          <w:szCs w:val="22"/>
        </w:rPr>
        <w:t xml:space="preserve">Importantly, </w:t>
      </w:r>
      <w:r>
        <w:rPr>
          <w:sz w:val="22"/>
          <w:szCs w:val="22"/>
        </w:rPr>
        <w:t xml:space="preserve">regional </w:t>
      </w:r>
      <w:r>
        <w:rPr>
          <w:sz w:val="22"/>
          <w:szCs w:val="22"/>
        </w:rPr>
        <w:t xml:space="preserve">CSF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abnormalities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quantified from CSF values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normalized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by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age and gender matched control subjects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from the UKBIOBANK study,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were able to discriminate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various disease effects, including Alzheimer’s disease (AD), fronto-temporal dementia (FTD), and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se</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lf-reported traumatic brain injury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(TBI),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with higher significance in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comparison to regional GM</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F</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ig. 2</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B and C</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A similar z-scoring approach was applied on voxelwise RAVENS maps to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vertAlign w:val="baseline"/>
          <w:lang w:val="en-US" w:eastAsia="zh-CN" w:bidi="hi-IN"/>
        </w:rPr>
        <w:t xml:space="preserve">generate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ndividualized CSF atrophy map</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s for subjects in disease groups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(Fig 2D).</w:t>
      </w:r>
    </w:p>
    <w:p>
      <w:pPr>
        <w:pStyle w:val="Body"/>
        <w:spacing w:lineRule="auto" w:line="480" w:before="0" w:after="0"/>
        <w:jc w:val="both"/>
        <w:rPr>
          <w:b/>
          <w:b/>
          <w:bCs/>
          <w:sz w:val="22"/>
          <w:szCs w:val="22"/>
        </w:rPr>
      </w:pPr>
      <w:r>
        <w:rPr>
          <w:b/>
          <w:bCs/>
          <w:sz w:val="22"/>
          <w:szCs w:val="22"/>
        </w:rPr>
        <w:t>Conclusions</w:t>
      </w:r>
    </w:p>
    <w:p>
      <w:pPr>
        <w:pStyle w:val="Body"/>
        <w:spacing w:lineRule="auto" w:line="480" w:before="0" w:after="0"/>
        <w:jc w:val="both"/>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Accurate estimation of ICV</w:t>
      </w:r>
      <w:r>
        <w:rPr>
          <w:sz w:val="22"/>
          <w:szCs w:val="22"/>
        </w:rPr>
        <w:t xml:space="preserve">, particularly for subjects with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global</w:t>
      </w:r>
      <w:r>
        <w:rPr>
          <w:sz w:val="22"/>
          <w:szCs w:val="22"/>
        </w:rPr>
        <w:t xml:space="preserve"> cortical atrophy due to aging or disease, is critical for downstream data normalization and analyses. DLICV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is</w:t>
      </w:r>
      <w:r>
        <w:rPr>
          <w:sz w:val="22"/>
          <w:szCs w:val="22"/>
        </w:rPr>
        <w:t xml:space="preserve"> a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user-friendly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and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sz w:val="22"/>
          <w:szCs w:val="22"/>
        </w:rPr>
        <w:t xml:space="preserve">fast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method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to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estimate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minimally age-biased ICV,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as well as to obtain an accurate brain mask,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from a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single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raw T1 image. Analyses leveraging DLICV and p</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roposed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regional CSF quantification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methods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highlight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the potential of CSF-centric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analyses f</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o</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r</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understand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ing</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brain changes in disease,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as a complementary approach to current volumetric processing and analysis pipelines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t xml:space="preserve">. </w:t>
      </w:r>
    </w:p>
    <w:p>
      <w:pPr>
        <w:pStyle w:val="Body"/>
        <w:spacing w:lineRule="auto" w:line="480" w:before="0" w:after="0"/>
        <w:jc w:val="both"/>
        <w:rPr>
          <w:sz w:val="22"/>
          <w:szCs w:val="22"/>
        </w:rPr>
      </w:pPr>
      <w:r>
        <w:rPr>
          <w:sz w:val="22"/>
          <w:szCs w:val="22"/>
        </w:rPr>
      </w:r>
    </w:p>
    <w:p>
      <w:pPr>
        <w:pStyle w:val="Body"/>
        <w:spacing w:lineRule="auto" w:line="480" w:before="0" w:after="0"/>
        <w:jc w:val="both"/>
        <w:rPr>
          <w:b/>
          <w:b/>
          <w:bCs/>
          <w:sz w:val="22"/>
          <w:szCs w:val="22"/>
        </w:rPr>
      </w:pPr>
      <w:r>
        <w:rPr>
          <w:b/>
          <w:bCs/>
          <w:sz w:val="22"/>
          <w:szCs w:val="22"/>
        </w:rPr>
        <w:t>References</w:t>
      </w:r>
    </w:p>
    <w:p>
      <w:pPr>
        <w:pStyle w:val="Normal"/>
        <w:keepNext w:val="false"/>
        <w:keepLines w:val="false"/>
        <w:pageBreakBefore w:val="false"/>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1</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 Nordenskjöld R,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et al</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Intracranial volume estimated with commonly used methods could introduce bias in studies including brain volume measurements. Neuroimage. 2013 Dec;83:355-60.</w:t>
      </w:r>
    </w:p>
    <w:p>
      <w:pPr>
        <w:pStyle w:val="Normal"/>
        <w:keepNext w:val="false"/>
        <w:keepLines w:val="false"/>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2</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 Nerland S,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et al</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A comparison of intracranial volume estimation methods and their cross-sectional and longitudinal associations with age. Hum Brain Mapp. 2022 Jun 16. doi: 10.1002/hbm.25978. Epub ahead of print. PMID: 35708198.</w:t>
      </w:r>
    </w:p>
    <w:p>
      <w:pPr>
        <w:pStyle w:val="Normal"/>
        <w:keepNext w:val="false"/>
        <w:keepLines w:val="false"/>
        <w:pageBreakBefore w:val="false"/>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3</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 Ronneberger, O.,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et al</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U-net: Convolutional networks for biomedical image segmentation. arXiv preprint arXiv:1505.04597.</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ascii="Arial;sans-serif" w:hAnsi="Arial;sans-serif"/>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[4] </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Doshi, Jimit, et al. "DeepMRSeg: A convolutional deep neural network for anatomy and abnormality segmentation on MR images." </w:t>
      </w:r>
      <w:r>
        <w:rPr>
          <w:rFonts w:eastAsia="Arial Unicode MS" w:cs="Arial Unicode MS" w:ascii="Arial;sans-serif" w:hAnsi="Arial;sans-serif"/>
          <w:b w:val="false"/>
          <w:bCs w:val="false"/>
          <w:i/>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arXiv preprint arXiv:1907.02110</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222222"/>
          <w:spacing w:val="0"/>
          <w:w w:val="100"/>
          <w:kern w:val="2"/>
          <w:position w:val="0"/>
          <w:sz w:val="16"/>
          <w:sz w:val="16"/>
          <w:szCs w:val="16"/>
          <w:u w:val="none"/>
          <w:vertAlign w:val="baseline"/>
          <w:em w:val="none"/>
          <w:lang w:val="de-DE" w:eastAsia="zh-CN" w:bidi="hi-IN"/>
        </w:rPr>
        <w:t> </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(2019).</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xml:space="preserve">[5] </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Pomponio, Raymond, et al. "Harmonization of large MRI datasets for the analysis of brain imaging patterns throughout the lifespan." </w:t>
      </w:r>
      <w:r>
        <w:rPr>
          <w:rFonts w:eastAsia="Arial Unicode MS" w:cs="Arial Unicode MS" w:ascii="Arial;sans-serif" w:hAnsi="Arial;sans-serif"/>
          <w:b w:val="false"/>
          <w:bCs w:val="false"/>
          <w:i/>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NeuroImage</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208 (2020): 116450.</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xml:space="preserve">[6] </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xml:space="preserve">Davatzikos C, </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et al</w:t>
      </w: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Voxel-based morphometry using the RAVENS maps: methods and validation using simulated longitudinal atrophy. Neuroimage. 2001 Dec;14(6):1361-9. </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[7] Junhao, W.E.N., Abdulkadir, A., Satterthwaite, T.D., Robert-Fitzgerald, T., Chen, J., Schnack, H., Zanetti, M., Meisenzahl, E., Busatto, G., Crespo-Facorro, B. and Pantelis, C., 2022. Novel genomic loci and pathways influence patterns of structural covariance in the human brain. MedRxiv. (in review)</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Fonts w:eastAsia="Arial Unicode MS" w:cs="Arial Unicode MS" w:ascii="Arial;sans-serif" w:hAnsi="Arial;sans-serif"/>
          <w:b w:val="false"/>
          <w:bCs w:val="false"/>
          <w:i w:val="false"/>
          <w:iCs/>
          <w:caps w:val="false"/>
          <w:smallCaps w:val="false"/>
          <w:strike w:val="false"/>
          <w:dstrike w:val="false"/>
          <w:outline w:val="false"/>
          <w:shadow w:val="false"/>
          <w:emboss w:val="false"/>
          <w:imprint w:val="false"/>
          <w:vanish w:val="false"/>
          <w:color w:val="222222"/>
          <w:spacing w:val="0"/>
          <w:w w:val="100"/>
          <w:kern w:val="2"/>
          <w:position w:val="0"/>
          <w:sz w:val="20"/>
          <w:sz w:val="20"/>
          <w:szCs w:val="16"/>
          <w:u w:val="none"/>
          <w:vertAlign w:val="baseline"/>
          <w:em w:val="none"/>
          <w:lang w:val="de-DE" w:eastAsia="zh-CN" w:bidi="hi-IN"/>
        </w:rPr>
        <w:t xml:space="preserve">[8]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Doshi J,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et al.</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u w:val="none"/>
          <w:vertAlign w:val="baseline"/>
          <w:em w:val="none"/>
          <w:lang w:val="de-DE" w:eastAsia="zh-CN" w:bidi="hi-IN"/>
        </w:rPr>
        <w:t xml:space="preserve"> Alzheimer's Neuroimaging Initiative. MUSE: MUlti-atlas region Segmentation utilizing Ensembles of registration algorithms and parameters, and locally optimal atlas selection. Neuroimage. 2016 Feb 15;127:186-195.</w:t>
      </w:r>
    </w:p>
    <w:p>
      <w:pPr>
        <w:pStyle w:val="Normal"/>
        <w:pageBreakBefore w:val="false"/>
        <w:widowControl/>
        <w:suppressAutoHyphens w:val="false"/>
        <w:bidi w:val="0"/>
        <w:spacing w:lineRule="auto" w:line="480" w:before="0" w:after="0"/>
        <w:ind w:left="360" w:right="0" w:hanging="360"/>
        <w:jc w:val="left"/>
        <w:rPr>
          <w:rFonts w:ascii="BlinkMacSystemFont;apple-system;Segoe UI;Roboto;Oxygen;Ubuntu;Cantarell;Fira Sans;Droid Sans;Helvetica Neue;sans-serif" w:hAnsi="BlinkMacSystemFont;apple-system;Segoe UI;Roboto;Oxygen;Ubuntu;Cantarell;Fira Sans;Droid Sans;Helvetica Neue;sans-serif"/>
          <w:b w:val="false"/>
          <w:b w:val="false"/>
          <w:i w:val="false"/>
          <w:i w:val="false"/>
          <w:caps w:val="false"/>
          <w:smallCaps w:val="false"/>
          <w:color w:val="212121"/>
          <w:spacing w:val="0"/>
          <w:sz w:val="24"/>
        </w:rPr>
      </w:pP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highlight w:val="white"/>
          <w:u w:val="none"/>
          <w:effect w:val="none"/>
          <w:vertAlign w:val="baseline"/>
          <w:em w:val="none"/>
          <w:lang w:val="de-DE" w:eastAsia="zh-CN" w:bidi="hi-IN"/>
        </w:rPr>
        <w:t>[</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highlight w:val="white"/>
          <w:u w:val="none"/>
          <w:effect w:val="none"/>
          <w:vertAlign w:val="baseline"/>
          <w:em w:val="none"/>
          <w:lang w:val="de-DE" w:eastAsia="zh-CN" w:bidi="hi-IN"/>
        </w:rPr>
        <w:t>9</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highlight w:val="white"/>
          <w:u w:val="none"/>
          <w:effect w:val="none"/>
          <w:vertAlign w:val="baseline"/>
          <w:em w:val="none"/>
          <w:lang w:val="de-DE" w:eastAsia="zh-CN" w:bidi="hi-IN"/>
        </w:rPr>
        <w:t xml:space="preserve">] Isensee F, </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highlight w:val="white"/>
          <w:u w:val="none"/>
          <w:effect w:val="none"/>
          <w:vertAlign w:val="baseline"/>
          <w:em w:val="none"/>
          <w:lang w:val="de-DE" w:eastAsia="zh-CN" w:bidi="hi-IN"/>
        </w:rPr>
        <w:t>et al</w:t>
      </w:r>
      <w:r>
        <w:rPr>
          <w:rFonts w:eastAsia="Arial Unicode MS" w:cs="Arial Unicode MS"/>
          <w:b w:val="false"/>
          <w:bCs w:val="false"/>
          <w:i/>
          <w:iCs/>
          <w:caps w:val="false"/>
          <w:smallCaps w:val="false"/>
          <w:strike w:val="false"/>
          <w:dstrike w:val="false"/>
          <w:outline w:val="false"/>
          <w:shadow w:val="false"/>
          <w:emboss w:val="false"/>
          <w:imprint w:val="false"/>
          <w:vanish w:val="false"/>
          <w:color w:val="000000"/>
          <w:spacing w:val="0"/>
          <w:w w:val="100"/>
          <w:kern w:val="2"/>
          <w:position w:val="0"/>
          <w:sz w:val="16"/>
          <w:sz w:val="16"/>
          <w:szCs w:val="16"/>
          <w:highlight w:val="white"/>
          <w:u w:val="none"/>
          <w:effect w:val="none"/>
          <w:vertAlign w:val="baseline"/>
          <w:em w:val="none"/>
          <w:lang w:val="de-DE" w:eastAsia="zh-CN" w:bidi="hi-IN"/>
        </w:rPr>
        <w:t>. Automated brain extraction of multisequence MRI using artificial neural networks. Hum Brain Mapp. 2019 Dec 1;40(17):4952-4964. doi: 10.1002/hbm.24750. Epub 2019 Aug 12. PMID: 31403237; PMCID: PMC6865732.</w:t>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
    </w:p>
    <w:p>
      <w:pPr>
        <w:pStyle w:val="Normal"/>
        <w:widowControl/>
        <w:suppressAutoHyphens w:val="false"/>
        <w:bidi w:val="0"/>
        <w:spacing w:lineRule="auto" w:line="480" w:before="0" w:after="0"/>
        <w:ind w:left="360" w:right="0" w:hanging="360"/>
        <w:jc w:val="left"/>
        <w:rPr>
          <w:rFonts w:ascii="Times New Roman" w:hAnsi="Times New Roman" w:eastAsia="Arial Unicode MS" w:cs="Arial Unicode MS"/>
          <w:b w:val="false"/>
          <w:b w:val="false"/>
          <w:bCs w:val="false"/>
          <w:i/>
          <w:i/>
          <w:iCs/>
          <w:caps w:val="false"/>
          <w:smallCaps w:val="false"/>
          <w:strike w:val="false"/>
          <w:dstrike w:val="false"/>
          <w:outline w:val="false"/>
          <w:shadow w:val="false"/>
          <w:emboss w:val="false"/>
          <w:imprint w:val="false"/>
          <w:vanish w:val="false"/>
          <w:color w:val="000000"/>
          <w:spacing w:val="0"/>
          <w:w w:val="100"/>
          <w:kern w:val="2"/>
          <w:position w:val="0"/>
          <w:sz w:val="22"/>
          <w:sz w:val="16"/>
          <w:szCs w:val="16"/>
          <w:u w:val="none"/>
          <w:vertAlign w:val="baseline"/>
          <w:em w:val="none"/>
          <w:lang w:val="de-DE" w:eastAsia="zh-CN" w:bidi="hi-IN"/>
        </w:rPr>
      </w:pPr>
      <w:r>
        <w:rPr/>
      </w:r>
    </w:p>
    <w:p>
      <w:pPr>
        <w:pStyle w:val="Body"/>
        <w:spacing w:lineRule="auto" w:line="480" w:before="0" w:after="0"/>
        <w:jc w:val="both"/>
        <w:rPr>
          <w:b/>
          <w:b/>
          <w:bCs/>
          <w:sz w:val="22"/>
          <w:szCs w:val="22"/>
        </w:rPr>
      </w:pPr>
      <w:r>
        <w:rPr/>
      </w:r>
    </w:p>
    <w:p>
      <w:pPr>
        <w:pStyle w:val="Body"/>
        <w:spacing w:lineRule="auto" w:line="480" w:before="0" w:after="0"/>
        <w:jc w:val="both"/>
        <w:rPr/>
      </w:pPr>
      <w:r>
        <w:drawing>
          <wp:anchor behindDoc="0" distT="0" distB="0" distL="0" distR="0" simplePos="0" locked="0" layoutInCell="1" allowOverlap="1" relativeHeight="2">
            <wp:simplePos x="0" y="0"/>
            <wp:positionH relativeFrom="column">
              <wp:posOffset>27305</wp:posOffset>
            </wp:positionH>
            <wp:positionV relativeFrom="paragraph">
              <wp:posOffset>46990</wp:posOffset>
            </wp:positionV>
            <wp:extent cx="5984240" cy="47282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84240" cy="4728210"/>
                    </a:xfrm>
                    <a:prstGeom prst="rect">
                      <a:avLst/>
                    </a:prstGeom>
                  </pic:spPr>
                </pic:pic>
              </a:graphicData>
            </a:graphic>
          </wp:anchor>
        </w:drawing>
      </w:r>
      <w:r>
        <w:rPr>
          <w:b/>
          <w:bCs/>
          <w:sz w:val="20"/>
          <w:szCs w:val="20"/>
        </w:rPr>
        <w:t>F</w:t>
      </w:r>
      <w:r>
        <w:rPr>
          <w:b/>
          <w:bCs/>
          <w:sz w:val="20"/>
          <w:szCs w:val="20"/>
        </w:rPr>
        <w:t xml:space="preserve">ig 1.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 O</w:t>
      </w:r>
      <w:r>
        <w:rPr>
          <w:b w:val="false"/>
          <w:bCs w:val="false"/>
          <w:sz w:val="20"/>
          <w:szCs w:val="20"/>
        </w:rPr>
        <w:t xml:space="preserve">verview of DLICV model training.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B. (top) An example subject with global cortical atrophy, which illustrates the importance of accurate ICV estimation for normalization purposes. The DLICV mask (green) captured cortical CSF due to atrophy, while the multi-atlas “brain mask”  (not shown here) had an ICV estimation %6.8 lower than DLICV; B. (middle) Examples of segmentation using DLICV (green), HDBET (red) and MASS (blue); B. (bottom) Example DLICV segmentation (red) for a case with extreme motion showing the robustness of the method. C. Age trends of ICV volumes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in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ADNI and BLSA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estimated using DLICV, HDBET and MASS</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and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in UKBIOBANK</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(estimated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using DLICV, MASS and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the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brain masks computed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and distributed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by the UKB</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IOBANK</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imaging group)</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p>
    <w:p>
      <w:pPr>
        <w:pStyle w:val="Body"/>
        <w:spacing w:lineRule="auto" w:line="480" w:before="0" w:after="0"/>
        <w:jc w:val="both"/>
        <w:rPr/>
      </w:pPr>
      <w:r>
        <w:drawing>
          <wp:anchor behindDoc="0" distT="0" distB="0" distL="0" distR="0" simplePos="0" locked="0" layoutInCell="1" allowOverlap="1" relativeHeight="3">
            <wp:simplePos x="0" y="0"/>
            <wp:positionH relativeFrom="column">
              <wp:posOffset>10160</wp:posOffset>
            </wp:positionH>
            <wp:positionV relativeFrom="paragraph">
              <wp:posOffset>-112395</wp:posOffset>
            </wp:positionV>
            <wp:extent cx="5930900" cy="43033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30900" cy="4303395"/>
                    </a:xfrm>
                    <a:prstGeom prst="rect">
                      <a:avLst/>
                    </a:prstGeom>
                  </pic:spPr>
                </pic:pic>
              </a:graphicData>
            </a:graphic>
          </wp:anchor>
        </w:drawing>
      </w:r>
      <w:r>
        <w:rPr>
          <w:b/>
          <w:bCs/>
          <w:sz w:val="20"/>
          <w:szCs w:val="20"/>
        </w:rPr>
        <w:t>F</w:t>
      </w:r>
      <w:r>
        <w:rPr>
          <w:b/>
          <w:bCs/>
          <w:sz w:val="20"/>
          <w:szCs w:val="20"/>
        </w:rPr>
        <w:t>igure 2.</w:t>
      </w:r>
      <w:r>
        <w:rPr>
          <w:sz w:val="20"/>
          <w:szCs w:val="20"/>
        </w:rPr>
        <w:t xml:space="preserve"> A. Visualization of CSF regional decomposition using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non-negative matrix decomposition. B. Analysis of disease effects using CSF regional volumes normalized by reference control distributions. The y axis shows the count of outlier CSF regions, i.e CSF regions that showed a statistically significant deviation from the distribution of age and gender matched control subjects (for two different z score  thresholds).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The data shows results for</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disease groups MCI, AD, fronto-temporal dementia (FTD), Lewy body dementia (LBD), vascular dementia (VD),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and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hydrocephalus (HydC). The values above each box plot show the incidence rate ratio. C. Individualized CSF atrophy map for a single self-reported TBI subject. Voxelwise z-score map of CSF tissue densities normalized by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age and gender matched control subjects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were thresholded at z&gt;2.5. D. Comparison of abnormal regional CSF volumes between CN and TBI subjects in UKB. The  x axis represents the count of abnormal CSF voxels after normalization of CSF-RAVENS maps by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age and gender matched control subjects.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TBI subjects had significantly higher CSF abnormality (p&lt;&lt;0.001)</w:t>
      </w:r>
    </w:p>
    <w:p>
      <w:pPr>
        <w:pStyle w:val="Body"/>
        <w:spacing w:lineRule="auto" w:line="480" w:before="0" w:after="0"/>
        <w:jc w:val="both"/>
        <w:rPr>
          <w:b/>
          <w:b/>
          <w:bCs/>
          <w:sz w:val="22"/>
          <w:szCs w:val="22"/>
        </w:rPr>
      </w:pPr>
      <w:r>
        <w:rPr/>
      </w:r>
    </w:p>
    <w:p>
      <w:pPr>
        <w:pStyle w:val="Body"/>
        <w:spacing w:lineRule="auto" w:line="480" w:before="0" w:after="0"/>
        <w:jc w:val="both"/>
        <w:rPr>
          <w:b/>
          <w:b/>
          <w:bCs/>
          <w:sz w:val="22"/>
          <w:szCs w:val="22"/>
        </w:rPr>
      </w:pPr>
      <w:r>
        <w:rPr/>
      </w:r>
    </w:p>
    <w:p>
      <w:pPr>
        <w:pStyle w:val="Body"/>
        <w:spacing w:lineRule="auto" w:line="480" w:before="0" w:after="0"/>
        <w:jc w:val="both"/>
        <w:rPr>
          <w:b/>
          <w:b/>
          <w:bCs/>
          <w:sz w:val="22"/>
          <w:szCs w:val="22"/>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auto"/>
    <w:pitch w:val="default"/>
  </w:font>
  <w:font w:name="BlinkMacSystemFont">
    <w:altName w:val="apple-system"/>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160"/>
        <w:ind w:left="339" w:hanging="339"/>
        <w:rPr/>
      </w:pPr>
      <w:r>
        <w:rPr>
          <w:rStyle w:val="FootnoteCharacters"/>
        </w:rPr>
        <w:footnoteRef/>
      </w:r>
      <w:r>
        <w:rPr/>
        <w:tab/>
        <w:t>https://github.com/gurayerus/DLICV</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qFormat/>
    <w:pPr>
      <w:keepNext w:val="true"/>
      <w:keepLines/>
      <w:spacing w:before="360" w:after="120"/>
      <w:outlineLvl w:val="1"/>
    </w:pPr>
    <w:rPr>
      <w:sz w:val="32"/>
      <w:szCs w:val="32"/>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b2225"/>
    <w:pPr>
      <w:spacing w:lineRule="auto" w:line="240" w:beforeAutospacing="1" w:afterAutospacing="1"/>
    </w:pPr>
    <w:rPr>
      <w:rFonts w:ascii="Times New Roman" w:hAnsi="Times New Roman" w:eastAsia="" w:cs="Times New Roman" w:eastAsiaTheme="minorEastAsia"/>
      <w:sz w:val="24"/>
      <w:szCs w:val="24"/>
    </w:rPr>
  </w:style>
  <w:style w:type="paragraph" w:styleId="FrameContents">
    <w:name w:val="Frame Contents"/>
    <w:basedOn w:val="Normal"/>
    <w:qFormat/>
    <w:pPr/>
    <w:rPr/>
  </w:style>
  <w:style w:type="paragraph" w:styleId="Body">
    <w:name w:val="Body"/>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vertAlign w:val="baseline"/>
      <w:lang w:val="en-US" w:eastAsia="zh-CN" w:bidi="hi-IN"/>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Application>LibreOffice/6.4.7.2$Linux_X86_64 LibreOffice_project/40$Build-2</Application>
  <Pages>6</Pages>
  <Words>1152</Words>
  <Characters>6943</Characters>
  <CharactersWithSpaces>8082</CharactersWithSpaces>
  <Paragraphs>25</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2023-01-07T21:07:00Z</dcterms:created>
  <dc:creator>Davatzikos, Christos</dc:creator>
  <dc:description/>
  <dc:language>en-US</dc:language>
  <cp:lastModifiedBy>Guray Erus</cp:lastModifiedBy>
  <dcterms:modified xsi:type="dcterms:W3CDTF">2023-01-13T16:02:40Z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