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Аналитическая</w:t>
      </w:r>
      <w:r>
        <w:t xml:space="preserve"> </w:t>
      </w:r>
      <w:r>
        <w:t xml:space="preserve">записка.</w:t>
      </w:r>
      <w:r>
        <w:t xml:space="preserve"> </w:t>
      </w:r>
      <w:r>
        <w:t xml:space="preserve">Влияние</w:t>
      </w:r>
      <w:r>
        <w:t xml:space="preserve"> </w:t>
      </w:r>
      <w:r>
        <w:t xml:space="preserve">рыночного</w:t>
      </w:r>
      <w:r>
        <w:t xml:space="preserve"> </w:t>
      </w:r>
      <w:r>
        <w:t xml:space="preserve">фактора,</w:t>
      </w:r>
      <w:r>
        <w:t xml:space="preserve"> </w:t>
      </w:r>
      <w:r>
        <w:t xml:space="preserve">фактора</w:t>
      </w:r>
      <w:r>
        <w:t xml:space="preserve"> </w:t>
      </w:r>
      <w:r>
        <w:t xml:space="preserve">размера</w:t>
      </w:r>
      <w:r>
        <w:t xml:space="preserve"> </w:t>
      </w:r>
      <w:r>
        <w:t xml:space="preserve">и</w:t>
      </w:r>
      <w:r>
        <w:t xml:space="preserve"> </w:t>
      </w:r>
      <w:r>
        <w:t xml:space="preserve">фактора</w:t>
      </w:r>
      <w:r>
        <w:t xml:space="preserve"> </w:t>
      </w:r>
      <w:r>
        <w:t xml:space="preserve">стоимости</w:t>
      </w:r>
      <w:r>
        <w:t xml:space="preserve"> </w:t>
      </w:r>
      <w:r>
        <w:t xml:space="preserve">на</w:t>
      </w:r>
      <w:r>
        <w:t xml:space="preserve"> </w:t>
      </w:r>
      <w:r>
        <w:t xml:space="preserve">доходность</w:t>
      </w:r>
      <w:r>
        <w:t xml:space="preserve"> </w:t>
      </w:r>
      <w:r>
        <w:t xml:space="preserve">российских</w:t>
      </w:r>
      <w:r>
        <w:t xml:space="preserve"> </w:t>
      </w:r>
      <w:r>
        <w:t xml:space="preserve">акций</w:t>
      </w:r>
    </w:p>
    <w:p>
      <w:pPr>
        <w:pStyle w:val="Subtitle"/>
      </w:pPr>
      <w:r>
        <w:t xml:space="preserve">Теория</w:t>
      </w:r>
      <w:r>
        <w:t xml:space="preserve"> </w:t>
      </w:r>
      <w:r>
        <w:t xml:space="preserve">финансов,</w:t>
      </w:r>
      <w:r>
        <w:t xml:space="preserve"> </w:t>
      </w:r>
      <w:r>
        <w:t xml:space="preserve">ДЗ</w:t>
      </w:r>
      <w:r>
        <w:t xml:space="preserve"> </w:t>
      </w:r>
      <w:r>
        <w:t xml:space="preserve">№2</w:t>
      </w:r>
    </w:p>
    <w:bookmarkStart w:id="20" w:name="резюме"/>
    <w:p>
      <w:pPr>
        <w:pStyle w:val="Heading2"/>
      </w:pPr>
      <w:r>
        <w:t xml:space="preserve">Резюме</w:t>
      </w:r>
    </w:p>
    <w:p>
      <w:pPr>
        <w:pStyle w:val="FirstParagraph"/>
      </w:pPr>
      <w:r>
        <w:t xml:space="preserve">Добавление факторов размера (SMB) и стоимости (HML) к рыночному фактору повышает долю объяснённой дисперсии доходностей 35 российских акций с 38% до 42% и снижает среднюю ошибку ценообразования с 9,8 до 8,1 п.п. годовых (02.2015–12.2024, 119 месяцев).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Рынок.</w:t>
      </w:r>
      <w:r>
        <w:t xml:space="preserve"> </w:t>
      </w:r>
      <w:r>
        <w:t xml:space="preserve">Беты от 0,55 (CBOM) до 1,66 (HEAD), все значимы. Премия рынка над RUONIA — 5,1% годовых, статистически незначима (t = 0,8).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Размер и стоимость.</w:t>
      </w:r>
      <w:r>
        <w:t xml:space="preserve"> </w:t>
      </w:r>
      <w:r>
        <w:t xml:space="preserve">Значимая нагрузка на SMB — у 13 акций, на HML — у 12. Знаки экономически осмысленны: малые банки и энергетика ведут себя как малые компании, банки и энергетика — как «акции стоимости», IT — как «акции роста».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«Альфа» по CAPM часто ложная.</w:t>
      </w:r>
      <w:r>
        <w:t xml:space="preserve"> </w:t>
      </w:r>
      <w:r>
        <w:t xml:space="preserve">У BSPB альфа по CAPM +26,6% годовых (t = 2,6), в модели Фамы–Френча +18,0% и незначима: часть доходности — плата за размер и стоимость.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Премии за риск.</w:t>
      </w:r>
      <w:r>
        <w:t xml:space="preserve"> </w:t>
      </w:r>
      <w:r>
        <w:t xml:space="preserve">Для малых компаний CAPM занижает премию на 7–16 п.п. (HEAD, SELG, BSPB, OZON), для крупных — слегка завышает (до 4,4 п.п. у GAZP).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Тест GRS</w:t>
      </w:r>
      <w:r>
        <w:t xml:space="preserve"> </w:t>
      </w:r>
      <w:r>
        <w:t xml:space="preserve">отвергает обе модели на 5% (p = 0,015 и 0,037), трёхфакторная ближе к цели. Выводы устойчивы к выбору безрисковой ставки, учёту дивидендов и периоду.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Для крупных бумаг достаточно CAPM; для малых и бумаг с выраженным профилем роста/стоимости стоимость капитала нужно считать по модели Фамы–Френча от текущей ставки ОФЗ (13,72% на 30.09.2026).</w:t>
      </w:r>
    </w:p>
    <w:bookmarkEnd w:id="20"/>
    <w:bookmarkStart w:id="21" w:name="выборка-и-данные"/>
    <w:p>
      <w:pPr>
        <w:pStyle w:val="Heading2"/>
      </w:pPr>
      <w:r>
        <w:t xml:space="preserve">1. Выборка и данные</w:t>
      </w:r>
    </w:p>
    <w:p>
      <w:pPr>
        <w:pStyle w:val="FirstParagraph"/>
      </w:pPr>
      <w:r>
        <w:t xml:space="preserve">Выборка — 35 акций Мосбиржи: 15 бумаг из ДЗ1 и 20 крупнейших по капитализации и ликвидности.</w:t>
      </w:r>
    </w:p>
    <w:p>
      <w:pPr>
        <w:pStyle w:val="BodyText"/>
      </w:pPr>
      <w:r>
        <w:rPr>
          <w:bCs/>
          <w:b/>
        </w:rPr>
        <w:t xml:space="preserve">Что общего: одни и те же «плохие времена».</w:t>
      </w:r>
      <w:r>
        <w:t xml:space="preserve"> </w:t>
      </w:r>
      <w:r>
        <w:t xml:space="preserve">Средняя корреляция месячных доходностей пар акций — 0,39 (внутри отрасли 0,45, между отраслями 0,38): общий шок сильнее отраслевого, это и есть рыночный фактор. В 11 месяцах из 119 падало больше 80% акций: пандемия 2020 г., санкции и мобилизация 2022 г., ключевая ставка 21% в 2024 г. Общие черты рынка: зависимость от нефти и курса рубля, высокая доля государства, дивидендная модель, после 2022 г. рынок закрыт для нерезидентов.</w:t>
      </w:r>
    </w:p>
    <w:p>
      <w:pPr>
        <w:pStyle w:val="BodyText"/>
      </w:pPr>
      <w:r>
        <w:rPr>
          <w:bCs/>
          <w:b/>
        </w:rPr>
        <w:t xml:space="preserve">Чем различаются — по осям, которые проверяет модель: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полюс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Другой полюс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Размер (SMB)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SBER, LKOH, GAZP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RENI, MSNG, UPRO, CBOM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Оценка (HML)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«Стоимость»: банки, энергетика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«Рост»: HEAD, OZON, YDEX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Бета (CAPM)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HEAD, OZON, SBER: β &gt; 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CBOM, SNGSP, IRAO: β &lt; 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Выручка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Экспорт: нефть, металлы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спрос: ритейл,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Собственник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госкомпаний: 13,2% год.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Частные: 23,7% год.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именно эти.</w:t>
      </w:r>
      <w:r>
        <w:t xml:space="preserve"> </w:t>
      </w:r>
      <w:r>
        <w:t xml:space="preserve">Полюса по размеру и оценке — чтобы SMB и HML было на чём проверить; шесть отраслей и ликвидные бумаги — надёжные беты; 15 бумаг из ДЗ1. Российский рынок после 2022 г. изолирован и пережил сильные шоки — жёсткий тест моделей, построенных на американских данных.</w:t>
      </w:r>
    </w:p>
    <w:p>
      <w:pPr>
        <w:pStyle w:val="BodyText"/>
      </w:pPr>
      <w:r>
        <w:t xml:space="preserve">Состав выборки по отраслям: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Отрасль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Нефть и газ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LKOH, ROSN, GAZP, NVTK, TATN, SNGSP, BANEP, TRNFP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Крупные, дивидендные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SBER, VTBR, T, MOEX, BSPB, CBOM, RENI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гигантов до малых банков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Металлы и добыча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GMKN, PLZL, CHMF, NLMK, MAGN, RUAL, ALRS, SELG, MTLR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Экспортёры, сырьевой цикл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Электроэнергетика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IRAO, HYDR, FEES, UPRO, MSNG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Регулируемые, малая капитализация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Телеком и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MTSS, RTKM, YDEX,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— «рост», телеком — «защита»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Потребсектор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OZON, 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Рост, e-commerce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Источники.</w:t>
      </w:r>
      <w:r>
        <w:t xml:space="preserve"> </w:t>
      </w:r>
      <w:r>
        <w:t xml:space="preserve">Цены и индексы IMOEX, MCFTR — Мосбиржа (ISS API), 01.2015–09.2026; дивиденды — dohod.ru со сверкой на smart-lab.ru; RUONIA и кривая ОФЗ — Банк России; факторы SMB, HML, MOM, LIQ — проект CAPM-RU ИПЭИ РАНХиГС (А.Е. Абрамов, aea.ru), данные по 12.2024. Поэтому основной период — 02.2015–12.2024.</w:t>
      </w:r>
    </w:p>
    <w:p>
      <w:pPr>
        <w:pStyle w:val="BodyText"/>
      </w:pPr>
      <w:r>
        <w:rPr>
          <w:bCs/>
          <w:b/>
        </w:rPr>
        <w:t xml:space="preserve">Полная доходность.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−</m:t>
        </m:r>
        <m:r>
          <m:t>1</m:t>
        </m:r>
      </m:oMath>
      <w:r>
        <w:t xml:space="preserve">; дивиденд относится к месяцу экс-даты (T+2, с 31.07.2023 — T+1). Дивиденды дают до 11–12% годовых (MTSS, SNGSP), без них доходность занижена. Сплиты уже учтены биржей; тикеры склеены (YNDX→YDEX, FIVE→X5, HHRU→HEAD), 8 месяцев без торгов X5 исключены.</w:t>
      </w:r>
    </w:p>
    <w:p>
      <w:pPr>
        <w:pStyle w:val="BodyText"/>
      </w:pPr>
      <w:r>
        <w:rPr>
          <w:bCs/>
          <w:b/>
        </w:rPr>
        <w:t xml:space="preserve">Безрисковая ставка — RUONIA за каждый месяц</w:t>
      </w:r>
      <w:r>
        <w:t xml:space="preserve"> </w:t>
      </w:r>
      <w:r>
        <w:t xml:space="preserve">(в среднем 0,79% в месяц, всегда больше нуля). Ставка РАНХиГС — изменение ценового индекса ОФЗ RGBI — отрицательна в 56 месяцах из 119 (февраль 2022 г.: −15,9%), поэтому не используется. Проверка устойчивости — доходность 3-месячных ОФЗ на конец предыдущего месяца.</w:t>
      </w:r>
    </w:p>
    <w:p>
      <w:pPr>
        <w:pStyle w:val="BodyText"/>
      </w:pPr>
      <w:r>
        <w:rPr>
          <w:bCs/>
          <w:b/>
        </w:rPr>
        <w:t xml:space="preserve">Факторы.</w:t>
      </w:r>
      <w:r>
        <w:t xml:space="preserve"> </w:t>
      </w:r>
      <w:r>
        <w:t xml:space="preserve">MKT = MCFTR − RUONIA (строим сами, чтобы ставка была одна везде); SMB и HML — РАНХиГС с дивидендами (в портфелях «лонг минус шорт» ставка сокращается).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Среднее, % год.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t-стат.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Незначима: высокие ставки и 2022 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Значима, но во многом за счёт 2023 г. (+137%)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«Стоимость» не обогнала «рост»</w:t>
            </w:r>
          </w:p>
        </w:tc>
      </w:tr>
    </w:tbl>
    <w:p>
      <w:pPr>
        <w:pStyle w:val="BodyText"/>
      </w:pPr>
      <w:r>
        <w:t xml:space="preserve">Корреляции факторов по модулю не выше 0,24 — мультиколлинеарности нет.</w:t>
      </w:r>
    </w:p>
    <w:bookmarkEnd w:id="21"/>
    <w:bookmarkStart w:id="22" w:name="методология"/>
    <w:p>
      <w:pPr>
        <w:pStyle w:val="Heading2"/>
      </w:pPr>
      <w:r>
        <w:t xml:space="preserve">2. Методология</w:t>
      </w:r>
    </w:p>
    <w:p>
      <w:pPr>
        <w:pStyle w:val="FirstParagraph"/>
      </w:pPr>
      <w:r>
        <w:t xml:space="preserve">Оценка идёт в четыре шага; все расчёты — в Python (pandas, statsmodels, scipy), ноутбук</w:t>
      </w:r>
      <w:r>
        <w:t xml:space="preserve"> </w:t>
      </w:r>
      <w:r>
        <w:rPr>
          <w:rStyle w:val="VerbatimChar"/>
        </w:rPr>
        <w:t xml:space="preserve">hw2_fama_french.ipynb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Временные регрессии</w:t>
      </w:r>
      <w:r>
        <w:t xml:space="preserve"> </w:t>
      </w:r>
      <w:r>
        <w:t xml:space="preserve">по каждой акции (МНК, месячные данные, минимум 36 наблюдений, ошибки Ньюи–Уэста с 3 лагами).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Сравнение моделей:</w:t>
      </w:r>
      <w:r>
        <w:t xml:space="preserve"> </w:t>
      </w:r>
      <w:r>
        <w:t xml:space="preserve">R² и скорректированный R², средний модуль α, число значимых α, совместный тест GRS (Gibbons, Ross, Shanken, 1989) на 27 акциях с полной историей.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Процедура Фамы–Макбета (1973):</w:t>
      </w:r>
      <w:r>
        <w:t xml:space="preserve"> </w:t>
      </w:r>
      <w:r>
        <w:t xml:space="preserve">119 поперечных регрессий доходностей на беты, цена риска λ — среднее по месяцам.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Премии за риск:</w:t>
      </w:r>
      <w:r>
        <w:t xml:space="preserve"> </w:t>
      </w:r>
      <m:oMath>
        <m:r>
          <m:t>R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β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</m:e>
        </m:nary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средняя доходность фактора; требуемая доходность = текущая ставка 1-летних ОФЗ (13,72% на 30.09.2026) + премия.</w:t>
      </w:r>
    </w:p>
    <w:p>
      <w:pPr>
        <w:pStyle w:val="FirstParagraph"/>
      </w:pPr>
      <w:r>
        <w:t xml:space="preserve">CAPM: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i</m:t>
            </m:r>
          </m:sub>
        </m:sSub>
        <m:r>
          <m:t> </m:t>
        </m:r>
        <m:r>
          <m:t>M</m:t>
        </m:r>
        <m:r>
          <m:t>K</m:t>
        </m:r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</w:p>
    <w:p>
      <w:pPr>
        <w:pStyle w:val="BodyText"/>
      </w:pPr>
      <w:r>
        <w:t xml:space="preserve">Фама–Френч: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t> </m:t>
        </m:r>
        <m:r>
          <m:t>M</m:t>
        </m:r>
        <m:r>
          <m:t>K</m:t>
        </m:r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 </m:t>
        </m:r>
        <m:r>
          <m:t>S</m:t>
        </m:r>
        <m:r>
          <m:t>M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t> </m:t>
        </m:r>
        <m:r>
          <m:t>H</m:t>
        </m:r>
        <m:r>
          <m:t>M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</w:p>
    <w:p>
      <w:pPr>
        <w:pStyle w:val="BodyText"/>
      </w:pPr>
      <w:r>
        <w:t xml:space="preserve">Если модель верна, α = 0: факторы полностью объясняют среднюю избыточную доходность акции.</w:t>
      </w:r>
    </w:p>
    <w:bookmarkEnd w:id="22"/>
    <w:bookmarkStart w:id="26" w:name="результаты-capm-против-фамыфренча"/>
    <w:p>
      <w:pPr>
        <w:pStyle w:val="Heading2"/>
      </w:pPr>
      <w:r>
        <w:t xml:space="preserve">3. Результаты: CAPM против Фамы–Френча</w:t>
      </w:r>
    </w:p>
    <w:p>
      <w:pPr>
        <w:pStyle w:val="FirstParagraph"/>
      </w:pPr>
      <w:r>
        <w:t xml:space="preserve">Трёхфакторная модель объясняет доходности лучше CAPM по всем мерам, но тест GRS формально отвергает обе.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Фама–Френч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Средний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Средний скорр.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Средний модуль α, % год.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Значимых α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GRS (p-value)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1,86 (0,015)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 (0,037)</w:t>
            </w:r>
          </w:p>
        </w:tc>
      </w:tr>
    </w:tbl>
    <w:p>
      <w:pPr>
        <w:pStyle w:val="BodyText"/>
      </w:pPr>
      <w:r>
        <w:rPr>
          <w:bCs/>
          <w:b/>
        </w:rPr>
        <w:t xml:space="preserve">CAPM.</w:t>
      </w:r>
      <w:r>
        <w:t xml:space="preserve"> </w:t>
      </w:r>
      <w:r>
        <w:t xml:space="preserve">Все беты значимы. Выше рынка — компании роста и крупнейшие банки/нефтяники (HEAD 1,66; OZON 1,53; T 1,49; MTLR 1,45; ROSN 1,37; SBER 1,35), ниже — «защитные» (CBOM 0,55; SNGSP 0,64; PLZL, IRAO 0,65; HYDR, RTKM 0,66). Значимые альфы — только у BSPB (+26,6%), HEAD (+36,2%) и VTBR (−21,2% годовых).</w:t>
      </w:r>
    </w:p>
    <w:p>
      <w:pPr>
        <w:pStyle w:val="BodyText"/>
      </w:pPr>
      <w:r>
        <w:rPr>
          <w:bCs/>
          <w:b/>
        </w:rPr>
        <w:t xml:space="preserve">Фама–Френч.</w:t>
      </w:r>
      <w:r>
        <w:t xml:space="preserve"> </w:t>
      </w:r>
      <w:r>
        <w:t xml:space="preserve">Рыночные беты почти не меняются (средняя ~1,0). Значимые нагрузки: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акций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SMB &gt; 0 (как малые)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BSPB, SELG, HEAD, HYDR, VTBR, MOEX, UPRO, X5, FEES, RENI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SMB &lt; 0 (как крупные)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GAZP, ALRS,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HML &gt; 0 («стоимость»)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BSPB, VTBR, SBER, MSNG, IRAO, BANEP, GAZP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HML &lt; 0 («рост»)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HEAD, OZON, RENI, GMKN, ALRS</w:t>
            </w:r>
          </w:p>
        </w:tc>
      </w:tr>
    </w:tbl>
    <w:p>
      <w:pPr>
        <w:pStyle w:val="CaptionedFigure"/>
      </w:pPr>
      <w:r>
        <w:drawing>
          <wp:inline>
            <wp:extent cx="5334000" cy="2844800"/>
            <wp:effectExtent b="0" l="0" r="0" t="0"/>
            <wp:docPr descr="Нагрузки 35 акций на MKT, SMB и HML; тёмные — значимы на 5%" title="" id="24" name="Picture"/>
            <a:graphic>
              <a:graphicData uri="http://schemas.openxmlformats.org/drawingml/2006/picture">
                <pic:pic>
                  <pic:nvPicPr>
                    <pic:cNvPr descr="../../figures/04_ff3_beta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Нагрузки 35 акций на MKT, SMB и HML; тёмные — значимы на 5%</w:t>
      </w:r>
    </w:p>
    <w:p>
      <w:pPr>
        <w:pStyle w:val="BodyText"/>
      </w:pPr>
      <w:r>
        <w:rPr>
          <w:bCs/>
          <w:b/>
        </w:rPr>
        <w:t xml:space="preserve">«Альфа» по CAPM — часто премия за размер и стоимость</w:t>
      </w:r>
      <w:r>
        <w:t xml:space="preserve"> </w:t>
      </w:r>
      <w:r>
        <w:t xml:space="preserve">(как в примере со слайда 70 лекции 3). BSPB: +26,6% (t = 2,6) → +18,0% (t = 1,9); HEAD: +36,2% (t = 2,1) → +9,7% (t = 0,6). У VTBR альфа остаётся (−24,0%, t = −4,0): размывание при допэмиссиях 2022–2025 гг. — специфический риск. В модели ФФ значимая положительная альфа только у SBER (+13,3%, t = 1,99), отрицательные — у VTBR и UPRO.</w:t>
      </w:r>
    </w:p>
    <w:p>
      <w:pPr>
        <w:pStyle w:val="BodyText"/>
      </w:pPr>
      <w:r>
        <w:rPr>
          <w:bCs/>
          <w:b/>
        </w:rPr>
        <w:t xml:space="preserve">Фама–Макбет.</w:t>
      </w:r>
      <w:r>
        <w:t xml:space="preserve"> </w:t>
      </w:r>
      <w:r>
        <w:t xml:space="preserve">Константы ≈ 0, знаки λ совпадают со средними доходностями факторов (MKT 11,6%, SMB 20,7%, HML −7,7% годовых), но все незначимы (модуль t ≤ 1,54): 35 акций и 10 лет волатильного рынка недостаточно для точной оценки цены риска.</w:t>
      </w:r>
    </w:p>
    <w:bookmarkEnd w:id="26"/>
    <w:bookmarkStart w:id="30" w:name="премии-за-риск-и-требуемая-доходность"/>
    <w:p>
      <w:pPr>
        <w:pStyle w:val="Heading2"/>
      </w:pPr>
      <w:r>
        <w:t xml:space="preserve">4. Премии за риск и требуемая доходность</w:t>
      </w:r>
    </w:p>
    <w:p>
      <w:pPr>
        <w:pStyle w:val="FirstParagraph"/>
      </w:pPr>
      <w:r>
        <w:t xml:space="preserve">Для малых компаний CAPM занижает премию за риск на 7–16 п.п., для крупных — завышает на 0–4 п.п. Премия</w:t>
      </w:r>
      <w:r>
        <w:t xml:space="preserve"> </w:t>
      </w:r>
      <m:oMath>
        <m:r>
          <m:t>R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β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</m:e>
        </m:nary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средние доходности факторов за 2015–2024 (MKT 5,1%, SMB 17,9%, HML −3,4% годовых).</w:t>
      </w:r>
    </w:p>
    <w:p>
      <w:pPr>
        <w:pStyle w:val="CaptionedFigure"/>
      </w:pPr>
      <w:r>
        <w:drawing>
          <wp:inline>
            <wp:extent cx="4267200" cy="3840480"/>
            <wp:effectExtent b="0" l="0" r="0" t="0"/>
            <wp:docPr descr="Премии за риск 35 акций по CAPM и Фаме–Френчу; чёрные отметки — фактическая избыточная доходность" title="" id="28" name="Picture"/>
            <a:graphic>
              <a:graphicData uri="http://schemas.openxmlformats.org/drawingml/2006/picture">
                <pic:pic>
                  <pic:nvPicPr>
                    <pic:cNvPr descr="../../figures/06_premi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4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Премии за риск 35 акций по CAPM и Фаме–Френчу; чёрные отметки — фактическая избыточная доходность</w:t>
      </w:r>
    </w:p>
    <w:p>
      <w:pPr>
        <w:pStyle w:val="BodyText"/>
      </w:pPr>
      <w:r>
        <w:t xml:space="preserve">Требуемая доходность считается на дату анализа: безрисковая ставка — доходность 1-летних ОФЗ на 30.09.2026, 13,72%.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CAPM,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Фама–Френч,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Разница, п.п.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Факт. изб. доходность 2015–24,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LKOH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</w:t>
            </w:r>
          </w:p>
        </w:tc>
      </w:tr>
    </w:tbl>
    <w:p>
      <w:pPr>
        <w:pStyle w:val="BodyText"/>
      </w:pPr>
      <w:r>
        <w:t xml:space="preserve">Оговорка: премия SMB во многом держится на 2023 г., а премия рынка незначима — для прогноза премии стоит брать консервативнее исторических.</w:t>
      </w:r>
    </w:p>
    <w:bookmarkEnd w:id="30"/>
    <w:bookmarkStart w:id="31" w:name="Xc365053e752e66be6123f7b4aece8678a5835a8"/>
    <w:p>
      <w:pPr>
        <w:pStyle w:val="Heading2"/>
      </w:pPr>
      <w:r>
        <w:t xml:space="preserve">5. Устойчивость, дополнительные факторы и альтернативные модели</w:t>
      </w:r>
    </w:p>
    <w:p>
      <w:pPr>
        <w:pStyle w:val="FirstParagraph"/>
      </w:pPr>
      <w:r>
        <w:t xml:space="preserve">Во всех проверках Фама–Френч объясняет доходности лучше CAPM, а выбор безрисковой ставки почти не влияет на выводы.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 CAPM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 ФФ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Ср. модуль α CAPM,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Ср. модуль α ФФ,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Основной (RUONIA, с дивидендами)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 = ОФЗ 3 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дивидендов (IMOEX)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Рыночный фактор РАНХиГС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CAPM на 02.2015–09.2026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Дополнительные факторы (вопрос 4 задания).</w:t>
      </w:r>
      <w:r>
        <w:t xml:space="preserve"> </w:t>
      </w:r>
      <w:r>
        <w:t xml:space="preserve">Моментум MOM (Carhart, 1997) и ликвидность LIQ (Amihud, 2002; Pástor, Stambaugh, 2003) проверены на данных РАНХиГС: скорректированный R² растёт лишь с 0,406 до 0,413, MOM значим у 4 акций, LIQ — у 2. Другие кандидаты из литературы: прибыльность RMW и инвестиции CMA (Fama, French, 2015); макрофакторы по Chen, Roll, Ross (1986) — для России прежде всего цена нефти и курс рубля; фактор госсобственности SOE (CAPM-RU).</w:t>
      </w:r>
    </w:p>
    <w:p>
      <w:pPr>
        <w:pStyle w:val="BodyText"/>
      </w:pPr>
      <w:r>
        <w:rPr>
          <w:bCs/>
          <w:b/>
        </w:rPr>
        <w:t xml:space="preserve">Альтернативные модели (вопрос 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улучшит наш 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Пятифакторная ФФ (2015)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RMW, CMA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Может объяснить отрицательные альфы VTBR и UPRO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q-модель (Hou, Xue, Zhang, 2015)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Инвестиции и ROE из теории производства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Экономически обоснованная альтернатива ФФ5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Условная CAPM (Jagannathan, Wang, 1996)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Беты меняются во времени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 слома 2022 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Макро-APT (Ross, 1976)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Нефть, рубль, ключевая ставка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«Плохие времена» сырьевой экономики</w:t>
            </w:r>
          </w:p>
        </w:tc>
      </w:tr>
    </w:tbl>
    <w:bookmarkEnd w:id="31"/>
    <w:bookmarkStart w:id="32" w:name="рекомендации"/>
    <w:p>
      <w:pPr>
        <w:pStyle w:val="Heading2"/>
      </w:pPr>
      <w:r>
        <w:t xml:space="preserve">6. Рекомендации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Крупные ликвидные бумаги</w:t>
      </w:r>
      <w:r>
        <w:t xml:space="preserve"> </w:t>
      </w:r>
      <w:r>
        <w:t xml:space="preserve">(SBER, LKOH, ROSN, TATN, NVTK, GAZP, MTSS): достаточно CAPM — она даёт близкую или чуть завышенную (на 0–4 п.п.) стоимость капитала.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Малые компании и бумаги роста/стоимости</w:t>
      </w:r>
      <w:r>
        <w:t xml:space="preserve"> </w:t>
      </w:r>
      <w:r>
        <w:t xml:space="preserve">(BSPB, SELG, HEAD, OZON, X5, HYDR, UPRO): стоимость капитала по модели Фамы–Френча, иначе она занижена на 4–16 п.п. — прямая ошибка в DCF-оценке.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Альфу управляющего или инвестидеи проверять многофакторной моделью:</w:t>
      </w:r>
      <w:r>
        <w:t xml:space="preserve"> </w:t>
      </w:r>
      <w:r>
        <w:t xml:space="preserve">«альфа» BSPB и HEAD по CAPM во многом оказалась премией за размер и стоимость.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Портфель:</w:t>
      </w:r>
      <w:r>
        <w:t xml:space="preserve"> </w:t>
      </w:r>
      <w:r>
        <w:t xml:space="preserve">SBER — единственная значимая положительная альфа в модели ФФ (+13,3%, на границе значимости) — кандидат на перевес; VTBR и UPRO с отрицательной альфой — недовешивать.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Защитный портфель</w:t>
      </w:r>
      <w:r>
        <w:t xml:space="preserve"> </w:t>
      </w:r>
      <w:r>
        <w:t xml:space="preserve">— низкая β (CBOM, SNGSP, TRNFP, IRAO, RTKM, PLZL); ставка на рост рынка — высокая β (HEAD, OZON, T, ROSN, SBER). Требуемую доходность считать от текущей ставки ОФЗ, премию за размер — консервативнее исторической.</w:t>
      </w:r>
    </w:p>
    <w:bookmarkEnd w:id="32"/>
    <w:bookmarkStart w:id="33" w:name="ограничения"/>
    <w:p>
      <w:pPr>
        <w:pStyle w:val="Heading2"/>
      </w:pPr>
      <w:r>
        <w:t xml:space="preserve">7. Ограничения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Слабое 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грозит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исправить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Факторы РАНХиГС только до 12.2024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2025–2026 гг. не вошли в модель ФФ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Построить SMB и HML самим по данным биржи и отчётности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Отдельные акции, а не портфели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Шумные беты, Фама–Макбет незначим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Тестовые портфели размер × B/M, поправка Шанкена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Неустойчивые премии факторов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 держится на 2023 г., премия рынка незначима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Длинный ряд с 2003 г., консервативные премии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Структурный слом 2022 г.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Беты считаются постоянными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Подвыборки до/после 2022, скользящие беты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Короткая история RENI, OZON, HEAD, T, X5 (38–74 мес.)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Менее надёжные оценки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Читать с осторожностью, расширять по мере накопления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Разные источники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Дивиденды с dohod.ru; выборка РАНХиГС ≠ наш рынок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Сверка с НРД, единая методика факторов</w:t>
            </w:r>
          </w:p>
        </w:tc>
      </w:tr>
    </w:tbl>
    <w:bookmarkEnd w:id="33"/>
    <w:bookmarkStart w:id="34" w:name="заключение"/>
    <w:p>
      <w:pPr>
        <w:pStyle w:val="Heading2"/>
      </w:pPr>
      <w:r>
        <w:t xml:space="preserve">8. Заключение</w:t>
      </w:r>
    </w:p>
    <w:p>
      <w:pPr>
        <w:pStyle w:val="FirstParagraph"/>
      </w:pPr>
      <w:r>
        <w:t xml:space="preserve">Размер и стоимость — реальные источники систематического риска на российском рынке: они повышают объяснённую дисперсию с 38% до 42%, значимы у трети выборки и меняют премию за риск малых компаний до 16 п.п. Тест GRS отвергает обе модели, но трёхфакторная заметно ближе к цели; выводы устойчивы к ставке, дивидендам и периоду. Моментум и ликвидность добавляют немного.</w:t>
      </w:r>
    </w:p>
    <w:p>
      <w:pPr>
        <w:pStyle w:val="BodyText"/>
      </w:pPr>
      <w:r>
        <w:t xml:space="preserve">Расчёты: ноутбук</w:t>
      </w:r>
      <w:r>
        <w:t xml:space="preserve"> </w:t>
      </w:r>
      <w:r>
        <w:rPr>
          <w:rStyle w:val="VerbatimChar"/>
        </w:rPr>
        <w:t xml:space="preserve">hw2_fama_french.ipynb</w:t>
      </w:r>
      <w:r>
        <w:t xml:space="preserve">, таблицы</w:t>
      </w:r>
      <w:r>
        <w:t xml:space="preserve"> </w:t>
      </w:r>
      <w:r>
        <w:rPr>
          <w:rStyle w:val="VerbatimChar"/>
        </w:rPr>
        <w:t xml:space="preserve">results/hw2_results.xlsx</w:t>
      </w:r>
      <w:r>
        <w:t xml:space="preserve">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Аналитическая записка. Влияние рыночного фактора, фактора размера и фактора стоимости на доходность российских акций</dc:title>
  <dc:creator/>
  <cp:keywords/>
  <dcterms:created xsi:type="dcterms:W3CDTF">2026-10-22T15:00:39Z</dcterms:created>
  <dcterms:modified xsi:type="dcterms:W3CDTF">2026-10-22T15:00:39Z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Теория финансов, ДЗ №2</vt:lpwstr>
  </property>
</Properties>
</file>