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Текст</w:t>
      </w:r>
      <w:r>
        <w:t xml:space="preserve"> </w:t>
      </w:r>
      <w:r>
        <w:t xml:space="preserve">выступления.</w:t>
      </w:r>
      <w:r>
        <w:t xml:space="preserve"> </w:t>
      </w:r>
      <w:r>
        <w:t xml:space="preserve">ДЗ</w:t>
      </w:r>
      <w:r>
        <w:t xml:space="preserve"> </w:t>
      </w:r>
      <w:r>
        <w:t xml:space="preserve">№2:</w:t>
      </w:r>
      <w:r>
        <w:t xml:space="preserve"> </w:t>
      </w:r>
      <w:r>
        <w:t xml:space="preserve">CAPM</w:t>
      </w:r>
      <w:r>
        <w:t xml:space="preserve"> </w:t>
      </w:r>
      <w:r>
        <w:t xml:space="preserve">и</w:t>
      </w:r>
      <w:r>
        <w:t xml:space="preserve"> </w:t>
      </w:r>
      <w:r>
        <w:t xml:space="preserve">модель</w:t>
      </w:r>
      <w:r>
        <w:t xml:space="preserve"> </w:t>
      </w:r>
      <w:r>
        <w:t xml:space="preserve">Фамы–Френча</w:t>
      </w:r>
      <w:r>
        <w:t xml:space="preserve"> </w:t>
      </w:r>
      <w:r>
        <w:t xml:space="preserve">на</w:t>
      </w:r>
      <w:r>
        <w:t xml:space="preserve"> </w:t>
      </w:r>
      <w:r>
        <w:t xml:space="preserve">российском</w:t>
      </w:r>
      <w:r>
        <w:t xml:space="preserve"> </w:t>
      </w:r>
      <w:r>
        <w:t xml:space="preserve">рынке</w:t>
      </w:r>
    </w:p>
    <w:p>
      <w:pPr>
        <w:pStyle w:val="Subtitle"/>
      </w:pPr>
      <w:r>
        <w:t xml:space="preserve">≈</w:t>
      </w:r>
      <w:r>
        <w:t xml:space="preserve"> </w:t>
      </w:r>
      <w:r>
        <w:t xml:space="preserve">25</w:t>
      </w:r>
      <w:r>
        <w:t xml:space="preserve"> </w:t>
      </w:r>
      <w:r>
        <w:t xml:space="preserve">минут,</w:t>
      </w:r>
      <w:r>
        <w:t xml:space="preserve"> </w:t>
      </w:r>
      <w:r>
        <w:t xml:space="preserve">22</w:t>
      </w:r>
      <w:r>
        <w:t xml:space="preserve"> </w:t>
      </w:r>
      <w:r>
        <w:t xml:space="preserve">слайда</w:t>
      </w:r>
    </w:p>
    <w:p>
      <w:pPr>
        <w:pStyle w:val="FirstParagraph"/>
      </w:pPr>
      <w:r>
        <w:t xml:space="preserve">Около 3500 слов: при темпе 140 слов в минуту — 25 минут, при спокойном (130) — 27. Время у каждого слайда ориентировочное. Если нужно сократить, слайды 12, 17 и 19 можно пройти одной-двумя фразами — это сэкономит около 3 минут.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Слайды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Основная 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Аналитическая 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2,5 мин</w:t>
            </w:r>
          </w:p>
        </w:tc>
      </w:tr>
    </w:tbl>
    <w:bookmarkStart w:id="24" w:name="введение"/>
    <w:p>
      <w:pPr>
        <w:pStyle w:val="Heading1"/>
      </w:pPr>
      <w:r>
        <w:t xml:space="preserve">Введение</w:t>
      </w:r>
    </w:p>
    <w:bookmarkStart w:id="20" w:name="слайд-1.-обложка-040"/>
    <w:p>
      <w:pPr>
        <w:pStyle w:val="Heading2"/>
      </w:pPr>
      <w:r>
        <w:t xml:space="preserve">Слайд 1. Обложка · 0:40</w:t>
      </w:r>
    </w:p>
    <w:p>
      <w:pPr>
        <w:pStyle w:val="FirstParagraph"/>
      </w:pPr>
      <w:r>
        <w:t xml:space="preserve">Добрый день. Тема нашей работы — влияние рыночного фактора, фактора размера и фактора стоимости на доходность российских акций.</w:t>
      </w:r>
    </w:p>
    <w:p>
      <w:pPr>
        <w:pStyle w:val="BodyText"/>
      </w:pPr>
      <w:r>
        <w:t xml:space="preserve">Мы взяли 35 акций Московской биржи, месячные данные за десять лет, с 2015 по 2024 год, и сравнили две классические модели ценообразования активов из третьей лекции. Первая — CAPM: в ней у акции один источник систематического риска, рынок. Вторая — трёхфакторная модель Фамы–Френча: к рынку добавляются размер компании и её оценка относительно балансовой стоимости.</w:t>
      </w:r>
    </w:p>
    <w:p>
      <w:pPr>
        <w:pStyle w:val="BodyText"/>
      </w:pPr>
      <w:r>
        <w:t xml:space="preserve">Главный вопрос работы: насколько дополнительные факторы улучшают объяснение доходностей российских акций и как от выбора модели меняются премии за риск и требуемая доходность.</w:t>
      </w:r>
    </w:p>
    <w:bookmarkEnd w:id="20"/>
    <w:bookmarkStart w:id="21" w:name="X01851544e20ac11acb490a023fa1f99ecea6e2d"/>
    <w:p>
      <w:pPr>
        <w:pStyle w:val="Heading2"/>
      </w:pPr>
      <w:r>
        <w:t xml:space="preserve">Слайд 2. Цель и шесть вопросов задания · 1:00</w:t>
      </w:r>
    </w:p>
    <w:p>
      <w:pPr>
        <w:pStyle w:val="FirstParagraph"/>
      </w:pPr>
      <w:r>
        <w:t xml:space="preserve">Цель работы — оценить, насколько рынок, размер и стоимость объясняют доходности российских акций, и сравнить премии за риск по CAPM и по модели Фамы–Френча.</w:t>
      </w:r>
    </w:p>
    <w:p>
      <w:pPr>
        <w:pStyle w:val="BodyText"/>
      </w:pPr>
      <w:r>
        <w:t xml:space="preserve">Задание состоит из шести вопросов, и на слайде указано, где в презентации ответ на каждый.</w:t>
      </w:r>
    </w:p>
    <w:p>
      <w:pPr>
        <w:pStyle w:val="BodyText"/>
      </w:pPr>
      <w:r>
        <w:t xml:space="preserve">Первый вопрос — влияние трёх факторов на доходность: это результаты регрессий и сравнение моделей, слайды с десятого по четырнадцатый. Второй — почему выбраны именно эти акции, что у них общего и чем они различаются: слайд четыре. Третий — методология: слайды с пятого по двенадцатый. Четвёртый — какие ещё факторы можно добавить в модель: слайд восемнадцать. Пятый — альтернативные многофакторные модели: слайд девятнадцать. И шестой — рекомендации и сравнение премий за риск: слайды пятнадцать, шестнадцать и двадцать.</w:t>
      </w:r>
    </w:p>
    <w:p>
      <w:pPr>
        <w:pStyle w:val="BodyText"/>
      </w:pPr>
      <w:r>
        <w:t xml:space="preserve">Все расчёты сделаны в Python, ноутбук с комментариями и таблицы в Excel приложены к работе.</w:t>
      </w:r>
    </w:p>
    <w:bookmarkEnd w:id="21"/>
    <w:bookmarkStart w:id="22" w:name="слайд-3.-структура-работы-040"/>
    <w:p>
      <w:pPr>
        <w:pStyle w:val="Heading2"/>
      </w:pPr>
      <w:r>
        <w:t xml:space="preserve">Слайд 3. Структура работы · 0:40</w:t>
      </w:r>
    </w:p>
    <w:p>
      <w:pPr>
        <w:pStyle w:val="FirstParagraph"/>
      </w:pPr>
      <w:r>
        <w:t xml:space="preserve">Работа построена по требуемой структуре из четырёх частей.</w:t>
      </w:r>
    </w:p>
    <w:p>
      <w:pPr>
        <w:pStyle w:val="BodyText"/>
      </w:pPr>
      <w:r>
        <w:t xml:space="preserve">Введение — цель, задачи и описание выборки, слайды с первого по четвёртый. Основная часть — методология по шагам и результаты регрессий в таблицах и графиках, слайды с пятого по двенадцатый. Аналитическая часть — интерпретация и сравнение: модели, премии за риск, проверки устойчивости, дополнительные факторы и альтернативные модели, рекомендации — слайды с тринадцатого по двадцатый. И заключение — основные выводы и слабые стороны работы.</w:t>
      </w:r>
    </w:p>
    <w:p>
      <w:pPr>
        <w:pStyle w:val="BodyText"/>
      </w:pPr>
      <w:r>
        <w:t xml:space="preserve">Над заголовком каждого слайда подписано, к какой части он относится.</w:t>
      </w:r>
    </w:p>
    <w:bookmarkEnd w:id="22"/>
    <w:bookmarkStart w:id="23" w:name="слайд-4.-выборка-140"/>
    <w:p>
      <w:pPr>
        <w:pStyle w:val="Heading2"/>
      </w:pPr>
      <w:r>
        <w:t xml:space="preserve">Слайд 4. Выборка · 1:40</w:t>
      </w:r>
    </w:p>
    <w:p>
      <w:pPr>
        <w:pStyle w:val="FirstParagraph"/>
      </w:pPr>
      <w:r>
        <w:t xml:space="preserve">Теперь о выборке и о том, почему именно эти 35 акций. Это 15 бумаг из первого домашнего задания и 20 крупнейших по капитализации и ликвидности бумаг из шести отраслей: нефть и газ, финансы, металлы, электроэнергетика, телеком и IT, потребительский сектор.</w:t>
      </w:r>
    </w:p>
    <w:p>
      <w:pPr>
        <w:pStyle w:val="BodyText"/>
      </w:pPr>
      <w:r>
        <w:t xml:space="preserve">Что у них общего? Общее — не только площадка, но и экономика: все они живут в одних и тех же «плохих временах». Средняя корреляция месячных доходностей между любыми двумя бумагами выборки — 0,39. Причём внутри одной отрасли она 0,45, а между разными отраслями — 0,38, почти столько же. Значит, акции двигаются вместе прежде всего из-за общего шока для всей экономики, а не из-за отраслевых новостей. Это и есть рыночный фактор CAPM.</w:t>
      </w:r>
    </w:p>
    <w:p>
      <w:pPr>
        <w:pStyle w:val="BodyText"/>
      </w:pPr>
      <w:r>
        <w:t xml:space="preserve">Это видно и по датам: в 11 месяцах из 119 падало больше 80 процентов бумаг выборки. Это пандемия 2020 года, санкции и мобилизация 2022-го и повышение ключевой ставки до 21 процента в 2024-м.</w:t>
      </w:r>
    </w:p>
    <w:p>
      <w:pPr>
        <w:pStyle w:val="BodyText"/>
      </w:pPr>
      <w:r>
        <w:t xml:space="preserve">Чем они различаются? Ровно по тем осям, которые проверяет модель. По размеру — от Сбербанка, Лукойла и Газпрома до Ренессанс Страхования, Мосэнергосбыта, Юнипро и МКБ; это фактор SMB. По оценке — банки и энергетика как «акции стоимости» против HeadHunter, Ozon и Яндекса как «акций роста»; это фактор HML. По чувствительности к рынку — беты от 0,55 до 1,66. И ещё по двум признакам: экспортёры против компаний внутреннего спроса и госкомпании против частных. Одиннадцать госкомпаний выборки приносили в среднем 13 процентов годовых, частные — почти 24.</w:t>
      </w:r>
    </w:p>
    <w:p>
      <w:pPr>
        <w:pStyle w:val="BodyText"/>
      </w:pPr>
      <w:r>
        <w:t xml:space="preserve">Поэтому выбор такой: нужны полюса по размеру и оценке, иначе SMB и HML не на чем проверить; шесть отраслей и ликвидные бумаги дают надёжные оценки бет; 15 бумаг связывают работу с первым заданием. А российский рынок после 2022 года изолирован и пережил сильные шоки — это жёсткий тест для моделей, построенных на американских данных.</w:t>
      </w:r>
    </w:p>
    <w:bookmarkEnd w:id="23"/>
    <w:bookmarkEnd w:id="24"/>
    <w:bookmarkStart w:id="33" w:name="основная-часть"/>
    <w:p>
      <w:pPr>
        <w:pStyle w:val="Heading1"/>
      </w:pPr>
      <w:r>
        <w:t xml:space="preserve">Основная часть</w:t>
      </w:r>
    </w:p>
    <w:bookmarkStart w:id="25" w:name="слайд-5.-методология-130"/>
    <w:p>
      <w:pPr>
        <w:pStyle w:val="Heading2"/>
      </w:pPr>
      <w:r>
        <w:t xml:space="preserve">Слайд 5. Методология · 1:30</w:t>
      </w:r>
    </w:p>
    <w:p>
      <w:pPr>
        <w:pStyle w:val="FirstParagraph"/>
      </w:pPr>
      <w:r>
        <w:t xml:space="preserve">Теперь методология. Основная часть построена в четыре шага, и на слайде видно, на каких слайдах каждый из них.</w:t>
      </w:r>
    </w:p>
    <w:p>
      <w:pPr>
        <w:pStyle w:val="BodyText"/>
      </w:pPr>
      <w:r>
        <w:t xml:space="preserve">Вверху — две модели, которые мы оцениваем. В CAPM избыточная доходность акции, то есть доходность сверх безрисковой ставки, объясняется только рыночным фактором. В модели Фамы–Френча — тремя: рынком, фактором размера SMB и фактором стоимости HML. Коэффициенты при факторах — это беты, или нагрузки: сколько каждого риска несёт акция. Альфа — средняя доходность, которую факторы не объясняют. Если модель верна, альфа должна быть равна нулю.</w:t>
      </w:r>
    </w:p>
    <w:p>
      <w:pPr>
        <w:pStyle w:val="BodyText"/>
      </w:pPr>
      <w:r>
        <w:t xml:space="preserve">Шаг первый — данные: цены и дивиденды переводим в месячные доходности. Шаг второй — безрисковая ставка и факторы. Шаг третий — регрессии: для каждой из 35 акций отдельно, методом наименьших квадратов, со стандартными ошибками Ньюи–Уэста. Они устойчивы к гетероскедастичности и автокорреляции остатков, что важно для кризисных месяцев. Минимум — 36 месяцев наблюдений. Здесь же процедура Фамы–Макбета — сколько рынок платит за единицу каждого риска. Шаг четвёртый — сравниваем модели и считаем премии за риск: ожидаемая доходность равна безрисковой ставке плюс сумма бет, умноженных на премии факторов.</w:t>
      </w:r>
    </w:p>
    <w:bookmarkEnd w:id="25"/>
    <w:bookmarkStart w:id="26" w:name="слайд-6.-данные-120"/>
    <w:p>
      <w:pPr>
        <w:pStyle w:val="Heading2"/>
      </w:pPr>
      <w:r>
        <w:t xml:space="preserve">Слайд 6. Данные · 1:20</w:t>
      </w:r>
    </w:p>
    <w:p>
      <w:pPr>
        <w:pStyle w:val="FirstParagraph"/>
      </w:pPr>
      <w:r>
        <w:t xml:space="preserve">Шаг первый — данные. Цены 35 акций и индексы мы скачали напрямую с Московской биржи, только из основного режима торгов TQBR, где формируется рыночная цена. Дивиденды взяли с dohod.ru со сверкой на smart-lab, безрисковую ставку и кривую ОФЗ — с сайта Банка России, факторы размера и стоимости — из проекта CAPM-RU Абрамова в РАНХиГС.</w:t>
      </w:r>
    </w:p>
    <w:p>
      <w:pPr>
        <w:pStyle w:val="BodyText"/>
      </w:pPr>
      <w:r>
        <w:t xml:space="preserve">Главное решение на этом шаге — доходности считаются с учётом дивидендов: цена в конце месяца плюс дивиденд, делённые на цену прошлого месяца, минус единица. Для России это принципиально: дивиденды дают до 11–12 процентов годовых — у МТС и привилегированных Сургутнефтегаза. Без них доходность занижена, а в месяц отсечки цена падает на размер дивиденда, и регрессия видит в этом убыток, которого у инвестора не было. Дивиденд относим к месяцу экс-дивидендной даты, с учётом перехода биржи с режима расчётов T+2 на T+1 в июле 2023 года.</w:t>
      </w:r>
    </w:p>
    <w:p>
      <w:pPr>
        <w:pStyle w:val="BodyText"/>
      </w:pPr>
      <w:r>
        <w:t xml:space="preserve">Ещё две технические вещи. Переименованные компании склеены: Яндекс, X5 и HeadHunter сменили тикеры, и мы соединили старую и новую историю. Восемь месяцев, когда X5 не торговалась, исключены, а не растянуты в одну доходность. И проверки: сплиты уже учтены биржей, а размер каждого дивиденда сверен с ценой — так нашли и удалили одну ошибочную запись.</w:t>
      </w:r>
    </w:p>
    <w:p>
      <w:pPr>
        <w:pStyle w:val="BodyText"/>
      </w:pPr>
      <w:r>
        <w:t xml:space="preserve">Факторы РАНХиГС заканчиваются в декабре 2024 года, поэтому основной период — с февраля 2015 по декабрь 2024 года, 119 месяцев.</w:t>
      </w:r>
    </w:p>
    <w:bookmarkEnd w:id="26"/>
    <w:bookmarkStart w:id="27" w:name="слайд-7.-безрисковая-ставка-120"/>
    <w:p>
      <w:pPr>
        <w:pStyle w:val="Heading2"/>
      </w:pPr>
      <w:r>
        <w:t xml:space="preserve">Слайд 7. Безрисковая ставка · 1:20</w:t>
      </w:r>
    </w:p>
    <w:p>
      <w:pPr>
        <w:pStyle w:val="FirstParagraph"/>
      </w:pPr>
      <w:r>
        <w:t xml:space="preserve">Шаг второй начинается с безрисковой ставки — того, что вычитаем из доходности акций.</w:t>
      </w:r>
    </w:p>
    <w:p>
      <w:pPr>
        <w:pStyle w:val="BodyText"/>
      </w:pPr>
      <w:r>
        <w:t xml:space="preserve">Ключевая ставка за период менялась от 4,25 до 21 процента. Если взять одну среднюю ставку на весь период, около десяти с половиной процентов, избыточная доходность в 2020–2021 годах окажется заниженной, а в 2024 году — завышенной примерно на 10 процентных пунктов годовых. Поэтому берём свою ставку на каждый месяц.</w:t>
      </w:r>
    </w:p>
    <w:p>
      <w:pPr>
        <w:pStyle w:val="BodyText"/>
      </w:pPr>
      <w:r>
        <w:t xml:space="preserve">Основной вариант — RUONIA, ставка овернайт между крупными банками, которую публикует ЦБ. Вложение на одну ночь в надёжный банк — ближайший к безрисковому рублёвый актив, аналог одномесячных казначейских векселей, которые используют Фама и Френч. Дневные ставки мы капитализируем за месяц. На графике это синяя линия: в среднем 0,79 процента в месяц, и она ни разу не была отрицательной.</w:t>
      </w:r>
    </w:p>
    <w:p>
      <w:pPr>
        <w:pStyle w:val="BodyText"/>
      </w:pPr>
      <w:r>
        <w:t xml:space="preserve">Отдельно мы проверили, как это делает РАНХиГС. У них безрисковая ставка — месячное изменение ценового индекса ОФЗ RGBI, зелёная линия. Она была отрицательной в 56 месяцах из 119, а в феврале 2022 года упала почти на 16 процентов. Безрисковый актив так себя вести не может: это цена длинных облигаций, то есть рисковый актив. Поэтому рыночный фактор мы строим сами, на RUONIA. Оранжевая линия — трёхмесячные ОФЗ, она почти совпадает с RUONIA; её мы используем как проверку устойчивости.</w:t>
      </w:r>
    </w:p>
    <w:bookmarkEnd w:id="27"/>
    <w:bookmarkStart w:id="28" w:name="слайд-8.-рыночный-фактор-100"/>
    <w:p>
      <w:pPr>
        <w:pStyle w:val="Heading2"/>
      </w:pPr>
      <w:r>
        <w:t xml:space="preserve">Слайд 8. Рыночный фактор · 1:00</w:t>
      </w:r>
    </w:p>
    <w:p>
      <w:pPr>
        <w:pStyle w:val="FirstParagraph"/>
      </w:pPr>
      <w:r>
        <w:t xml:space="preserve">Рыночный фактор — это доходность индекса полной доходности MCFTR минус RUONIA. MCFTR включает реинвестированные дивиденды, поэтому он согласован с доходностями наших акций.</w:t>
      </w:r>
    </w:p>
    <w:p>
      <w:pPr>
        <w:pStyle w:val="BodyText"/>
      </w:pPr>
      <w:r>
        <w:t xml:space="preserve">На графике — как рос бы рубль, вложенный в январе 2015 года, в три варианта. MCFTR обгоняет обычный индекс Мосбиржи примерно на 7 процентов в год — это и есть дивиденды. А зелёная линия — RUONIA, безрисковое размещение.</w:t>
      </w:r>
    </w:p>
    <w:p>
      <w:pPr>
        <w:pStyle w:val="BodyText"/>
      </w:pPr>
      <w:r>
        <w:t xml:space="preserve">Главное наблюдение: премия рынка над безрисковой ставкой за 2015–2024 годы — около 5 процентов годовых, и она статистически незначима, t-статистика 0,8. Высокие ставки ЦБ и обвал 2022 года съели большую часть превышения акций над депозитом. А в 2025–2026 годах, при ставке от 14 до 21 процента, рынок с дивидендами и вовсе отстал от RUONIA — это видно справа от пунктирной линии.</w:t>
      </w:r>
    </w:p>
    <w:p>
      <w:pPr>
        <w:pStyle w:val="BodyText"/>
      </w:pPr>
      <w:r>
        <w:t xml:space="preserve">Это важно для всей дальнейшей работы: от рыночной премии зависят все оценки ожидаемой доходности по CAPM.</w:t>
      </w:r>
    </w:p>
    <w:bookmarkEnd w:id="28"/>
    <w:bookmarkStart w:id="29" w:name="слайд-9.-факторы-120"/>
    <w:p>
      <w:pPr>
        <w:pStyle w:val="Heading2"/>
      </w:pPr>
      <w:r>
        <w:t xml:space="preserve">Слайд 9. Факторы · 1:20</w:t>
      </w:r>
    </w:p>
    <w:p>
      <w:pPr>
        <w:pStyle w:val="FirstParagraph"/>
      </w:pPr>
      <w:r>
        <w:t xml:space="preserve">Теперь три фактора модели вместе. Рыночный мы построили сами, SMB и HML взяли у РАНХиГС в версии с дивидендами. SMB — это доходность портфеля малых компаний минус доходность крупных. HML — доходность акций с высоким отношением балансовой стоимости к рыночной, «акций стоимости», минус доходность «акций роста». Безрисковая ставка в этих разностях сокращается, поэтому их можно брать как есть.</w:t>
      </w:r>
    </w:p>
    <w:p>
      <w:pPr>
        <w:pStyle w:val="BodyText"/>
      </w:pPr>
      <w:r>
        <w:t xml:space="preserve">На графике — как рос бы рубль, вложенный в стратегию каждого фактора. Справа — средние годовые премии. Рынок: плюс 5,1 процента, незначимо. Размер: плюс 17,9 процента, t-статистика 2,2 — единственная значимая премия. Но видно, откуда она взялась: до конца 2022 года малые компании обгоняли крупные умеренно, а в 2023 году оранжевая линия идёт почти вертикально — SMB за год вырос на 137 процентов. Это бум частных инвесторов во втором эшелоне после ухода иностранцев. Поэтому премию за размер в прогнозах нужно брать осторожно.</w:t>
      </w:r>
    </w:p>
    <w:p>
      <w:pPr>
        <w:pStyle w:val="BodyText"/>
      </w:pPr>
      <w:r>
        <w:t xml:space="preserve">Фактор стоимости — минус 3,4 процента и незначим: в России за десятилетие «акции стоимости» в среднем проиграли «акциям роста». Это расходится с классическим результатом для США и само по себе интересно.</w:t>
      </w:r>
    </w:p>
    <w:p>
      <w:pPr>
        <w:pStyle w:val="BodyText"/>
      </w:pPr>
      <w:r>
        <w:t xml:space="preserve">Корреляции между факторами не выше 0,24 — каждый несёт свою информацию, мультиколлинеарности в регрессиях нет.</w:t>
      </w:r>
    </w:p>
    <w:bookmarkEnd w:id="29"/>
    <w:bookmarkStart w:id="30" w:name="слайд-10.-результаты-capm-120"/>
    <w:p>
      <w:pPr>
        <w:pStyle w:val="Heading2"/>
      </w:pPr>
      <w:r>
        <w:t xml:space="preserve">Слайд 10. Результаты CAPM · 1:20</w:t>
      </w:r>
    </w:p>
    <w:p>
      <w:pPr>
        <w:pStyle w:val="FirstParagraph"/>
      </w:pPr>
      <w:r>
        <w:t xml:space="preserve">Шаг третий — результаты регрессий. Начнём с CAPM.</w:t>
      </w:r>
    </w:p>
    <w:p>
      <w:pPr>
        <w:pStyle w:val="BodyText"/>
      </w:pPr>
      <w:r>
        <w:t xml:space="preserve">Все беты положительны и значимы, от 0,55 у МКБ до 1,66 у HeadHunter. Бета 1 означает, что акция в среднем движется как рынок; 1,5 — в полтора раза сильнее; 0,6 — заметно спокойнее.</w:t>
      </w:r>
    </w:p>
    <w:p>
      <w:pPr>
        <w:pStyle w:val="BodyText"/>
      </w:pPr>
      <w:r>
        <w:t xml:space="preserve">В таблице — агрессивные и защитные бумаги. Выше рынка — компании роста и крупнейшие банки и нефтяники: HeadHunter, Ozon, Т-Технологии, Мечел, Роснефть, Сбербанк. Ниже рынка — защитные: МКБ, привилегированные Сургутнефтегаза с дивидендной формулой, Полюс (золото дорожает в кризис), Интер РАО, РусГидро, Ростелеком.</w:t>
      </w:r>
    </w:p>
    <w:p>
      <w:pPr>
        <w:pStyle w:val="BodyText"/>
      </w:pPr>
      <w:r>
        <w:t xml:space="preserve">Средний R квадрат — 0,38: рынок объясняет около трети колебаний доходности отдельной акции, остальное — специфический риск компании.</w:t>
      </w:r>
    </w:p>
    <w:p>
      <w:pPr>
        <w:pStyle w:val="BodyText"/>
      </w:pPr>
      <w:r>
        <w:t xml:space="preserve">Альфы в большинстве незначимы — для большинства акций CAPM не отвергается. Исключения три: Банк Санкт-Петербург с альфой плюс 27 процентов годовых, HeadHunter — плюс 36 процентов, и ВТБ — минус 21 процент. К ним мы вернёмся на слайде четырнадцать.</w:t>
      </w:r>
    </w:p>
    <w:bookmarkEnd w:id="30"/>
    <w:bookmarkStart w:id="31" w:name="слайд-11.-результаты-фамыфренча-120"/>
    <w:p>
      <w:pPr>
        <w:pStyle w:val="Heading2"/>
      </w:pPr>
      <w:r>
        <w:t xml:space="preserve">Слайд 11. Результаты Фамы–Френча · 1:20</w:t>
      </w:r>
    </w:p>
    <w:p>
      <w:pPr>
        <w:pStyle w:val="FirstParagraph"/>
      </w:pPr>
      <w:r>
        <w:t xml:space="preserve">Теперь трёхфакторная модель. На графике — нагрузки каждой акции на три фактора, тёмным выделены значимые.</w:t>
      </w:r>
    </w:p>
    <w:p>
      <w:pPr>
        <w:pStyle w:val="BodyText"/>
      </w:pPr>
      <w:r>
        <w:t xml:space="preserve">Рыночные беты почти не изменились по сравнению с CAPM, в среднем около единицы: SMB и HML слабо связаны с рынком.</w:t>
      </w:r>
    </w:p>
    <w:p>
      <w:pPr>
        <w:pStyle w:val="BodyText"/>
      </w:pPr>
      <w:r>
        <w:t xml:space="preserve">Нагрузки на размер и стоимость экономически осмысленны. Положительная нагрузка на SMB означает, что акция ведёт себя как малая компания. Таких десять: Банк Санкт-Петербург, Селигдар, HeadHunter, РусГидро, ВТБ, Мосбиржа, Юнипро, X5, ФСК и Ренессанс. Отрицательная, то есть как крупные, — у трёх: Газпром, Алроса, Т-Технологии.</w:t>
      </w:r>
    </w:p>
    <w:p>
      <w:pPr>
        <w:pStyle w:val="BodyText"/>
      </w:pPr>
      <w:r>
        <w:t xml:space="preserve">Положительная нагрузка на HML — ведёт себя как «акция стоимости»: банки — Банк Санкт-Петербург, ВТБ, Сбербанк — и энергетика, Башнефть, Газпром. Это компании с низкой ценой относительно баланса, зрелым бизнесом и сильной зависимостью от государства и ставок. Отрицательная — «акции роста»: HeadHunter, Ozon, Ренессанс, Норникель, Алроса; за их перспективы рынок платит премию к балансу.</w:t>
      </w:r>
    </w:p>
    <w:p>
      <w:pPr>
        <w:pStyle w:val="BodyText"/>
      </w:pPr>
      <w:r>
        <w:t xml:space="preserve">В сумме значимые нагрузки на размер есть у 13 акций, на стоимость — у 12, то есть примерно у трети выборки.</w:t>
      </w:r>
    </w:p>
    <w:bookmarkEnd w:id="31"/>
    <w:bookmarkStart w:id="32" w:name="слайд-12.-фамамакбет-100"/>
    <w:p>
      <w:pPr>
        <w:pStyle w:val="Heading2"/>
      </w:pPr>
      <w:r>
        <w:t xml:space="preserve">Слайд 12. Фама–Макбет · 1:00</w:t>
      </w:r>
    </w:p>
    <w:p>
      <w:pPr>
        <w:pStyle w:val="FirstParagraph"/>
      </w:pPr>
      <w:r>
        <w:t xml:space="preserve">Последний слайд основной части — процедура Фамы–Макбета. Она отвечает на вопрос: сколько рынок платит за единицу каждого риска.</w:t>
      </w:r>
    </w:p>
    <w:p>
      <w:pPr>
        <w:pStyle w:val="BodyText"/>
      </w:pPr>
      <w:r>
        <w:t xml:space="preserve">Беты берём из временных регрессий, а затем каждый из 119 месяцев регрессируем доходности всех акций на их беты и усредняем коэффициенты по времени.</w:t>
      </w:r>
    </w:p>
    <w:p>
      <w:pPr>
        <w:pStyle w:val="BodyText"/>
      </w:pPr>
      <w:r>
        <w:t xml:space="preserve">Результат: константы близки к нулю, как и должно быть, а знаки премий совпадают со средними доходностями факторов — плюс за рынок, плюс за размер, минус за стоимость. Но все премии статистически незначимы: на 35 отдельных акциях и десяти годах очень волатильного рынка точно оценить цену риска нельзя.</w:t>
      </w:r>
    </w:p>
    <w:p>
      <w:pPr>
        <w:pStyle w:val="BodyText"/>
      </w:pPr>
      <w:r>
        <w:t xml:space="preserve">Поэтому для расчёта премий за риск дальше мы используем средние доходности факторов — это стандартный подход для торгуемых факторов, — а Фаму–Макбета рассматриваем как проверку знаков.</w:t>
      </w:r>
    </w:p>
    <w:bookmarkEnd w:id="32"/>
    <w:bookmarkEnd w:id="33"/>
    <w:bookmarkStart w:id="42" w:name="аналитическая-часть"/>
    <w:p>
      <w:pPr>
        <w:pStyle w:val="Heading1"/>
      </w:pPr>
      <w:r>
        <w:t xml:space="preserve">Аналитическая часть</w:t>
      </w:r>
    </w:p>
    <w:bookmarkStart w:id="34" w:name="слайд-13.-сравнение-моделей-120"/>
    <w:p>
      <w:pPr>
        <w:pStyle w:val="Heading2"/>
      </w:pPr>
      <w:r>
        <w:t xml:space="preserve">Слайд 13. Сравнение моделей · 1:20</w:t>
      </w:r>
    </w:p>
    <w:p>
      <w:pPr>
        <w:pStyle w:val="FirstParagraph"/>
      </w:pPr>
      <w:r>
        <w:t xml:space="preserve">Переходим к аналитической части — что всё это значит и какая модель лучше.</w:t>
      </w:r>
    </w:p>
    <w:p>
      <w:pPr>
        <w:pStyle w:val="BodyText"/>
      </w:pPr>
      <w:r>
        <w:t xml:space="preserve">Трёхфакторная модель объясняет доходности лучше по всем мерам. Средний R квадрат растёт с 0,38 до 0,42, скорректированный — с 0,37 до 0,41. Средняя абсолютная альфа, то есть средняя ошибка ценообразования, падает с 9,8 до 8,1 процентного пункта годовых.</w:t>
      </w:r>
    </w:p>
    <w:p>
      <w:pPr>
        <w:pStyle w:val="BodyText"/>
      </w:pPr>
      <w:r>
        <w:t xml:space="preserve">Сильнее всего выигрывают малые компании и бумаги с выраженным профилем стоимости или роста: у Банка Санкт-Петербург R квадрат растёт с 0,32 до 0,50, у HeadHunter — с 0,39 до 0,55.</w:t>
      </w:r>
    </w:p>
    <w:p>
      <w:pPr>
        <w:pStyle w:val="BodyText"/>
      </w:pPr>
      <w:r>
        <w:t xml:space="preserve">Совместный тест Гиббонса–Росса–Шанкена на 27 акциях с полной историей проверяет, равны ли все альфы нулю одновременно. Он отвергает обе модели на пятипроцентном уровне: p-value 0,015 для CAPM и 0,037 для Фамы–Френча. Но у трёхфакторной модели статистика меньше, а p-value выше — она ближе к цели. Как и на американских данных, трёх факторов недостаточно, чтобы полностью объяснить доходности.</w:t>
      </w:r>
    </w:p>
    <w:bookmarkEnd w:id="34"/>
    <w:bookmarkStart w:id="35" w:name="слайд-14.-ключевой-пример-130"/>
    <w:p>
      <w:pPr>
        <w:pStyle w:val="Heading2"/>
      </w:pPr>
      <w:r>
        <w:t xml:space="preserve">Слайд 14. Ключевой пример · 1:30</w:t>
      </w:r>
    </w:p>
    <w:p>
      <w:pPr>
        <w:pStyle w:val="FirstParagraph"/>
      </w:pPr>
      <w:r>
        <w:t xml:space="preserve">Это, на наш взгляд, главный результат работы. На лекции, на слайде 70, был пример: управляющий фондом по CAPM показывает значимую альфу, а в модели Фамы–Френча она исчезает — это была не квалификация, а премия за размер и стоимость. Мы получили то же самое на российских данных.</w:t>
      </w:r>
    </w:p>
    <w:p>
      <w:pPr>
        <w:pStyle w:val="BodyText"/>
      </w:pPr>
      <w:r>
        <w:t xml:space="preserve">У Банка Санкт-Петербург альфа по CAPM — плюс 26,6 процента годовых, и она значима, t-статистика 2,6. Кажется, что банк стабильно переигрывает рынок. В трёхфакторной модели альфа снижается до 18 процентов и теряет значимость. Причина в том, что банк ведёт себя как малая акция стоимости, и часть его доходности — это плата за эти риски, а не «бесплатный» доход. У HeadHunter картина ещё ярче: альфа падает с 36 до 10 процентов, t-статистика — с 2,1 до 0,6.</w:t>
      </w:r>
    </w:p>
    <w:p>
      <w:pPr>
        <w:pStyle w:val="BodyText"/>
      </w:pPr>
      <w:r>
        <w:t xml:space="preserve">А вот у ВТБ отрицательная альфа остаётся и даже усиливается — минус 24 процента, t-статистика минус 4. Акционеры ВТБ проиграли из-за размывания доли при допэмиссиях. Это специфический риск компании, и факторы его не объясняют.</w:t>
      </w:r>
    </w:p>
    <w:p>
      <w:pPr>
        <w:pStyle w:val="BodyText"/>
      </w:pPr>
      <w:r>
        <w:t xml:space="preserve">Справа — R квадрат и альфы всех 35 акций в двух моделях: почти все точки на левом графике выше диагонали — трёхфакторная модель объясняет больше.</w:t>
      </w:r>
    </w:p>
    <w:bookmarkEnd w:id="35"/>
    <w:bookmarkStart w:id="36" w:name="слайд-15.-премии-за-риск-130"/>
    <w:p>
      <w:pPr>
        <w:pStyle w:val="Heading2"/>
      </w:pPr>
      <w:r>
        <w:t xml:space="preserve">Слайд 15. Премии за риск · 1:30</w:t>
      </w:r>
    </w:p>
    <w:p>
      <w:pPr>
        <w:pStyle w:val="FirstParagraph"/>
      </w:pPr>
      <w:r>
        <w:t xml:space="preserve">Теперь главный вопрос задания — сравнение премий за риск.</w:t>
      </w:r>
    </w:p>
    <w:p>
      <w:pPr>
        <w:pStyle w:val="BodyText"/>
      </w:pPr>
      <w:r>
        <w:t xml:space="preserve">Премия за риск акции — это сумма произведений её нагрузок на премии факторов. Премии факторов — их средние доходности за десять лет: рынок 5,1, размер 17,9, стоимость минус 3,4 процента годовых. Например, для Банка Санкт-Петербург: 0,97 умножить на 5,1, плюс 0,57 умножить на 17,9, плюс 0,43 умножить на минус 3,4 — получается около 13,7 процента годовых. CAPM видит только рыночную часть — около 5 процентов.</w:t>
      </w:r>
    </w:p>
    <w:p>
      <w:pPr>
        <w:pStyle w:val="BodyText"/>
      </w:pPr>
      <w:r>
        <w:t xml:space="preserve">На графике синим — премия по CAPM, оранжевым — по Фаме–Френчу, чёрными отметками — фактическая избыточная доходность. Картина делится на две группы.</w:t>
      </w:r>
    </w:p>
    <w:p>
      <w:pPr>
        <w:pStyle w:val="BodyText"/>
      </w:pPr>
      <w:r>
        <w:t xml:space="preserve">Для малых компаний трёхфакторная модель даёт премию заметно выше: HeadHunter — на 16 процентных пунктов, Селигдар — на 12, Банк Санкт-Петербург — на 9, Ozon — на 7. CAPM не видит премию за размер и записывает её в альфу.</w:t>
      </w:r>
    </w:p>
    <w:p>
      <w:pPr>
        <w:pStyle w:val="BodyText"/>
      </w:pPr>
      <w:r>
        <w:t xml:space="preserve">Для крупных компаний, наоборот, премия по Фаме–Френчу ниже, до минус 4,4 пункта у Газпрома: это крупные бумаги с отрицательной нагрузкой на SMB, а у Газпрома и Сбербанка ещё и положительная нагрузка на фактор стоимости, у которого премия отрицательная.</w:t>
      </w:r>
    </w:p>
    <w:p>
      <w:pPr>
        <w:pStyle w:val="BodyText"/>
      </w:pPr>
      <w:r>
        <w:t xml:space="preserve">Оговорка: премия за размер во многом держится на одном 2023 годе, поэтому в прогнозах её стоит брать консервативнее.</w:t>
      </w:r>
    </w:p>
    <w:bookmarkEnd w:id="36"/>
    <w:bookmarkStart w:id="37" w:name="слайд-16.-требуемая-доходность-110"/>
    <w:p>
      <w:pPr>
        <w:pStyle w:val="Heading2"/>
      </w:pPr>
      <w:r>
        <w:t xml:space="preserve">Слайд 16. Требуемая доходность · 1:10</w:t>
      </w:r>
    </w:p>
    <w:p>
      <w:pPr>
        <w:pStyle w:val="FirstParagraph"/>
      </w:pPr>
      <w:r>
        <w:t xml:space="preserve">Чтобы перейти к рекомендациям, считаем требуемую доходность, то есть стоимость капитала, на сегодня. Безрисковая ставка — доходность годовых ОФЗ на 30 сентября 2026 года, 13,72 процента: инвестор принимает решение при сегодняшней ставке, а не по средней за десять лет. К ней прибавляем премию за риск.</w:t>
      </w:r>
    </w:p>
    <w:p>
      <w:pPr>
        <w:pStyle w:val="BodyText"/>
      </w:pPr>
      <w:r>
        <w:t xml:space="preserve">Для крупных компаний — Сбербанк, Лукойл, Роснефть — модели дают близкие оценки, около 18–21 процента; разница в пределах 2–3 пунктов. Для малых расхождение огромное: Банк Санкт-Петербург — 19 процентов по CAPM против 27 по Фаме–Френчу, Селигдар — 19 против 31, HeadHunter — 22 против 39.</w:t>
      </w:r>
    </w:p>
    <w:p>
      <w:pPr>
        <w:pStyle w:val="BodyText"/>
      </w:pPr>
      <w:r>
        <w:t xml:space="preserve">В правой колонке для сравнения — фактическая средняя избыточная доходность за 2015–2024 годы. У Банка Санкт-Петербург, Селигдара и HeadHunter она гораздо ближе к оценке Фамы–Френча, чем к CAPM. Это не прогноз, а подтверждение, что трёхфакторная модель лучше описывала то, что происходило на деле.</w:t>
      </w:r>
    </w:p>
    <w:bookmarkEnd w:id="37"/>
    <w:bookmarkStart w:id="38" w:name="слайд-17.-проверка-устойчивости-110"/>
    <w:p>
      <w:pPr>
        <w:pStyle w:val="Heading2"/>
      </w:pPr>
      <w:r>
        <w:t xml:space="preserve">Слайд 17. Проверка устойчивости · 1:10</w:t>
      </w:r>
    </w:p>
    <w:p>
      <w:pPr>
        <w:pStyle w:val="FirstParagraph"/>
      </w:pPr>
      <w:r>
        <w:t xml:space="preserve">Мы проверили, не зависят ли выводы от наших допущений.</w:t>
      </w:r>
    </w:p>
    <w:p>
      <w:pPr>
        <w:pStyle w:val="BodyText"/>
      </w:pPr>
      <w:r>
        <w:t xml:space="preserve">Первое: замена RUONIA на трёхмесячные ОФЗ почти ничего не меняет — беты и R квадрат те же, альфы сдвигаются на десятые доли пункта. Значит, важен не выбор конкретной ставки, а то, что она меняется во времени.</w:t>
      </w:r>
    </w:p>
    <w:p>
      <w:pPr>
        <w:pStyle w:val="BodyText"/>
      </w:pPr>
      <w:r>
        <w:t xml:space="preserve">Второе: если убрать дивиденды и использовать IMOEX, ошибки ценообразования растут — с 9,8 до 11,3 пункта по CAPM — и значимых альф становится больше. Это подтверждает, что считать полную доходность было правильно.</w:t>
      </w:r>
    </w:p>
    <w:p>
      <w:pPr>
        <w:pStyle w:val="BodyText"/>
      </w:pPr>
      <w:r>
        <w:t xml:space="preserve">Третье: с рыночным фактором РАНХиГС R квадрат заметно ниже — 0,29 против 0,38. Их широкий рынок с ограничением веса компании 15 процентов и «безрисковой» ставкой по RGBI хуже описывает наши бумаги, чем MCFTR минус RUONIA.</w:t>
      </w:r>
    </w:p>
    <w:p>
      <w:pPr>
        <w:pStyle w:val="BodyText"/>
      </w:pPr>
      <w:r>
        <w:t xml:space="preserve">Четвёртое: на полном периоде до сентября 2026 года CAPM даёт те же беты и тот же R квадрат.</w:t>
      </w:r>
    </w:p>
    <w:p>
      <w:pPr>
        <w:pStyle w:val="BodyText"/>
      </w:pPr>
      <w:r>
        <w:t xml:space="preserve">Во всех вариантах трёхфакторная модель лучше CAPM — главный вывод устойчив.</w:t>
      </w:r>
    </w:p>
    <w:bookmarkEnd w:id="38"/>
    <w:bookmarkStart w:id="39" w:name="слайд-18.-какие-ещё-факторы-110"/>
    <w:p>
      <w:pPr>
        <w:pStyle w:val="Heading2"/>
      </w:pPr>
      <w:r>
        <w:t xml:space="preserve">Слайд 18. Какие ещё факторы · 1:10</w:t>
      </w:r>
    </w:p>
    <w:p>
      <w:pPr>
        <w:pStyle w:val="FirstParagraph"/>
      </w:pPr>
      <w:r>
        <w:t xml:space="preserve">Четвёртый вопрос задания — какие ещё факторы можно добавить в модель.</w:t>
      </w:r>
    </w:p>
    <w:p>
      <w:pPr>
        <w:pStyle w:val="BodyText"/>
      </w:pPr>
      <w:r>
        <w:t xml:space="preserve">По литературе главные кандидаты такие. Моментум Кархарта, 1997 год: акции-победители последних двенадцати месяцев продолжают расти. Ликвидность по Амихуду и Пастору–Стамбо: за неликвидность инвесторы требуют доплату, это важно для второго эшелона — Ренессанса, Мосэнергосбыта, Юнипро. Прибыльность и инвестиции из пятифакторной модели Фамы–Френча 2015 года: они помогают отличить «дешёвую» качественную компанию от компании в дистрессе. Макрофакторы по Чену, Роллу и Россу — для России это прежде всего цена нефти и курс рубля. И фактор государственной собственности, который считает РАНХиГС, — политический риск для ВТБ, Газпрома, РусГидро.</w:t>
      </w:r>
    </w:p>
    <w:p>
      <w:pPr>
        <w:pStyle w:val="BodyText"/>
      </w:pPr>
      <w:r>
        <w:t xml:space="preserve">Моментум и ликвидность мы проверили на своих данных. Скорректированный R квадрат растёт лишь с 0,406 до 0,413; значимые нагрузки на моментум есть у четырёх акций, на ликвидность — у двух. Основную часть систематического риска уже покрывают рынок, размер и стоимость.</w:t>
      </w:r>
    </w:p>
    <w:bookmarkEnd w:id="39"/>
    <w:bookmarkStart w:id="40" w:name="слайд-19.-альтернативные-модели-100"/>
    <w:p>
      <w:pPr>
        <w:pStyle w:val="Heading2"/>
      </w:pPr>
      <w:r>
        <w:t xml:space="preserve">Слайд 19. Альтернативные модели · 1:00</w:t>
      </w:r>
    </w:p>
    <w:p>
      <w:pPr>
        <w:pStyle w:val="FirstParagraph"/>
      </w:pPr>
      <w:r>
        <w:t xml:space="preserve">Пятый вопрос — альтернативные многофакторные модели и как они могли бы улучшить результат.</w:t>
      </w:r>
    </w:p>
    <w:p>
      <w:pPr>
        <w:pStyle w:val="BodyText"/>
      </w:pPr>
      <w:r>
        <w:t xml:space="preserve">Первая — пятифакторная модель Фамы–Френча с прибыльностью и инвестициями. Она могла бы объяснить устойчиво отрицательные альфы ВТБ и Юнипро: у компаний со слабой прибыльностью и агрессивными инвестициями или допэмиссиями доходность исторически ниже.</w:t>
      </w:r>
    </w:p>
    <w:p>
      <w:pPr>
        <w:pStyle w:val="BodyText"/>
      </w:pPr>
      <w:r>
        <w:t xml:space="preserve">Вторая — q-модель Хоу, Сюэ и Чжана: похожие факторы, но выведенные из теории производства, с более строгим экономическим обоснованием.</w:t>
      </w:r>
    </w:p>
    <w:p>
      <w:pPr>
        <w:pStyle w:val="BodyText"/>
      </w:pPr>
      <w:r>
        <w:t xml:space="preserve">Третья — условная CAPM и модели со скользящими бетами. На российском рынке был структурный слом 2022 года, и беты до и после него различаются; модель с меняющимися бетами это учтёт.</w:t>
      </w:r>
    </w:p>
    <w:p>
      <w:pPr>
        <w:pStyle w:val="BodyText"/>
      </w:pPr>
      <w:r>
        <w:t xml:space="preserve">Четвёртая — макроэкономическая версия APT: для сырьевой экономики «плохие времена» — это падение нефти, ослабление рубля и рост ключевой ставки. Такие факторы могут объяснить то, что не ловят портфельные факторы.</w:t>
      </w:r>
    </w:p>
    <w:bookmarkEnd w:id="40"/>
    <w:bookmarkStart w:id="41" w:name="слайд-20.-рекомендации-120"/>
    <w:p>
      <w:pPr>
        <w:pStyle w:val="Heading2"/>
      </w:pPr>
      <w:r>
        <w:t xml:space="preserve">Слайд 20. Рекомендации · 1:20</w:t>
      </w:r>
    </w:p>
    <w:p>
      <w:pPr>
        <w:pStyle w:val="FirstParagraph"/>
      </w:pPr>
      <w:r>
        <w:t xml:space="preserve">Пять практических рекомендаций.</w:t>
      </w:r>
    </w:p>
    <w:p>
      <w:pPr>
        <w:pStyle w:val="BodyText"/>
      </w:pPr>
      <w:r>
        <w:t xml:space="preserve">Первая: для крупных ликвидных бумаг — Сбербанк, Лукойл, Роснефть, Газпром — достаточно CAPM; она даже немного завышает стоимость капитала.</w:t>
      </w:r>
    </w:p>
    <w:p>
      <w:pPr>
        <w:pStyle w:val="BodyText"/>
      </w:pPr>
      <w:r>
        <w:t xml:space="preserve">Вторая: для малых компаний и бумаг с выраженным профилем роста или стоимости — Банк Санкт-Петербург, Селигдар, HeadHunter, Ozon, X5 — нужна трёхфакторная модель. Иначе стоимость капитала занижена на 4–16 процентных пунктов, а это прямая ошибка в оценке компании методом дисконтированных денежных потоков.</w:t>
      </w:r>
    </w:p>
    <w:p>
      <w:pPr>
        <w:pStyle w:val="BodyText"/>
      </w:pPr>
      <w:r>
        <w:t xml:space="preserve">Третья: альфу управляющего или инвестиционной идеи нужно проверять многофакторной моделью. Высокая доходность Банка Санкт-Петербург и HeadHunter — во многом плата за размер и стоимость, а не сверхдоходность.</w:t>
      </w:r>
    </w:p>
    <w:p>
      <w:pPr>
        <w:pStyle w:val="BodyText"/>
      </w:pPr>
      <w:r>
        <w:t xml:space="preserve">Четвёртая — для портфеля: единственная значимая положительная альфа в модели Фамы–Френча у Сбербанка, около 13 процентов годовых, но она на границе значимости — кандидат на перевес с осторожностью. ВТБ и Юнипро с отрицательной альфой при прочих равных стоит недовешивать.</w:t>
      </w:r>
    </w:p>
    <w:p>
      <w:pPr>
        <w:pStyle w:val="BodyText"/>
      </w:pPr>
      <w:r>
        <w:t xml:space="preserve">Пятая: для защитного портфеля подходят бумаги с низкой бетой — МКБ, Сургутнефтегаз-п, Транснефть, Интер РАО, Ростелеком, Полюс; для ставки на рост рынка — с высокой: HeadHunter, Ozon, Т-Технологии, Роснефть, Сбербанк.</w:t>
      </w:r>
    </w:p>
    <w:bookmarkEnd w:id="41"/>
    <w:bookmarkEnd w:id="42"/>
    <w:bookmarkStart w:id="45" w:name="заключение"/>
    <w:p>
      <w:pPr>
        <w:pStyle w:val="Heading1"/>
      </w:pPr>
      <w:r>
        <w:t xml:space="preserve">Заключение</w:t>
      </w:r>
    </w:p>
    <w:bookmarkStart w:id="43" w:name="слайд-21.-основные-выводы-110"/>
    <w:p>
      <w:pPr>
        <w:pStyle w:val="Heading2"/>
      </w:pPr>
      <w:r>
        <w:t xml:space="preserve">Слайд 21. Основные выводы · 1:10</w:t>
      </w:r>
    </w:p>
    <w:p>
      <w:pPr>
        <w:pStyle w:val="FirstParagraph"/>
      </w:pPr>
      <w:r>
        <w:t xml:space="preserve">Подведу итог в трёх числах.</w:t>
      </w:r>
    </w:p>
    <w:p>
      <w:pPr>
        <w:pStyle w:val="BodyText"/>
      </w:pPr>
      <w:r>
        <w:t xml:space="preserve">Первое: 38 и 42 процента. Рыночный фактор объясняет около 38 процентов колебаний доходности российских акций; добавление факторов размера и стоимости повышает эту долю до 42 процентов и снижает ошибки ценообразования на 1,7 пункта в год.</w:t>
      </w:r>
    </w:p>
    <w:p>
      <w:pPr>
        <w:pStyle w:val="BodyText"/>
      </w:pPr>
      <w:r>
        <w:t xml:space="preserve">Второе: 13 и 12. Столько акций имеют значимую нагрузку на размер и на стоимость — примерно треть выборки, и знаки нагрузок экономически осмысленны.</w:t>
      </w:r>
    </w:p>
    <w:p>
      <w:pPr>
        <w:pStyle w:val="BodyText"/>
      </w:pPr>
      <w:r>
        <w:t xml:space="preserve">Третье: до 16 процентных пунктов. На столько CAPM занижает премию за риск малых компаний.</w:t>
      </w:r>
    </w:p>
    <w:p>
      <w:pPr>
        <w:pStyle w:val="BodyText"/>
      </w:pPr>
      <w:r>
        <w:t xml:space="preserve">Совместный тест отвергает обе модели, но трёхфакторная заметно ближе к цели, и эти выводы устойчивы к выбору безрисковой ставки, учёту дивидендов и периоду. Размер и стоимость — реальные источники систематического риска на российском рынке.</w:t>
      </w:r>
    </w:p>
    <w:bookmarkEnd w:id="43"/>
    <w:bookmarkStart w:id="44" w:name="слайд-22.-слабые-стороны-работы-120"/>
    <w:p>
      <w:pPr>
        <w:pStyle w:val="Heading2"/>
      </w:pPr>
      <w:r>
        <w:t xml:space="preserve">Слайд 22. Слабые стороны работы · 1:20</w:t>
      </w:r>
    </w:p>
    <w:p>
      <w:pPr>
        <w:pStyle w:val="FirstParagraph"/>
      </w:pPr>
      <w:r>
        <w:t xml:space="preserve">И в завершение — слабые стороны работы, которые мы сами видим, и как их исправить.</w:t>
      </w:r>
    </w:p>
    <w:p>
      <w:pPr>
        <w:pStyle w:val="BodyText"/>
      </w:pPr>
      <w:r>
        <w:t xml:space="preserve">Первое: факторы РАНХиГС доступны только до декабря 2024 года, поэтому 2025–2026 годы не вошли в трёхфакторную модель. Решение — построить SMB и HML самостоятельно по данным биржи и отчётности.</w:t>
      </w:r>
    </w:p>
    <w:p>
      <w:pPr>
        <w:pStyle w:val="BodyText"/>
      </w:pPr>
      <w:r>
        <w:t xml:space="preserve">Второе: мы тестировали отдельные акции, а не портфели, поэтому беты шумные и Фама–Макбет незначим. Правильнее использовать тестовые портфели по размеру и B/M и поправку Шанкена.</w:t>
      </w:r>
    </w:p>
    <w:p>
      <w:pPr>
        <w:pStyle w:val="BodyText"/>
      </w:pPr>
      <w:r>
        <w:t xml:space="preserve">Третье: премии факторов неустойчивы — премия за размер держится на 2023 годе, премия рынка незначима, поэтому оценки требуемой доходности приблизительны.</w:t>
      </w:r>
    </w:p>
    <w:p>
      <w:pPr>
        <w:pStyle w:val="BodyText"/>
      </w:pPr>
      <w:r>
        <w:t xml:space="preserve">Четвёртое: беты считаются постоянными, хотя в 2022 году был структурный слом; решение — подвыборки до и после 2022 года или скользящие беты.</w:t>
      </w:r>
    </w:p>
    <w:p>
      <w:pPr>
        <w:pStyle w:val="BodyText"/>
      </w:pPr>
      <w:r>
        <w:t xml:space="preserve">Пятое: у части бумаг короткая история — от 38 до 74 месяцев у Ренессанса, Ozon, HeadHunter, Т-Технологий и X5, их оценки нужно читать с осторожностью.</w:t>
      </w:r>
    </w:p>
    <w:p>
      <w:pPr>
        <w:pStyle w:val="BodyText"/>
      </w:pPr>
      <w:r>
        <w:t xml:space="preserve">И шестое: данные из разных источников — дивиденды с dohod.ru, а выборка РАНХиГС не совпадает с нашим рынком.</w:t>
      </w:r>
    </w:p>
    <w:p>
      <w:pPr>
        <w:pStyle w:val="BodyText"/>
      </w:pPr>
      <w:r>
        <w:t xml:space="preserve">Спасибо за внимание, готовы ответить на вопросы.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выступления. ДЗ №2: CAPM и модель Фамы–Френча на российском рынке</dc:title>
  <dc:creator/>
  <cp:keywords/>
  <dcterms:created xsi:type="dcterms:W3CDTF">2026-10-23T16:18:43Z</dcterms:created>
  <dcterms:modified xsi:type="dcterms:W3CDTF">2026-10-23T16:18:43Z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≈ 25 минут, 22 слайда</vt:lpwstr>
  </property>
</Properties>
</file>