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B2A4E"/>
          <w:sz w:val="56"/>
        </w:rPr>
        <w:t>Beverage Distributor Data Sources</w:t>
      </w:r>
    </w:p>
    <w:p>
      <w:pPr>
        <w:jc w:val="center"/>
      </w:pPr>
      <w:r>
        <w:rPr>
          <w:color w:val="C58A2E"/>
          <w:sz w:val="32"/>
        </w:rPr>
        <w:t>An Industry Primer for New Analysts</w:t>
      </w:r>
    </w:p>
    <w:p/>
    <w:p/>
    <w:p>
      <w:pPr>
        <w:jc w:val="center"/>
      </w:pPr>
      <w:r>
        <w:rPr>
          <w:color w:val="666666"/>
          <w:sz w:val="24"/>
        </w:rPr>
        <w:t>June 2026</w:t>
      </w:r>
    </w:p>
    <w:p/>
    <w:p>
      <w:pPr>
        <w:jc w:val="center"/>
      </w:pPr>
      <w:r>
        <w:rPr>
          <w:i/>
          <w:color w:val="666666"/>
          <w:sz w:val="22"/>
        </w:rPr>
        <w:t>Background reading for anyone starting on a beverage analytics project. This explains what kinds of distributor data sources you'll encounter, how they fit into the U.S. alcohol industry, and what each one represents — so you can interpret the numbers correctly before you start working with them.</w:t>
      </w:r>
    </w:p>
    <w:p>
      <w:r>
        <w:br w:type="page"/>
      </w:r>
    </w:p>
    <w:p>
      <w:pPr>
        <w:pStyle w:val="Heading1"/>
      </w:pPr>
      <w:r>
        <w:rPr>
          <w:color w:val="1B2A4E"/>
        </w:rPr>
        <w:t>1. The U.S. three-tier alcohol distribution system</w:t>
      </w:r>
    </w:p>
    <w:p>
      <w:r>
        <w:rPr>
          <w:b w:val="0"/>
          <w:i w:val="0"/>
          <w:sz w:val="22"/>
        </w:rPr>
        <w:t>Almost every analytics question in this industry sits on top of a regulatory fact: in the United States, alcohol producers cannot generally sell directly to retailers, restaurants, or consumers. A licensed distributor must sit in the middle. This structure dates back to the end of Prohibition in 1933 and is the reason supplier data flows look the way they do.</w:t>
      </w:r>
    </w:p>
    <w:p>
      <w:r>
        <w:rPr>
          <w:b/>
          <w:i w:val="0"/>
          <w:sz w:val="22"/>
        </w:rPr>
        <w:t>The three tiers:</w:t>
      </w:r>
    </w:p>
    <w:p>
      <w:pPr>
        <w:pStyle w:val="ListBullet"/>
      </w:pPr>
      <w:r>
        <w:rPr>
          <w:sz w:val="22"/>
        </w:rPr>
        <w:t>Tier 1 — Producer / Supplier / Importer. The brand owner. Makes or imports the product.</w:t>
      </w:r>
    </w:p>
    <w:p>
      <w:pPr>
        <w:pStyle w:val="ListBullet"/>
      </w:pPr>
      <w:r>
        <w:rPr>
          <w:sz w:val="22"/>
        </w:rPr>
        <w:t>Tier 2 — Distributor / Wholesaler. Licensed at the state level. Buys from the supplier and sells to retailers and on-premise accounts.</w:t>
      </w:r>
    </w:p>
    <w:p>
      <w:pPr>
        <w:pStyle w:val="ListBullet"/>
      </w:pPr>
      <w:r>
        <w:rPr>
          <w:sz w:val="22"/>
        </w:rPr>
        <w:t>Tier 3 — Retailer / On-Premise. The bar, restaurant, liquor store, or grocery chain that sells to the end consumer.</w:t>
      </w:r>
    </w:p>
    <w:p>
      <w:r>
        <w:rPr>
          <w:b w:val="0"/>
          <w:i w:val="0"/>
          <w:sz w:val="22"/>
        </w:rPr>
        <w:t>Because tiers 1 and 3 don't transact directly, the supplier's only source of truth about what's actually selling at the retail level is the distributor's data feed. This is why the analytics challenge in this industry is fundamentally a data-integration challenge: every distributor sends data in their own format, on their own cadence, with their own definitions, and the supplier has to stitch it all together into one coherent picture.</w:t>
      </w:r>
    </w:p>
    <w:p>
      <w:pPr>
        <w:pStyle w:val="Heading2"/>
      </w:pPr>
      <w:r>
        <w:rPr>
          <w:color w:val="1B2A4E"/>
        </w:rPr>
        <w:t>Control states vs open states</w:t>
      </w:r>
    </w:p>
    <w:p>
      <w:r>
        <w:rPr>
          <w:b w:val="0"/>
          <w:i w:val="0"/>
          <w:sz w:val="22"/>
        </w:rPr>
        <w:t>Some U.S. states (often called control states or monopoly states) act as their own distributor — the state government runs the Tier-2 function. Examples include Pennsylvania, Utah, New Hampshire, parts of Maryland (Montgomery County DLC), and North Carolina (ABC system). In these states the supplier deals with one centralized entity instead of multiple private distributors. The data shape is similar; the business relationship is different.</w:t>
      </w:r>
    </w:p>
    <w:p>
      <w:r>
        <w:br w:type="page"/>
      </w:r>
    </w:p>
    <w:p>
      <w:pPr>
        <w:pStyle w:val="Heading1"/>
      </w:pPr>
      <w:r>
        <w:rPr>
          <w:color w:val="1B2A4E"/>
        </w:rPr>
        <w:t>2. The four categories of distributor data sources you'll see</w:t>
      </w:r>
    </w:p>
    <w:p>
      <w:r>
        <w:rPr>
          <w:b w:val="0"/>
          <w:i w:val="0"/>
          <w:sz w:val="22"/>
        </w:rPr>
        <w:t>Distributors send suppliers different things at different times. Most analytics projects involve at least the first two. The third and fourth show up when the supplier has more sophisticated reporting relationships or runs their own retail.</w:t>
      </w:r>
    </w:p>
    <w:p>
      <w:pPr>
        <w:pStyle w:val="Heading2"/>
      </w:pPr>
      <w:r>
        <w:rPr>
          <w:color w:val="1B2A4E"/>
        </w:rPr>
        <w:t>a) Order / shipment files</w:t>
      </w:r>
    </w:p>
    <w:p>
      <w:r>
        <w:rPr>
          <w:b w:val="0"/>
          <w:i w:val="0"/>
          <w:sz w:val="22"/>
        </w:rPr>
        <w:t>Also called sales-out or depletion files depending on the distributor. One row per line of an order shipped from the distributor's warehouse to a retail or on-premise account. This is the workhorse data source — it tells the supplier what their product actually did at the retailer-customer level.</w:t>
      </w:r>
    </w:p>
    <w:p>
      <w:r>
        <w:rPr>
          <w:b/>
          <w:i w:val="0"/>
          <w:sz w:val="22"/>
        </w:rPr>
        <w:t>Typical fields:</w:t>
      </w:r>
    </w:p>
    <w:p>
      <w:pPr>
        <w:pStyle w:val="ListBullet"/>
      </w:pPr>
      <w:r>
        <w:rPr>
          <w:sz w:val="22"/>
        </w:rPr>
        <w:t>Order date — when the distributor shipped the case/keg to the customer.</w:t>
      </w:r>
    </w:p>
    <w:p>
      <w:pPr>
        <w:pStyle w:val="ListBullet"/>
      </w:pPr>
      <w:r>
        <w:rPr>
          <w:sz w:val="22"/>
        </w:rPr>
        <w:t>Customer name and address — the bar, restaurant, or store receiving the product.</w:t>
      </w:r>
    </w:p>
    <w:p>
      <w:pPr>
        <w:pStyle w:val="ListBullet"/>
      </w:pPr>
      <w:r>
        <w:rPr>
          <w:sz w:val="22"/>
        </w:rPr>
        <w:t>State, sometimes city, zip code.</w:t>
      </w:r>
    </w:p>
    <w:p>
      <w:pPr>
        <w:pStyle w:val="ListBullet"/>
      </w:pPr>
      <w:r>
        <w:rPr>
          <w:sz w:val="22"/>
        </w:rPr>
        <w:t>Quantity ordered — in cases, kegs, or units depending on the format.</w:t>
      </w:r>
    </w:p>
    <w:p>
      <w:pPr>
        <w:pStyle w:val="ListBullet"/>
      </w:pPr>
      <w:r>
        <w:rPr>
          <w:sz w:val="22"/>
        </w:rPr>
        <w:t>Product code or description — which SKU was shipped.</w:t>
      </w:r>
    </w:p>
    <w:p>
      <w:pPr>
        <w:pStyle w:val="ListBullet"/>
      </w:pPr>
      <w:r>
        <w:rPr>
          <w:sz w:val="22"/>
        </w:rPr>
        <w:t>Dollar value — gross or net of discounts, varies by distributor.</w:t>
      </w:r>
    </w:p>
    <w:p>
      <w:pPr>
        <w:pStyle w:val="ListBullet"/>
      </w:pPr>
      <w:r>
        <w:rPr>
          <w:sz w:val="22"/>
        </w:rPr>
        <w:t>Sales rep — the distributor employee who manages the account.</w:t>
      </w:r>
    </w:p>
    <w:p>
      <w:pPr>
        <w:pStyle w:val="Heading2"/>
      </w:pPr>
      <w:r>
        <w:rPr>
          <w:color w:val="1B2A4E"/>
        </w:rPr>
        <w:t>b) Customer master files</w:t>
      </w:r>
    </w:p>
    <w:p>
      <w:r>
        <w:rPr>
          <w:b w:val="0"/>
          <w:i w:val="0"/>
          <w:sz w:val="22"/>
        </w:rPr>
        <w:t>Account-level metadata, separate from individual order lines. Tells the supplier WHO each customer is, not just what they bought. Updated less frequently — often monthly with the rest of the package, sometimes only on request.</w:t>
      </w:r>
    </w:p>
    <w:p>
      <w:r>
        <w:rPr>
          <w:b/>
          <w:i w:val="0"/>
          <w:sz w:val="22"/>
        </w:rPr>
        <w:t>Typical fields:</w:t>
      </w:r>
    </w:p>
    <w:p>
      <w:pPr>
        <w:pStyle w:val="ListBullet"/>
      </w:pPr>
      <w:r>
        <w:rPr>
          <w:sz w:val="22"/>
        </w:rPr>
        <w:t>Customer ID and canonical name (the distributor's internal identifier).</w:t>
      </w:r>
    </w:p>
    <w:p>
      <w:pPr>
        <w:pStyle w:val="ListBullet"/>
      </w:pPr>
      <w:r>
        <w:rPr>
          <w:sz w:val="22"/>
        </w:rPr>
        <w:t>Channel — On-Premise (bars/restaurants) vs Off-Premise (retail).</w:t>
      </w:r>
    </w:p>
    <w:p>
      <w:pPr>
        <w:pStyle w:val="ListBullet"/>
      </w:pPr>
      <w:r>
        <w:rPr>
          <w:sz w:val="22"/>
        </w:rPr>
        <w:t>License number — the state's identifier for the licensed account.</w:t>
      </w:r>
    </w:p>
    <w:p>
      <w:pPr>
        <w:pStyle w:val="ListBullet"/>
      </w:pPr>
      <w:r>
        <w:rPr>
          <w:sz w:val="22"/>
        </w:rPr>
        <w:t>Address, city, state, ZIP.</w:t>
      </w:r>
    </w:p>
    <w:p>
      <w:pPr>
        <w:pStyle w:val="ListBullet"/>
      </w:pPr>
      <w:r>
        <w:rPr>
          <w:sz w:val="22"/>
        </w:rPr>
        <w:t>Currently-assigned sales rep — useful for territory analysis.</w:t>
      </w:r>
    </w:p>
    <w:p>
      <w:pPr>
        <w:pStyle w:val="ListBullet"/>
      </w:pPr>
      <w:r>
        <w:rPr>
          <w:sz w:val="22"/>
        </w:rPr>
        <w:t>Customer type / sub-channel — fine-grained category (e.g. fine dining, gastropub, package store, grocery, big-box).</w:t>
      </w:r>
    </w:p>
    <w:p>
      <w:pPr>
        <w:pStyle w:val="Heading2"/>
      </w:pPr>
      <w:r>
        <w:rPr>
          <w:color w:val="1B2A4E"/>
        </w:rPr>
        <w:t>c) POS / direct-retail exports</w:t>
      </w:r>
    </w:p>
    <w:p>
      <w:r>
        <w:rPr>
          <w:b w:val="0"/>
          <w:i w:val="0"/>
          <w:sz w:val="22"/>
        </w:rPr>
        <w:t>Some suppliers run their own tasting rooms, brewery taprooms, or retail storefronts. In those cases there's no Tier-2 distributor between the supplier and consumer — the supplier sees the actual retail transactions directly, usually exported from a POS system like Square, Toast, or Lightspeed.</w:t>
      </w:r>
    </w:p>
    <w:p>
      <w:r>
        <w:rPr>
          <w:b/>
          <w:i w:val="0"/>
          <w:sz w:val="22"/>
        </w:rPr>
        <w:t>This data is much more granular than distributor data:</w:t>
      </w:r>
    </w:p>
    <w:p>
      <w:pPr>
        <w:pStyle w:val="ListBullet"/>
      </w:pPr>
      <w:r>
        <w:rPr>
          <w:sz w:val="22"/>
        </w:rPr>
        <w:t>One row per individual customer transaction (not per shipment).</w:t>
      </w:r>
    </w:p>
    <w:p>
      <w:pPr>
        <w:pStyle w:val="ListBullet"/>
      </w:pPr>
      <w:r>
        <w:rPr>
          <w:sz w:val="22"/>
        </w:rPr>
        <w:t>Includes payment method, tax, employee who rang up the sale.</w:t>
      </w:r>
    </w:p>
    <w:p>
      <w:pPr>
        <w:pStyle w:val="ListBullet"/>
      </w:pPr>
      <w:r>
        <w:rPr>
          <w:sz w:val="22"/>
        </w:rPr>
        <w:t>Per-item line detail including modifiers, discounts, and price-point variants.</w:t>
      </w:r>
    </w:p>
    <w:p>
      <w:pPr>
        <w:pStyle w:val="ListBullet"/>
      </w:pPr>
      <w:r>
        <w:rPr>
          <w:sz w:val="22"/>
        </w:rPr>
        <w:t>Often shows both retail (single units / 4-packs) and wholesale (cases / kegs) under one feed.</w:t>
      </w:r>
    </w:p>
    <w:p>
      <w:pPr>
        <w:pStyle w:val="Heading2"/>
      </w:pPr>
      <w:r>
        <w:rPr>
          <w:color w:val="1B2A4E"/>
        </w:rPr>
        <w:t>d) Inventory and depletion reports</w:t>
      </w:r>
    </w:p>
    <w:p>
      <w:r>
        <w:rPr>
          <w:b w:val="0"/>
          <w:i w:val="0"/>
          <w:sz w:val="22"/>
        </w:rPr>
        <w:t>Periodic snapshots of what the distributor has in their warehouse, and how much of it left during a period. Useful for forecasting and understanding the lag between when the supplier ships in and when product moves to the retailer. Less commonly shared than orders/shipments, but increasingly available from larger distributors with mature reporting.</w:t>
      </w:r>
    </w:p>
    <w:p>
      <w:r>
        <w:br w:type="page"/>
      </w:r>
    </w:p>
    <w:p>
      <w:pPr>
        <w:pStyle w:val="Heading1"/>
      </w:pPr>
      <w:r>
        <w:rPr>
          <w:color w:val="1B2A4E"/>
        </w:rPr>
        <w:t>3. The distributor archetypes you'll work with</w:t>
      </w:r>
    </w:p>
    <w:p>
      <w:pPr>
        <w:pStyle w:val="Heading2"/>
      </w:pPr>
      <w:r>
        <w:rPr>
          <w:color w:val="1B2A4E"/>
        </w:rPr>
        <w:t>Boutique / specialty importer</w:t>
      </w:r>
    </w:p>
    <w:tbl>
      <w:tblPr>
        <w:tblStyle w:val="LightGrid-Accent1"/>
        <w:tblW w:type="auto" w:w="0"/>
        <w:tblLook w:firstColumn="1" w:firstRow="1" w:lastColumn="0" w:lastRow="0" w:noHBand="0" w:noVBand="1" w:val="04A0"/>
      </w:tblPr>
      <w:tblGrid>
        <w:gridCol w:w="4824"/>
        <w:gridCol w:w="4824"/>
      </w:tblGrid>
      <w:tr>
        <w:tc>
          <w:tcPr>
            <w:tcW w:type="dxa" w:w="2448"/>
          </w:tcPr>
          <w:p>
            <w:r/>
            <w:r>
              <w:rPr>
                <w:b/>
                <w:color w:val="1B2A4E"/>
                <w:sz w:val="20"/>
              </w:rPr>
              <w:t>Footprint</w:t>
            </w:r>
          </w:p>
        </w:tc>
        <w:tc>
          <w:tcPr>
            <w:tcW w:type="dxa" w:w="7056"/>
          </w:tcPr>
          <w:p>
            <w:r/>
            <w:r>
              <w:rPr>
                <w:sz w:val="20"/>
              </w:rPr>
              <w:t>Small — usually one or two states, often a metro area.</w:t>
            </w:r>
          </w:p>
        </w:tc>
      </w:tr>
      <w:tr>
        <w:tc>
          <w:tcPr>
            <w:tcW w:type="dxa" w:w="2448"/>
          </w:tcPr>
          <w:p>
            <w:r/>
            <w:r>
              <w:rPr>
                <w:b/>
                <w:color w:val="1B2A4E"/>
                <w:sz w:val="20"/>
              </w:rPr>
              <w:t>Volume</w:t>
            </w:r>
          </w:p>
        </w:tc>
        <w:tc>
          <w:tcPr>
            <w:tcW w:type="dxa" w:w="7056"/>
          </w:tcPr>
          <w:p>
            <w:r/>
            <w:r>
              <w:rPr>
                <w:sz w:val="20"/>
              </w:rPr>
              <w:t>Low. Hundreds of orders per month, not thousands.</w:t>
            </w:r>
          </w:p>
        </w:tc>
      </w:tr>
      <w:tr>
        <w:tc>
          <w:tcPr>
            <w:tcW w:type="dxa" w:w="2448"/>
          </w:tcPr>
          <w:p>
            <w:r/>
            <w:r>
              <w:rPr>
                <w:b/>
                <w:color w:val="1B2A4E"/>
                <w:sz w:val="20"/>
              </w:rPr>
              <w:t>Focus</w:t>
            </w:r>
          </w:p>
        </w:tc>
        <w:tc>
          <w:tcPr>
            <w:tcW w:type="dxa" w:w="7056"/>
          </w:tcPr>
          <w:p>
            <w:r/>
            <w:r>
              <w:rPr>
                <w:sz w:val="20"/>
              </w:rPr>
              <w:t>Specialty (e.g. natural wine, craft beer, premium spirits, single-region wine).</w:t>
            </w:r>
          </w:p>
        </w:tc>
      </w:tr>
      <w:tr>
        <w:tc>
          <w:tcPr>
            <w:tcW w:type="dxa" w:w="2448"/>
          </w:tcPr>
          <w:p>
            <w:r/>
            <w:r>
              <w:rPr>
                <w:b/>
                <w:color w:val="1B2A4E"/>
                <w:sz w:val="20"/>
              </w:rPr>
              <w:t>Reporting</w:t>
            </w:r>
          </w:p>
        </w:tc>
        <w:tc>
          <w:tcPr>
            <w:tcW w:type="dxa" w:w="7056"/>
          </w:tcPr>
          <w:p>
            <w:r/>
            <w:r>
              <w:rPr>
                <w:sz w:val="20"/>
              </w:rPr>
              <w:t>Monthly Excel files, often hand-prepared. Frequent quirks: merged cells, multiple sections per sheet, naming conventions that change.</w:t>
            </w:r>
          </w:p>
        </w:tc>
      </w:tr>
      <w:tr>
        <w:tc>
          <w:tcPr>
            <w:tcW w:type="dxa" w:w="2448"/>
          </w:tcPr>
          <w:p>
            <w:r/>
            <w:r>
              <w:rPr>
                <w:b/>
                <w:color w:val="1B2A4E"/>
                <w:sz w:val="20"/>
              </w:rPr>
              <w:t>Watch for</w:t>
            </w:r>
          </w:p>
        </w:tc>
        <w:tc>
          <w:tcPr>
            <w:tcW w:type="dxa" w:w="7056"/>
          </w:tcPr>
          <w:p>
            <w:r/>
            <w:r>
              <w:rPr>
                <w:sz w:val="20"/>
              </w:rPr>
              <w:t>Manual data entry errors, inconsistent column headers, season-to-season format changes.</w:t>
            </w:r>
          </w:p>
        </w:tc>
      </w:tr>
    </w:tbl>
    <w:p>
      <w:pPr>
        <w:pStyle w:val="Heading2"/>
      </w:pPr>
      <w:r>
        <w:rPr>
          <w:color w:val="1B2A4E"/>
        </w:rPr>
        <w:t>Broad-line / multi-state distributor</w:t>
      </w:r>
    </w:p>
    <w:tbl>
      <w:tblPr>
        <w:tblStyle w:val="LightGrid-Accent1"/>
        <w:tblW w:type="auto" w:w="0"/>
        <w:tblLook w:firstColumn="1" w:firstRow="1" w:lastColumn="0" w:lastRow="0" w:noHBand="0" w:noVBand="1" w:val="04A0"/>
      </w:tblPr>
      <w:tblGrid>
        <w:gridCol w:w="4824"/>
        <w:gridCol w:w="4824"/>
      </w:tblGrid>
      <w:tr>
        <w:tc>
          <w:tcPr>
            <w:tcW w:type="dxa" w:w="2448"/>
          </w:tcPr>
          <w:p>
            <w:r/>
            <w:r>
              <w:rPr>
                <w:b/>
                <w:color w:val="1B2A4E"/>
                <w:sz w:val="20"/>
              </w:rPr>
              <w:t>Footprint</w:t>
            </w:r>
          </w:p>
        </w:tc>
        <w:tc>
          <w:tcPr>
            <w:tcW w:type="dxa" w:w="7056"/>
          </w:tcPr>
          <w:p>
            <w:r/>
            <w:r>
              <w:rPr>
                <w:sz w:val="20"/>
              </w:rPr>
              <w:t>Large — multiple states, sometimes nationwide.</w:t>
            </w:r>
          </w:p>
        </w:tc>
      </w:tr>
      <w:tr>
        <w:tc>
          <w:tcPr>
            <w:tcW w:type="dxa" w:w="2448"/>
          </w:tcPr>
          <w:p>
            <w:r/>
            <w:r>
              <w:rPr>
                <w:b/>
                <w:color w:val="1B2A4E"/>
                <w:sz w:val="20"/>
              </w:rPr>
              <w:t>Volume</w:t>
            </w:r>
          </w:p>
        </w:tc>
        <w:tc>
          <w:tcPr>
            <w:tcW w:type="dxa" w:w="7056"/>
          </w:tcPr>
          <w:p>
            <w:r/>
            <w:r>
              <w:rPr>
                <w:sz w:val="20"/>
              </w:rPr>
              <w:t>High. Thousands of orders per month per state.</w:t>
            </w:r>
          </w:p>
        </w:tc>
      </w:tr>
      <w:tr>
        <w:tc>
          <w:tcPr>
            <w:tcW w:type="dxa" w:w="2448"/>
          </w:tcPr>
          <w:p>
            <w:r/>
            <w:r>
              <w:rPr>
                <w:b/>
                <w:color w:val="1B2A4E"/>
                <w:sz w:val="20"/>
              </w:rPr>
              <w:t>Focus</w:t>
            </w:r>
          </w:p>
        </w:tc>
        <w:tc>
          <w:tcPr>
            <w:tcW w:type="dxa" w:w="7056"/>
          </w:tcPr>
          <w:p>
            <w:r/>
            <w:r>
              <w:rPr>
                <w:sz w:val="20"/>
              </w:rPr>
              <w:t>General wine / spirits / beer — the supplier is one of many brands they represent.</w:t>
            </w:r>
          </w:p>
        </w:tc>
      </w:tr>
      <w:tr>
        <w:tc>
          <w:tcPr>
            <w:tcW w:type="dxa" w:w="2448"/>
          </w:tcPr>
          <w:p>
            <w:r/>
            <w:r>
              <w:rPr>
                <w:b/>
                <w:color w:val="1B2A4E"/>
                <w:sz w:val="20"/>
              </w:rPr>
              <w:t>Reporting</w:t>
            </w:r>
          </w:p>
        </w:tc>
        <w:tc>
          <w:tcPr>
            <w:tcW w:type="dxa" w:w="7056"/>
          </w:tcPr>
          <w:p>
            <w:r/>
            <w:r>
              <w:rPr>
                <w:sz w:val="20"/>
              </w:rPr>
              <w:t>Standardized monthly Sales-by-Market files plus customer master. Often a year-end summary.</w:t>
            </w:r>
          </w:p>
        </w:tc>
      </w:tr>
      <w:tr>
        <w:tc>
          <w:tcPr>
            <w:tcW w:type="dxa" w:w="2448"/>
          </w:tcPr>
          <w:p>
            <w:r/>
            <w:r>
              <w:rPr>
                <w:b/>
                <w:color w:val="1B2A4E"/>
                <w:sz w:val="20"/>
              </w:rPr>
              <w:t>Watch for</w:t>
            </w:r>
          </w:p>
        </w:tc>
        <w:tc>
          <w:tcPr>
            <w:tcW w:type="dxa" w:w="7056"/>
          </w:tcPr>
          <w:p>
            <w:r/>
            <w:r>
              <w:rPr>
                <w:sz w:val="20"/>
              </w:rPr>
              <w:t>The supplier is a small line in their portfolio, so brand-specific quirks (like internal SKU codes used only for tracking) are common.</w:t>
            </w:r>
          </w:p>
        </w:tc>
      </w:tr>
    </w:tbl>
    <w:p>
      <w:pPr>
        <w:pStyle w:val="Heading2"/>
      </w:pPr>
      <w:r>
        <w:rPr>
          <w:color w:val="1B2A4E"/>
        </w:rPr>
        <w:t>Regional specialty distributor</w:t>
      </w:r>
    </w:p>
    <w:tbl>
      <w:tblPr>
        <w:tblStyle w:val="LightGrid-Accent1"/>
        <w:tblW w:type="auto" w:w="0"/>
        <w:tblLook w:firstColumn="1" w:firstRow="1" w:lastColumn="0" w:lastRow="0" w:noHBand="0" w:noVBand="1" w:val="04A0"/>
      </w:tblPr>
      <w:tblGrid>
        <w:gridCol w:w="4824"/>
        <w:gridCol w:w="4824"/>
      </w:tblGrid>
      <w:tr>
        <w:tc>
          <w:tcPr>
            <w:tcW w:type="dxa" w:w="2448"/>
          </w:tcPr>
          <w:p>
            <w:r/>
            <w:r>
              <w:rPr>
                <w:b/>
                <w:color w:val="1B2A4E"/>
                <w:sz w:val="20"/>
              </w:rPr>
              <w:t>Footprint</w:t>
            </w:r>
          </w:p>
        </w:tc>
        <w:tc>
          <w:tcPr>
            <w:tcW w:type="dxa" w:w="7056"/>
          </w:tcPr>
          <w:p>
            <w:r/>
            <w:r>
              <w:rPr>
                <w:sz w:val="20"/>
              </w:rPr>
              <w:t>Single state, sometimes a city.</w:t>
            </w:r>
          </w:p>
        </w:tc>
      </w:tr>
      <w:tr>
        <w:tc>
          <w:tcPr>
            <w:tcW w:type="dxa" w:w="2448"/>
          </w:tcPr>
          <w:p>
            <w:r/>
            <w:r>
              <w:rPr>
                <w:b/>
                <w:color w:val="1B2A4E"/>
                <w:sz w:val="20"/>
              </w:rPr>
              <w:t>Volume</w:t>
            </w:r>
          </w:p>
        </w:tc>
        <w:tc>
          <w:tcPr>
            <w:tcW w:type="dxa" w:w="7056"/>
          </w:tcPr>
          <w:p>
            <w:r/>
            <w:r>
              <w:rPr>
                <w:sz w:val="20"/>
              </w:rPr>
              <w:t>Moderate.</w:t>
            </w:r>
          </w:p>
        </w:tc>
      </w:tr>
      <w:tr>
        <w:tc>
          <w:tcPr>
            <w:tcW w:type="dxa" w:w="2448"/>
          </w:tcPr>
          <w:p>
            <w:r/>
            <w:r>
              <w:rPr>
                <w:b/>
                <w:color w:val="1B2A4E"/>
                <w:sz w:val="20"/>
              </w:rPr>
              <w:t>Focus</w:t>
            </w:r>
          </w:p>
        </w:tc>
        <w:tc>
          <w:tcPr>
            <w:tcW w:type="dxa" w:w="7056"/>
          </w:tcPr>
          <w:p>
            <w:r/>
            <w:r>
              <w:rPr>
                <w:sz w:val="20"/>
              </w:rPr>
              <w:t>Often a particular category (wine, craft beer, spirits) within one state.</w:t>
            </w:r>
          </w:p>
        </w:tc>
      </w:tr>
      <w:tr>
        <w:tc>
          <w:tcPr>
            <w:tcW w:type="dxa" w:w="2448"/>
          </w:tcPr>
          <w:p>
            <w:r/>
            <w:r>
              <w:rPr>
                <w:b/>
                <w:color w:val="1B2A4E"/>
                <w:sz w:val="20"/>
              </w:rPr>
              <w:t>Reporting</w:t>
            </w:r>
          </w:p>
        </w:tc>
        <w:tc>
          <w:tcPr>
            <w:tcW w:type="dxa" w:w="7056"/>
          </w:tcPr>
          <w:p>
            <w:r/>
            <w:r>
              <w:rPr>
                <w:sz w:val="20"/>
              </w:rPr>
              <w:t>Depletion-style files: what they shipped TO retailers/bars, broken out by account.</w:t>
            </w:r>
          </w:p>
        </w:tc>
      </w:tr>
      <w:tr>
        <w:tc>
          <w:tcPr>
            <w:tcW w:type="dxa" w:w="2448"/>
          </w:tcPr>
          <w:p>
            <w:r/>
            <w:r>
              <w:rPr>
                <w:b/>
                <w:color w:val="1B2A4E"/>
                <w:sz w:val="20"/>
              </w:rPr>
              <w:t>Watch for</w:t>
            </w:r>
          </w:p>
        </w:tc>
        <w:tc>
          <w:tcPr>
            <w:tcW w:type="dxa" w:w="7056"/>
          </w:tcPr>
          <w:p>
            <w:r/>
            <w:r>
              <w:rPr>
                <w:sz w:val="20"/>
              </w:rPr>
              <w:t>Account-type fields drive channel classification (Restaurant → On-Premise, Retail → Off-Premise). Conventions for filtering employee/sample transactions vary.</w:t>
            </w:r>
          </w:p>
        </w:tc>
      </w:tr>
    </w:tbl>
    <w:p>
      <w:pPr>
        <w:pStyle w:val="Heading2"/>
      </w:pPr>
      <w:r>
        <w:rPr>
          <w:color w:val="1B2A4E"/>
        </w:rPr>
        <w:t>Supplier-owned POS channel</w:t>
      </w:r>
    </w:p>
    <w:tbl>
      <w:tblPr>
        <w:tblStyle w:val="LightGrid-Accent1"/>
        <w:tblW w:type="auto" w:w="0"/>
        <w:tblLook w:firstColumn="1" w:firstRow="1" w:lastColumn="0" w:lastRow="0" w:noHBand="0" w:noVBand="1" w:val="04A0"/>
      </w:tblPr>
      <w:tblGrid>
        <w:gridCol w:w="4824"/>
        <w:gridCol w:w="4824"/>
      </w:tblGrid>
      <w:tr>
        <w:tc>
          <w:tcPr>
            <w:tcW w:type="dxa" w:w="2448"/>
          </w:tcPr>
          <w:p>
            <w:r/>
            <w:r>
              <w:rPr>
                <w:b/>
                <w:color w:val="1B2A4E"/>
                <w:sz w:val="20"/>
              </w:rPr>
              <w:t>Footprint</w:t>
            </w:r>
          </w:p>
        </w:tc>
        <w:tc>
          <w:tcPr>
            <w:tcW w:type="dxa" w:w="7056"/>
          </w:tcPr>
          <w:p>
            <w:r/>
            <w:r>
              <w:rPr>
                <w:sz w:val="20"/>
              </w:rPr>
              <w:t>Wherever the supplier operates retail — taprooms, tasting rooms, bottle shops.</w:t>
            </w:r>
          </w:p>
        </w:tc>
      </w:tr>
      <w:tr>
        <w:tc>
          <w:tcPr>
            <w:tcW w:type="dxa" w:w="2448"/>
          </w:tcPr>
          <w:p>
            <w:r/>
            <w:r>
              <w:rPr>
                <w:b/>
                <w:color w:val="1B2A4E"/>
                <w:sz w:val="20"/>
              </w:rPr>
              <w:t>Volume</w:t>
            </w:r>
          </w:p>
        </w:tc>
        <w:tc>
          <w:tcPr>
            <w:tcW w:type="dxa" w:w="7056"/>
          </w:tcPr>
          <w:p>
            <w:r/>
            <w:r>
              <w:rPr>
                <w:sz w:val="20"/>
              </w:rPr>
              <w:t>Often the highest transaction count by row, but lowest by dollar volume.</w:t>
            </w:r>
          </w:p>
        </w:tc>
      </w:tr>
      <w:tr>
        <w:tc>
          <w:tcPr>
            <w:tcW w:type="dxa" w:w="2448"/>
          </w:tcPr>
          <w:p>
            <w:r/>
            <w:r>
              <w:rPr>
                <w:b/>
                <w:color w:val="1B2A4E"/>
                <w:sz w:val="20"/>
              </w:rPr>
              <w:t>Focus</w:t>
            </w:r>
          </w:p>
        </w:tc>
        <w:tc>
          <w:tcPr>
            <w:tcW w:type="dxa" w:w="7056"/>
          </w:tcPr>
          <w:p>
            <w:r/>
            <w:r>
              <w:rPr>
                <w:sz w:val="20"/>
              </w:rPr>
              <w:t>Direct-to-consumer plus local wholesale (the supplier acts as their own Tier-2 for nearby accounts).</w:t>
            </w:r>
          </w:p>
        </w:tc>
      </w:tr>
      <w:tr>
        <w:tc>
          <w:tcPr>
            <w:tcW w:type="dxa" w:w="2448"/>
          </w:tcPr>
          <w:p>
            <w:r/>
            <w:r>
              <w:rPr>
                <w:b/>
                <w:color w:val="1B2A4E"/>
                <w:sz w:val="20"/>
              </w:rPr>
              <w:t>Reporting</w:t>
            </w:r>
          </w:p>
        </w:tc>
        <w:tc>
          <w:tcPr>
            <w:tcW w:type="dxa" w:w="7056"/>
          </w:tcPr>
          <w:p>
            <w:r/>
            <w:r>
              <w:rPr>
                <w:sz w:val="20"/>
              </w:rPr>
              <w:t>Daily or weekly POS exports — Square, Toast, Lightspeed.</w:t>
            </w:r>
          </w:p>
        </w:tc>
      </w:tr>
      <w:tr>
        <w:tc>
          <w:tcPr>
            <w:tcW w:type="dxa" w:w="2448"/>
          </w:tcPr>
          <w:p>
            <w:r/>
            <w:r>
              <w:rPr>
                <w:b/>
                <w:color w:val="1B2A4E"/>
                <w:sz w:val="20"/>
              </w:rPr>
              <w:t>Watch for</w:t>
            </w:r>
          </w:p>
        </w:tc>
        <w:tc>
          <w:tcPr>
            <w:tcW w:type="dxa" w:w="7056"/>
          </w:tcPr>
          <w:p>
            <w:r/>
            <w:r>
              <w:rPr>
                <w:sz w:val="20"/>
              </w:rPr>
              <w:t>Same transaction may be retail (4-pack) or wholesale (case) depending on price point. Volume is in raw units (cans, 4-packs) — needs conversion to compare with case-based distributor data.</w:t>
            </w:r>
          </w:p>
        </w:tc>
      </w:tr>
    </w:tbl>
    <w:p>
      <w:pPr>
        <w:pStyle w:val="Heading2"/>
      </w:pPr>
      <w:r>
        <w:rPr>
          <w:color w:val="1B2A4E"/>
        </w:rPr>
        <w:t>Historical / concluded distributor</w:t>
      </w:r>
    </w:p>
    <w:tbl>
      <w:tblPr>
        <w:tblStyle w:val="LightGrid-Accent1"/>
        <w:tblW w:type="auto" w:w="0"/>
        <w:tblLook w:firstColumn="1" w:firstRow="1" w:lastColumn="0" w:lastRow="0" w:noHBand="0" w:noVBand="1" w:val="04A0"/>
      </w:tblPr>
      <w:tblGrid>
        <w:gridCol w:w="4824"/>
        <w:gridCol w:w="4824"/>
      </w:tblGrid>
      <w:tr>
        <w:tc>
          <w:tcPr>
            <w:tcW w:type="dxa" w:w="2448"/>
          </w:tcPr>
          <w:p>
            <w:r/>
            <w:r>
              <w:rPr>
                <w:b/>
                <w:color w:val="1B2A4E"/>
                <w:sz w:val="20"/>
              </w:rPr>
              <w:t>Footprint</w:t>
            </w:r>
          </w:p>
        </w:tc>
        <w:tc>
          <w:tcPr>
            <w:tcW w:type="dxa" w:w="7056"/>
          </w:tcPr>
          <w:p>
            <w:r/>
            <w:r>
              <w:rPr>
                <w:sz w:val="20"/>
              </w:rPr>
              <w:t>Whatever it was when the relationship existed.</w:t>
            </w:r>
          </w:p>
        </w:tc>
      </w:tr>
      <w:tr>
        <w:tc>
          <w:tcPr>
            <w:tcW w:type="dxa" w:w="2448"/>
          </w:tcPr>
          <w:p>
            <w:r/>
            <w:r>
              <w:rPr>
                <w:b/>
                <w:color w:val="1B2A4E"/>
                <w:sz w:val="20"/>
              </w:rPr>
              <w:t>Volume</w:t>
            </w:r>
          </w:p>
        </w:tc>
        <w:tc>
          <w:tcPr>
            <w:tcW w:type="dxa" w:w="7056"/>
          </w:tcPr>
          <w:p>
            <w:r/>
            <w:r>
              <w:rPr>
                <w:sz w:val="20"/>
              </w:rPr>
              <w:t>Frozen in time. No new data.</w:t>
            </w:r>
          </w:p>
        </w:tc>
      </w:tr>
      <w:tr>
        <w:tc>
          <w:tcPr>
            <w:tcW w:type="dxa" w:w="2448"/>
          </w:tcPr>
          <w:p>
            <w:r/>
            <w:r>
              <w:rPr>
                <w:b/>
                <w:color w:val="1B2A4E"/>
                <w:sz w:val="20"/>
              </w:rPr>
              <w:t>Focus</w:t>
            </w:r>
          </w:p>
        </w:tc>
        <w:tc>
          <w:tcPr>
            <w:tcW w:type="dxa" w:w="7056"/>
          </w:tcPr>
          <w:p>
            <w:r/>
            <w:r>
              <w:rPr>
                <w:sz w:val="20"/>
              </w:rPr>
              <w:t>n/a — relationship ended.</w:t>
            </w:r>
          </w:p>
        </w:tc>
      </w:tr>
      <w:tr>
        <w:tc>
          <w:tcPr>
            <w:tcW w:type="dxa" w:w="2448"/>
          </w:tcPr>
          <w:p>
            <w:r/>
            <w:r>
              <w:rPr>
                <w:b/>
                <w:color w:val="1B2A4E"/>
                <w:sz w:val="20"/>
              </w:rPr>
              <w:t>Reporting</w:t>
            </w:r>
          </w:p>
        </w:tc>
        <w:tc>
          <w:tcPr>
            <w:tcW w:type="dxa" w:w="7056"/>
          </w:tcPr>
          <w:p>
            <w:r/>
            <w:r>
              <w:rPr>
                <w:sz w:val="20"/>
              </w:rPr>
              <w:t>Whatever legacy files exist; no new files arrive.</w:t>
            </w:r>
          </w:p>
        </w:tc>
      </w:tr>
      <w:tr>
        <w:tc>
          <w:tcPr>
            <w:tcW w:type="dxa" w:w="2448"/>
          </w:tcPr>
          <w:p>
            <w:r/>
            <w:r>
              <w:rPr>
                <w:b/>
                <w:color w:val="1B2A4E"/>
                <w:sz w:val="20"/>
              </w:rPr>
              <w:t>Watch for</w:t>
            </w:r>
          </w:p>
        </w:tc>
        <w:tc>
          <w:tcPr>
            <w:tcW w:type="dxa" w:w="7056"/>
          </w:tcPr>
          <w:p>
            <w:r/>
            <w:r>
              <w:rPr>
                <w:sz w:val="20"/>
              </w:rPr>
              <w:t>Data is stable but still relevant for historical trend analysis. Recency filters will return empty results — interpret as 'inactive', not 'missing data'.</w:t>
            </w:r>
          </w:p>
        </w:tc>
      </w:tr>
    </w:tbl>
    <w:p>
      <w:r>
        <w:br w:type="page"/>
      </w:r>
    </w:p>
    <w:p>
      <w:pPr>
        <w:pStyle w:val="Heading1"/>
      </w:pPr>
      <w:r>
        <w:rPr>
          <w:color w:val="1B2A4E"/>
        </w:rPr>
        <w:t>4. Channel and unit concepts that appear everywhere</w:t>
      </w:r>
    </w:p>
    <w:p>
      <w:pPr>
        <w:pStyle w:val="Heading2"/>
      </w:pPr>
      <w:r>
        <w:rPr>
          <w:color w:val="1B2A4E"/>
        </w:rPr>
        <w:t>On-Premise vs Off-Premise</w:t>
      </w:r>
    </w:p>
    <w:p>
      <w:r>
        <w:rPr>
          <w:b w:val="0"/>
          <w:i w:val="0"/>
          <w:sz w:val="22"/>
        </w:rPr>
        <w:t>The most important categorical split in beverage analytics. Filtering by channel changes the meaning of every metric.</w:t>
      </w:r>
    </w:p>
    <w:p>
      <w:pPr>
        <w:pStyle w:val="ListBullet"/>
      </w:pPr>
      <w:r>
        <w:rPr>
          <w:sz w:val="22"/>
        </w:rPr>
        <w:t>On-Premise: bars, restaurants, hotels, taprooms — anywhere the consumer drinks the product on site. Sold by the glass.</w:t>
      </w:r>
    </w:p>
    <w:p>
      <w:pPr>
        <w:pStyle w:val="ListBullet"/>
      </w:pPr>
      <w:r>
        <w:rPr>
          <w:sz w:val="22"/>
        </w:rPr>
        <w:t>Off-Premise: liquor stores, grocery, convenience, bottle shops — anywhere the consumer takes the product home sealed.</w:t>
      </w:r>
    </w:p>
    <w:p>
      <w:r>
        <w:rPr>
          <w:b w:val="0"/>
          <w:i w:val="0"/>
          <w:sz w:val="22"/>
        </w:rPr>
        <w:t>On-Premise traditionally has higher per-unit pricing and stronger brand-loyalty signals; Off-Premise has higher volume and more price sensitivity. Mixed-channel analytics often require treating these two as separate populations.</w:t>
      </w:r>
    </w:p>
    <w:p>
      <w:pPr>
        <w:pStyle w:val="Heading2"/>
      </w:pPr>
      <w:r>
        <w:rPr>
          <w:color w:val="1B2A4E"/>
        </w:rPr>
        <w:t>Unit-of-measure: the 6L case, the 9L case, the keg, the can</w:t>
      </w:r>
    </w:p>
    <w:p>
      <w:r>
        <w:rPr>
          <w:b w:val="0"/>
          <w:i w:val="0"/>
          <w:sz w:val="22"/>
        </w:rPr>
        <w:t>Beverage data is dense with case-equivalents. You'll see at least these:</w:t>
      </w:r>
    </w:p>
    <w:p>
      <w:pPr>
        <w:pStyle w:val="ListBullet"/>
      </w:pPr>
      <w:r>
        <w:rPr>
          <w:sz w:val="22"/>
        </w:rPr>
        <w:t>Physical case — what was actually shipped: typically 24 × 250 ml or 12 × 750 ml cans/bottles, depending on the format.</w:t>
      </w:r>
    </w:p>
    <w:p>
      <w:pPr>
        <w:pStyle w:val="ListBullet"/>
      </w:pPr>
      <w:r>
        <w:rPr>
          <w:sz w:val="22"/>
        </w:rPr>
        <w:t>6L case equivalent — common for RTD and craft beverage. 24 × 250 ml = 6 liters total. The base unit most modern brands report internally.</w:t>
      </w:r>
    </w:p>
    <w:p>
      <w:pPr>
        <w:pStyle w:val="ListBullet"/>
      </w:pPr>
      <w:r>
        <w:rPr>
          <w:sz w:val="22"/>
        </w:rPr>
        <w:t>9L case equivalent — the wine/spirits industry standard, dating to 12 × 750 ml. Used when comparing to published industry figures (Nielsen, IRI, distributor benchmarks).</w:t>
      </w:r>
    </w:p>
    <w:p>
      <w:pPr>
        <w:pStyle w:val="ListBullet"/>
      </w:pPr>
      <w:r>
        <w:rPr>
          <w:sz w:val="22"/>
        </w:rPr>
        <w:t>Draft keg — usually 1/6 BBL (~20 L) or 1/2 BBL (~58 L) for craft brands. Counted as whole kegs, not converted to case equivalents.</w:t>
      </w:r>
    </w:p>
    <w:p>
      <w:pPr>
        <w:pStyle w:val="ListBullet"/>
      </w:pPr>
      <w:r>
        <w:rPr>
          <w:sz w:val="22"/>
        </w:rPr>
        <w:t>Raw units — 4-packs, single cans, individual bottles. POS data usually arrives in these formats and must be aggregated up to cases for comparability.</w:t>
      </w:r>
    </w:p>
    <w:p>
      <w:r>
        <w:rPr>
          <w:b w:val="0"/>
          <w:i w:val="0"/>
          <w:sz w:val="22"/>
        </w:rPr>
        <w:t>Mistakes in unit conversion are the #1 source of wrong-number incidents in this industry. Always verify which case definition a given column uses before summing.</w:t>
      </w:r>
    </w:p>
    <w:p>
      <w:pPr>
        <w:pStyle w:val="Heading2"/>
      </w:pPr>
      <w:r>
        <w:rPr>
          <w:color w:val="1B2A4E"/>
        </w:rPr>
        <w:t>Sales-in vs sales-out vs depletions</w:t>
      </w:r>
    </w:p>
    <w:p>
      <w:pPr>
        <w:pStyle w:val="ListBullet"/>
      </w:pPr>
      <w:r>
        <w:rPr>
          <w:sz w:val="22"/>
        </w:rPr>
        <w:t>Sales-in — what the supplier shipped to the distributor. Recorded on the supplier's side.</w:t>
      </w:r>
    </w:p>
    <w:p>
      <w:pPr>
        <w:pStyle w:val="ListBullet"/>
      </w:pPr>
      <w:r>
        <w:rPr>
          <w:sz w:val="22"/>
        </w:rPr>
        <w:t>Sales-out / shipments — what the distributor shipped to the retailer/on-premise customer. Recorded on the distributor's side. This is what most distributor data files contain.</w:t>
      </w:r>
    </w:p>
    <w:p>
      <w:pPr>
        <w:pStyle w:val="ListBullet"/>
      </w:pPr>
      <w:r>
        <w:rPr>
          <w:sz w:val="22"/>
        </w:rPr>
        <w:t>Depletions — what left the distributor's warehouse during a period, regardless of whom it went to. Sometimes synonymous with sales-out; sometimes a separate inventory-movement signal.</w:t>
      </w:r>
    </w:p>
    <w:p>
      <w:r>
        <w:rPr>
          <w:b w:val="0"/>
          <w:i w:val="0"/>
          <w:sz w:val="22"/>
        </w:rPr>
        <w:t>A common confusion: "depletion files" from different distributors may mean subtly different things. Always check whether a column counts shipments to customers or movement out of inventory.</w:t>
      </w:r>
    </w:p>
    <w:p>
      <w:r>
        <w:br w:type="page"/>
      </w:r>
    </w:p>
    <w:p>
      <w:pPr>
        <w:pStyle w:val="Heading1"/>
      </w:pPr>
      <w:r>
        <w:rPr>
          <w:color w:val="1B2A4E"/>
        </w:rPr>
        <w:t>5. Common data quality issues in distributor feeds</w:t>
      </w:r>
    </w:p>
    <w:p>
      <w:r>
        <w:rPr>
          <w:b w:val="0"/>
          <w:i w:val="0"/>
          <w:sz w:val="22"/>
        </w:rPr>
        <w:t>Distributor data is rarely clean. The reasons are usually structural — manual entry, multiple systems consolidating, format drift over time — so the same patterns show up across distributors regardless of size. Knowing these patterns in advance saves a lot of debugging.</w:t>
      </w:r>
    </w:p>
    <w:p>
      <w:pPr>
        <w:pStyle w:val="ListBullet"/>
      </w:pPr>
      <w:r>
        <w:rPr>
          <w:sz w:val="22"/>
        </w:rPr>
        <w:t>Mixed casing of categorical fields (e.g. 'On Premise' vs 'ON PREMISE' vs 'on premise' all in the same column). Use case-insensitive matching.</w:t>
      </w:r>
    </w:p>
    <w:p>
      <w:pPr>
        <w:pStyle w:val="ListBullet"/>
      </w:pPr>
      <w:r>
        <w:rPr>
          <w:sz w:val="22"/>
        </w:rPr>
        <w:t>Placeholder / aggregate-summary rows interleaved with real data — usually identifiable by a blank customer name and a subtotal in the quantity column.</w:t>
      </w:r>
    </w:p>
    <w:p>
      <w:pPr>
        <w:pStyle w:val="ListBullet"/>
      </w:pPr>
      <w:r>
        <w:rPr>
          <w:sz w:val="22"/>
        </w:rPr>
        <w:t>Employee or sample transactions mixed in with real sales. Often flagged by a special Price Label, blank price, or a sales rep name in the customer field.</w:t>
      </w:r>
    </w:p>
    <w:p>
      <w:pPr>
        <w:pStyle w:val="ListBullet"/>
      </w:pPr>
      <w:r>
        <w:rPr>
          <w:sz w:val="22"/>
        </w:rPr>
        <w:t>Multiple casings or aliases of the same customer (e.g. 'Joe's Wine Shop' vs 'JOE'S WINE SHOP' vs 'Joes Wine Shop'). Deduplication by normalized name + state is usually needed.</w:t>
      </w:r>
    </w:p>
    <w:p>
      <w:pPr>
        <w:pStyle w:val="ListBullet"/>
      </w:pPr>
      <w:r>
        <w:rPr>
          <w:sz w:val="22"/>
        </w:rPr>
        <w:t>Sales rep identifiers vary in format: full names in some distributors, initial+lastname abbreviations in others, short codes elsewhere.</w:t>
      </w:r>
    </w:p>
    <w:p>
      <w:pPr>
        <w:pStyle w:val="ListBullet"/>
      </w:pPr>
      <w:r>
        <w:rPr>
          <w:sz w:val="22"/>
        </w:rPr>
        <w:t>Column-shifted rows — when a data-entry slip puts a rep name in the state column or a date in the quantity column. These often produce silent rejections downstream.</w:t>
      </w:r>
    </w:p>
    <w:p>
      <w:pPr>
        <w:pStyle w:val="ListBullet"/>
      </w:pPr>
      <w:r>
        <w:rPr>
          <w:sz w:val="22"/>
        </w:rPr>
        <w:t>Returns and credits stored as negative quantities. Plain SUM nets them automatically; filtering to positive quantities only inflates totals.</w:t>
      </w:r>
    </w:p>
    <w:p>
      <w:pPr>
        <w:pStyle w:val="ListBullet"/>
      </w:pPr>
      <w:r>
        <w:rPr>
          <w:sz w:val="22"/>
        </w:rPr>
        <w:t>Files that look like they cover one month but actually contain multi-month or year-to-date snapshots — always confirm the date range before treating a file as 'the May file'.</w:t>
      </w:r>
    </w:p>
    <w:p>
      <w:r>
        <w:br w:type="page"/>
      </w:r>
    </w:p>
    <w:p>
      <w:pPr>
        <w:pStyle w:val="Heading1"/>
      </w:pPr>
      <w:r>
        <w:rPr>
          <w:color w:val="1B2A4E"/>
        </w:rPr>
        <w:t>6. Glossary</w:t>
      </w:r>
    </w:p>
    <w:p>
      <w:r>
        <w:rPr>
          <w:b/>
          <w:color w:val="1B2A4E"/>
          <w:sz w:val="20"/>
        </w:rPr>
        <w:t xml:space="preserve">3-tier system   </w:t>
      </w:r>
      <w:r>
        <w:rPr>
          <w:sz w:val="20"/>
        </w:rPr>
        <w:t>U.S. alcohol distribution structure: producer → distributor → retailer. Required in nearly all states by post-Prohibition regulation.</w:t>
      </w:r>
    </w:p>
    <w:p>
      <w:r>
        <w:rPr>
          <w:b/>
          <w:color w:val="1B2A4E"/>
          <w:sz w:val="20"/>
        </w:rPr>
        <w:t xml:space="preserve">ABV   </w:t>
      </w:r>
      <w:r>
        <w:rPr>
          <w:sz w:val="20"/>
        </w:rPr>
        <w:t>Alcohol By Volume. The percentage of pure alcohol in a beverage.</w:t>
      </w:r>
    </w:p>
    <w:p>
      <w:r>
        <w:rPr>
          <w:b/>
          <w:color w:val="1B2A4E"/>
          <w:sz w:val="20"/>
        </w:rPr>
        <w:t xml:space="preserve">BAM   </w:t>
      </w:r>
      <w:r>
        <w:rPr>
          <w:sz w:val="20"/>
        </w:rPr>
        <w:t>Brand Ambassador / Brand Advocacy Manager. A supplier-side role focused on educating distributor reps and on-premise accounts.</w:t>
      </w:r>
    </w:p>
    <w:p>
      <w:r>
        <w:rPr>
          <w:b/>
          <w:color w:val="1B2A4E"/>
          <w:sz w:val="20"/>
        </w:rPr>
        <w:t xml:space="preserve">Case equivalent   </w:t>
      </w:r>
      <w:r>
        <w:rPr>
          <w:sz w:val="20"/>
        </w:rPr>
        <w:t>A standardized unit for comparing volumes across packaging formats. 9L cases (12×750ml) are the wine/spirits industry standard. 6L cases are common in RTD.</w:t>
      </w:r>
    </w:p>
    <w:p>
      <w:r>
        <w:rPr>
          <w:b/>
          <w:color w:val="1B2A4E"/>
          <w:sz w:val="20"/>
        </w:rPr>
        <w:t xml:space="preserve">Channel   </w:t>
      </w:r>
      <w:r>
        <w:rPr>
          <w:sz w:val="20"/>
        </w:rPr>
        <w:t>On-Premise (bars/restaurants — sold by the glass) vs Off-Premise (retail — sold sealed for consumption elsewhere). Drives almost every analytical cut.</w:t>
      </w:r>
    </w:p>
    <w:p>
      <w:r>
        <w:rPr>
          <w:b/>
          <w:color w:val="1B2A4E"/>
          <w:sz w:val="20"/>
        </w:rPr>
        <w:t xml:space="preserve">Control state   </w:t>
      </w:r>
      <w:r>
        <w:rPr>
          <w:sz w:val="20"/>
        </w:rPr>
        <w:t>A state where the government acts as the Tier-2 distributor. The supplier sells to one centralized entity instead of multiple private distributors.</w:t>
      </w:r>
    </w:p>
    <w:p>
      <w:r>
        <w:rPr>
          <w:b/>
          <w:color w:val="1B2A4E"/>
          <w:sz w:val="20"/>
        </w:rPr>
        <w:t xml:space="preserve">Depletion   </w:t>
      </w:r>
      <w:r>
        <w:rPr>
          <w:sz w:val="20"/>
        </w:rPr>
        <w:t>Inventory leaving a distributor's warehouse. Often used interchangeably with 'sales-out', though exact definitions vary by distributor.</w:t>
      </w:r>
    </w:p>
    <w:p>
      <w:r>
        <w:rPr>
          <w:b/>
          <w:color w:val="1B2A4E"/>
          <w:sz w:val="20"/>
        </w:rPr>
        <w:t xml:space="preserve">DLC / ABC   </w:t>
      </w:r>
      <w:r>
        <w:rPr>
          <w:sz w:val="20"/>
        </w:rPr>
        <w:t>State-level liquor control boards (e.g. Montgomery County DLC, North Carolina ABC). Both are forms of control-state distribution.</w:t>
      </w:r>
    </w:p>
    <w:p>
      <w:r>
        <w:rPr>
          <w:b/>
          <w:color w:val="1B2A4E"/>
          <w:sz w:val="20"/>
        </w:rPr>
        <w:t xml:space="preserve">DTC   </w:t>
      </w:r>
      <w:r>
        <w:rPr>
          <w:sz w:val="20"/>
        </w:rPr>
        <w:t>Direct-to-Consumer. Legal in some states for some categories (especially wine) — bypasses the 3-tier system under specific licenses.</w:t>
      </w:r>
    </w:p>
    <w:p>
      <w:r>
        <w:rPr>
          <w:b/>
          <w:color w:val="1B2A4E"/>
          <w:sz w:val="20"/>
        </w:rPr>
        <w:t xml:space="preserve">Keg   </w:t>
      </w:r>
      <w:r>
        <w:rPr>
          <w:sz w:val="20"/>
        </w:rPr>
        <w:t>Draft beverage format. Common sizes: 1/6 BBL (~20 L), 1/4 BBL (~30 L), 1/2 BBL (~58 L). Counted as whole kegs, rarely converted to case-equivalents.</w:t>
      </w:r>
    </w:p>
    <w:p>
      <w:r>
        <w:rPr>
          <w:b/>
          <w:color w:val="1B2A4E"/>
          <w:sz w:val="20"/>
        </w:rPr>
        <w:t xml:space="preserve">On-Premise / Off-Premise   </w:t>
      </w:r>
      <w:r>
        <w:rPr>
          <w:sz w:val="20"/>
        </w:rPr>
        <w:t>See Channel above.</w:t>
      </w:r>
    </w:p>
    <w:p>
      <w:r>
        <w:rPr>
          <w:b/>
          <w:color w:val="1B2A4E"/>
          <w:sz w:val="20"/>
        </w:rPr>
        <w:t xml:space="preserve">POS   </w:t>
      </w:r>
      <w:r>
        <w:rPr>
          <w:sz w:val="20"/>
        </w:rPr>
        <w:t>Point of Sale. The system that records retail transactions (Square, Toast, Lightspeed, etc.). Used by supplier-owned retail and direct-trade channels.</w:t>
      </w:r>
    </w:p>
    <w:p>
      <w:r>
        <w:rPr>
          <w:b/>
          <w:color w:val="1B2A4E"/>
          <w:sz w:val="20"/>
        </w:rPr>
        <w:t xml:space="preserve">RIP   </w:t>
      </w:r>
      <w:r>
        <w:rPr>
          <w:sz w:val="20"/>
        </w:rPr>
        <w:t>Retail Inclusion Program. A common promotional mechanism — distributors offer discounted pricing for retailers willing to feature a product. Treated as marketing spend by some suppliers, as a price reduction by others.</w:t>
      </w:r>
    </w:p>
    <w:p>
      <w:r>
        <w:rPr>
          <w:b/>
          <w:color w:val="1B2A4E"/>
          <w:sz w:val="20"/>
        </w:rPr>
        <w:t xml:space="preserve">RTD   </w:t>
      </w:r>
      <w:r>
        <w:rPr>
          <w:sz w:val="20"/>
        </w:rPr>
        <w:t>Ready-to-Drink. Pre-mixed canned cocktails, hard seltzers, spritzes, malt-based products. The fastest-growing category in many markets.</w:t>
      </w:r>
    </w:p>
    <w:p>
      <w:r>
        <w:rPr>
          <w:b/>
          <w:color w:val="1B2A4E"/>
          <w:sz w:val="20"/>
        </w:rPr>
        <w:t xml:space="preserve">Sales rep / Sales rep code   </w:t>
      </w:r>
      <w:r>
        <w:rPr>
          <w:sz w:val="20"/>
        </w:rPr>
        <w:t>The distributor employee assigned to an account. Format varies from full names to short codes like 'JBROWN' or 'PATRICK'.</w:t>
      </w:r>
    </w:p>
    <w:p>
      <w:r>
        <w:rPr>
          <w:b/>
          <w:color w:val="1B2A4E"/>
          <w:sz w:val="20"/>
        </w:rPr>
        <w:t xml:space="preserve">Sales-in vs Sales-out   </w:t>
      </w:r>
      <w:r>
        <w:rPr>
          <w:sz w:val="20"/>
        </w:rPr>
        <w:t>Sales-in = supplier shipped to distributor; Sales-out = distributor shipped to retailer. The supplier sees sales-in directly but depends on the distributor for sales-out visibility.</w:t>
      </w:r>
    </w:p>
    <w:p>
      <w:r>
        <w:rPr>
          <w:b/>
          <w:color w:val="1B2A4E"/>
          <w:sz w:val="20"/>
        </w:rPr>
        <w:t xml:space="preserve">SKU   </w:t>
      </w:r>
      <w:r>
        <w:rPr>
          <w:sz w:val="20"/>
        </w:rPr>
        <w:t>Stock Keeping Unit. A specific product variant (size + format + brand). One brand may have multiple SKUs (case format, keg format, half-bottle format, etc.).</w:t>
      </w:r>
    </w:p>
    <w:p>
      <w:r>
        <w:rPr>
          <w:b/>
          <w:color w:val="1B2A4E"/>
          <w:sz w:val="20"/>
        </w:rPr>
        <w:t xml:space="preserve">Three-tier   </w:t>
      </w:r>
      <w:r>
        <w:rPr>
          <w:sz w:val="20"/>
        </w:rPr>
        <w:t>See 3-tier system above.</w:t>
      </w:r>
    </w:p>
    <w:p/>
    <w:p>
      <w:pPr>
        <w:jc w:val="center"/>
      </w:pPr>
      <w:r>
        <w:rPr>
          <w:i/>
          <w:color w:val="666666"/>
          <w:sz w:val="20"/>
        </w:rPr>
        <w:t>Read this once before you open any data files. The terminology will make every subsequent conversation faster.</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