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180"/>
      </w:pPr>
      <w:r>
        <w:t xml:space="preserve">How does delivery pressure affect developers’ ability to implement business requirement changes in an unfamiliar repository using an AI coding agent?</w:t>
      </w:r>
    </w:p>
    <w:p>
      <w:pPr>
        <w:pStyle w:val="Subtitle"/>
        <w:spacing w:after="180"/>
      </w:pPr>
      <w:r>
        <w:t xml:space="preserve">Research proposal | ISYS90118</w:t>
      </w:r>
    </w:p>
    <w:p>
      <w:pPr>
        <w:pStyle w:val="Heading1"/>
        <w:spacing w:after="180"/>
      </w:pPr>
      <w:r>
        <w:t xml:space="preserve">Introduction and Research Problem</w:t>
      </w:r>
    </w:p>
    <w:p>
      <w:pPr>
        <w:pStyle w:val="Normal"/>
        <w:spacing w:after="120"/>
      </w:pPr>
      <w:r>
        <w:rPr>
          <w:i/>
          <w:color w:val="666666"/>
        </w:rPr>
        <w:t xml:space="preserve">[Target: 250 words. Explain the challenge of changing business rules in unfamiliar systems with an AI coding agent, why delivery pressure matters, and who faces the problem. Use evidence for leadership expectations and distinguish required delivery from optional exploration; do not assume AI spending causes pressure.]</w:t>
      </w:r>
    </w:p>
    <w:p>
      <w:pPr>
        <w:pStyle w:val="Heading1"/>
        <w:spacing w:after="180"/>
      </w:pPr>
      <w:r>
        <w:t xml:space="preserve">Initial Literature Review</w:t>
      </w:r>
    </w:p>
    <w:p>
      <w:pPr>
        <w:pStyle w:val="Normal"/>
        <w:spacing w:after="120"/>
      </w:pPr>
      <w:r>
        <w:t xml:space="preserve">Research before coding agents linked delivery pressure to a tension between output and quality. Kuutila et al. (2020) reviewed 102 software-engineering papers and found that most high-quality studies reported greater productivity but poorer quality under time pressure. However, findings varied across tasks and settings, and quality assurance featured prominently in the evidence. This does not show that developers stopped caring about quality. Rather, it establishes that completing more work and maintaining quality can be distinct outcomes, whose relationship depends on the conditions of development.</w:t>
      </w:r>
    </w:p>
    <w:p>
      <w:pPr>
        <w:pStyle w:val="Normal"/>
        <w:spacing w:after="120"/>
      </w:pPr>
      <w:r>
        <w:t xml:space="preserve">AI assistance changes those conditions but does not serve a single purpose. Barke et al. (2023) observed 20 programmers using Copilot both to accelerate a known approach and to explore unfamiliar options. Extending this work to more autonomous tools, Chen et al. (2025) compared OpenHands with Copilot in a 20-participant study that included repository changes. Their preprint reports higher task correctness and lower human effort with the agent, alongside concerns about understanding its outputs. Both conditions allowed 40 minutes, so the study compares tools rather than pressure levels. Together, these studies show why greater AI use need not mean careless delegation: it can support exploration and successful implementation.</w:t>
      </w:r>
    </w:p>
    <w:p>
      <w:pPr>
        <w:pStyle w:val="Normal"/>
        <w:spacing w:after="120"/>
      </w:pPr>
      <w:r>
        <w:t xml:space="preserve">Nevertheless, task completion and learning can diverge. In a randomised study of 52 developers learning an unfamiliar Python library, Shen and Tamkin (2026) found lower subsequent understanding scores with AI assistance, without a statistically significant average improvement in completion time. Their preprint also links explanation-seeking patterns with stronger learning, although participants chose those patterns rather than receiving them at random. Compared with Chen et al. (2025), this study assesses acquired knowledge rather than repository-task correctness. Its chat-based assistance and short library tasks limit direct application to developers directing an agent through an existing system.</w:t>
      </w:r>
    </w:p>
    <w:p>
      <w:pPr>
        <w:pStyle w:val="Normal"/>
        <w:spacing w:after="120"/>
      </w:pPr>
      <w:r>
        <w:t xml:space="preserve">Time pressure has also been tested within AI-assisted programming. Padmakumar et al. (2026) assigned developers to one- or four-hour limits for building new web applications with their preferred AI tools. Across 40 retained participants, their preprint reports significantly higher reliance under the shorter limit. However, the measure estimates work saved through model-generated alternatives to AI-assisted steps; it does not directly measure thought. The overall relationship between reliance and system recall was weak, and some highly reliant participants retained strong understanding. These findings support examining how deadlines change delegation without treating reliance itself as evidence of poor software quality.</w:t>
      </w:r>
    </w:p>
    <w:p>
      <w:pPr>
        <w:pStyle w:val="Normal"/>
        <w:spacing w:after="120"/>
      </w:pPr>
      <w:r>
        <w:t xml:space="preserve">Changing requirements introduces a further distinction between producing code and keeping it aligned with the task. Jiang et al. (2026) analysed 3,553 eligible coding-agent sessions and found that late requirements were followed by more deletion or replacement of earlier agent-written code. Their recent preprint also tests requirement-disclosure timing in an agent experiment. Yet replacing code can be a necessary response to a changed requirement, rather than a defect. This work makes requirement change relevant to agent evaluation, while showing why the amount of rework cannot substitute for checks of final behaviour.</w:t>
      </w:r>
    </w:p>
    <w:p>
      <w:pPr>
        <w:pStyle w:val="Normal"/>
        <w:spacing w:after="120"/>
      </w:pPr>
      <w:r>
        <w:t xml:space="preserve">Evidence on later maintenance also challenges a general claim that AI-generated work creates poorer outcomes. Borg et al. (2026) studied developers who extended code that others had produced with or without AI. Their preregistered experiment found no statistically significant differences in subsequent manual development time or conventional code-quality comparisons. However, only passing submissions entered the analysis, and the later developers worked without AI. Read alongside the learning and reliance studies, this result shows that understanding, delegation, rework, and maintainability measure different outcomes. The literature therefore supports assessing both successful changes and their effects on existing behaviour, rather than inferring quality from code volume or AI usage.</w:t>
      </w:r>
    </w:p>
    <w:p>
      <w:pPr>
        <w:pStyle w:val="Heading1"/>
        <w:spacing w:after="180"/>
      </w:pPr>
      <w:r>
        <w:t xml:space="preserve">Theory or Conceptual Framework</w:t>
      </w:r>
    </w:p>
    <w:p>
      <w:pPr>
        <w:pStyle w:val="Normal"/>
        <w:spacing w:after="120"/>
      </w:pPr>
      <w:r>
        <w:rPr>
          <w:i/>
          <w:color w:val="666666"/>
        </w:rPr>
        <w:t xml:space="preserve">[Target: 150 words. Select and justify the framework that explains how pressure may affect understanding, context updates, and review, and how agent support may offset those demands. Link it to the planned measures and separate proposed explanations from established findings.]</w:t>
      </w:r>
    </w:p>
    <w:p>
      <w:pPr>
        <w:pStyle w:val="Heading1"/>
        <w:spacing w:after="180"/>
      </w:pPr>
      <w:r>
        <w:t xml:space="preserve">Research Gap</w:t>
      </w:r>
    </w:p>
    <w:p>
      <w:pPr>
        <w:pStyle w:val="Normal"/>
        <w:spacing w:after="120"/>
      </w:pPr>
      <w:r>
        <w:rPr>
          <w:i/>
          <w:color w:val="666666"/>
        </w:rPr>
        <w:t xml:space="preserve">[Target: 150 words. State what the closest studies leave unanswered about correct business-rule changes under delivery pressure in an unfamiliar repository, and why that specific gap matters. Build directly on the review without repeating it.]</w:t>
      </w:r>
    </w:p>
    <w:p>
      <w:pPr>
        <w:pStyle w:val="Heading1"/>
        <w:spacing w:after="180"/>
      </w:pPr>
      <w:r>
        <w:t xml:space="preserve">Research Aim and Question</w:t>
      </w:r>
    </w:p>
    <w:p>
      <w:pPr>
        <w:pStyle w:val="Normal"/>
        <w:spacing w:after="120"/>
      </w:pPr>
      <w:r>
        <w:rPr>
          <w:i/>
          <w:color w:val="666666"/>
        </w:rPr>
        <w:t xml:space="preserve">[Target: 100 words, including the question. State the aim and define ability as performance on the change task: meeting revised requirements while preserving valid existing behaviour.]</w:t>
      </w:r>
    </w:p>
    <w:p>
      <w:pPr>
        <w:pStyle w:val="Normal"/>
        <w:spacing w:after="120"/>
      </w:pPr>
      <w:r>
        <w:t xml:space="preserve">How does delivery pressure affect developers’ ability to implement business requirement changes in an unfamiliar repository using an AI coding agent?</w:t>
      </w:r>
    </w:p>
    <w:p>
      <w:pPr>
        <w:pStyle w:val="Heading1"/>
        <w:spacing w:after="180"/>
      </w:pPr>
      <w:r>
        <w:t xml:space="preserve">Proposed Methodology and Methods</w:t>
      </w:r>
    </w:p>
    <w:p>
      <w:pPr>
        <w:pStyle w:val="Normal"/>
        <w:spacing w:after="120"/>
      </w:pPr>
      <w:r>
        <w:rPr>
          <w:i/>
          <w:color w:val="666666"/>
        </w:rPr>
        <w:t xml:space="preserve">[Target: 450 words across the three subsections below. Explain why the design can answer the question, not just what participants will do.]</w:t>
      </w:r>
    </w:p>
    <w:p>
      <w:pPr>
        <w:pStyle w:val="Heading2"/>
        <w:spacing w:after="180"/>
      </w:pPr>
      <w:r>
        <w:t xml:space="preserve">Comparative Research Design</w:t>
      </w:r>
    </w:p>
    <w:p>
      <w:pPr>
        <w:pStyle w:val="Normal"/>
        <w:spacing w:after="120"/>
      </w:pPr>
      <w:r>
        <w:rPr>
          <w:i/>
          <w:color w:val="666666"/>
        </w:rPr>
        <w:t xml:space="preserve">[About 150 words. Justify a quantitative controlled comparison, outline recruitment and random group assignment, and explain how a pilot will set the two time allowances and check perceived pressure.]</w:t>
      </w:r>
    </w:p>
    <w:p>
      <w:pPr>
        <w:pStyle w:val="Heading2"/>
        <w:spacing w:after="180"/>
      </w:pPr>
      <w:r>
        <w:t xml:space="preserve">Scenario, Conditions, and Measures</w:t>
      </w:r>
    </w:p>
    <w:p>
      <w:pPr>
        <w:pStyle w:val="Normal"/>
        <w:spacing w:after="120"/>
      </w:pPr>
      <w:r>
        <w:rPr>
          <w:i/>
          <w:color w:val="666666"/>
        </w:rPr>
        <w:t xml:space="preserve">[About 200 words. Give both groups the same repository, initial familiarisation, starting context, change request, agent, and tools; vary the time allowance. Score new rules, removal of obsolete rules, and preservation of valid rules. Keep context, understanding, and review observations secondary.]</w:t>
      </w:r>
    </w:p>
    <w:p>
      <w:pPr>
        <w:pStyle w:val="Heading2"/>
        <w:spacing w:after="180"/>
      </w:pPr>
      <w:r>
        <w:t xml:space="preserve">Data Analysis</w:t>
      </w:r>
    </w:p>
    <w:p>
      <w:pPr>
        <w:pStyle w:val="Normal"/>
        <w:spacing w:after="120"/>
      </w:pPr>
      <w:r>
        <w:rPr>
          <w:i/>
          <w:color w:val="666666"/>
        </w:rPr>
        <w:t xml:space="preserve">[About 100 words. Explain the group comparison and how to report uncertainty, score work without group labels where feasible, and retain incomplete attempts. Use process records to explore explanations without claiming they prove the causal mechanism.]</w:t>
      </w:r>
    </w:p>
    <w:p>
      <w:pPr>
        <w:pStyle w:val="Heading1"/>
        <w:spacing w:after="180"/>
      </w:pPr>
      <w:r>
        <w:t xml:space="preserve">Ethics and Data Management</w:t>
      </w:r>
    </w:p>
    <w:p>
      <w:pPr>
        <w:pStyle w:val="Normal"/>
        <w:spacing w:after="120"/>
      </w:pPr>
      <w:r>
        <w:rPr>
          <w:i/>
          <w:color w:val="666666"/>
        </w:rPr>
        <w:t xml:space="preserve">[Target: 75 words. Cover consent, withdrawal, manageable task pressure, anonymised session records, secure storage, and a fictional business scenario without confidential code or data.]</w:t>
      </w:r>
    </w:p>
    <w:p>
      <w:pPr>
        <w:pStyle w:val="Heading1"/>
        <w:spacing w:after="180"/>
      </w:pPr>
      <w:r>
        <w:t xml:space="preserve">Expected Contribution</w:t>
      </w:r>
    </w:p>
    <w:p>
      <w:pPr>
        <w:pStyle w:val="Normal"/>
        <w:spacing w:after="120"/>
      </w:pPr>
      <w:r>
        <w:rPr>
          <w:i/>
          <w:color w:val="666666"/>
        </w:rPr>
        <w:t xml:space="preserve">[Target: 125 words. Explain what the study could add to research and decisions about delivery targets and review. Allow for better, similar, or worse outcomes under pressure. State possible contributions, not invented findings or a Gregor classification as the proposal's purpose.]</w:t>
      </w:r>
    </w:p>
    <w:p>
      <w:pPr>
        <w:pStyle w:val="Heading1"/>
        <w:spacing w:after="180"/>
      </w:pPr>
      <w:r>
        <w:t xml:space="preserve">Scope, Limitations, and Feasibility</w:t>
      </w:r>
    </w:p>
    <w:p>
      <w:pPr>
        <w:pStyle w:val="Normal"/>
        <w:spacing w:after="120"/>
      </w:pPr>
      <w:r>
        <w:rPr>
          <w:i/>
          <w:color w:val="666666"/>
        </w:rPr>
        <w:t xml:space="preserve">[Target: 100 words. Bound claims to one task, repository, agent, and sample; address recruitment, task size, and resources. Note that shorter deadlines also constrain agent runs and that the study does not test company-wide returns or prove a historical shift from coding to context work. Add a timeline only if required.]</w:t>
      </w:r>
    </w:p>
    <w:p>
      <w:pPr>
        <w:pStyle w:val="Heading1"/>
        <w:spacing w:after="180"/>
      </w:pPr>
      <w:r>
        <w:t xml:space="preserve">References</w:t>
      </w:r>
    </w:p>
    <w:p>
      <w:pPr>
        <w:pStyle w:val="Normal"/>
        <w:spacing w:after="0" w:line="480" w:lineRule="auto"/>
        <w:ind w:left="720" w:hanging="720"/>
      </w:pPr>
      <w:r>
        <w:t xml:space="preserve">Barke, S., James, M. B., &amp; Polikarpova, N. (2023). Grounded Copilot: How programmers interact with code-generating models. </w:t>
      </w:r>
      <w:r>
        <w:rPr>
          <w:i/>
        </w:rPr>
        <w:t xml:space="preserve">Proceedings of the ACM on Programming Languages, 7</w:t>
      </w:r>
      <w:r>
        <w:t xml:space="preserve">(OOPSLA1), Article 78. https://doi.org/10.1145/3586030</w:t>
      </w:r>
    </w:p>
    <w:p>
      <w:pPr>
        <w:pStyle w:val="Normal"/>
        <w:spacing w:after="0" w:line="480" w:lineRule="auto"/>
        <w:ind w:left="720" w:hanging="720"/>
      </w:pPr>
      <w:r>
        <w:t xml:space="preserve">Borg, M., Hewett, D., Hagatulah, N., Couderc, N., Söderberg, E., Graham, D., Kini, U., &amp; Farley, D. (2026). Echoes of AI: Investigating the downstream effects of AI assistants on software maintainability. </w:t>
      </w:r>
      <w:r>
        <w:rPr>
          <w:i/>
        </w:rPr>
        <w:t xml:space="preserve">Empirical Software Engineering, 31</w:t>
      </w:r>
      <w:r>
        <w:t xml:space="preserve">, Article 161. https://doi.org/10.1007/s10664-026-10889-1</w:t>
      </w:r>
    </w:p>
    <w:p>
      <w:pPr>
        <w:pStyle w:val="Normal"/>
        <w:spacing w:after="0" w:line="480" w:lineRule="auto"/>
        <w:ind w:left="720" w:hanging="720"/>
      </w:pPr>
      <w:r>
        <w:t xml:space="preserve">Chen, V., Talwalkar, A., Brennan, R., &amp; Neubig, G. (2025). </w:t>
      </w:r>
      <w:r>
        <w:rPr>
          <w:i/>
        </w:rPr>
        <w:t xml:space="preserve">Code with me or for me? How increasing AI automation transforms developer workflows</w:t>
      </w:r>
      <w:r>
        <w:t xml:space="preserve"> [Preprint]. arXiv. https://arxiv.org/abs/2507.08149</w:t>
      </w:r>
    </w:p>
    <w:p>
      <w:pPr>
        <w:pStyle w:val="Normal"/>
        <w:spacing w:after="0" w:line="480" w:lineRule="auto"/>
        <w:ind w:left="720" w:hanging="720"/>
      </w:pPr>
      <w:r>
        <w:t xml:space="preserve">Jiang, B., Cheng, H., Fu, Y., Koziolek, A., Li, J., &amp; Zhang, W. (2026). </w:t>
      </w:r>
      <w:r>
        <w:rPr>
          <w:i/>
        </w:rPr>
        <w:t xml:space="preserve">Requirements after the first edit: Mining late requirement emergence and rework in real-world coding-agent sessions</w:t>
      </w:r>
      <w:r>
        <w:t xml:space="preserve"> [Preprint]. arXiv. https://arxiv.org/abs/2609.03028</w:t>
      </w:r>
    </w:p>
    <w:p>
      <w:pPr>
        <w:pStyle w:val="Normal"/>
        <w:spacing w:after="0" w:line="480" w:lineRule="auto"/>
        <w:ind w:left="720" w:hanging="720"/>
      </w:pPr>
      <w:r>
        <w:t xml:space="preserve">Kuutila, M., Mäntylä, M., Farooq, U., &amp; Claes, M. (2020). Time pressure in software engineering: A systematic review. </w:t>
      </w:r>
      <w:r>
        <w:rPr>
          <w:i/>
        </w:rPr>
        <w:t xml:space="preserve">Information and Software Technology, 121</w:t>
      </w:r>
      <w:r>
        <w:t xml:space="preserve">, Article 106257. https://doi.org/10.1016/j.infsof.2020.106257</w:t>
      </w:r>
    </w:p>
    <w:p>
      <w:pPr>
        <w:pStyle w:val="Normal"/>
        <w:spacing w:after="0" w:line="480" w:lineRule="auto"/>
        <w:ind w:left="720" w:hanging="720"/>
      </w:pPr>
      <w:r>
        <w:t xml:space="preserve">Padmakumar, V., Ibrahim, L., Wang, Z. Z., Wang, J., Liao, Q. V., &amp; Yang, D. (2026). </w:t>
      </w:r>
      <w:r>
        <w:rPr>
          <w:i/>
        </w:rPr>
        <w:t xml:space="preserve">Offloading score: Measuring AI reliance through counterfactual workflows</w:t>
      </w:r>
      <w:r>
        <w:t xml:space="preserve"> [Preprint]. arXiv. https://arxiv.org/abs/2605.29392</w:t>
      </w:r>
    </w:p>
    <w:p>
      <w:pPr>
        <w:pStyle w:val="Normal"/>
        <w:spacing w:after="0" w:line="480" w:lineRule="auto"/>
        <w:ind w:left="720" w:hanging="720"/>
      </w:pPr>
      <w:r>
        <w:t xml:space="preserve">Shen, J. H., &amp; Tamkin, A. (2026). </w:t>
      </w:r>
      <w:r>
        <w:rPr>
          <w:i/>
        </w:rPr>
        <w:t xml:space="preserve">How AI impacts skill formation</w:t>
      </w:r>
      <w:r>
        <w:t xml:space="preserve"> [Preprint]. arXiv. https://arxiv.org/abs/2601.20245</w:t>
      </w:r>
    </w:p>
    <w:p>
      <w:pPr>
        <w:pStyle w:val="Heading1"/>
        <w:pageBreakBefore/>
        <w:spacing w:after="180"/>
      </w:pPr>
      <w:r>
        <w:t xml:space="preserve">Appendix A: RIOT Certificate</w:t>
      </w:r>
    </w:p>
    <w:p>
      <w:pPr>
        <w:pStyle w:val="Normal"/>
        <w:spacing w:after="120"/>
      </w:pPr>
      <w:r>
        <w:rPr>
          <w:i/>
          <w:color w:val="666666"/>
        </w:rPr>
        <w:t xml:space="preserve">[Insert your RIOT completion certificate. This required appendix does not count toward the main word limit.]</w:t>
      </w:r>
    </w:p>
    <w:p>
      <w:pPr>
        <w:pStyle w:val="Heading1"/>
        <w:spacing w:after="180"/>
      </w:pPr>
      <w:r>
        <w:t xml:space="preserve">Appendix B: ChatGPT Literature Review and Comparison</w:t>
      </w:r>
    </w:p>
    <w:p>
      <w:pPr>
        <w:pStyle w:val="Heading2"/>
        <w:spacing w:after="180"/>
      </w:pPr>
      <w:r>
        <w:t xml:space="preserve">Prompt and Selected Response</w:t>
      </w:r>
    </w:p>
    <w:p>
      <w:pPr>
        <w:pStyle w:val="Normal"/>
        <w:spacing w:after="120"/>
      </w:pPr>
      <w:r>
        <w:rPr>
          <w:i/>
          <w:color w:val="666666"/>
        </w:rPr>
        <w:t xml:space="preserve">[Insert the actual prompt and selected ChatGPT literature-review response required by the assignment guide. Do not reconstruct an interaction.]</w:t>
      </w:r>
    </w:p>
    <w:p>
      <w:pPr>
        <w:pStyle w:val="Heading2"/>
        <w:spacing w:after="180"/>
      </w:pPr>
      <w:r>
        <w:t xml:space="preserve">Comparison with My Literature Review</w:t>
      </w:r>
    </w:p>
    <w:p>
      <w:pPr>
        <w:pStyle w:val="Normal"/>
        <w:spacing w:after="120"/>
      </w:pPr>
      <w:r>
        <w:rPr>
          <w:i/>
          <w:color w:val="666666"/>
        </w:rPr>
        <w:t xml:space="preserve">[Write a 100-word comparison of your literature review with that response, addressing differences in source choice, synthesis, accuracy, and treatment of the research gap. This required appendix does not count toward the main word limit.]</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34"/>
    <w:rsid w:val="004326C0"/>
    <w:rsid w:val="004D3B1A"/>
    <w:rsid w:val="009B2234"/>
    <w:rsid w:val="00B468B6"/>
    <w:rsid w:val="00E646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21725A5"/>
  <w15:chartTrackingRefBased/>
  <w15:docId w15:val="{93BE48CB-5232-494A-9747-ABC2CF25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34"/>
    <w:rPr>
      <w:rFonts w:eastAsiaTheme="majorEastAsia" w:cstheme="majorBidi"/>
      <w:color w:val="272727" w:themeColor="text1" w:themeTint="D8"/>
    </w:rPr>
  </w:style>
  <w:style w:type="paragraph" w:styleId="Title">
    <w:name w:val="Title"/>
    <w:basedOn w:val="Normal"/>
    <w:next w:val="Normal"/>
    <w:link w:val="TitleChar"/>
    <w:uiPriority w:val="10"/>
    <w:qFormat/>
    <w:rsid w:val="009B2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34"/>
    <w:pPr>
      <w:spacing w:before="160"/>
      <w:jc w:val="center"/>
    </w:pPr>
    <w:rPr>
      <w:i/>
      <w:iCs/>
      <w:color w:val="404040" w:themeColor="text1" w:themeTint="BF"/>
    </w:rPr>
  </w:style>
  <w:style w:type="character" w:customStyle="1" w:styleId="QuoteChar">
    <w:name w:val="Quote Char"/>
    <w:basedOn w:val="DefaultParagraphFont"/>
    <w:link w:val="Quote"/>
    <w:uiPriority w:val="29"/>
    <w:rsid w:val="009B2234"/>
    <w:rPr>
      <w:i/>
      <w:iCs/>
      <w:color w:val="404040" w:themeColor="text1" w:themeTint="BF"/>
    </w:rPr>
  </w:style>
  <w:style w:type="paragraph" w:styleId="ListParagraph">
    <w:name w:val="List Paragraph"/>
    <w:basedOn w:val="Normal"/>
    <w:uiPriority w:val="34"/>
    <w:qFormat/>
    <w:rsid w:val="009B2234"/>
    <w:pPr>
      <w:ind w:left="720"/>
      <w:contextualSpacing/>
    </w:pPr>
  </w:style>
  <w:style w:type="character" w:styleId="IntenseEmphasis">
    <w:name w:val="Intense Emphasis"/>
    <w:basedOn w:val="DefaultParagraphFont"/>
    <w:uiPriority w:val="21"/>
    <w:qFormat/>
    <w:rsid w:val="009B2234"/>
    <w:rPr>
      <w:i/>
      <w:iCs/>
      <w:color w:val="0F4761" w:themeColor="accent1" w:themeShade="BF"/>
    </w:rPr>
  </w:style>
  <w:style w:type="paragraph" w:styleId="IntenseQuote">
    <w:name w:val="Intense Quote"/>
    <w:basedOn w:val="Normal"/>
    <w:next w:val="Normal"/>
    <w:link w:val="IntenseQuoteChar"/>
    <w:uiPriority w:val="30"/>
    <w:qFormat/>
    <w:rsid w:val="009B2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34"/>
    <w:rPr>
      <w:i/>
      <w:iCs/>
      <w:color w:val="0F4761" w:themeColor="accent1" w:themeShade="BF"/>
    </w:rPr>
  </w:style>
  <w:style w:type="character" w:styleId="IntenseReference">
    <w:name w:val="Intense Reference"/>
    <w:basedOn w:val="DefaultParagraphFont"/>
    <w:uiPriority w:val="32"/>
    <w:qFormat/>
    <w:rsid w:val="009B22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Gurdeep Bajwa</dc:creator>
  <cp:keywords/>
  <dc:description/>
  <cp:lastModifiedBy>Gurdeep Bajwa</cp:lastModifiedBy>
  <cp:revision>1</cp:revision>
  <dcterms:created xsi:type="dcterms:W3CDTF">2026-09-08T10:36:00Z</dcterms:created>
  <dcterms:modified xsi:type="dcterms:W3CDTF">2026-09-08T10:36:00Z</dcterms:modified>
</cp:coreProperties>
</file>