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360"/>
      </w:tblGrid>
      <w:tr w:rsidR="00A10B09" w14:paraId="030ADB55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1F3864"/>
            <w:tcMar>
              <w:top w:w="200" w:type="dxa"/>
              <w:left w:w="240" w:type="dxa"/>
              <w:bottom w:w="200" w:type="dxa"/>
              <w:right w:w="120" w:type="dxa"/>
            </w:tcMar>
          </w:tcPr>
          <w:p w14:paraId="030ADB4F" w14:textId="77777777" w:rsidR="00A10B09" w:rsidRDefault="00ED5D3F">
            <w:r>
              <w:rPr>
                <w:rFonts w:ascii="Arial" w:eastAsia="Arial" w:hAnsi="Arial" w:cs="Arial"/>
                <w:b/>
                <w:bCs/>
                <w:color w:val="FFFFFF"/>
                <w:sz w:val="52"/>
                <w:szCs w:val="52"/>
              </w:rPr>
              <w:t>Gurdip Mikey Bath</w:t>
            </w:r>
          </w:p>
          <w:p w14:paraId="030ADB50" w14:textId="77777777" w:rsidR="00A10B09" w:rsidRDefault="00ED5D3F">
            <w:pPr>
              <w:spacing w:before="60"/>
            </w:pPr>
            <w:r>
              <w:rPr>
                <w:rFonts w:ascii="Arial" w:eastAsia="Arial" w:hAnsi="Arial" w:cs="Arial"/>
                <w:color w:val="B8D0E8"/>
                <w:sz w:val="24"/>
                <w:szCs w:val="24"/>
              </w:rPr>
              <w:t>Microsoft Power Platform Developer</w:t>
            </w:r>
          </w:p>
        </w:tc>
        <w:tc>
          <w:tcPr>
            <w:tcW w:w="3360" w:type="dxa"/>
            <w:shd w:val="clear" w:color="auto" w:fill="1F3864"/>
            <w:tcMar>
              <w:top w:w="200" w:type="dxa"/>
              <w:left w:w="120" w:type="dxa"/>
              <w:bottom w:w="200" w:type="dxa"/>
              <w:right w:w="240" w:type="dxa"/>
            </w:tcMar>
            <w:vAlign w:val="bottom"/>
          </w:tcPr>
          <w:p w14:paraId="030ADB51" w14:textId="77777777" w:rsidR="00A10B09" w:rsidRDefault="00ED5D3F">
            <w:pPr>
              <w:jc w:val="right"/>
            </w:pPr>
            <w:r>
              <w:rPr>
                <w:rFonts w:ascii="Arial" w:eastAsia="Arial" w:hAnsi="Arial" w:cs="Arial"/>
                <w:color w:val="B8D0E8"/>
                <w:sz w:val="18"/>
                <w:szCs w:val="18"/>
              </w:rPr>
              <w:t>West Midlands / Oldbury</w:t>
            </w:r>
          </w:p>
          <w:p w14:paraId="030ADB52" w14:textId="77777777" w:rsidR="00A10B09" w:rsidRDefault="00ED5D3F">
            <w:pPr>
              <w:jc w:val="right"/>
            </w:pPr>
            <w:hyperlink r:id="rId5" w:history="1">
              <w:r>
                <w:rPr>
                  <w:rStyle w:val="Hyperlink"/>
                  <w:rFonts w:ascii="Arial" w:eastAsia="Arial" w:hAnsi="Arial" w:cs="Arial"/>
                  <w:sz w:val="18"/>
                  <w:szCs w:val="18"/>
                </w:rPr>
                <w:t>linkedin.com/in/gurdip-mikey-b-07aa12292</w:t>
              </w:r>
            </w:hyperlink>
          </w:p>
          <w:p w14:paraId="030ADB53" w14:textId="77777777" w:rsidR="00A10B09" w:rsidRDefault="00ED5D3F">
            <w:pPr>
              <w:jc w:val="right"/>
            </w:pPr>
            <w:hyperlink r:id="rId6" w:history="1">
              <w:r>
                <w:rPr>
                  <w:rStyle w:val="Hyperlink"/>
                  <w:rFonts w:ascii="Arial" w:eastAsia="Arial" w:hAnsi="Arial" w:cs="Arial"/>
                  <w:sz w:val="18"/>
                  <w:szCs w:val="18"/>
                </w:rPr>
                <w:t>gurdip-bath.github.io</w:t>
              </w:r>
            </w:hyperlink>
          </w:p>
          <w:p w14:paraId="030ADB54" w14:textId="77777777" w:rsidR="00A10B09" w:rsidRDefault="00ED5D3F">
            <w:pPr>
              <w:jc w:val="right"/>
            </w:pPr>
            <w:r>
              <w:rPr>
                <w:rFonts w:ascii="Arial" w:eastAsia="Arial" w:hAnsi="Arial" w:cs="Arial"/>
                <w:color w:val="B8D0E8"/>
                <w:sz w:val="18"/>
                <w:szCs w:val="18"/>
              </w:rPr>
              <w:t>Bathgurdip2@gmail.com</w:t>
            </w:r>
          </w:p>
        </w:tc>
      </w:tr>
    </w:tbl>
    <w:p w14:paraId="030ADB56" w14:textId="77777777" w:rsidR="00A10B09" w:rsidRDefault="00A10B09">
      <w:pPr>
        <w:spacing w:after="160"/>
      </w:pPr>
    </w:p>
    <w:p w14:paraId="030ADB57" w14:textId="77777777" w:rsidR="00A10B09" w:rsidRDefault="00ED5D3F">
      <w:pPr>
        <w:spacing w:before="280" w:after="40"/>
      </w:pPr>
      <w:r>
        <w:rPr>
          <w:rFonts w:ascii="Arial" w:eastAsia="Arial" w:hAnsi="Arial" w:cs="Arial"/>
          <w:b/>
          <w:bCs/>
          <w:color w:val="1F3864"/>
          <w:sz w:val="26"/>
          <w:szCs w:val="26"/>
        </w:rPr>
        <w:t>Profile</w:t>
      </w:r>
    </w:p>
    <w:p w14:paraId="030ADB58" w14:textId="77777777" w:rsidR="00A10B09" w:rsidRDefault="00A10B09">
      <w:pPr>
        <w:pBdr>
          <w:bottom w:val="single" w:sz="8" w:space="1" w:color="2E74B5"/>
        </w:pBdr>
        <w:spacing w:after="120"/>
      </w:pPr>
    </w:p>
    <w:p w14:paraId="030ADB59" w14:textId="77777777" w:rsidR="00A10B09" w:rsidRDefault="00ED5D3F">
      <w:pPr>
        <w:spacing w:before="60" w:after="60"/>
      </w:pPr>
      <w:r>
        <w:rPr>
          <w:rFonts w:ascii="Arial" w:eastAsia="Arial" w:hAnsi="Arial" w:cs="Arial"/>
          <w:color w:val="595959"/>
          <w:sz w:val="19"/>
          <w:szCs w:val="19"/>
        </w:rPr>
        <w:t xml:space="preserve">Microsoft Power Platform Developer with a background in HR Shared Services, bringing genuine domain expertise to enterprise solution design. Independently built the Employee Lifecycle Hub — a production-grade Power Platform solution covering Dataverse, Model-Driven Apps, Canvas Apps, Power Automate, Power BI, and ALM — and delivered a live PWA for a real client through GMB Software Solutions. Active LinkedIn presence with 2,000+ followers and individual posts exceeding 60,000 impressions — </w:t>
      </w:r>
      <w:hyperlink r:id="rId7" w:history="1">
        <w:r>
          <w:rPr>
            <w:rStyle w:val="Hyperlink"/>
            <w:rFonts w:ascii="Arial" w:eastAsia="Arial" w:hAnsi="Arial" w:cs="Arial"/>
            <w:sz w:val="19"/>
            <w:szCs w:val="19"/>
          </w:rPr>
          <w:t>view profile</w:t>
        </w:r>
      </w:hyperlink>
      <w:r>
        <w:rPr>
          <w:rFonts w:ascii="Arial" w:eastAsia="Arial" w:hAnsi="Arial" w:cs="Arial"/>
          <w:color w:val="595959"/>
          <w:sz w:val="19"/>
          <w:szCs w:val="19"/>
        </w:rPr>
        <w:t>.</w:t>
      </w:r>
    </w:p>
    <w:p w14:paraId="030ADB5A" w14:textId="77777777" w:rsidR="00A10B09" w:rsidRDefault="00ED5D3F">
      <w:pPr>
        <w:spacing w:before="280" w:after="40"/>
      </w:pPr>
      <w:r>
        <w:rPr>
          <w:rFonts w:ascii="Arial" w:eastAsia="Arial" w:hAnsi="Arial" w:cs="Arial"/>
          <w:b/>
          <w:bCs/>
          <w:color w:val="1F3864"/>
          <w:sz w:val="26"/>
          <w:szCs w:val="26"/>
        </w:rPr>
        <w:t>Key Project</w:t>
      </w:r>
    </w:p>
    <w:p w14:paraId="030ADB5B" w14:textId="77777777" w:rsidR="00A10B09" w:rsidRDefault="00A10B09">
      <w:pPr>
        <w:pBdr>
          <w:bottom w:val="single" w:sz="8" w:space="1" w:color="2E74B5"/>
        </w:pBdr>
        <w:spacing w:after="12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10B09" w14:paraId="030ADB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0ADB5C" w14:textId="77777777" w:rsidR="00A10B09" w:rsidRDefault="00ED5D3F"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Employee Lifecycle Hub</w:t>
            </w:r>
          </w:p>
        </w:tc>
      </w:tr>
    </w:tbl>
    <w:p w14:paraId="030ADB5E" w14:textId="77777777" w:rsidR="00A10B09" w:rsidRDefault="00ED5D3F">
      <w:pPr>
        <w:spacing w:after="80"/>
      </w:pPr>
      <w:r>
        <w:rPr>
          <w:rFonts w:ascii="Arial" w:eastAsia="Arial" w:hAnsi="Arial" w:cs="Arial"/>
          <w:i/>
          <w:iCs/>
          <w:color w:val="595959"/>
          <w:sz w:val="19"/>
          <w:szCs w:val="19"/>
        </w:rPr>
        <w:t>Microsoft Power Platform · Dataverse · Power Automate · Canvas Apps · Model-Driven Apps · Power BI · ALM · Security &amp; Governance</w:t>
      </w:r>
    </w:p>
    <w:p w14:paraId="030ADB5F" w14:textId="77777777" w:rsidR="00A10B09" w:rsidRDefault="00ED5D3F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595959"/>
          <w:sz w:val="19"/>
          <w:szCs w:val="19"/>
        </w:rPr>
        <w:t>Architected and delivered an enterprise HR lifecycle solution using Dataverse, Power Apps, Power Automate, and Power BI, supporting scalable onboarding/offboarding operations with enforced relational integrity and zero orphaned production records.</w:t>
      </w:r>
    </w:p>
    <w:p w14:paraId="030ADB60" w14:textId="77777777" w:rsidR="00A10B09" w:rsidRDefault="00ED5D3F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595959"/>
          <w:sz w:val="19"/>
          <w:szCs w:val="19"/>
        </w:rPr>
        <w:t>Designed a normalized 5-table Dataverse data model with lifecycle staging, lookup relationships, and security-aware architecture aligned to enterprise governance and ALM standards.</w:t>
      </w:r>
    </w:p>
    <w:p w14:paraId="030ADB61" w14:textId="77777777" w:rsidR="00A10B09" w:rsidRDefault="00ED5D3F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595959"/>
          <w:sz w:val="19"/>
          <w:szCs w:val="19"/>
        </w:rPr>
        <w:t>Developed 3 production-grade Power Automate workflows using enterprise engineering patterns including idempotency controls, scoped Try/Catch exception handling, exponential retry policies, environment variables, and reusable deployment configuration.</w:t>
      </w:r>
    </w:p>
    <w:p w14:paraId="030ADB62" w14:textId="77777777" w:rsidR="00A10B09" w:rsidRDefault="00ED5D3F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595959"/>
          <w:sz w:val="19"/>
          <w:szCs w:val="19"/>
        </w:rPr>
        <w:t>Delivered both Model-Driven and Canvas App solutions with role-based access control, manager-level data filtering, and optimized user experiences without reliance on custom connectors or unsupported customisation.</w:t>
      </w:r>
    </w:p>
    <w:p w14:paraId="030ADB63" w14:textId="77777777" w:rsidR="00A10B09" w:rsidRDefault="00ED5D3F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595959"/>
          <w:sz w:val="19"/>
          <w:szCs w:val="19"/>
        </w:rPr>
        <w:t>Implemented a least-privilege Power Platform security architecture across Business Units, Security Roles, and Column Security Profiles, securing sensitive HR and Finance data at table, row, and column level.</w:t>
      </w:r>
    </w:p>
    <w:p w14:paraId="030ADB64" w14:textId="77777777" w:rsidR="00A10B09" w:rsidRDefault="00ED5D3F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595959"/>
          <w:sz w:val="19"/>
          <w:szCs w:val="19"/>
        </w:rPr>
        <w:t>Embedded GDPR-compliant design principles into all automation solutions through Secure Inputs/Outputs, protected PII handling, and audit-conscious workflow configuration.</w:t>
      </w:r>
    </w:p>
    <w:p w14:paraId="030ADB65" w14:textId="77777777" w:rsidR="00A10B09" w:rsidRDefault="00ED5D3F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595959"/>
          <w:sz w:val="19"/>
          <w:szCs w:val="19"/>
        </w:rPr>
        <w:t>Designed a Power BI analytics layer using star-schema modelling and operational KPI reporting, enabling embedded HR reporting for case management, SLA monitoring, and task completion analysis.</w:t>
      </w:r>
    </w:p>
    <w:p w14:paraId="030ADB66" w14:textId="77777777" w:rsidR="00A10B09" w:rsidRDefault="00ED5D3F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595959"/>
          <w:sz w:val="19"/>
          <w:szCs w:val="19"/>
        </w:rPr>
        <w:t>Established a reusable 16-point Power Platform delivery framework covering governance, scalability, concurrency, observability, retry strategy, ALM portability, security, and flow resiliency.</w:t>
      </w:r>
    </w:p>
    <w:p w14:paraId="030ADB67" w14:textId="77777777" w:rsidR="00A10B09" w:rsidRDefault="00ED5D3F">
      <w:pPr>
        <w:spacing w:before="280" w:after="40"/>
      </w:pPr>
      <w:r>
        <w:rPr>
          <w:rFonts w:ascii="Arial" w:eastAsia="Arial" w:hAnsi="Arial" w:cs="Arial"/>
          <w:b/>
          <w:bCs/>
          <w:color w:val="1F3864"/>
          <w:sz w:val="26"/>
          <w:szCs w:val="26"/>
        </w:rPr>
        <w:t>Technical Skills</w:t>
      </w:r>
    </w:p>
    <w:p w14:paraId="030ADB68" w14:textId="77777777" w:rsidR="00A10B09" w:rsidRDefault="00A10B09">
      <w:pPr>
        <w:pBdr>
          <w:bottom w:val="single" w:sz="8" w:space="1" w:color="2E74B5"/>
        </w:pBdr>
        <w:spacing w:after="12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10B09" w14:paraId="030ADB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ADB69" w14:textId="77777777" w:rsidR="00A10B09" w:rsidRDefault="00ED5D3F"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Platform</w:t>
            </w:r>
          </w:p>
        </w:tc>
        <w:tc>
          <w:tcPr>
            <w:tcW w:w="7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ADB6A" w14:textId="77777777" w:rsidR="00A10B09" w:rsidRDefault="00ED5D3F">
            <w:r>
              <w:rPr>
                <w:rFonts w:ascii="Arial" w:eastAsia="Arial" w:hAnsi="Arial" w:cs="Arial"/>
                <w:color w:val="595959"/>
                <w:sz w:val="19"/>
                <w:szCs w:val="19"/>
              </w:rPr>
              <w:t>Microsoft Dataverse · Power Automate · Model-Driven Apps · Canvas Apps · Power BI · Solution-Aware Development</w:t>
            </w:r>
          </w:p>
        </w:tc>
      </w:tr>
      <w:tr w:rsidR="00A10B09" w14:paraId="030ADB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ADB6C" w14:textId="77777777" w:rsidR="00A10B09" w:rsidRDefault="00ED5D3F"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Workflow Automation</w:t>
            </w:r>
          </w:p>
        </w:tc>
        <w:tc>
          <w:tcPr>
            <w:tcW w:w="7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ADB6D" w14:textId="77777777" w:rsidR="00A10B09" w:rsidRDefault="00ED5D3F">
            <w:r>
              <w:rPr>
                <w:rFonts w:ascii="Arial" w:eastAsia="Arial" w:hAnsi="Arial" w:cs="Arial"/>
                <w:color w:val="595959"/>
                <w:sz w:val="19"/>
                <w:szCs w:val="19"/>
              </w:rPr>
              <w:t>Cloud Flows · Scheduled &amp; Event-Driven Automation · Retry Policies · Scoped Try/Catch Error Handling · Idempotent Design · Environment Variables · Flow Resiliency Patterns</w:t>
            </w:r>
          </w:p>
        </w:tc>
      </w:tr>
      <w:tr w:rsidR="00A10B09" w14:paraId="030ADB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ADB6F" w14:textId="77777777" w:rsidR="00A10B09" w:rsidRDefault="00ED5D3F"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Data &amp; Reporting</w:t>
            </w:r>
          </w:p>
        </w:tc>
        <w:tc>
          <w:tcPr>
            <w:tcW w:w="7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ADB70" w14:textId="77777777" w:rsidR="00A10B09" w:rsidRDefault="00ED5D3F">
            <w:r>
              <w:rPr>
                <w:rFonts w:ascii="Arial" w:eastAsia="Arial" w:hAnsi="Arial" w:cs="Arial"/>
                <w:color w:val="595959"/>
                <w:sz w:val="19"/>
                <w:szCs w:val="19"/>
              </w:rPr>
              <w:t>Dataverse Relational Modelling · OData ($filter, $select, $expand, $top) · Power BI · Star Schema Design · DAX · Import Mode Optimisation</w:t>
            </w:r>
          </w:p>
        </w:tc>
      </w:tr>
      <w:tr w:rsidR="00A10B09" w14:paraId="030ADB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ADB72" w14:textId="77777777" w:rsidR="00A10B09" w:rsidRDefault="00ED5D3F"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Security &amp; Governance</w:t>
            </w:r>
          </w:p>
        </w:tc>
        <w:tc>
          <w:tcPr>
            <w:tcW w:w="7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ADB73" w14:textId="77777777" w:rsidR="00A10B09" w:rsidRDefault="00ED5D3F">
            <w:r>
              <w:rPr>
                <w:rFonts w:ascii="Arial" w:eastAsia="Arial" w:hAnsi="Arial" w:cs="Arial"/>
                <w:color w:val="595959"/>
                <w:sz w:val="19"/>
                <w:szCs w:val="19"/>
              </w:rPr>
              <w:t>Role-Based Access Control (RBAC) · Column Security Profiles · Business Units · Least-Privilege Security Design · Secure Inputs/Outputs · PII Protection</w:t>
            </w:r>
          </w:p>
        </w:tc>
      </w:tr>
      <w:tr w:rsidR="00A10B09" w14:paraId="030ADB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ADB75" w14:textId="77777777" w:rsidR="00A10B09" w:rsidRDefault="00ED5D3F"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ALM &amp; Architecture</w:t>
            </w:r>
          </w:p>
        </w:tc>
        <w:tc>
          <w:tcPr>
            <w:tcW w:w="7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ADB76" w14:textId="77777777" w:rsidR="00A10B09" w:rsidRDefault="00ED5D3F">
            <w:r>
              <w:rPr>
                <w:rFonts w:ascii="Arial" w:eastAsia="Arial" w:hAnsi="Arial" w:cs="Arial"/>
                <w:color w:val="595959"/>
                <w:sz w:val="19"/>
                <w:szCs w:val="19"/>
              </w:rPr>
              <w:t>Managed Solutions · DEV/UAT/PROD Deployment Strategy · Publisher Strategy · Environment-Aware Configuration · Solution-First Delivery</w:t>
            </w:r>
          </w:p>
        </w:tc>
      </w:tr>
      <w:tr w:rsidR="00A10B09" w14:paraId="030ADB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ADB78" w14:textId="77777777" w:rsidR="00A10B09" w:rsidRDefault="00ED5D3F"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Compliance</w:t>
            </w:r>
          </w:p>
        </w:tc>
        <w:tc>
          <w:tcPr>
            <w:tcW w:w="7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ADB79" w14:textId="77777777" w:rsidR="00A10B09" w:rsidRDefault="00ED5D3F">
            <w:r>
              <w:rPr>
                <w:rFonts w:ascii="Arial" w:eastAsia="Arial" w:hAnsi="Arial" w:cs="Arial"/>
                <w:color w:val="595959"/>
                <w:sz w:val="19"/>
                <w:szCs w:val="19"/>
              </w:rPr>
              <w:t>UK GDPR · Audit-Conscious Design · Production-Ready Engineering · Scalability Planning · Observability · Failure-Mode Analysis</w:t>
            </w:r>
          </w:p>
        </w:tc>
      </w:tr>
      <w:tr w:rsidR="00A10B09" w14:paraId="030ADB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ADB7B" w14:textId="77777777" w:rsidR="00A10B09" w:rsidRDefault="00ED5D3F"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lastRenderedPageBreak/>
              <w:t>Methodology</w:t>
            </w:r>
          </w:p>
        </w:tc>
        <w:tc>
          <w:tcPr>
            <w:tcW w:w="7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ADB7C" w14:textId="77777777" w:rsidR="00A10B09" w:rsidRDefault="00ED5D3F">
            <w:r>
              <w:rPr>
                <w:rFonts w:ascii="Arial" w:eastAsia="Arial" w:hAnsi="Arial" w:cs="Arial"/>
                <w:color w:val="595959"/>
                <w:sz w:val="19"/>
                <w:szCs w:val="19"/>
              </w:rPr>
              <w:t>Architecture-First Solution Design · Trade-Off Analysis · Pre-Build Technical Planning · Maintainability-Driven Engineering</w:t>
            </w:r>
          </w:p>
        </w:tc>
      </w:tr>
    </w:tbl>
    <w:p w14:paraId="030ADB7E" w14:textId="77777777" w:rsidR="00A10B09" w:rsidRDefault="00ED5D3F">
      <w:pPr>
        <w:spacing w:before="280" w:after="40"/>
      </w:pPr>
      <w:r>
        <w:rPr>
          <w:rFonts w:ascii="Arial" w:eastAsia="Arial" w:hAnsi="Arial" w:cs="Arial"/>
          <w:b/>
          <w:bCs/>
          <w:color w:val="1F3864"/>
          <w:sz w:val="26"/>
          <w:szCs w:val="26"/>
        </w:rPr>
        <w:t>Certifications</w:t>
      </w:r>
    </w:p>
    <w:p w14:paraId="030ADB7F" w14:textId="77777777" w:rsidR="00A10B09" w:rsidRDefault="00A10B09">
      <w:pPr>
        <w:pBdr>
          <w:bottom w:val="single" w:sz="8" w:space="1" w:color="2E74B5"/>
        </w:pBdr>
        <w:spacing w:after="120"/>
      </w:pPr>
    </w:p>
    <w:p w14:paraId="030ADB80" w14:textId="77777777" w:rsidR="00A10B09" w:rsidRDefault="00ED5D3F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595959"/>
          <w:sz w:val="19"/>
          <w:szCs w:val="19"/>
        </w:rPr>
        <w:t>PL-900: Microsoft Power Platform Fundamentals — Completed May 2026</w:t>
      </w:r>
    </w:p>
    <w:p w14:paraId="030ADB81" w14:textId="77777777" w:rsidR="00A10B09" w:rsidRDefault="00ED5D3F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595959"/>
          <w:sz w:val="19"/>
          <w:szCs w:val="19"/>
        </w:rPr>
        <w:t>PL-200: Microsoft Power Platform Functional Consultant — Scheduled for July 2026</w:t>
      </w:r>
    </w:p>
    <w:p w14:paraId="030ADB82" w14:textId="77777777" w:rsidR="00A10B09" w:rsidRDefault="00ED5D3F">
      <w:pPr>
        <w:spacing w:before="280" w:after="40"/>
      </w:pPr>
      <w:r>
        <w:rPr>
          <w:rFonts w:ascii="Arial" w:eastAsia="Arial" w:hAnsi="Arial" w:cs="Arial"/>
          <w:b/>
          <w:bCs/>
          <w:color w:val="1F3864"/>
          <w:sz w:val="26"/>
          <w:szCs w:val="26"/>
        </w:rPr>
        <w:t>Professional Experience</w:t>
      </w:r>
    </w:p>
    <w:p w14:paraId="030ADB83" w14:textId="77777777" w:rsidR="00A10B09" w:rsidRDefault="00A10B09">
      <w:pPr>
        <w:pBdr>
          <w:bottom w:val="single" w:sz="8" w:space="1" w:color="2E74B5"/>
        </w:pBdr>
        <w:spacing w:after="120"/>
      </w:pPr>
    </w:p>
    <w:p w14:paraId="030ADB84" w14:textId="77777777" w:rsidR="00A10B09" w:rsidRDefault="00ED5D3F">
      <w:pPr>
        <w:spacing w:before="140" w:after="40"/>
      </w:pPr>
      <w:r>
        <w:rPr>
          <w:rFonts w:ascii="Arial" w:eastAsia="Arial" w:hAnsi="Arial" w:cs="Arial"/>
          <w:b/>
          <w:bCs/>
          <w:color w:val="1F3864"/>
          <w:sz w:val="21"/>
          <w:szCs w:val="21"/>
        </w:rPr>
        <w:t xml:space="preserve">HR Shared Services </w:t>
      </w:r>
      <w:proofErr w:type="gramStart"/>
      <w:r>
        <w:rPr>
          <w:rFonts w:ascii="Arial" w:eastAsia="Arial" w:hAnsi="Arial" w:cs="Arial"/>
          <w:b/>
          <w:bCs/>
          <w:color w:val="1F3864"/>
          <w:sz w:val="21"/>
          <w:szCs w:val="21"/>
        </w:rPr>
        <w:t>Administrator</w:t>
      </w:r>
      <w:r>
        <w:rPr>
          <w:rFonts w:ascii="Arial" w:eastAsia="Arial" w:hAnsi="Arial" w:cs="Arial"/>
          <w:color w:val="595959"/>
          <w:sz w:val="19"/>
          <w:szCs w:val="19"/>
        </w:rPr>
        <w:t xml:space="preserve">  |</w:t>
      </w:r>
      <w:proofErr w:type="gramEnd"/>
      <w:r>
        <w:rPr>
          <w:rFonts w:ascii="Arial" w:eastAsia="Arial" w:hAnsi="Arial" w:cs="Arial"/>
          <w:color w:val="595959"/>
          <w:sz w:val="19"/>
          <w:szCs w:val="19"/>
        </w:rPr>
        <w:t xml:space="preserve">  Shaw </w:t>
      </w:r>
      <w:proofErr w:type="gramStart"/>
      <w:r>
        <w:rPr>
          <w:rFonts w:ascii="Arial" w:eastAsia="Arial" w:hAnsi="Arial" w:cs="Arial"/>
          <w:color w:val="595959"/>
          <w:sz w:val="19"/>
          <w:szCs w:val="19"/>
        </w:rPr>
        <w:t>Trust  |</w:t>
      </w:r>
      <w:proofErr w:type="gramEnd"/>
      <w:r>
        <w:rPr>
          <w:rFonts w:ascii="Arial" w:eastAsia="Arial" w:hAnsi="Arial" w:cs="Arial"/>
          <w:color w:val="595959"/>
          <w:sz w:val="19"/>
          <w:szCs w:val="19"/>
        </w:rPr>
        <w:t xml:space="preserve">  Oldbury, </w:t>
      </w:r>
      <w:proofErr w:type="gramStart"/>
      <w:r>
        <w:rPr>
          <w:rFonts w:ascii="Arial" w:eastAsia="Arial" w:hAnsi="Arial" w:cs="Arial"/>
          <w:color w:val="595959"/>
          <w:sz w:val="19"/>
          <w:szCs w:val="19"/>
        </w:rPr>
        <w:t>UK  |</w:t>
      </w:r>
      <w:proofErr w:type="gramEnd"/>
      <w:r>
        <w:rPr>
          <w:rFonts w:ascii="Arial" w:eastAsia="Arial" w:hAnsi="Arial" w:cs="Arial"/>
          <w:color w:val="595959"/>
          <w:sz w:val="19"/>
          <w:szCs w:val="19"/>
        </w:rPr>
        <w:t xml:space="preserve">  October 2024 — Present</w:t>
      </w:r>
    </w:p>
    <w:p w14:paraId="030ADB85" w14:textId="77777777" w:rsidR="00A10B09" w:rsidRDefault="00ED5D3F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595959"/>
          <w:sz w:val="19"/>
          <w:szCs w:val="19"/>
        </w:rPr>
        <w:t>Administer end-to-end employee lifecycle processes including onboarding, offboarding, contract changes, and data management across HR systems.</w:t>
      </w:r>
    </w:p>
    <w:p w14:paraId="030ADB86" w14:textId="77777777" w:rsidR="00A10B09" w:rsidRDefault="00ED5D3F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595959"/>
          <w:sz w:val="19"/>
          <w:szCs w:val="19"/>
        </w:rPr>
        <w:t>Apply direct working knowledge of HR data structures, business rules, and compliance requirements to Power Platform solution design and portfolio development.</w:t>
      </w:r>
    </w:p>
    <w:p w14:paraId="030ADB87" w14:textId="77777777" w:rsidR="00A10B09" w:rsidRDefault="00ED5D3F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595959"/>
          <w:sz w:val="19"/>
          <w:szCs w:val="19"/>
        </w:rPr>
        <w:t>Manage high-volume transactional HR cases within a structured team environment, operating to strict SLA and data accuracy standards.</w:t>
      </w:r>
    </w:p>
    <w:p w14:paraId="030ADB88" w14:textId="77777777" w:rsidR="00A10B09" w:rsidRDefault="00ED5D3F">
      <w:pPr>
        <w:spacing w:before="140" w:after="40"/>
      </w:pPr>
      <w:r>
        <w:rPr>
          <w:rFonts w:ascii="Arial" w:eastAsia="Arial" w:hAnsi="Arial" w:cs="Arial"/>
          <w:b/>
          <w:bCs/>
          <w:color w:val="1F3864"/>
          <w:sz w:val="21"/>
          <w:szCs w:val="21"/>
        </w:rPr>
        <w:t xml:space="preserve">HR Support </w:t>
      </w:r>
      <w:proofErr w:type="gramStart"/>
      <w:r>
        <w:rPr>
          <w:rFonts w:ascii="Arial" w:eastAsia="Arial" w:hAnsi="Arial" w:cs="Arial"/>
          <w:b/>
          <w:bCs/>
          <w:color w:val="1F3864"/>
          <w:sz w:val="21"/>
          <w:szCs w:val="21"/>
        </w:rPr>
        <w:t>Officer</w:t>
      </w:r>
      <w:r>
        <w:rPr>
          <w:rFonts w:ascii="Arial" w:eastAsia="Arial" w:hAnsi="Arial" w:cs="Arial"/>
          <w:color w:val="595959"/>
          <w:sz w:val="19"/>
          <w:szCs w:val="19"/>
        </w:rPr>
        <w:t xml:space="preserve">  |</w:t>
      </w:r>
      <w:proofErr w:type="gramEnd"/>
      <w:r>
        <w:rPr>
          <w:rFonts w:ascii="Arial" w:eastAsia="Arial" w:hAnsi="Arial" w:cs="Arial"/>
          <w:color w:val="595959"/>
          <w:sz w:val="19"/>
          <w:szCs w:val="19"/>
        </w:rPr>
        <w:t xml:space="preserve">  UK Home Office / Brook </w:t>
      </w:r>
      <w:proofErr w:type="gramStart"/>
      <w:r>
        <w:rPr>
          <w:rFonts w:ascii="Arial" w:eastAsia="Arial" w:hAnsi="Arial" w:cs="Arial"/>
          <w:color w:val="595959"/>
          <w:sz w:val="19"/>
          <w:szCs w:val="19"/>
        </w:rPr>
        <w:t>Street  |</w:t>
      </w:r>
      <w:proofErr w:type="gramEnd"/>
      <w:r>
        <w:rPr>
          <w:rFonts w:ascii="Arial" w:eastAsia="Arial" w:hAnsi="Arial" w:cs="Arial"/>
          <w:color w:val="595959"/>
          <w:sz w:val="19"/>
          <w:szCs w:val="19"/>
        </w:rPr>
        <w:t xml:space="preserve">  Remote, </w:t>
      </w:r>
      <w:proofErr w:type="gramStart"/>
      <w:r>
        <w:rPr>
          <w:rFonts w:ascii="Arial" w:eastAsia="Arial" w:hAnsi="Arial" w:cs="Arial"/>
          <w:color w:val="595959"/>
          <w:sz w:val="19"/>
          <w:szCs w:val="19"/>
        </w:rPr>
        <w:t>UK  |</w:t>
      </w:r>
      <w:proofErr w:type="gramEnd"/>
      <w:r>
        <w:rPr>
          <w:rFonts w:ascii="Arial" w:eastAsia="Arial" w:hAnsi="Arial" w:cs="Arial"/>
          <w:color w:val="595959"/>
          <w:sz w:val="19"/>
          <w:szCs w:val="19"/>
        </w:rPr>
        <w:t xml:space="preserve">  July 2022 — October 2024</w:t>
      </w:r>
    </w:p>
    <w:p w14:paraId="030ADB89" w14:textId="77777777" w:rsidR="00A10B09" w:rsidRDefault="00ED5D3F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595959"/>
          <w:sz w:val="19"/>
          <w:szCs w:val="19"/>
        </w:rPr>
        <w:t>Administered end-to-end candidate lifecycle across multiple live resourcing campaigns, managing progression through recruitment systems from application through to pre-employment checks — directly informing the entity and lifecycle design of the Employee Lifecycle Hub.</w:t>
      </w:r>
    </w:p>
    <w:p w14:paraId="030ADB8A" w14:textId="77777777" w:rsidR="00A10B09" w:rsidRDefault="00ED5D3F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595959"/>
          <w:sz w:val="19"/>
          <w:szCs w:val="19"/>
        </w:rPr>
        <w:t>Executed structured onboarding workflows for candidates prior to formal pre-employment processing, applying process sequencing logic now reflected in Power Automate automation design.</w:t>
      </w:r>
    </w:p>
    <w:p w14:paraId="030ADB8B" w14:textId="77777777" w:rsidR="00A10B09" w:rsidRDefault="00ED5D3F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595959"/>
          <w:sz w:val="19"/>
          <w:szCs w:val="19"/>
        </w:rPr>
        <w:t>Maintained real-time candidate tracking using internal systems to identify bottlenecks and delays, developing the data monitoring instincts underpinning Power BI reporting and flow observability work.</w:t>
      </w:r>
    </w:p>
    <w:p w14:paraId="030ADB8C" w14:textId="77777777" w:rsidR="00A10B09" w:rsidRDefault="00ED5D3F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595959"/>
          <w:sz w:val="19"/>
          <w:szCs w:val="19"/>
        </w:rPr>
        <w:t>Diagnosed and resolved progression blockers to keep candidate pipelines moving — translating directly into solution-oriented thinking applied across Power Platform delivery.</w:t>
      </w:r>
    </w:p>
    <w:p w14:paraId="030ADB8D" w14:textId="77777777" w:rsidR="00A10B09" w:rsidRDefault="00ED5D3F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595959"/>
          <w:sz w:val="19"/>
          <w:szCs w:val="19"/>
        </w:rPr>
        <w:t>Managed end-to-end Smart Forms lifecycle: gathering correct data inputs, completing structured government forms, and routing completed forms to the appropriate department — mirroring the Canvas App document submission and automated routing logic built in the Employee Lifecycle Hub.</w:t>
      </w:r>
    </w:p>
    <w:p w14:paraId="030ADB8E" w14:textId="77777777" w:rsidR="00A10B09" w:rsidRDefault="00ED5D3F">
      <w:pPr>
        <w:spacing w:before="140" w:after="40"/>
      </w:pPr>
      <w:r>
        <w:rPr>
          <w:rFonts w:ascii="Arial" w:eastAsia="Arial" w:hAnsi="Arial" w:cs="Arial"/>
          <w:b/>
          <w:bCs/>
          <w:color w:val="1F3864"/>
          <w:sz w:val="21"/>
          <w:szCs w:val="21"/>
        </w:rPr>
        <w:t xml:space="preserve">Freelance </w:t>
      </w:r>
      <w:proofErr w:type="gramStart"/>
      <w:r>
        <w:rPr>
          <w:rFonts w:ascii="Arial" w:eastAsia="Arial" w:hAnsi="Arial" w:cs="Arial"/>
          <w:b/>
          <w:bCs/>
          <w:color w:val="1F3864"/>
          <w:sz w:val="21"/>
          <w:szCs w:val="21"/>
        </w:rPr>
        <w:t>Developer</w:t>
      </w:r>
      <w:r>
        <w:rPr>
          <w:rFonts w:ascii="Arial" w:eastAsia="Arial" w:hAnsi="Arial" w:cs="Arial"/>
          <w:color w:val="595959"/>
          <w:sz w:val="19"/>
          <w:szCs w:val="19"/>
        </w:rPr>
        <w:t xml:space="preserve">  |</w:t>
      </w:r>
      <w:proofErr w:type="gramEnd"/>
      <w:r>
        <w:rPr>
          <w:rFonts w:ascii="Arial" w:eastAsia="Arial" w:hAnsi="Arial" w:cs="Arial"/>
          <w:color w:val="595959"/>
          <w:sz w:val="19"/>
          <w:szCs w:val="19"/>
        </w:rPr>
        <w:t xml:space="preserve">  GMB Software </w:t>
      </w:r>
      <w:proofErr w:type="gramStart"/>
      <w:r>
        <w:rPr>
          <w:rFonts w:ascii="Arial" w:eastAsia="Arial" w:hAnsi="Arial" w:cs="Arial"/>
          <w:color w:val="595959"/>
          <w:sz w:val="19"/>
          <w:szCs w:val="19"/>
        </w:rPr>
        <w:t>Solutions  |</w:t>
      </w:r>
      <w:proofErr w:type="gramEnd"/>
      <w:r>
        <w:rPr>
          <w:rFonts w:ascii="Arial" w:eastAsia="Arial" w:hAnsi="Arial" w:cs="Arial"/>
          <w:color w:val="595959"/>
          <w:sz w:val="19"/>
          <w:szCs w:val="19"/>
        </w:rPr>
        <w:t xml:space="preserve">  Birmingham, </w:t>
      </w:r>
      <w:proofErr w:type="gramStart"/>
      <w:r>
        <w:rPr>
          <w:rFonts w:ascii="Arial" w:eastAsia="Arial" w:hAnsi="Arial" w:cs="Arial"/>
          <w:color w:val="595959"/>
          <w:sz w:val="19"/>
          <w:szCs w:val="19"/>
        </w:rPr>
        <w:t>UK  |</w:t>
      </w:r>
      <w:proofErr w:type="gramEnd"/>
      <w:r>
        <w:rPr>
          <w:rFonts w:ascii="Arial" w:eastAsia="Arial" w:hAnsi="Arial" w:cs="Arial"/>
          <w:color w:val="595959"/>
          <w:sz w:val="19"/>
          <w:szCs w:val="19"/>
        </w:rPr>
        <w:t xml:space="preserve">  2024</w:t>
      </w:r>
    </w:p>
    <w:p w14:paraId="030ADB8F" w14:textId="77777777" w:rsidR="00A10B09" w:rsidRDefault="00ED5D3F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595959"/>
          <w:sz w:val="19"/>
          <w:szCs w:val="19"/>
        </w:rPr>
        <w:t>Sole developer contracted to design, build, and deploy a production Progressive Web App (PWA) for Bengal Welding, a real UK-based business client.</w:t>
      </w:r>
    </w:p>
    <w:p w14:paraId="030ADB90" w14:textId="77777777" w:rsidR="00A10B09" w:rsidRDefault="00ED5D3F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595959"/>
          <w:sz w:val="19"/>
          <w:szCs w:val="19"/>
        </w:rPr>
        <w:t xml:space="preserve">Built using React, Node.js, Express, and </w:t>
      </w:r>
      <w:proofErr w:type="spellStart"/>
      <w:r>
        <w:rPr>
          <w:rFonts w:ascii="Arial" w:eastAsia="Arial" w:hAnsi="Arial" w:cs="Arial"/>
          <w:color w:val="595959"/>
          <w:sz w:val="19"/>
          <w:szCs w:val="19"/>
        </w:rPr>
        <w:t>Supabase</w:t>
      </w:r>
      <w:proofErr w:type="spellEnd"/>
      <w:r>
        <w:rPr>
          <w:rFonts w:ascii="Arial" w:eastAsia="Arial" w:hAnsi="Arial" w:cs="Arial"/>
          <w:color w:val="595959"/>
          <w:sz w:val="19"/>
          <w:szCs w:val="19"/>
        </w:rPr>
        <w:t xml:space="preserve"> — deployed live on </w:t>
      </w:r>
      <w:proofErr w:type="spellStart"/>
      <w:r>
        <w:rPr>
          <w:rFonts w:ascii="Arial" w:eastAsia="Arial" w:hAnsi="Arial" w:cs="Arial"/>
          <w:color w:val="595959"/>
          <w:sz w:val="19"/>
          <w:szCs w:val="19"/>
        </w:rPr>
        <w:t>Vercel</w:t>
      </w:r>
      <w:proofErr w:type="spellEnd"/>
      <w:r>
        <w:rPr>
          <w:rFonts w:ascii="Arial" w:eastAsia="Arial" w:hAnsi="Arial" w:cs="Arial"/>
          <w:color w:val="595959"/>
          <w:sz w:val="19"/>
          <w:szCs w:val="19"/>
        </w:rPr>
        <w:t xml:space="preserve"> with real user traffic.</w:t>
      </w:r>
    </w:p>
    <w:p w14:paraId="030ADB91" w14:textId="77777777" w:rsidR="00A10B09" w:rsidRDefault="00ED5D3F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595959"/>
          <w:sz w:val="19"/>
          <w:szCs w:val="19"/>
        </w:rPr>
        <w:t>Managed the full project lifecycle from requirements gathering through delivery and invoicing as a registered freelance business.</w:t>
      </w:r>
    </w:p>
    <w:p w14:paraId="030ADB92" w14:textId="77777777" w:rsidR="00A10B09" w:rsidRDefault="00ED5D3F">
      <w:pPr>
        <w:spacing w:before="280" w:after="40"/>
      </w:pPr>
      <w:r>
        <w:rPr>
          <w:rFonts w:ascii="Arial" w:eastAsia="Arial" w:hAnsi="Arial" w:cs="Arial"/>
          <w:b/>
          <w:bCs/>
          <w:color w:val="1F3864"/>
          <w:sz w:val="26"/>
          <w:szCs w:val="26"/>
        </w:rPr>
        <w:t>Education</w:t>
      </w:r>
    </w:p>
    <w:p w14:paraId="030ADB93" w14:textId="77777777" w:rsidR="00A10B09" w:rsidRDefault="00A10B09">
      <w:pPr>
        <w:pBdr>
          <w:bottom w:val="single" w:sz="8" w:space="1" w:color="2E74B5"/>
        </w:pBdr>
        <w:spacing w:after="120"/>
      </w:pPr>
    </w:p>
    <w:p w14:paraId="030ADB94" w14:textId="77777777" w:rsidR="00A10B09" w:rsidRDefault="00ED5D3F">
      <w:pPr>
        <w:spacing w:before="140" w:after="40"/>
      </w:pPr>
      <w:r>
        <w:rPr>
          <w:rFonts w:ascii="Arial" w:eastAsia="Arial" w:hAnsi="Arial" w:cs="Arial"/>
          <w:b/>
          <w:bCs/>
          <w:color w:val="1F3864"/>
          <w:sz w:val="21"/>
          <w:szCs w:val="21"/>
        </w:rPr>
        <w:t xml:space="preserve">Arden </w:t>
      </w:r>
      <w:proofErr w:type="gramStart"/>
      <w:r>
        <w:rPr>
          <w:rFonts w:ascii="Arial" w:eastAsia="Arial" w:hAnsi="Arial" w:cs="Arial"/>
          <w:b/>
          <w:bCs/>
          <w:color w:val="1F3864"/>
          <w:sz w:val="21"/>
          <w:szCs w:val="21"/>
        </w:rPr>
        <w:t>University</w:t>
      </w:r>
      <w:r>
        <w:rPr>
          <w:rFonts w:ascii="Arial" w:eastAsia="Arial" w:hAnsi="Arial" w:cs="Arial"/>
          <w:color w:val="595959"/>
          <w:sz w:val="19"/>
          <w:szCs w:val="19"/>
        </w:rPr>
        <w:t xml:space="preserve">  |</w:t>
      </w:r>
      <w:proofErr w:type="gramEnd"/>
      <w:r>
        <w:rPr>
          <w:rFonts w:ascii="Arial" w:eastAsia="Arial" w:hAnsi="Arial" w:cs="Arial"/>
          <w:color w:val="595959"/>
          <w:sz w:val="19"/>
          <w:szCs w:val="19"/>
        </w:rPr>
        <w:t xml:space="preserve">  June 2026 — Present</w:t>
      </w:r>
    </w:p>
    <w:p w14:paraId="030ADB95" w14:textId="77777777" w:rsidR="00A10B09" w:rsidRDefault="00ED5D3F">
      <w:pPr>
        <w:spacing w:after="80"/>
      </w:pPr>
      <w:r>
        <w:rPr>
          <w:rFonts w:ascii="Arial" w:eastAsia="Arial" w:hAnsi="Arial" w:cs="Arial"/>
          <w:i/>
          <w:iCs/>
          <w:color w:val="595959"/>
          <w:sz w:val="19"/>
          <w:szCs w:val="19"/>
        </w:rPr>
        <w:t>BSc Business Management (Foundation Year)</w:t>
      </w:r>
    </w:p>
    <w:p w14:paraId="030ADB98" w14:textId="708B29C8" w:rsidR="00A10B09" w:rsidRDefault="00A10B09">
      <w:pPr>
        <w:spacing w:after="60"/>
      </w:pPr>
    </w:p>
    <w:sectPr w:rsidR="00A10B09">
      <w:pgSz w:w="11906" w:h="16838"/>
      <w:pgMar w:top="72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12DE"/>
    <w:multiLevelType w:val="hybridMultilevel"/>
    <w:tmpl w:val="17461E0A"/>
    <w:lvl w:ilvl="0" w:tplc="DA604F8A">
      <w:start w:val="1"/>
      <w:numFmt w:val="bullet"/>
      <w:lvlText w:val="●"/>
      <w:lvlJc w:val="left"/>
      <w:pPr>
        <w:ind w:left="720" w:hanging="360"/>
      </w:pPr>
    </w:lvl>
    <w:lvl w:ilvl="1" w:tplc="B21A4792">
      <w:numFmt w:val="decimal"/>
      <w:lvlText w:val=""/>
      <w:lvlJc w:val="left"/>
    </w:lvl>
    <w:lvl w:ilvl="2" w:tplc="07BCF910">
      <w:numFmt w:val="decimal"/>
      <w:lvlText w:val=""/>
      <w:lvlJc w:val="left"/>
    </w:lvl>
    <w:lvl w:ilvl="3" w:tplc="6624DBC6">
      <w:numFmt w:val="decimal"/>
      <w:lvlText w:val=""/>
      <w:lvlJc w:val="left"/>
    </w:lvl>
    <w:lvl w:ilvl="4" w:tplc="EB281F3E">
      <w:numFmt w:val="decimal"/>
      <w:lvlText w:val=""/>
      <w:lvlJc w:val="left"/>
    </w:lvl>
    <w:lvl w:ilvl="5" w:tplc="03FE8D9C">
      <w:numFmt w:val="decimal"/>
      <w:lvlText w:val=""/>
      <w:lvlJc w:val="left"/>
    </w:lvl>
    <w:lvl w:ilvl="6" w:tplc="46DCD69E">
      <w:numFmt w:val="decimal"/>
      <w:lvlText w:val=""/>
      <w:lvlJc w:val="left"/>
    </w:lvl>
    <w:lvl w:ilvl="7" w:tplc="044EA16A">
      <w:numFmt w:val="decimal"/>
      <w:lvlText w:val=""/>
      <w:lvlJc w:val="left"/>
    </w:lvl>
    <w:lvl w:ilvl="8" w:tplc="071291CA">
      <w:numFmt w:val="decimal"/>
      <w:lvlText w:val=""/>
      <w:lvlJc w:val="left"/>
    </w:lvl>
  </w:abstractNum>
  <w:abstractNum w:abstractNumId="1" w15:restartNumberingAfterBreak="0">
    <w:nsid w:val="528B63C4"/>
    <w:multiLevelType w:val="hybridMultilevel"/>
    <w:tmpl w:val="97BCA3A4"/>
    <w:lvl w:ilvl="0" w:tplc="3BA493A4">
      <w:start w:val="1"/>
      <w:numFmt w:val="bullet"/>
      <w:lvlText w:val="●"/>
      <w:lvlJc w:val="left"/>
      <w:pPr>
        <w:ind w:left="720" w:hanging="360"/>
      </w:pPr>
    </w:lvl>
    <w:lvl w:ilvl="1" w:tplc="8572D1A2">
      <w:start w:val="1"/>
      <w:numFmt w:val="bullet"/>
      <w:lvlText w:val="○"/>
      <w:lvlJc w:val="left"/>
      <w:pPr>
        <w:ind w:left="1440" w:hanging="360"/>
      </w:pPr>
    </w:lvl>
    <w:lvl w:ilvl="2" w:tplc="EFB8ED60">
      <w:start w:val="1"/>
      <w:numFmt w:val="bullet"/>
      <w:lvlText w:val="■"/>
      <w:lvlJc w:val="left"/>
      <w:pPr>
        <w:ind w:left="2160" w:hanging="360"/>
      </w:pPr>
    </w:lvl>
    <w:lvl w:ilvl="3" w:tplc="1E783456">
      <w:start w:val="1"/>
      <w:numFmt w:val="bullet"/>
      <w:lvlText w:val="●"/>
      <w:lvlJc w:val="left"/>
      <w:pPr>
        <w:ind w:left="2880" w:hanging="360"/>
      </w:pPr>
    </w:lvl>
    <w:lvl w:ilvl="4" w:tplc="3C6446FA">
      <w:start w:val="1"/>
      <w:numFmt w:val="bullet"/>
      <w:lvlText w:val="○"/>
      <w:lvlJc w:val="left"/>
      <w:pPr>
        <w:ind w:left="3600" w:hanging="360"/>
      </w:pPr>
    </w:lvl>
    <w:lvl w:ilvl="5" w:tplc="6D48F2D2">
      <w:start w:val="1"/>
      <w:numFmt w:val="bullet"/>
      <w:lvlText w:val="■"/>
      <w:lvlJc w:val="left"/>
      <w:pPr>
        <w:ind w:left="4320" w:hanging="360"/>
      </w:pPr>
    </w:lvl>
    <w:lvl w:ilvl="6" w:tplc="20FA71BE">
      <w:start w:val="1"/>
      <w:numFmt w:val="bullet"/>
      <w:lvlText w:val="●"/>
      <w:lvlJc w:val="left"/>
      <w:pPr>
        <w:ind w:left="5040" w:hanging="360"/>
      </w:pPr>
    </w:lvl>
    <w:lvl w:ilvl="7" w:tplc="E8E081CC">
      <w:start w:val="1"/>
      <w:numFmt w:val="bullet"/>
      <w:lvlText w:val="●"/>
      <w:lvlJc w:val="left"/>
      <w:pPr>
        <w:ind w:left="5760" w:hanging="360"/>
      </w:pPr>
    </w:lvl>
    <w:lvl w:ilvl="8" w:tplc="D8387082">
      <w:start w:val="1"/>
      <w:numFmt w:val="bullet"/>
      <w:lvlText w:val="●"/>
      <w:lvlJc w:val="left"/>
      <w:pPr>
        <w:ind w:left="6480" w:hanging="360"/>
      </w:pPr>
    </w:lvl>
  </w:abstractNum>
  <w:num w:numId="1" w16cid:durableId="306399557">
    <w:abstractNumId w:val="1"/>
    <w:lvlOverride w:ilvl="0">
      <w:startOverride w:val="1"/>
    </w:lvlOverride>
  </w:num>
  <w:num w:numId="2" w16cid:durableId="20694537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B09"/>
    <w:rsid w:val="001F1548"/>
    <w:rsid w:val="0064658F"/>
    <w:rsid w:val="00A10B09"/>
    <w:rsid w:val="00ED5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ADB4F"/>
  <w15:docId w15:val="{6CE219D8-03ED-4E7A-94FB-03006A96D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gurdip-mikey-b-07aa12292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urdip-bath.github.io/" TargetMode="External"/><Relationship Id="rId5" Type="http://schemas.openxmlformats.org/officeDocument/2006/relationships/hyperlink" Target="https://www.linkedin.com/in/gurdip-mikey-b-07aa12292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933</Words>
  <Characters>5321</Characters>
  <Application>Microsoft Office Word</Application>
  <DocSecurity>0</DocSecurity>
  <Lines>44</Lines>
  <Paragraphs>12</Paragraphs>
  <ScaleCrop>false</ScaleCrop>
  <Company/>
  <LinksUpToDate>false</LinksUpToDate>
  <CharactersWithSpaces>6242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 S</cp:lastModifiedBy>
  <cp:revision>2</cp:revision>
  <dcterms:created xsi:type="dcterms:W3CDTF">2026-06-03T11:13:00Z</dcterms:created>
  <dcterms:modified xsi:type="dcterms:W3CDTF">2026-06-03T11:15:00Z</dcterms:modified>
</cp:coreProperties>
</file>