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23A31"/>
          <w:sz w:val="40"/>
          <w:szCs w:val="40"/>
        </w:rPr>
        <w:t xml:space="preserve">Digital Zen-Coach — Project Report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Hackathon: </w:t>
      </w:r>
      <w:r>
        <w:rPr>
          <w:sz w:val="20"/>
          <w:szCs w:val="20"/>
        </w:rPr>
        <w:t xml:space="preserve">Digital Addiction &amp; Digital Well-Being (28–30 August 2026)</w:t>
      </w:r>
    </w:p>
    <w:p>
      <w:pPr>
        <w:spacing w:after="280"/>
      </w:pPr>
      <w:r>
        <w:rPr>
          <w:b/>
          <w:bCs/>
          <w:sz w:val="20"/>
          <w:szCs w:val="20"/>
        </w:rPr>
        <w:t xml:space="preserve">Prototype: </w:t>
      </w:r>
      <w:r>
        <w:rPr>
          <w:sz w:val="20"/>
          <w:szCs w:val="20"/>
        </w:rPr>
        <w:t xml:space="preserve">Streamlit application (app.py) powered by Google Gemini</w:t>
      </w:r>
    </w:p>
    <w:p>
      <w:pPr>
        <w:pStyle w:val="Heading2"/>
        <w:spacing w:after="160" w:before="320"/>
      </w:pPr>
      <w:r>
        <w:t xml:space="preserve">1. Problem Statement</w:t>
      </w:r>
    </w:p>
    <w:p>
      <w:pPr>
        <w:spacing w:after="160"/>
      </w:pPr>
      <w:r>
        <w:t xml:space="preserve">Excessive, unreflective use of social media, short-form video, and gaming platforms is strongly linked to screen-time fatigue, distraction, and lowered mood — yet most users have no low-friction way to reflect on their own habits without either being lectured at or clinically diagnosed. Digital Zen-Coach addresses this by combining elements of a Screen-Time Reflection Assistant (non-judgmental pattern reflection), a Personalized Digital Well-Being Coach (one realistic, doable daily action), and a Healthy Alternative Activity Generator (connecting freed-up time to a hobby the user already wants more of) — all in a single lightweight check-in, rather than a rigid multi-week program.</w:t>
      </w:r>
    </w:p>
    <w:p>
      <w:pPr>
        <w:pStyle w:val="Heading2"/>
        <w:spacing w:after="160" w:before="320"/>
      </w:pPr>
      <w:r>
        <w:t xml:space="preserve">2. Solution Overview</w:t>
      </w:r>
    </w:p>
    <w:p>
      <w:pPr>
        <w:spacing w:after="160"/>
      </w:pPr>
      <w:r>
        <w:t xml:space="preserve">The user answers four questions in a Streamlit form: which platform(s) they struggle with, total daily hours on them, how the habit makes them feel, and an offline hobby they wish they had time for. These are combined into a single prompt sent to Gemini, which returns a fixed four-section markdown response that the app parses and renders as clean cards: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Acknowledgment</w:t>
      </w:r>
      <w:r>
        <w:t xml:space="preserve"> — a warm, validating response to what was shared.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Pattern Insight</w:t>
      </w:r>
      <w:r>
        <w:t xml:space="preserve"> — one gently-framed hypothesis connecting hours and feelings (never presented as fact).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Micro-Challenge</w:t>
      </w:r>
      <w:r>
        <w:t xml:space="preserve"> — one small, concrete action for today.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Offline Alternative</w:t>
      </w:r>
      <w:r>
        <w:t xml:space="preserve"> — one realistic first step toward the named hobby, sized to the time that would be freed up.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3. Architecture: 3-Tier Multi-Model Fallback Cascade</w:t>
      </w:r>
    </w:p>
    <w:p>
      <w:pPr>
        <w:spacing w:after="160"/>
      </w:pPr>
      <w:r>
        <w:t xml:space="preserve">Rather than hard-coding a single Gemini model name, the app calls client.models.generate_content against an ordered candidate list:</w:t>
      </w:r>
    </w:p>
    <w:p>
      <w:pPr>
        <w:pBdr>
          <w:top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MODEL_CANDIDATES = ["gemini-2.5-flash", "gemini-2.5-flash-lite", "gemini-3.5-flash"]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Tier 1 — gemini-2.5-flash: </w:t>
      </w:r>
      <w:r>
        <w:t xml:space="preserve">primary model, strongest general reasoning/coaching quality.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Tier 2 — gemini-2.5-flash-lite: </w:t>
      </w:r>
      <w:r>
        <w:t xml:space="preserve">anti-truncation insurance. Because gemini-2.5-flash is a "thinking" model, its internal reasoning tokens are counted against max_output_tokens alongside the visible reply — on runs where it reasons more before answering, the visible four-section response can be cut off mid-way. The lite tier doesn't spend hidden thinking tokens by default, so it reliably finishes all four sections.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Tier 3 — gemini-3.5-flash: </w:t>
      </w:r>
      <w:r>
        <w:t xml:space="preserve">quota and capability insurance. Google's deprecation notes put the 2.5 tier on a retirement timeline, so keeping a 3.x model as the last tier means the app keeps working past that cutover, not just when the first two tiers are merely rate-limited.</w:t>
      </w:r>
    </w:p>
    <w:p>
      <w:pPr>
        <w:spacing w:after="100"/>
      </w:pPr>
    </w:p>
    <w:p>
      <w:pPr>
        <w:spacing w:after="160"/>
      </w:pPr>
      <w:r>
        <w:t xml:space="preserve">generate_action_plan() walks the cascade and: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Skips to the next tier on a 404 (model unavailable for this key/region), a 429 (quota/rate limit), or a transient 5xx server error.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Re-raises immediately on any other 4xx (bad key, malformed request), since that fails identically on every remaining tier.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Parses each response into its four sections and counts how many were successfully found; a response is only accepted as "complete" once all four are present.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If no tier returns a fully complete response, the most complete attempt across the whole cascade is still shown to the user (flagged is_complete = False) rather than losing the result entirely.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4. Prompt Design</w:t>
      </w:r>
    </w:p>
    <w:p>
      <w:pPr>
        <w:spacing w:after="160"/>
      </w:pPr>
      <w:r>
        <w:t xml:space="preserve">Prompt techniques covered in the module were combined deliberately in one reusable system prompt: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Structured, step-by-step prompting</w:t>
      </w:r>
      <w:r>
        <w:t xml:space="preserve"> — a silent 4-step "HOW TO THINK" block (read inputs → identify one pattern as a hypothesis → design one micro-challenge → connect the hobby to one first step) constrains the model's reasoning path before it writes the visible answer, and a strict "always use exactly this structure" output format keeps every response machine-parseable.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Few-shot prompting</w:t>
      </w:r>
      <w:r>
        <w:t xml:space="preserve"> — two fully worked examples (TikTok/painting; console gaming/hiking) are embedded directly in the system prompt to calibrate tone, length, and the gentle, non-diagnostic framing expected in every section.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Hard-coded ethical/safety constraints</w:t>
      </w:r>
      <w:r>
        <w:t xml:space="preserve"> — five non-negotiable rules are stated up front in the system prompt itself: no diagnostic language ("you have an addiction"), no shaming/alarmist language, no presenting opinion as proven fact (soft framing like "many people notice..." instead of "research proves..."), and every suggestion scoped to a single realistic day rather than a rigid program.</w:t>
      </w:r>
    </w:p>
    <w:p>
      <w:pPr>
        <w:spacing w:after="100"/>
      </w:pPr>
    </w:p>
    <w:p>
      <w:pPr>
        <w:spacing w:after="160"/>
      </w:pPr>
      <w:r>
        <w:t xml:space="preserve">Model parameters were tuned deliberately: temperature = 0.7 for warmth while the format is still enforced by the structural rules, and max_output_tokens = 1536, generous enough to cover most single-tier runs while the cascade acts as the real safety net for the runs it isn't.</w:t>
      </w:r>
    </w:p>
    <w:p>
      <w:pPr>
        <w:pStyle w:val="Heading2"/>
        <w:spacing w:after="160" w:before="320"/>
      </w:pPr>
      <w:r>
        <w:t xml:space="preserve">5. Dual Ethical Safety Gates</w:t>
      </w:r>
    </w:p>
    <w:p>
      <w:pPr>
        <w:spacing w:after="160"/>
      </w:pPr>
      <w:r>
        <w:t xml:space="preserve">Two separate keyword-based gates run on every free-text field before any Gemini call is made — chosen as two lists rather than one merged list because routing an ordinary medical mention (e.g. "pill", "pain") into a crisis message would be a false-positive misfire that misapplies a real crisis resource: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Crisis gate (detect_crisis_language)</w:t>
      </w:r>
      <w:r>
        <w:t xml:space="preserve"> — scans for acute suicide/self-harm risk phrases ("suicidal", "want to die", "hurt myself", etc.). On a match, the AI call is skipped entirely and the user is shown real crisis resources: local emergency numbers (112/911/999), the US 988 Suicide &amp; Crisis Lifeline, Crisis Text Line, and findahelpline.com for international support.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Medical gate (detect_medical_language)</w:t>
      </w:r>
      <w:r>
        <w:t xml:space="preserve"> — scans for ordinary medical terms ("medicine", "doctor", "hospital", "medication", etc.). On a match, the AI call is skipped and the user is redirected to consult a healthcare professional, since this tool is a well-being coach, not a medical device.</w:t>
      </w:r>
    </w:p>
    <w:p>
      <w:pPr>
        <w:spacing w:after="100"/>
      </w:pPr>
    </w:p>
    <w:p>
      <w:pPr>
        <w:spacing w:after="160"/>
      </w:pPr>
      <w:r>
        <w:t xml:space="preserve">Additional risk-reduction measures baked into the product: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No persistence</w:t>
      </w:r>
      <w:r>
        <w:t xml:space="preserve"> — the onboarding panel states, and the code confirms, that nothing typed into the form is saved or logged; everything lives only in the browser session.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Non-diagnostic system prompt rules</w:t>
      </w:r>
      <w:r>
        <w:t xml:space="preserve"> (Section 4) reduce the risk of overconfident or judgmental AI output reaching the user in the first place.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Standing disclaimer</w:t>
      </w:r>
      <w:r>
        <w:t xml:space="preserve"> on every generated plan, reiterating that this is a hackathon prototype and not a substitute for licensed medical or mental health care.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6. Multi-Platform Summation Math</w:t>
      </w:r>
    </w:p>
    <w:p>
      <w:pPr>
        <w:spacing w:after="160"/>
      </w:pPr>
      <w:r>
        <w:t xml:space="preserve">Users can select multiple platforms (multiselect) plus optionally name one additional "Other" platform with its own hours slider. Two design choices avoid double-counting or phantom hours:</w:t>
      </w:r>
    </w:p>
    <w:p>
      <w:pPr>
        <w:pBdr>
          <w:top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platform = ", ".join(all_platforms)  # multiselect + optional "Other" name</w:t>
      </w:r>
    </w:p>
    <w:p>
      <w:pPr>
        <w:pBdr>
          <w:bottom w:val="single" w:color="E2DCC6" w:sz="4"/>
          <w:left w:val="single" w:color="E2DCC6" w:sz="4"/>
          <w:right w:val="single" w:color="E2DCC6" w:sz="4"/>
        </w:pBdr>
        <w:shd w:fill="F2EEE0" w:val="clear"/>
        <w:spacing w:after="0" w:line="260"/>
        <w:ind w:left="215" w:right="215"/>
      </w:pPr>
      <w:r>
        <w:rPr>
          <w:rFonts w:ascii="Consolas" w:cs="Consolas" w:eastAsia="Consolas" w:hAnsi="Consolas"/>
          <w:color w:val="22332D"/>
          <w:sz w:val="19"/>
          <w:szCs w:val="19"/>
        </w:rPr>
        <w:t xml:space="preserve">total_hours = main_hours + (other_hours if platform_other.strip() else 0.0)</w:t>
      </w:r>
    </w:p>
    <w:p>
      <w:pPr>
        <w:spacing w:after="160"/>
      </w:pPr>
    </w:p>
    <w:p>
      <w:pPr>
        <w:spacing w:after="160"/>
      </w:pPr>
      <w:r>
        <w:t xml:space="preserve">The "Other" hours slider is only added to the total if an "Other" platform was actually named — otherwise a stray non-zero slider value with no matching platform would silently inflate the reported total screen time for nothing.</w:t>
      </w:r>
    </w:p>
    <w:p>
      <w:pPr>
        <w:pStyle w:val="Heading2"/>
        <w:spacing w:after="160" w:before="320"/>
      </w:pPr>
      <w:r>
        <w:t xml:space="preserve">7. Response Parsing &amp; Rendering — Fail-Safe by Design</w:t>
      </w:r>
    </w:p>
    <w:p>
      <w:pPr>
        <w:spacing w:after="160"/>
      </w:pPr>
      <w:r>
        <w:t xml:space="preserve">parse_sections() uses a flexible, case-insensitive regex to locate each of the four section headers regardless of markdown decoration (#/##, bold/italic, numbering, emoji). render_action_plan() only renders the four styled cards if all four sections were found with non-empty content; a partial parse (one trimmed section, an unrecognized header) falls back to showing the model's full raw markdown response instead of silently dropping content — no user-visible text is ever lost, even on an imperfect parse.</w:t>
      </w:r>
    </w:p>
    <w:p>
      <w:pPr>
        <w:pStyle w:val="Heading2"/>
        <w:spacing w:after="160" w:before="320"/>
      </w:pPr>
      <w:r>
        <w:t xml:space="preserve">8. Challenges Encountered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Mid-response truncation</w:t>
      </w:r>
      <w:r>
        <w:t xml:space="preserve"> on the primary model, traced to hidden "thinking" tokens counting against the output budget — solved by cascading to a non-thinking tier and by treating "wrong section count" as a cascade-worthy failure, not just outright API errors.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Model churn</w:t>
      </w:r>
      <w:r>
        <w:t xml:space="preserve"> — Google periodically retires/renames Gemini model IDs, so a single hardcoded model name is fragile; the 3-tier candidate list keeps the app resilient to that.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Avoiding a safety-gate bypass</w:t>
      </w:r>
      <w:r>
        <w:t xml:space="preserve"> — both ethical gates had to run against every free-text field (not just the primary ones) before any AI call, so a user couldn't route around them by putting sensitive language in a secondary field like "Anything else you'd like to share?".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9. Rubric Alignment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23A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 (points)</w:t>
            </w:r>
          </w:p>
        </w:tc>
        <w:tc>
          <w:tcPr>
            <w:tcW w:type="dxa" w:w="6900"/>
            <w:shd w:fill="123A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this project addresses it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Functionality (30)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End-to-end working Streamlit prototype: 4-question intake → Gemini call → parsed, rendered action plan, with graceful degradation on model/API failure.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Prompt design (25)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Structured step-by-step + few-shot + hard safety-rule prompting, documented above with rationale for each technique.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Originality &amp; creativity (20)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Reflection, coaching, and offline-alternative generation combined in one tool, with a genuine multi-model reliability layer rather than a single API call.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Ethical awareness (15)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Two separate, purpose-built safety gates (crisis vs. medical), non-diagnostic system-prompt rules, no data persistence, and a standing disclaimer — detailed in Section 5.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Presentation (10)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332D"/>
                <w:sz w:val="20"/>
                <w:szCs w:val="20"/>
              </w:rPr>
              <w:t xml:space="preserve">Clear onboarding panel explaining why each question is asked, plus this report and the accompanying demo walkthrough.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10. Example Interaction (Demo Scenario)</w:t>
      </w:r>
    </w:p>
    <w:p>
      <w:pPr>
        <w:spacing w:after="160"/>
      </w:pPr>
      <w:r>
        <w:rPr>
          <w:b/>
          <w:bCs/>
        </w:rPr>
        <w:t xml:space="preserve">Input: </w:t>
      </w:r>
      <w:r>
        <w:t xml:space="preserve">Platforms — Instagram, TikTok · Daily hours — 4.5 · Feelings — drained, distracted · Hobby — hiking</w:t>
      </w:r>
    </w:p>
    <w:p>
      <w:pPr>
        <w:spacing w:after="160"/>
      </w:pPr>
      <w:r>
        <w:t xml:space="preserve">This input is used as the realistic end-to-end example in the demo recording: the app combines both platforms into one prompt, generates all four sections via the live Gemini cascade, and renders them as cards — matching the few-shot pattern embedded in the system prompt (Section 4) but generated live, not scripted.</w:t>
      </w:r>
    </w:p>
    <w:p>
      <w:pPr>
        <w:pStyle w:val="Heading2"/>
        <w:spacing w:after="160" w:before="320"/>
      </w:pPr>
      <w:r>
        <w:t xml:space="preserve">11. Conclusion</w:t>
      </w:r>
    </w:p>
    <w:p>
      <w:pPr>
        <w:spacing w:after="160"/>
      </w:pPr>
      <w:r>
        <w:t xml:space="preserve">Digital Zen-Coach demonstrates that a small, carefully-scoped prompt design — paired with a resilient multi-model backend and two purpose-built ethical gates — can turn a sensitive topic like digital well-being into a supportive, non-judgmental tool without overstepping into medical or diagnostic territory.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2026-08-30T12:16:25.312Z</dcterms:created>
  <dcterms:modified xsi:type="dcterms:W3CDTF">2026-08-30T12:16:25.312Z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