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widowControl/>
        <w:pBdr/>
        <w:spacing w:lineRule="atLeast" w:line="264" w:before="0" w:after="0"/>
        <w:ind w:left="0" w:right="0" w:hanging="0"/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7. Данные для учета успеваемости студентов в БАРС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Таблица 1.1 – Таблица максимальных баллов по видам учебной деятельности</w:t>
      </w:r>
    </w:p>
    <w:tbl>
      <w:tblPr>
        <w:tblW w:w="9638" w:type="dxa"/>
        <w:jc w:val="center"/>
        <w:tblInd w:w="0" w:type="dxa"/>
        <w:tblBorders>
          <w:top w:val="single" w:sz="2" w:space="0" w:color="505050"/>
          <w:left w:val="single" w:sz="2" w:space="0" w:color="505050"/>
          <w:bottom w:val="single" w:sz="2" w:space="0" w:color="505050"/>
          <w:right w:val="single" w:sz="2" w:space="0" w:color="505050"/>
          <w:insideH w:val="single" w:sz="2" w:space="0" w:color="505050"/>
          <w:insideV w:val="single" w:sz="2" w:space="0" w:color="505050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5"/>
        <w:gridCol w:w="610"/>
        <w:gridCol w:w="1160"/>
        <w:gridCol w:w="1138"/>
        <w:gridCol w:w="1358"/>
        <w:gridCol w:w="1675"/>
        <w:gridCol w:w="1191"/>
        <w:gridCol w:w="1297"/>
        <w:gridCol w:w="514"/>
      </w:tblGrid>
      <w:tr>
        <w:trPr/>
        <w:tc>
          <w:tcPr>
            <w:tcW w:w="69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610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160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1138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1358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167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1191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1297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514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9</w:t>
            </w:r>
          </w:p>
        </w:tc>
      </w:tr>
      <w:tr>
        <w:trPr/>
        <w:tc>
          <w:tcPr>
            <w:tcW w:w="69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Семестр</w:t>
            </w:r>
          </w:p>
        </w:tc>
        <w:tc>
          <w:tcPr>
            <w:tcW w:w="610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Лекции</w:t>
            </w:r>
          </w:p>
        </w:tc>
        <w:tc>
          <w:tcPr>
            <w:tcW w:w="1160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Лабораторные занятия</w:t>
            </w:r>
          </w:p>
        </w:tc>
        <w:tc>
          <w:tcPr>
            <w:tcW w:w="1138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Практические занятия</w:t>
            </w:r>
          </w:p>
        </w:tc>
        <w:tc>
          <w:tcPr>
            <w:tcW w:w="1358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Самостоятельная работа</w:t>
            </w:r>
          </w:p>
        </w:tc>
        <w:tc>
          <w:tcPr>
            <w:tcW w:w="167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Автоматизированное тестирование</w:t>
            </w:r>
          </w:p>
        </w:tc>
        <w:tc>
          <w:tcPr>
            <w:tcW w:w="1191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Другие виды учебной деятельности</w:t>
            </w:r>
          </w:p>
        </w:tc>
        <w:tc>
          <w:tcPr>
            <w:tcW w:w="1297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Промежуточная аттестация</w:t>
            </w:r>
          </w:p>
        </w:tc>
        <w:tc>
          <w:tcPr>
            <w:tcW w:w="514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Итого</w:t>
            </w:r>
          </w:p>
        </w:tc>
      </w:tr>
      <w:tr>
        <w:trPr/>
        <w:tc>
          <w:tcPr>
            <w:tcW w:w="69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9</w:t>
            </w:r>
          </w:p>
        </w:tc>
        <w:tc>
          <w:tcPr>
            <w:tcW w:w="610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160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30</w:t>
            </w:r>
          </w:p>
        </w:tc>
        <w:tc>
          <w:tcPr>
            <w:tcW w:w="1138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1358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67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1191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297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30</w:t>
            </w:r>
          </w:p>
        </w:tc>
        <w:tc>
          <w:tcPr>
            <w:tcW w:w="514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jc w:val="center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</w:tbl>
    <w:p>
      <w:pPr>
        <w:pStyle w:val="Style14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2"/>
        <w:widowControl/>
        <w:pBdr/>
        <w:spacing w:lineRule="atLeast" w:line="240" w:before="0" w:after="0"/>
        <w:ind w:left="0" w:right="0" w:hanging="0"/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Программа оценивания учебной деятельности студента</w:t>
      </w:r>
    </w:p>
    <w:p>
      <w:pPr>
        <w:pStyle w:val="2"/>
        <w:widowControl/>
        <w:pBdr/>
        <w:spacing w:lineRule="atLeast" w:line="240" w:before="0" w:after="0"/>
        <w:ind w:left="0" w:right="0" w:hanging="0"/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9 семестр</w:t>
      </w:r>
    </w:p>
    <w:p>
      <w:pPr>
        <w:pStyle w:val="3"/>
        <w:widowControl/>
        <w:pBdr/>
        <w:spacing w:lineRule="atLeast" w:line="216" w:before="0" w:after="0"/>
        <w:ind w:left="0" w:right="0" w:hanging="0"/>
        <w:rPr/>
      </w:pPr>
      <w:r>
        <w:rPr>
          <w:rStyle w:val="Style11"/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Лекции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Посещаемость, опрос, активность и др. за один семестр – от 0 до 10 баллов.</w:t>
      </w:r>
    </w:p>
    <w:p>
      <w:pPr>
        <w:pStyle w:val="3"/>
        <w:widowControl/>
        <w:pBdr/>
        <w:spacing w:lineRule="atLeast" w:line="216" w:before="0" w:after="0"/>
        <w:ind w:left="0" w:right="0" w:hanging="0"/>
        <w:rPr/>
      </w:pPr>
      <w:r>
        <w:rPr>
          <w:rStyle w:val="Style11"/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Лабораторные занятия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Контроль выполнения лабораторных заданий в течение одного семестра – от 0 до 30 баллов.</w:t>
      </w:r>
    </w:p>
    <w:p>
      <w:pPr>
        <w:pStyle w:val="3"/>
        <w:widowControl/>
        <w:pBdr/>
        <w:spacing w:lineRule="atLeast" w:line="216" w:before="0" w:after="0"/>
        <w:ind w:left="0" w:right="0" w:hanging="0"/>
        <w:rPr/>
      </w:pPr>
      <w:r>
        <w:rPr>
          <w:rStyle w:val="Style11"/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Практические занятия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Не предусмотрены.</w:t>
      </w:r>
    </w:p>
    <w:p>
      <w:pPr>
        <w:pStyle w:val="3"/>
        <w:widowControl/>
        <w:pBdr/>
        <w:spacing w:lineRule="atLeast" w:line="216" w:before="0" w:after="0"/>
        <w:ind w:left="0" w:right="0" w:hanging="0"/>
        <w:rPr/>
      </w:pPr>
      <w:r>
        <w:rPr>
          <w:rStyle w:val="Style11"/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Самостоятельная работа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Наличие корректно составленного отчета по самостоятельной работе оценивается от 0 до 15 баллов;</w:t>
      </w:r>
    </w:p>
    <w:p>
      <w:pPr>
        <w:pStyle w:val="3"/>
        <w:widowControl/>
        <w:pBdr/>
        <w:spacing w:lineRule="atLeast" w:line="216" w:before="0" w:after="0"/>
        <w:ind w:left="0" w:right="0" w:hanging="0"/>
        <w:rPr/>
      </w:pPr>
      <w:r>
        <w:rPr>
          <w:rStyle w:val="Style11"/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Автоматизированное тестирование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Не предусмотрено.</w:t>
      </w:r>
    </w:p>
    <w:p>
      <w:pPr>
        <w:pStyle w:val="Style14"/>
        <w:widowControl/>
        <w:pBdr/>
        <w:spacing w:before="0" w:after="0"/>
        <w:ind w:left="0" w:right="0" w:firstLine="300"/>
        <w:rPr/>
      </w:pPr>
      <w:r>
        <w:rPr>
          <w:rStyle w:val="Style11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Другие виды учебной деятельности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Контрольная работа оценивается от 0 до 15 баллов.</w:t>
      </w:r>
    </w:p>
    <w:p>
      <w:pPr>
        <w:pStyle w:val="3"/>
        <w:widowControl/>
        <w:pBdr/>
        <w:spacing w:lineRule="atLeast" w:line="216" w:before="0" w:after="0"/>
        <w:ind w:left="0" w:right="0" w:hanging="0"/>
        <w:rPr/>
      </w:pPr>
      <w:r>
        <w:rPr>
          <w:rStyle w:val="Style11"/>
          <w:caps w:val="false"/>
          <w:smallCaps w:val="false"/>
          <w:color w:val="000000"/>
          <w:spacing w:val="0"/>
        </w:rPr>
        <w:t> </w:t>
      </w:r>
      <w:r>
        <w:rPr>
          <w:rStyle w:val="Style11"/>
          <w:rFonts w:ascii="Arial;sans-serif" w:hAnsi="Arial;sans-serif"/>
          <w:i w:val="false"/>
          <w:caps w:val="false"/>
          <w:smallCaps w:val="false"/>
          <w:color w:val="000000"/>
          <w:spacing w:val="0"/>
          <w:sz w:val="17"/>
        </w:rPr>
        <w:t>Промежуточная аттестация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Промежуточная аттестация делается на основании выборочного опроса студента по списку вопросов.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При проведении промежуточной аттестации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ответ на «отлично» оценивается от 21 до 30 баллов;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ответ на «хорошо» оценивается от 11 до 20 баллов;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ответ на «удовлетворительно» оценивается от 6 до 10 баллов;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ответ на «неудовлетворительно» оценивается от 0 до 5 баллов.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Таким образом, максимально возможная сумма баллов за все виды учебной деятельности студента за девятый семестр по дисциплине «Нейронные сети» составляет 100 баллов.</w:t>
      </w:r>
    </w:p>
    <w:p>
      <w:pPr>
        <w:pStyle w:val="Style14"/>
        <w:widowControl/>
        <w:pBdr/>
        <w:spacing w:before="0" w:after="0"/>
        <w:ind w:left="0" w:right="0" w:firstLine="30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Таблица 2.1 – Таблица пересчета полученной студентом суммы баллов по дисциплине «Нейронные сети» в оценку (зачет):</w:t>
      </w:r>
    </w:p>
    <w:tbl>
      <w:tblPr>
        <w:tblW w:w="2308" w:type="dxa"/>
        <w:jc w:val="center"/>
        <w:tblInd w:w="0" w:type="dxa"/>
        <w:tblBorders>
          <w:top w:val="single" w:sz="2" w:space="0" w:color="505050"/>
          <w:left w:val="single" w:sz="2" w:space="0" w:color="505050"/>
          <w:bottom w:val="single" w:sz="2" w:space="0" w:color="505050"/>
          <w:right w:val="single" w:sz="2" w:space="0" w:color="505050"/>
          <w:insideH w:val="single" w:sz="2" w:space="0" w:color="505050"/>
          <w:insideV w:val="single" w:sz="2" w:space="0" w:color="505050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3"/>
        <w:gridCol w:w="1005"/>
      </w:tblGrid>
      <w:tr>
        <w:trPr/>
        <w:tc>
          <w:tcPr>
            <w:tcW w:w="1303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rPr>
                <w:sz w:val="17"/>
              </w:rPr>
            </w:pPr>
            <w:r>
              <w:rPr>
                <w:sz w:val="17"/>
              </w:rPr>
              <w:t>более 50 баллов</w:t>
            </w:r>
          </w:p>
        </w:tc>
        <w:tc>
          <w:tcPr>
            <w:tcW w:w="100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rPr>
                <w:sz w:val="17"/>
              </w:rPr>
            </w:pPr>
            <w:r>
              <w:rPr>
                <w:sz w:val="17"/>
              </w:rPr>
              <w:t>«зачтено»</w:t>
            </w:r>
          </w:p>
        </w:tc>
      </w:tr>
      <w:tr>
        <w:trPr/>
        <w:tc>
          <w:tcPr>
            <w:tcW w:w="1303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rPr>
                <w:sz w:val="17"/>
              </w:rPr>
            </w:pPr>
            <w:r>
              <w:rPr>
                <w:sz w:val="17"/>
              </w:rPr>
              <w:t>меньше 51 балла</w:t>
            </w:r>
          </w:p>
        </w:tc>
        <w:tc>
          <w:tcPr>
            <w:tcW w:w="1005" w:type="dxa"/>
            <w:tcBorders>
              <w:top w:val="single" w:sz="2" w:space="0" w:color="505050"/>
              <w:left w:val="single" w:sz="2" w:space="0" w:color="505050"/>
              <w:bottom w:val="single" w:sz="2" w:space="0" w:color="505050"/>
              <w:right w:val="single" w:sz="2" w:space="0" w:color="505050"/>
              <w:insideH w:val="single" w:sz="2" w:space="0" w:color="505050"/>
              <w:insideV w:val="single" w:sz="2" w:space="0" w:color="505050"/>
            </w:tcBorders>
            <w:shd w:fill="auto" w:val="clear"/>
            <w:vAlign w:val="center"/>
          </w:tcPr>
          <w:p>
            <w:pPr>
              <w:pStyle w:val="Style18"/>
              <w:pBdr/>
              <w:spacing w:before="0" w:after="0"/>
              <w:ind w:left="0" w:right="0" w:hanging="0"/>
              <w:rPr>
                <w:sz w:val="17"/>
              </w:rPr>
            </w:pPr>
            <w:r>
              <w:rPr>
                <w:sz w:val="17"/>
              </w:rPr>
              <w:t>«не зачтено»</w:t>
            </w:r>
          </w:p>
        </w:tc>
      </w:tr>
    </w:tbl>
    <w:p>
      <w:pPr>
        <w:pStyle w:val="Style14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Mangal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1">
    <w:name w:val="Выделение"/>
    <w:qFormat/>
    <w:rPr>
      <w:i/>
      <w:iCs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222</Words>
  <Characters>1375</Characters>
  <CharactersWithSpaces>1547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2021-01-14T12:27:46Z</dcterms:created>
  <dc:creator/>
  <dc:description/>
  <dc:language>ru-RU</dc:language>
  <cp:lastModifiedBy/>
  <dcterms:modified xsi:type="dcterms:W3CDTF">2021-01-14T12:28:58Z</dcterms:modified>
  <cp:revision>1</cp:revision>
  <dc:subject/>
  <dc:title/>
</cp:coreProperties>
</file>