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85F08" w14:textId="77777777" w:rsidR="00A83836" w:rsidRPr="00AF1814" w:rsidRDefault="00DA3174" w:rsidP="00A83836">
      <w:pPr>
        <w:pStyle w:val="Title"/>
      </w:pPr>
      <w:r w:rsidRPr="00AF1814">
        <w:t>Clinical Study Protocol</w:t>
      </w:r>
    </w:p>
    <w:p w14:paraId="5F1267CF" w14:textId="77777777" w:rsidR="00EE74BC" w:rsidRPr="00AF1814" w:rsidRDefault="00DA3174" w:rsidP="00EE74BC">
      <w:pPr>
        <w:pStyle w:val="Heading1unnumbered"/>
        <w:spacing w:after="240"/>
      </w:pPr>
      <w:bookmarkStart w:id="0" w:name="_Toc44601634"/>
      <w:r w:rsidRPr="00AF1814">
        <w:t>Title Page</w:t>
      </w:r>
      <w:bookmarkEnd w:id="0"/>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3"/>
        <w:gridCol w:w="5103"/>
      </w:tblGrid>
      <w:tr w:rsidR="002108B2" w:rsidRPr="00AF1814" w14:paraId="42614642" w14:textId="77777777" w:rsidTr="00545165">
        <w:trPr>
          <w:cantSplit/>
        </w:trPr>
        <w:tc>
          <w:tcPr>
            <w:tcW w:w="4253" w:type="dxa"/>
          </w:tcPr>
          <w:p w14:paraId="602548FD" w14:textId="77777777" w:rsidR="00EE74BC" w:rsidRPr="00AF1814" w:rsidRDefault="00DA3174" w:rsidP="00EE74BC">
            <w:pPr>
              <w:pStyle w:val="BodyText"/>
              <w:spacing w:before="120"/>
              <w:rPr>
                <w:b/>
              </w:rPr>
            </w:pPr>
            <w:r w:rsidRPr="00AF1814">
              <w:rPr>
                <w:b/>
              </w:rPr>
              <w:t xml:space="preserve">Clinical </w:t>
            </w:r>
            <w:r w:rsidR="003E6885" w:rsidRPr="00AF1814">
              <w:rPr>
                <w:b/>
              </w:rPr>
              <w:t xml:space="preserve">Study </w:t>
            </w:r>
            <w:r w:rsidRPr="00AF1814">
              <w:rPr>
                <w:b/>
              </w:rPr>
              <w:t>Protocol Title:</w:t>
            </w:r>
          </w:p>
        </w:tc>
        <w:tc>
          <w:tcPr>
            <w:tcW w:w="5103" w:type="dxa"/>
          </w:tcPr>
          <w:p w14:paraId="116DF51E" w14:textId="47F8D785" w:rsidR="00EE74BC" w:rsidRPr="00AF1814" w:rsidRDefault="00DA3174" w:rsidP="001C4B56">
            <w:pPr>
              <w:pStyle w:val="List1withbullet"/>
              <w:numPr>
                <w:ilvl w:val="0"/>
                <w:numId w:val="0"/>
              </w:numPr>
            </w:pPr>
            <w:r w:rsidRPr="00AF1814">
              <w:t xml:space="preserve">Safety Study of Bintrafusp alfa in Combination with </w:t>
            </w:r>
            <w:r w:rsidR="00D56AF6">
              <w:t>Other Anti-cancer Therap</w:t>
            </w:r>
            <w:r w:rsidR="0048637B">
              <w:t>ies</w:t>
            </w:r>
            <w:r w:rsidRPr="00AF1814">
              <w:t xml:space="preserve"> in Participants with </w:t>
            </w:r>
            <w:r w:rsidR="00D56AF6">
              <w:t xml:space="preserve">Locally Advanced or </w:t>
            </w:r>
            <w:r w:rsidRPr="00AF1814">
              <w:t>Advanced Cervical Cancer</w:t>
            </w:r>
          </w:p>
        </w:tc>
      </w:tr>
      <w:tr w:rsidR="002108B2" w:rsidRPr="00AF1814" w14:paraId="29752F93" w14:textId="77777777" w:rsidTr="00F64806">
        <w:trPr>
          <w:cantSplit/>
        </w:trPr>
        <w:tc>
          <w:tcPr>
            <w:tcW w:w="4253" w:type="dxa"/>
          </w:tcPr>
          <w:p w14:paraId="28D11AF5" w14:textId="77777777" w:rsidR="00F64806" w:rsidRPr="00AF1814" w:rsidRDefault="00DA3174" w:rsidP="00F64806">
            <w:pPr>
              <w:pStyle w:val="BodyText"/>
              <w:spacing w:before="120"/>
              <w:rPr>
                <w:b/>
              </w:rPr>
            </w:pPr>
            <w:r w:rsidRPr="00AF1814">
              <w:rPr>
                <w:b/>
              </w:rPr>
              <w:t>Study Number:</w:t>
            </w:r>
          </w:p>
        </w:tc>
        <w:tc>
          <w:tcPr>
            <w:tcW w:w="5103" w:type="dxa"/>
            <w:tcBorders>
              <w:top w:val="single" w:sz="4" w:space="0" w:color="auto"/>
              <w:left w:val="single" w:sz="4" w:space="0" w:color="auto"/>
              <w:bottom w:val="single" w:sz="4" w:space="0" w:color="auto"/>
              <w:right w:val="single" w:sz="4" w:space="0" w:color="auto"/>
            </w:tcBorders>
          </w:tcPr>
          <w:p w14:paraId="7903FFB1" w14:textId="77777777" w:rsidR="00564C4C" w:rsidRPr="00AF1814" w:rsidRDefault="00DA3174" w:rsidP="00E375FB">
            <w:pPr>
              <w:pStyle w:val="BodyText"/>
              <w:spacing w:before="120"/>
            </w:pPr>
            <w:r w:rsidRPr="00AF1814">
              <w:t>MS200647</w:t>
            </w:r>
            <w:r w:rsidR="00C508FA" w:rsidRPr="00AF1814">
              <w:t>_</w:t>
            </w:r>
            <w:r w:rsidRPr="00AF1814">
              <w:t>0046</w:t>
            </w:r>
          </w:p>
        </w:tc>
      </w:tr>
      <w:tr w:rsidR="002108B2" w:rsidRPr="00AF1814" w14:paraId="7A5C338A" w14:textId="77777777" w:rsidTr="00F64806">
        <w:trPr>
          <w:cantSplit/>
        </w:trPr>
        <w:tc>
          <w:tcPr>
            <w:tcW w:w="4253" w:type="dxa"/>
          </w:tcPr>
          <w:p w14:paraId="0FAEE110" w14:textId="77777777" w:rsidR="00A83836" w:rsidRPr="00AF1814" w:rsidRDefault="00DA3174" w:rsidP="00F64806">
            <w:pPr>
              <w:pStyle w:val="BodyText"/>
              <w:spacing w:before="120"/>
              <w:rPr>
                <w:b/>
              </w:rPr>
            </w:pPr>
            <w:r w:rsidRPr="00AF1814">
              <w:rPr>
                <w:b/>
              </w:rPr>
              <w:t>Amendment Number:</w:t>
            </w:r>
          </w:p>
        </w:tc>
        <w:tc>
          <w:tcPr>
            <w:tcW w:w="5103" w:type="dxa"/>
            <w:tcBorders>
              <w:top w:val="single" w:sz="4" w:space="0" w:color="auto"/>
              <w:left w:val="single" w:sz="4" w:space="0" w:color="auto"/>
              <w:bottom w:val="single" w:sz="4" w:space="0" w:color="auto"/>
              <w:right w:val="single" w:sz="4" w:space="0" w:color="auto"/>
            </w:tcBorders>
          </w:tcPr>
          <w:p w14:paraId="42FCE14E" w14:textId="77777777" w:rsidR="00A83836" w:rsidRPr="00AF1814" w:rsidRDefault="00DA3174" w:rsidP="00F64806">
            <w:pPr>
              <w:pStyle w:val="BodyText"/>
              <w:spacing w:before="120"/>
              <w:rPr>
                <w:lang w:val="de-DE" w:eastAsia="ja-JP"/>
              </w:rPr>
            </w:pPr>
            <w:r w:rsidRPr="00AF1814">
              <w:t xml:space="preserve">Not </w:t>
            </w:r>
            <w:r w:rsidR="005D58CF" w:rsidRPr="00AF1814">
              <w:t>A</w:t>
            </w:r>
            <w:r w:rsidRPr="00AF1814">
              <w:t>pplicable</w:t>
            </w:r>
          </w:p>
        </w:tc>
      </w:tr>
      <w:tr w:rsidR="002108B2" w:rsidRPr="00AF1814" w14:paraId="3792B25B" w14:textId="77777777" w:rsidTr="00F64806">
        <w:trPr>
          <w:cantSplit/>
        </w:trPr>
        <w:tc>
          <w:tcPr>
            <w:tcW w:w="4253" w:type="dxa"/>
          </w:tcPr>
          <w:p w14:paraId="3E323CE7" w14:textId="77777777" w:rsidR="00F64806" w:rsidRPr="00AF1814" w:rsidRDefault="00DA3174" w:rsidP="00F64806">
            <w:pPr>
              <w:pStyle w:val="BodyText"/>
              <w:spacing w:before="120"/>
              <w:rPr>
                <w:b/>
              </w:rPr>
            </w:pPr>
            <w:r w:rsidRPr="00AF1814">
              <w:rPr>
                <w:b/>
              </w:rPr>
              <w:t>Merck Compound:</w:t>
            </w:r>
          </w:p>
        </w:tc>
        <w:tc>
          <w:tcPr>
            <w:tcW w:w="5103" w:type="dxa"/>
            <w:tcBorders>
              <w:top w:val="single" w:sz="4" w:space="0" w:color="auto"/>
              <w:left w:val="single" w:sz="4" w:space="0" w:color="auto"/>
              <w:bottom w:val="single" w:sz="4" w:space="0" w:color="auto"/>
              <w:right w:val="single" w:sz="4" w:space="0" w:color="auto"/>
            </w:tcBorders>
          </w:tcPr>
          <w:p w14:paraId="285748DB" w14:textId="77777777" w:rsidR="00F64806" w:rsidRPr="00AF1814" w:rsidRDefault="00DA3174" w:rsidP="00F64806">
            <w:pPr>
              <w:pStyle w:val="BodyText"/>
              <w:spacing w:before="120"/>
            </w:pPr>
            <w:r w:rsidRPr="00AF1814">
              <w:rPr>
                <w:lang w:val="de-DE" w:eastAsia="ja-JP"/>
              </w:rPr>
              <w:t>M7824</w:t>
            </w:r>
          </w:p>
        </w:tc>
      </w:tr>
      <w:tr w:rsidR="002108B2" w:rsidRPr="00AF1814" w14:paraId="77CEE32B" w14:textId="77777777" w:rsidTr="00047D46">
        <w:trPr>
          <w:cantSplit/>
        </w:trPr>
        <w:tc>
          <w:tcPr>
            <w:tcW w:w="4253" w:type="dxa"/>
            <w:tcBorders>
              <w:top w:val="single" w:sz="4" w:space="0" w:color="auto"/>
              <w:left w:val="single" w:sz="4" w:space="0" w:color="auto"/>
              <w:bottom w:val="single" w:sz="4" w:space="0" w:color="auto"/>
              <w:right w:val="single" w:sz="4" w:space="0" w:color="auto"/>
            </w:tcBorders>
          </w:tcPr>
          <w:p w14:paraId="11D11AC3" w14:textId="77777777" w:rsidR="00A83836" w:rsidRPr="00AF1814" w:rsidRDefault="00DA3174" w:rsidP="00047D46">
            <w:pPr>
              <w:pStyle w:val="BodyText"/>
              <w:spacing w:before="120"/>
              <w:rPr>
                <w:b/>
                <w:bCs/>
              </w:rPr>
            </w:pPr>
            <w:r w:rsidRPr="00AF1814">
              <w:rPr>
                <w:b/>
              </w:rPr>
              <w:t>Merck Registered Compound Name in Japan:</w:t>
            </w:r>
          </w:p>
        </w:tc>
        <w:tc>
          <w:tcPr>
            <w:tcW w:w="5103" w:type="dxa"/>
            <w:tcBorders>
              <w:top w:val="single" w:sz="4" w:space="0" w:color="auto"/>
              <w:left w:val="single" w:sz="4" w:space="0" w:color="auto"/>
              <w:bottom w:val="single" w:sz="4" w:space="0" w:color="auto"/>
              <w:right w:val="single" w:sz="4" w:space="0" w:color="auto"/>
            </w:tcBorders>
          </w:tcPr>
          <w:p w14:paraId="1DFC6C2E" w14:textId="77777777" w:rsidR="00A83836" w:rsidRPr="00AF1814" w:rsidRDefault="00DA3174" w:rsidP="00312E3D">
            <w:pPr>
              <w:pStyle w:val="CPTInstructional"/>
              <w:rPr>
                <w:rFonts w:eastAsia="Times New Roman" w:cs="Times New Roman"/>
                <w:bCs/>
                <w:vanish w:val="0"/>
                <w:color w:val="auto"/>
                <w:sz w:val="24"/>
              </w:rPr>
            </w:pPr>
            <w:r w:rsidRPr="00AF1814">
              <w:rPr>
                <w:rFonts w:eastAsia="Times New Roman" w:cs="Times New Roman"/>
                <w:bCs/>
                <w:vanish w:val="0"/>
                <w:color w:val="auto"/>
                <w:sz w:val="24"/>
              </w:rPr>
              <w:t>Not Applicable</w:t>
            </w:r>
          </w:p>
        </w:tc>
      </w:tr>
      <w:tr w:rsidR="002108B2" w:rsidRPr="00AF1814" w14:paraId="7A3148D4" w14:textId="77777777" w:rsidTr="00047D46">
        <w:trPr>
          <w:cantSplit/>
        </w:trPr>
        <w:tc>
          <w:tcPr>
            <w:tcW w:w="4253" w:type="dxa"/>
            <w:tcBorders>
              <w:top w:val="single" w:sz="4" w:space="0" w:color="auto"/>
              <w:left w:val="single" w:sz="4" w:space="0" w:color="auto"/>
              <w:bottom w:val="single" w:sz="4" w:space="0" w:color="auto"/>
              <w:right w:val="single" w:sz="4" w:space="0" w:color="auto"/>
            </w:tcBorders>
          </w:tcPr>
          <w:p w14:paraId="56EDED3E" w14:textId="77777777" w:rsidR="00E63775" w:rsidRPr="00AF1814" w:rsidRDefault="00DA3174" w:rsidP="00047D46">
            <w:pPr>
              <w:pStyle w:val="BodyText"/>
              <w:spacing w:before="120"/>
              <w:rPr>
                <w:b/>
                <w:bCs/>
              </w:rPr>
            </w:pPr>
            <w:bookmarkStart w:id="1" w:name="_Hlk3886263"/>
            <w:r w:rsidRPr="00AF1814">
              <w:rPr>
                <w:b/>
                <w:bCs/>
              </w:rPr>
              <w:t>Study Phase:</w:t>
            </w:r>
          </w:p>
        </w:tc>
        <w:tc>
          <w:tcPr>
            <w:tcW w:w="5103" w:type="dxa"/>
            <w:tcBorders>
              <w:top w:val="single" w:sz="4" w:space="0" w:color="auto"/>
              <w:left w:val="single" w:sz="4" w:space="0" w:color="auto"/>
              <w:bottom w:val="single" w:sz="4" w:space="0" w:color="auto"/>
              <w:right w:val="single" w:sz="4" w:space="0" w:color="auto"/>
            </w:tcBorders>
          </w:tcPr>
          <w:p w14:paraId="00B350D9" w14:textId="77777777" w:rsidR="00E63775" w:rsidRPr="00AF1814" w:rsidRDefault="00DA3174" w:rsidP="00312E3D">
            <w:pPr>
              <w:pStyle w:val="CPTInstructional"/>
              <w:rPr>
                <w:rFonts w:eastAsia="Times New Roman" w:cs="Times New Roman"/>
                <w:bCs/>
                <w:vanish w:val="0"/>
                <w:color w:val="auto"/>
                <w:sz w:val="24"/>
              </w:rPr>
            </w:pPr>
            <w:r w:rsidRPr="00AF1814">
              <w:rPr>
                <w:rFonts w:eastAsia="Times New Roman" w:cs="Times New Roman"/>
                <w:bCs/>
                <w:vanish w:val="0"/>
                <w:color w:val="auto"/>
                <w:sz w:val="24"/>
              </w:rPr>
              <w:t>Phase I</w:t>
            </w:r>
            <w:r w:rsidR="00F619AE" w:rsidRPr="00AF1814">
              <w:rPr>
                <w:rFonts w:eastAsia="Times New Roman" w:cs="Times New Roman"/>
                <w:bCs/>
                <w:vanish w:val="0"/>
                <w:color w:val="auto"/>
                <w:sz w:val="24"/>
              </w:rPr>
              <w:t>b</w:t>
            </w:r>
          </w:p>
        </w:tc>
      </w:tr>
      <w:bookmarkEnd w:id="1"/>
      <w:tr w:rsidR="002108B2" w:rsidRPr="00AF1814" w14:paraId="1F921A85" w14:textId="77777777" w:rsidTr="00545165">
        <w:trPr>
          <w:cantSplit/>
        </w:trPr>
        <w:tc>
          <w:tcPr>
            <w:tcW w:w="4253" w:type="dxa"/>
          </w:tcPr>
          <w:p w14:paraId="4FC3EF77" w14:textId="77777777" w:rsidR="00F64806" w:rsidRPr="00AF1814" w:rsidRDefault="00DA3174" w:rsidP="00F64806">
            <w:pPr>
              <w:pStyle w:val="BodyText"/>
              <w:spacing w:before="120"/>
              <w:rPr>
                <w:b/>
              </w:rPr>
            </w:pPr>
            <w:r w:rsidRPr="00AF1814">
              <w:rPr>
                <w:b/>
              </w:rPr>
              <w:t>Short Title:</w:t>
            </w:r>
          </w:p>
        </w:tc>
        <w:tc>
          <w:tcPr>
            <w:tcW w:w="5103" w:type="dxa"/>
          </w:tcPr>
          <w:p w14:paraId="2AC696C0" w14:textId="77777777" w:rsidR="00F64806" w:rsidRPr="00AF1814" w:rsidRDefault="00DA3174" w:rsidP="00F64806">
            <w:pPr>
              <w:pStyle w:val="BodyText"/>
              <w:spacing w:before="120"/>
            </w:pPr>
            <w:r w:rsidRPr="00AF1814">
              <w:t>Ph</w:t>
            </w:r>
            <w:r w:rsidR="0034548A" w:rsidRPr="00AF1814">
              <w:t xml:space="preserve">ase </w:t>
            </w:r>
            <w:r w:rsidRPr="00AF1814">
              <w:t>Ib Bintrafusp alfa Combination Therapy in Cervical Cancer</w:t>
            </w:r>
          </w:p>
        </w:tc>
      </w:tr>
      <w:tr w:rsidR="002108B2" w:rsidRPr="00AF1814" w14:paraId="0B61EF3D" w14:textId="77777777" w:rsidTr="00312E3D">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431020D4" w14:textId="77777777" w:rsidR="00E63775" w:rsidRPr="00AF1814" w:rsidRDefault="00DA3174" w:rsidP="00047D46">
            <w:pPr>
              <w:pStyle w:val="BodyText"/>
              <w:spacing w:before="120"/>
              <w:rPr>
                <w:b/>
              </w:rPr>
            </w:pPr>
            <w:r w:rsidRPr="00AF1814">
              <w:rPr>
                <w:rStyle w:val="CPTVariable"/>
                <w:b/>
                <w:color w:val="auto"/>
              </w:rPr>
              <w:t>Acronym or Abbreviation:</w:t>
            </w:r>
          </w:p>
        </w:tc>
        <w:tc>
          <w:tcPr>
            <w:tcW w:w="5103" w:type="dxa"/>
            <w:tcBorders>
              <w:top w:val="single" w:sz="4" w:space="0" w:color="auto"/>
              <w:left w:val="single" w:sz="4" w:space="0" w:color="auto"/>
              <w:bottom w:val="single" w:sz="4" w:space="0" w:color="auto"/>
              <w:right w:val="single" w:sz="4" w:space="0" w:color="auto"/>
            </w:tcBorders>
          </w:tcPr>
          <w:p w14:paraId="5CC84DEA" w14:textId="3070EFD2" w:rsidR="00E63775" w:rsidRPr="00AF1814" w:rsidRDefault="00DA3174" w:rsidP="00C508FA">
            <w:pPr>
              <w:pStyle w:val="BodyText"/>
              <w:spacing w:before="120"/>
              <w:jc w:val="left"/>
            </w:pPr>
            <w:r w:rsidRPr="00AF1814">
              <w:t>INTR@PID 046</w:t>
            </w:r>
          </w:p>
        </w:tc>
      </w:tr>
      <w:tr w:rsidR="002108B2" w:rsidRPr="00AF1814" w14:paraId="3D84FAC1" w14:textId="77777777" w:rsidTr="00312E3D">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4723B9D9" w14:textId="77777777" w:rsidR="00A83836" w:rsidRPr="00AF1814" w:rsidRDefault="00DA3174" w:rsidP="00047D46">
            <w:pPr>
              <w:pStyle w:val="BodyText"/>
              <w:spacing w:before="120"/>
              <w:rPr>
                <w:rStyle w:val="CPTVariable"/>
                <w:b/>
                <w:color w:val="auto"/>
              </w:rPr>
            </w:pPr>
            <w:r w:rsidRPr="00AF1814">
              <w:rPr>
                <w:rStyle w:val="CPTVariable"/>
                <w:b/>
                <w:color w:val="auto"/>
              </w:rPr>
              <w:t>Coordinating Investigator:</w:t>
            </w:r>
          </w:p>
        </w:tc>
        <w:tc>
          <w:tcPr>
            <w:tcW w:w="5103" w:type="dxa"/>
            <w:tcBorders>
              <w:top w:val="single" w:sz="4" w:space="0" w:color="auto"/>
              <w:left w:val="single" w:sz="4" w:space="0" w:color="auto"/>
              <w:bottom w:val="single" w:sz="4" w:space="0" w:color="auto"/>
              <w:right w:val="single" w:sz="4" w:space="0" w:color="auto"/>
            </w:tcBorders>
          </w:tcPr>
          <w:p w14:paraId="40C6B634" w14:textId="3A2155A5" w:rsidR="0099084E" w:rsidRPr="007C4FA4" w:rsidRDefault="007847D4" w:rsidP="007C4FA4">
            <w:pPr>
              <w:pStyle w:val="BodyText"/>
              <w:spacing w:before="0"/>
              <w:jc w:val="left"/>
              <w:rPr>
                <w:szCs w:val="24"/>
              </w:rPr>
            </w:pPr>
            <w:r w:rsidRPr="007847D4">
              <w:rPr>
                <w:szCs w:val="24"/>
              </w:rPr>
              <w:t>Ana Oaknin, MD, PhD</w:t>
            </w:r>
          </w:p>
          <w:p w14:paraId="353F451B" w14:textId="77777777" w:rsidR="00C81518" w:rsidRDefault="00FC1527" w:rsidP="007847D4">
            <w:pPr>
              <w:pStyle w:val="BodyText"/>
              <w:spacing w:before="0"/>
              <w:jc w:val="left"/>
              <w:rPr>
                <w:szCs w:val="24"/>
              </w:rPr>
            </w:pPr>
            <w:r w:rsidRPr="00FC1527">
              <w:rPr>
                <w:szCs w:val="24"/>
              </w:rPr>
              <w:t>Vall d´Hebron University Hospital</w:t>
            </w:r>
          </w:p>
          <w:p w14:paraId="5DDBE0AA" w14:textId="2A6D31EF" w:rsidR="0099084E" w:rsidRDefault="00C81518" w:rsidP="007847D4">
            <w:pPr>
              <w:pStyle w:val="BodyText"/>
              <w:spacing w:before="0"/>
              <w:jc w:val="left"/>
              <w:rPr>
                <w:szCs w:val="24"/>
              </w:rPr>
            </w:pPr>
            <w:r w:rsidRPr="00810E85">
              <w:t>Vall d’Hebron Institute of Oncology</w:t>
            </w:r>
            <w:r w:rsidR="007C4FA4">
              <w:t xml:space="preserve"> </w:t>
            </w:r>
            <w:r w:rsidRPr="00810E85">
              <w:t>(VHIO)</w:t>
            </w:r>
          </w:p>
          <w:p w14:paraId="7D0B81F1" w14:textId="51EEA001" w:rsidR="007E46CB" w:rsidRPr="005C72C6" w:rsidRDefault="007847D4" w:rsidP="00342542">
            <w:pPr>
              <w:pStyle w:val="BodyText"/>
              <w:spacing w:before="0"/>
              <w:jc w:val="left"/>
              <w:rPr>
                <w:szCs w:val="24"/>
              </w:rPr>
            </w:pPr>
            <w:r>
              <w:rPr>
                <w:szCs w:val="24"/>
              </w:rPr>
              <w:t>Barcelona, Spain</w:t>
            </w:r>
          </w:p>
        </w:tc>
      </w:tr>
      <w:tr w:rsidR="002108B2" w:rsidRPr="00AF1814" w14:paraId="02A88705" w14:textId="77777777" w:rsidTr="00312E3D">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31948FDC" w14:textId="77777777" w:rsidR="00A83836" w:rsidRPr="00AF1814" w:rsidRDefault="00DA3174" w:rsidP="003E07A8">
            <w:pPr>
              <w:pStyle w:val="BodyText"/>
              <w:widowControl w:val="0"/>
              <w:spacing w:before="120"/>
              <w:rPr>
                <w:rStyle w:val="CPTVariable"/>
                <w:b/>
                <w:color w:val="auto"/>
              </w:rPr>
            </w:pPr>
            <w:r w:rsidRPr="00AF1814">
              <w:rPr>
                <w:b/>
              </w:rPr>
              <w:lastRenderedPageBreak/>
              <w:t>Sponsor Name and Legal Registered Address:</w:t>
            </w:r>
          </w:p>
        </w:tc>
        <w:tc>
          <w:tcPr>
            <w:tcW w:w="5103" w:type="dxa"/>
            <w:tcBorders>
              <w:top w:val="single" w:sz="4" w:space="0" w:color="auto"/>
              <w:left w:val="single" w:sz="4" w:space="0" w:color="auto"/>
              <w:bottom w:val="single" w:sz="4" w:space="0" w:color="auto"/>
              <w:right w:val="single" w:sz="4" w:space="0" w:color="auto"/>
            </w:tcBorders>
          </w:tcPr>
          <w:p w14:paraId="2B5FCB48" w14:textId="77777777" w:rsidR="00B707CA" w:rsidRPr="00AF1814" w:rsidRDefault="00DA3174" w:rsidP="003E07A8">
            <w:pPr>
              <w:pStyle w:val="BodyText"/>
              <w:widowControl w:val="0"/>
              <w:spacing w:before="0"/>
            </w:pPr>
            <w:r w:rsidRPr="00AF1814">
              <w:t>Sponsor:</w:t>
            </w:r>
          </w:p>
          <w:p w14:paraId="15065343" w14:textId="77777777" w:rsidR="00B707CA" w:rsidRPr="00AF1814" w:rsidRDefault="00DA3174" w:rsidP="003E07A8">
            <w:pPr>
              <w:pStyle w:val="BodyText"/>
              <w:widowControl w:val="0"/>
              <w:spacing w:before="0"/>
            </w:pPr>
            <w:r w:rsidRPr="00AF1814">
              <w:t>Affiliates of Merck KGaA, Darmstadt, Germany</w:t>
            </w:r>
          </w:p>
          <w:p w14:paraId="2EB4FD78" w14:textId="77777777" w:rsidR="00A83836" w:rsidRPr="00AF1814" w:rsidRDefault="00DA3174" w:rsidP="003E07A8">
            <w:pPr>
              <w:pStyle w:val="BodyText"/>
              <w:widowControl w:val="0"/>
              <w:spacing w:before="120"/>
              <w:jc w:val="left"/>
              <w:rPr>
                <w:szCs w:val="24"/>
              </w:rPr>
            </w:pPr>
            <w:r w:rsidRPr="00AF1814">
              <w:rPr>
                <w:szCs w:val="24"/>
              </w:rPr>
              <w:t>For all countries, except the US</w:t>
            </w:r>
            <w:r w:rsidR="00343EC4" w:rsidRPr="00AF1814">
              <w:rPr>
                <w:szCs w:val="24"/>
              </w:rPr>
              <w:t>,</w:t>
            </w:r>
            <w:r w:rsidRPr="00AF1814">
              <w:rPr>
                <w:szCs w:val="24"/>
              </w:rPr>
              <w:t xml:space="preserve"> Canada</w:t>
            </w:r>
            <w:r w:rsidR="00343EC4" w:rsidRPr="00AF1814">
              <w:rPr>
                <w:szCs w:val="24"/>
              </w:rPr>
              <w:t>, and Japan</w:t>
            </w:r>
            <w:r w:rsidRPr="00AF1814">
              <w:rPr>
                <w:szCs w:val="24"/>
              </w:rPr>
              <w:t>:</w:t>
            </w:r>
          </w:p>
          <w:p w14:paraId="706CAD0C" w14:textId="77777777" w:rsidR="00A83836" w:rsidRPr="00AF1814" w:rsidRDefault="00DA3174" w:rsidP="003E07A8">
            <w:pPr>
              <w:pStyle w:val="BodyText"/>
              <w:widowControl w:val="0"/>
              <w:spacing w:before="0"/>
              <w:jc w:val="left"/>
              <w:rPr>
                <w:szCs w:val="24"/>
              </w:rPr>
            </w:pPr>
            <w:bookmarkStart w:id="2" w:name="_Hlk22650412"/>
            <w:r w:rsidRPr="00AF1814">
              <w:rPr>
                <w:szCs w:val="24"/>
              </w:rPr>
              <w:t xml:space="preserve">Merck Healthcare KGaA, Darmstadt, Germany </w:t>
            </w:r>
          </w:p>
          <w:bookmarkEnd w:id="2"/>
          <w:p w14:paraId="14379801" w14:textId="77777777" w:rsidR="00A83836" w:rsidRPr="00AF1814" w:rsidRDefault="00DA3174" w:rsidP="003E07A8">
            <w:pPr>
              <w:pStyle w:val="BodyText"/>
              <w:widowControl w:val="0"/>
              <w:spacing w:before="0"/>
              <w:jc w:val="left"/>
              <w:rPr>
                <w:rFonts w:ascii="Calibri" w:hAnsi="Calibri"/>
                <w:sz w:val="22"/>
                <w:szCs w:val="22"/>
              </w:rPr>
            </w:pPr>
            <w:r w:rsidRPr="00AF1814">
              <w:rPr>
                <w:szCs w:val="24"/>
              </w:rPr>
              <w:t>an affiliate of Merck KGaA, Darmstadt, Germany</w:t>
            </w:r>
          </w:p>
          <w:p w14:paraId="33CF0E8B" w14:textId="77777777" w:rsidR="00A83836" w:rsidRPr="00AF1814" w:rsidRDefault="00DA3174" w:rsidP="003E07A8">
            <w:pPr>
              <w:pStyle w:val="BodyText"/>
              <w:widowControl w:val="0"/>
              <w:spacing w:before="0"/>
              <w:jc w:val="left"/>
              <w:rPr>
                <w:szCs w:val="24"/>
              </w:rPr>
            </w:pPr>
            <w:r w:rsidRPr="00AF1814">
              <w:rPr>
                <w:szCs w:val="24"/>
              </w:rPr>
              <w:t>Frankfurter Str. 250</w:t>
            </w:r>
          </w:p>
          <w:p w14:paraId="296DBC78" w14:textId="77777777" w:rsidR="00A83836" w:rsidRPr="00AF1814" w:rsidRDefault="00DA3174" w:rsidP="003E07A8">
            <w:pPr>
              <w:pStyle w:val="BodyText"/>
              <w:widowControl w:val="0"/>
              <w:spacing w:before="0"/>
              <w:jc w:val="left"/>
              <w:rPr>
                <w:szCs w:val="24"/>
              </w:rPr>
            </w:pPr>
            <w:r w:rsidRPr="00AF1814">
              <w:rPr>
                <w:szCs w:val="24"/>
              </w:rPr>
              <w:t>Darmstadt, Germany</w:t>
            </w:r>
          </w:p>
          <w:p w14:paraId="71E4167E" w14:textId="77777777" w:rsidR="00A83836" w:rsidRPr="00AF1814" w:rsidRDefault="00DA3174" w:rsidP="003E07A8">
            <w:pPr>
              <w:pStyle w:val="BodyText"/>
              <w:widowControl w:val="0"/>
              <w:spacing w:before="120"/>
              <w:jc w:val="left"/>
              <w:rPr>
                <w:szCs w:val="24"/>
              </w:rPr>
            </w:pPr>
            <w:r w:rsidRPr="00AF1814">
              <w:rPr>
                <w:szCs w:val="24"/>
              </w:rPr>
              <w:t>In the US and Canada:</w:t>
            </w:r>
          </w:p>
          <w:p w14:paraId="563FC3E0" w14:textId="77777777" w:rsidR="00A83836" w:rsidRPr="00AF1814" w:rsidRDefault="00DA3174" w:rsidP="003E07A8">
            <w:pPr>
              <w:pStyle w:val="BodyText"/>
              <w:widowControl w:val="0"/>
              <w:spacing w:before="0"/>
              <w:jc w:val="left"/>
              <w:rPr>
                <w:szCs w:val="24"/>
              </w:rPr>
            </w:pPr>
            <w:bookmarkStart w:id="3" w:name="_Hlk22650387"/>
            <w:r w:rsidRPr="00AF1814">
              <w:rPr>
                <w:szCs w:val="24"/>
              </w:rPr>
              <w:t>EMD Serono Research &amp; Development Institute, Inc.</w:t>
            </w:r>
          </w:p>
          <w:p w14:paraId="674A5BFD" w14:textId="77777777" w:rsidR="00A83836" w:rsidRPr="00AF1814" w:rsidRDefault="00DA3174" w:rsidP="003E07A8">
            <w:pPr>
              <w:pStyle w:val="BodyText"/>
              <w:widowControl w:val="0"/>
              <w:spacing w:before="0"/>
              <w:jc w:val="left"/>
              <w:rPr>
                <w:szCs w:val="24"/>
              </w:rPr>
            </w:pPr>
            <w:bookmarkStart w:id="4" w:name="_Hlk22650327"/>
            <w:bookmarkEnd w:id="3"/>
            <w:r w:rsidRPr="00AF1814">
              <w:rPr>
                <w:szCs w:val="24"/>
              </w:rPr>
              <w:t>an affiliate of Merck KGaA, Darmstadt, Germany</w:t>
            </w:r>
          </w:p>
          <w:bookmarkEnd w:id="4"/>
          <w:p w14:paraId="2AB7DD2A" w14:textId="77777777" w:rsidR="00A83836" w:rsidRPr="00AF1814" w:rsidRDefault="00DA3174" w:rsidP="003E07A8">
            <w:pPr>
              <w:pStyle w:val="BodyText"/>
              <w:widowControl w:val="0"/>
              <w:spacing w:before="0"/>
              <w:jc w:val="left"/>
              <w:rPr>
                <w:szCs w:val="24"/>
              </w:rPr>
            </w:pPr>
            <w:r w:rsidRPr="00AF1814">
              <w:rPr>
                <w:szCs w:val="24"/>
              </w:rPr>
              <w:t>45A Middlesex Turnpike</w:t>
            </w:r>
          </w:p>
          <w:p w14:paraId="6AAC6F71" w14:textId="77777777" w:rsidR="00A83836" w:rsidRPr="00AF1814" w:rsidRDefault="00DA3174" w:rsidP="003E07A8">
            <w:pPr>
              <w:pStyle w:val="BodyText"/>
              <w:widowControl w:val="0"/>
              <w:spacing w:before="0"/>
              <w:jc w:val="left"/>
              <w:rPr>
                <w:szCs w:val="24"/>
              </w:rPr>
            </w:pPr>
            <w:r w:rsidRPr="00AF1814">
              <w:rPr>
                <w:szCs w:val="24"/>
              </w:rPr>
              <w:t>Billerica, MA, 01821, USA</w:t>
            </w:r>
            <w:bookmarkStart w:id="5" w:name="_Hlk22649828"/>
          </w:p>
          <w:p w14:paraId="743C446C" w14:textId="77777777" w:rsidR="003C32D6" w:rsidRPr="00AF1814" w:rsidRDefault="00DA3174" w:rsidP="003E07A8">
            <w:pPr>
              <w:pStyle w:val="BodyText"/>
              <w:widowControl w:val="0"/>
              <w:spacing w:before="120"/>
              <w:jc w:val="left"/>
              <w:rPr>
                <w:szCs w:val="24"/>
              </w:rPr>
            </w:pPr>
            <w:r w:rsidRPr="00AF1814">
              <w:rPr>
                <w:szCs w:val="24"/>
              </w:rPr>
              <w:t>Local Sponsor for Sites in Japan:</w:t>
            </w:r>
          </w:p>
          <w:p w14:paraId="4719E589" w14:textId="77777777" w:rsidR="00A83836" w:rsidRPr="00AF1814" w:rsidRDefault="00DA3174" w:rsidP="003E07A8">
            <w:pPr>
              <w:pStyle w:val="BodyText"/>
              <w:widowControl w:val="0"/>
              <w:spacing w:before="0"/>
            </w:pPr>
            <w:r w:rsidRPr="00AF1814">
              <w:t>Merck Biopharma Co., Ltd. Japan</w:t>
            </w:r>
          </w:p>
          <w:p w14:paraId="47878DD0" w14:textId="77777777" w:rsidR="00A83836" w:rsidRPr="00AF1814" w:rsidRDefault="00DA3174" w:rsidP="003E07A8">
            <w:pPr>
              <w:pStyle w:val="BodyText"/>
              <w:widowControl w:val="0"/>
              <w:spacing w:before="0"/>
            </w:pPr>
            <w:r w:rsidRPr="00AF1814">
              <w:t>an affiliate of Merck KGaA, Darmstadt, Germany</w:t>
            </w:r>
          </w:p>
          <w:p w14:paraId="3658449F" w14:textId="77777777" w:rsidR="00A83836" w:rsidRPr="00AF1814" w:rsidRDefault="00DA3174" w:rsidP="003E07A8">
            <w:pPr>
              <w:pStyle w:val="BodyText"/>
              <w:widowControl w:val="0"/>
              <w:spacing w:before="0"/>
              <w:rPr>
                <w:lang w:val="pt-BR"/>
              </w:rPr>
            </w:pPr>
            <w:r w:rsidRPr="00AF1814">
              <w:rPr>
                <w:lang w:val="pt-BR"/>
              </w:rPr>
              <w:t>Arco Tower, 1-8-1 Shimomeguro</w:t>
            </w:r>
          </w:p>
          <w:p w14:paraId="734D5C5A" w14:textId="77777777" w:rsidR="00A83836" w:rsidRPr="00AF1814" w:rsidRDefault="00DA3174" w:rsidP="00DB4ED5">
            <w:pPr>
              <w:pStyle w:val="BodyText"/>
              <w:widowControl w:val="0"/>
              <w:spacing w:before="0"/>
              <w:rPr>
                <w:szCs w:val="24"/>
                <w:lang w:val="pt-BR"/>
              </w:rPr>
            </w:pPr>
            <w:r w:rsidRPr="00AF1814">
              <w:rPr>
                <w:lang w:val="pt-BR"/>
              </w:rPr>
              <w:t>Meguro-ku, Tokyo 153-8926, Japan</w:t>
            </w:r>
            <w:bookmarkEnd w:id="5"/>
          </w:p>
          <w:p w14:paraId="79DCEBAB" w14:textId="77777777" w:rsidR="00A83836" w:rsidRPr="00AF1814" w:rsidRDefault="00DA3174" w:rsidP="003E07A8">
            <w:pPr>
              <w:pStyle w:val="BodyText"/>
              <w:widowControl w:val="0"/>
              <w:spacing w:before="120"/>
              <w:jc w:val="left"/>
              <w:rPr>
                <w:szCs w:val="24"/>
              </w:rPr>
            </w:pPr>
            <w:r w:rsidRPr="00AF1814">
              <w:rPr>
                <w:b/>
                <w:szCs w:val="24"/>
              </w:rPr>
              <w:t>Medical Responsible:</w:t>
            </w:r>
          </w:p>
          <w:p w14:paraId="2B49EC71" w14:textId="77777777" w:rsidR="00A83836" w:rsidRPr="00AF1814" w:rsidRDefault="00DA3174" w:rsidP="003E07A8">
            <w:pPr>
              <w:pStyle w:val="BodyText"/>
              <w:widowControl w:val="0"/>
              <w:spacing w:before="120"/>
              <w:jc w:val="left"/>
              <w:rPr>
                <w:szCs w:val="24"/>
              </w:rPr>
            </w:pPr>
            <w:r w:rsidRPr="00AF1814">
              <w:rPr>
                <w:szCs w:val="24"/>
              </w:rPr>
              <w:t>Name:</w:t>
            </w:r>
            <w:r w:rsidR="00B45780" w:rsidRPr="00AF1814">
              <w:rPr>
                <w:szCs w:val="24"/>
              </w:rPr>
              <w:t xml:space="preserve"> Laureen Ojalvo, MD, PhD</w:t>
            </w:r>
          </w:p>
          <w:p w14:paraId="4E00857D" w14:textId="77777777" w:rsidR="00A83836" w:rsidRPr="00AF1814" w:rsidRDefault="00DA3174" w:rsidP="003E07A8">
            <w:pPr>
              <w:pStyle w:val="BodyText"/>
              <w:widowControl w:val="0"/>
              <w:spacing w:before="120"/>
              <w:jc w:val="left"/>
              <w:rPr>
                <w:szCs w:val="24"/>
              </w:rPr>
            </w:pPr>
            <w:r w:rsidRPr="00AF1814">
              <w:rPr>
                <w:szCs w:val="24"/>
              </w:rPr>
              <w:t>General Merck Phone Number:</w:t>
            </w:r>
            <w:r w:rsidR="00B45780" w:rsidRPr="00AF1814">
              <w:rPr>
                <w:szCs w:val="24"/>
              </w:rPr>
              <w:t xml:space="preserve"> +1 978 821 6144</w:t>
            </w:r>
          </w:p>
          <w:p w14:paraId="050DEF78" w14:textId="77777777" w:rsidR="00A83836" w:rsidRPr="00AF1814" w:rsidRDefault="00DA3174" w:rsidP="003E07A8">
            <w:pPr>
              <w:pStyle w:val="BodyText"/>
              <w:widowControl w:val="0"/>
              <w:spacing w:before="120"/>
              <w:jc w:val="left"/>
            </w:pPr>
            <w:r w:rsidRPr="00AF1814">
              <w:rPr>
                <w:szCs w:val="24"/>
              </w:rPr>
              <w:t xml:space="preserve">General Merck Fax Number: </w:t>
            </w:r>
            <w:r w:rsidR="00B45780" w:rsidRPr="00AF1814">
              <w:rPr>
                <w:szCs w:val="24"/>
              </w:rPr>
              <w:t>+1 978 294 1200</w:t>
            </w:r>
          </w:p>
        </w:tc>
      </w:tr>
      <w:tr w:rsidR="002108B2" w:rsidRPr="00AF1814" w14:paraId="4C65BC0B" w14:textId="77777777" w:rsidTr="00312E3D">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165075AE" w14:textId="77777777" w:rsidR="00B45780" w:rsidRPr="00AF1814" w:rsidRDefault="00DA3174" w:rsidP="00A83836">
            <w:pPr>
              <w:pStyle w:val="BodyText"/>
              <w:spacing w:before="120"/>
              <w:rPr>
                <w:b/>
              </w:rPr>
            </w:pPr>
            <w:r w:rsidRPr="00AF1814">
              <w:rPr>
                <w:b/>
              </w:rPr>
              <w:t>Regulatory Agency Identifying Numbers:</w:t>
            </w:r>
          </w:p>
        </w:tc>
        <w:tc>
          <w:tcPr>
            <w:tcW w:w="5103" w:type="dxa"/>
            <w:tcBorders>
              <w:top w:val="single" w:sz="4" w:space="0" w:color="auto"/>
              <w:left w:val="single" w:sz="4" w:space="0" w:color="auto"/>
              <w:bottom w:val="single" w:sz="4" w:space="0" w:color="auto"/>
              <w:right w:val="single" w:sz="4" w:space="0" w:color="auto"/>
            </w:tcBorders>
          </w:tcPr>
          <w:p w14:paraId="27BF43CB" w14:textId="77777777" w:rsidR="00B45780" w:rsidRPr="00AF1814" w:rsidRDefault="00DA3174" w:rsidP="00B45780">
            <w:pPr>
              <w:pStyle w:val="BodyText"/>
              <w:spacing w:before="0"/>
            </w:pPr>
            <w:r w:rsidRPr="00AF1814">
              <w:t xml:space="preserve">IND: </w:t>
            </w:r>
            <w:r w:rsidR="00546DF7" w:rsidRPr="00AF1814">
              <w:t>145485</w:t>
            </w:r>
          </w:p>
          <w:p w14:paraId="6F989A56" w14:textId="77777777" w:rsidR="00B45780" w:rsidRPr="00AF1814" w:rsidRDefault="00DA3174" w:rsidP="00B45780">
            <w:pPr>
              <w:pStyle w:val="BodyText"/>
              <w:spacing w:before="0"/>
            </w:pPr>
            <w:bookmarkStart w:id="6" w:name="_Hlk33096943"/>
            <w:r w:rsidRPr="00AF1814">
              <w:t>EudraCT:</w:t>
            </w:r>
            <w:bookmarkEnd w:id="6"/>
            <w:r w:rsidR="00525278" w:rsidRPr="00AF1814">
              <w:t xml:space="preserve"> </w:t>
            </w:r>
            <w:r w:rsidR="00C7581F" w:rsidRPr="00AF1814">
              <w:t>2020-001561-36</w:t>
            </w:r>
          </w:p>
        </w:tc>
      </w:tr>
      <w:tr w:rsidR="002108B2" w:rsidRPr="00AF1814" w14:paraId="49D3423D" w14:textId="77777777" w:rsidTr="00312E3D">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75EBD3ED" w14:textId="77777777" w:rsidR="00B45780" w:rsidRPr="00AF1814" w:rsidRDefault="00DA3174" w:rsidP="00A83836">
            <w:pPr>
              <w:pStyle w:val="BodyText"/>
              <w:spacing w:before="120"/>
              <w:rPr>
                <w:b/>
              </w:rPr>
            </w:pPr>
            <w:r w:rsidRPr="00AF1814">
              <w:rPr>
                <w:b/>
              </w:rPr>
              <w:t>Protocol Version:</w:t>
            </w:r>
          </w:p>
        </w:tc>
        <w:tc>
          <w:tcPr>
            <w:tcW w:w="5103" w:type="dxa"/>
            <w:tcBorders>
              <w:top w:val="single" w:sz="4" w:space="0" w:color="auto"/>
              <w:left w:val="single" w:sz="4" w:space="0" w:color="auto"/>
              <w:bottom w:val="single" w:sz="4" w:space="0" w:color="auto"/>
              <w:right w:val="single" w:sz="4" w:space="0" w:color="auto"/>
            </w:tcBorders>
          </w:tcPr>
          <w:p w14:paraId="732E1472" w14:textId="470C72D8" w:rsidR="00B45780" w:rsidRPr="00AF1814" w:rsidRDefault="001D0059" w:rsidP="00B45780">
            <w:pPr>
              <w:pStyle w:val="BodyText"/>
              <w:spacing w:before="120"/>
            </w:pPr>
            <w:r>
              <w:rPr>
                <w:rFonts w:eastAsia="SimSun"/>
              </w:rPr>
              <w:t>02</w:t>
            </w:r>
            <w:r w:rsidR="004E5748">
              <w:rPr>
                <w:rFonts w:eastAsia="SimSun"/>
              </w:rPr>
              <w:t xml:space="preserve"> Ju</w:t>
            </w:r>
            <w:r w:rsidR="00496131">
              <w:rPr>
                <w:rFonts w:eastAsia="SimSun"/>
              </w:rPr>
              <w:t>ly</w:t>
            </w:r>
            <w:r w:rsidR="009977EF" w:rsidRPr="00AF1814">
              <w:rPr>
                <w:rFonts w:eastAsia="SimSun"/>
              </w:rPr>
              <w:t xml:space="preserve"> 2020</w:t>
            </w:r>
            <w:r w:rsidR="00C1122B" w:rsidRPr="00AF1814">
              <w:rPr>
                <w:rFonts w:eastAsia="SimSun"/>
              </w:rPr>
              <w:t xml:space="preserve">/Version </w:t>
            </w:r>
            <w:r w:rsidR="009977EF" w:rsidRPr="00AF1814">
              <w:rPr>
                <w:rFonts w:eastAsia="SimSun"/>
              </w:rPr>
              <w:t xml:space="preserve">1.0 </w:t>
            </w:r>
          </w:p>
        </w:tc>
      </w:tr>
      <w:tr w:rsidR="002108B2" w:rsidRPr="00AF1814" w14:paraId="13D01651" w14:textId="77777777" w:rsidTr="00312E3D">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48A0FC7F" w14:textId="77777777" w:rsidR="00B45780" w:rsidRPr="00AF1814" w:rsidRDefault="00DA3174" w:rsidP="00B45780">
            <w:pPr>
              <w:pStyle w:val="BodyText"/>
              <w:spacing w:before="120"/>
              <w:rPr>
                <w:b/>
              </w:rPr>
            </w:pPr>
            <w:r w:rsidRPr="00AF1814">
              <w:rPr>
                <w:b/>
              </w:rPr>
              <w:t>Replaces Version:</w:t>
            </w:r>
          </w:p>
        </w:tc>
        <w:tc>
          <w:tcPr>
            <w:tcW w:w="5103" w:type="dxa"/>
            <w:tcBorders>
              <w:top w:val="single" w:sz="4" w:space="0" w:color="auto"/>
              <w:left w:val="single" w:sz="4" w:space="0" w:color="auto"/>
              <w:bottom w:val="single" w:sz="4" w:space="0" w:color="auto"/>
              <w:right w:val="single" w:sz="4" w:space="0" w:color="auto"/>
            </w:tcBorders>
          </w:tcPr>
          <w:p w14:paraId="630361E9" w14:textId="77777777" w:rsidR="00B45780" w:rsidRPr="007B38F5" w:rsidRDefault="00DA3174" w:rsidP="00B45780">
            <w:pPr>
              <w:pStyle w:val="BodyText"/>
              <w:spacing w:before="120"/>
              <w:rPr>
                <w:rFonts w:eastAsia="SimSun"/>
              </w:rPr>
            </w:pPr>
            <w:r w:rsidRPr="007B38F5">
              <w:t>Not applicable</w:t>
            </w:r>
          </w:p>
        </w:tc>
      </w:tr>
      <w:tr w:rsidR="002108B2" w:rsidRPr="00AF1814" w14:paraId="58793B64" w14:textId="77777777" w:rsidTr="00312E3D">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30F4DFC4" w14:textId="77777777" w:rsidR="00B45780" w:rsidRPr="00AF1814" w:rsidRDefault="00DA3174" w:rsidP="00B45780">
            <w:pPr>
              <w:pStyle w:val="BodyText"/>
              <w:spacing w:before="120"/>
              <w:rPr>
                <w:b/>
              </w:rPr>
            </w:pPr>
            <w:r w:rsidRPr="00AF1814">
              <w:rPr>
                <w:b/>
              </w:rPr>
              <w:t>Approval Date:</w:t>
            </w:r>
          </w:p>
        </w:tc>
        <w:tc>
          <w:tcPr>
            <w:tcW w:w="5103" w:type="dxa"/>
            <w:tcBorders>
              <w:top w:val="single" w:sz="4" w:space="0" w:color="auto"/>
              <w:left w:val="single" w:sz="4" w:space="0" w:color="auto"/>
              <w:bottom w:val="single" w:sz="4" w:space="0" w:color="auto"/>
              <w:right w:val="single" w:sz="4" w:space="0" w:color="auto"/>
            </w:tcBorders>
          </w:tcPr>
          <w:p w14:paraId="3D3940D7" w14:textId="628C4B45" w:rsidR="00B45780" w:rsidRPr="007B38F5" w:rsidRDefault="001D0059" w:rsidP="00B45780">
            <w:pPr>
              <w:pStyle w:val="BodyText"/>
              <w:spacing w:before="120"/>
            </w:pPr>
            <w:r w:rsidRPr="007B38F5">
              <w:rPr>
                <w:rFonts w:eastAsia="SimSun"/>
              </w:rPr>
              <w:t>02</w:t>
            </w:r>
            <w:r w:rsidR="004E5748" w:rsidRPr="007B38F5">
              <w:rPr>
                <w:rFonts w:eastAsia="SimSun"/>
              </w:rPr>
              <w:t xml:space="preserve"> Ju</w:t>
            </w:r>
            <w:r w:rsidR="00496131" w:rsidRPr="007B38F5">
              <w:rPr>
                <w:rFonts w:eastAsia="SimSun"/>
              </w:rPr>
              <w:t>ly</w:t>
            </w:r>
            <w:r w:rsidR="00DB3458" w:rsidRPr="007B38F5">
              <w:t xml:space="preserve"> 2020</w:t>
            </w:r>
          </w:p>
        </w:tc>
      </w:tr>
      <w:tr w:rsidR="002108B2" w:rsidRPr="004A4C32" w14:paraId="05BF4268" w14:textId="77777777" w:rsidTr="00312E3D">
        <w:trPr>
          <w:cantSplit/>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3DE84983" w14:textId="77777777" w:rsidR="00B45780" w:rsidRPr="00AF1814" w:rsidRDefault="00DA3174" w:rsidP="00B45780">
            <w:pPr>
              <w:pStyle w:val="BodyText"/>
              <w:spacing w:before="120"/>
              <w:rPr>
                <w:b/>
              </w:rPr>
            </w:pPr>
            <w:r w:rsidRPr="00AF1814">
              <w:rPr>
                <w:b/>
              </w:rPr>
              <w:t>Medical Monitor Name and Contact Information:</w:t>
            </w:r>
          </w:p>
        </w:tc>
        <w:tc>
          <w:tcPr>
            <w:tcW w:w="5103" w:type="dxa"/>
            <w:tcBorders>
              <w:top w:val="single" w:sz="4" w:space="0" w:color="auto"/>
              <w:left w:val="single" w:sz="4" w:space="0" w:color="auto"/>
              <w:bottom w:val="single" w:sz="4" w:space="0" w:color="auto"/>
              <w:right w:val="single" w:sz="4" w:space="0" w:color="auto"/>
            </w:tcBorders>
          </w:tcPr>
          <w:p w14:paraId="13590CCC" w14:textId="13E2EB4E" w:rsidR="00B45780" w:rsidRPr="007B38F5" w:rsidRDefault="004E5748" w:rsidP="00DB4ED5">
            <w:pPr>
              <w:pStyle w:val="BodyText"/>
              <w:spacing w:before="0"/>
              <w:rPr>
                <w:lang w:val="pt-BR"/>
              </w:rPr>
            </w:pPr>
            <w:r w:rsidRPr="007B38F5">
              <w:rPr>
                <w:lang w:val="pt-BR"/>
              </w:rPr>
              <w:t>Natalia Jacob</w:t>
            </w:r>
            <w:r w:rsidR="00DA3174" w:rsidRPr="007B38F5">
              <w:rPr>
                <w:lang w:val="pt-BR"/>
              </w:rPr>
              <w:t>, MD</w:t>
            </w:r>
          </w:p>
          <w:p w14:paraId="5A4C984B" w14:textId="77777777" w:rsidR="00DB4ED5" w:rsidRPr="007B38F5" w:rsidRDefault="00DA3174" w:rsidP="00DB4ED5">
            <w:pPr>
              <w:pStyle w:val="BodyText"/>
              <w:spacing w:before="0"/>
              <w:rPr>
                <w:lang w:val="pt-BR"/>
              </w:rPr>
            </w:pPr>
            <w:r w:rsidRPr="007B38F5">
              <w:rPr>
                <w:lang w:val="pt-BR"/>
              </w:rPr>
              <w:t>Ingeniero Butty 275 P. 10°</w:t>
            </w:r>
          </w:p>
          <w:p w14:paraId="477B5933" w14:textId="77777777" w:rsidR="00DB4ED5" w:rsidRPr="007B38F5" w:rsidRDefault="00DA3174" w:rsidP="00DB4ED5">
            <w:pPr>
              <w:pStyle w:val="BodyText"/>
              <w:spacing w:before="0"/>
              <w:rPr>
                <w:lang w:val="pt-BR"/>
              </w:rPr>
            </w:pPr>
            <w:r w:rsidRPr="007B38F5">
              <w:rPr>
                <w:lang w:val="pt-BR"/>
              </w:rPr>
              <w:t>C1001AFA - Buenos Aires - A</w:t>
            </w:r>
            <w:r w:rsidR="005D53BD" w:rsidRPr="007B38F5">
              <w:rPr>
                <w:lang w:val="pt-BR"/>
              </w:rPr>
              <w:t>rgentina</w:t>
            </w:r>
          </w:p>
          <w:p w14:paraId="6219DF34" w14:textId="54EAFC0A" w:rsidR="00DB4ED5" w:rsidRPr="007B38F5" w:rsidRDefault="00DA3174" w:rsidP="00DB4ED5">
            <w:pPr>
              <w:pStyle w:val="BodyText"/>
              <w:spacing w:before="0"/>
              <w:rPr>
                <w:lang w:val="pt-BR"/>
              </w:rPr>
            </w:pPr>
            <w:r w:rsidRPr="007B38F5">
              <w:rPr>
                <w:lang w:val="pt-BR"/>
              </w:rPr>
              <w:t xml:space="preserve">Phone: + 54 911 </w:t>
            </w:r>
            <w:r w:rsidR="004E5748" w:rsidRPr="007B38F5">
              <w:rPr>
                <w:lang w:val="pt-BR"/>
              </w:rPr>
              <w:t>36 33 17 21</w:t>
            </w:r>
          </w:p>
          <w:p w14:paraId="1594BA64" w14:textId="0E57753A" w:rsidR="00DB4ED5" w:rsidRPr="007B38F5" w:rsidRDefault="00DA3174" w:rsidP="00DB4ED5">
            <w:pPr>
              <w:pStyle w:val="BodyText"/>
              <w:spacing w:before="0"/>
              <w:rPr>
                <w:lang w:val="pt-BR"/>
              </w:rPr>
            </w:pPr>
            <w:r w:rsidRPr="007B38F5">
              <w:rPr>
                <w:lang w:val="pt-BR"/>
              </w:rPr>
              <w:t xml:space="preserve">E-mail: </w:t>
            </w:r>
            <w:r w:rsidR="004E5748" w:rsidRPr="007B38F5">
              <w:rPr>
                <w:lang w:val="pt-BR"/>
              </w:rPr>
              <w:t>natalia.jacob</w:t>
            </w:r>
            <w:r w:rsidR="006A4D08" w:rsidRPr="007B38F5">
              <w:rPr>
                <w:lang w:val="pt-BR"/>
              </w:rPr>
              <w:t>@quintiles.com</w:t>
            </w:r>
          </w:p>
        </w:tc>
      </w:tr>
    </w:tbl>
    <w:p w14:paraId="15634C7A" w14:textId="77777777" w:rsidR="00B45780" w:rsidRPr="00AF1814" w:rsidRDefault="00DA3174" w:rsidP="00DB4ED5">
      <w:pPr>
        <w:pStyle w:val="Tablefootnote"/>
        <w:keepNext/>
        <w:jc w:val="center"/>
      </w:pPr>
      <w:bookmarkStart w:id="7" w:name="_Hlk3885575"/>
      <w:r w:rsidRPr="00AF1814">
        <w:t>- Confidential –</w:t>
      </w:r>
    </w:p>
    <w:p w14:paraId="1D799CBE" w14:textId="77777777" w:rsidR="00B45780" w:rsidRPr="00AF1814" w:rsidRDefault="00DA3174" w:rsidP="00B45780">
      <w:pPr>
        <w:pStyle w:val="Tablefootnote"/>
        <w:jc w:val="center"/>
      </w:pPr>
      <w:r w:rsidRPr="00AF1814">
        <w:t>This document is the property of Merck KGaA, Darmstadt, Germany, or one of its subsidiaries. It is intended for restricted use only and may not – in full or part – be passed on, reproduced, published or used without express permission of Merck KGaA, Darmstadt, Germany, or its subsidiary. Copyright © 2020</w:t>
      </w:r>
      <w:r w:rsidRPr="00AF1814">
        <w:rPr>
          <w:color w:val="0070C0"/>
        </w:rPr>
        <w:t xml:space="preserve"> </w:t>
      </w:r>
      <w:r w:rsidRPr="00AF1814">
        <w:t>by Merck KGaA, Darmstadt, Germany, or its subsidiary. All rights reserved.</w:t>
      </w:r>
    </w:p>
    <w:p w14:paraId="5D7EF63F" w14:textId="77777777" w:rsidR="00623D75" w:rsidRPr="00AF1814" w:rsidRDefault="00DA3174" w:rsidP="00F40300">
      <w:pPr>
        <w:pStyle w:val="Heading1unnumbered"/>
        <w:pageBreakBefore/>
        <w:tabs>
          <w:tab w:val="clear" w:pos="4716"/>
        </w:tabs>
      </w:pPr>
      <w:bookmarkStart w:id="8" w:name="_Toc44601635"/>
      <w:bookmarkEnd w:id="7"/>
      <w:r w:rsidRPr="00AF1814">
        <w:lastRenderedPageBreak/>
        <w:t>Table of Contents</w:t>
      </w:r>
      <w:bookmarkEnd w:id="8"/>
    </w:p>
    <w:p w14:paraId="3579E4EE" w14:textId="6CC186D7" w:rsidR="003776AB" w:rsidRDefault="00DA3174">
      <w:pPr>
        <w:pStyle w:val="TOC1"/>
        <w:rPr>
          <w:rFonts w:asciiTheme="minorHAnsi" w:hAnsiTheme="minorHAnsi" w:cstheme="minorBidi"/>
          <w:sz w:val="22"/>
          <w:szCs w:val="22"/>
        </w:rPr>
      </w:pPr>
      <w:r w:rsidRPr="00AF1814">
        <w:fldChar w:fldCharType="begin"/>
      </w:r>
      <w:r w:rsidR="008B04B7" w:rsidRPr="00AF1814">
        <w:instrText xml:space="preserve"> TOC \o "1-4" \h \z </w:instrText>
      </w:r>
      <w:r w:rsidRPr="00AF1814">
        <w:fldChar w:fldCharType="separate"/>
      </w:r>
      <w:hyperlink w:anchor="_Toc44601634" w:history="1">
        <w:r w:rsidR="003776AB" w:rsidRPr="000D4549">
          <w:rPr>
            <w:rStyle w:val="Hyperlink"/>
          </w:rPr>
          <w:t>Title Page</w:t>
        </w:r>
        <w:r w:rsidR="003776AB">
          <w:rPr>
            <w:webHidden/>
          </w:rPr>
          <w:tab/>
        </w:r>
        <w:r w:rsidR="003776AB" w:rsidRPr="003776AB">
          <w:rPr>
            <w:webHidden/>
          </w:rPr>
          <w:tab/>
        </w:r>
        <w:r w:rsidR="003776AB">
          <w:rPr>
            <w:webHidden/>
          </w:rPr>
          <w:fldChar w:fldCharType="begin"/>
        </w:r>
        <w:r w:rsidR="003776AB">
          <w:rPr>
            <w:webHidden/>
          </w:rPr>
          <w:instrText xml:space="preserve"> PAGEREF _Toc44601634 \h </w:instrText>
        </w:r>
        <w:r w:rsidR="003776AB">
          <w:rPr>
            <w:webHidden/>
          </w:rPr>
        </w:r>
        <w:r w:rsidR="003776AB">
          <w:rPr>
            <w:webHidden/>
          </w:rPr>
          <w:fldChar w:fldCharType="separate"/>
        </w:r>
        <w:r w:rsidR="00996BB1">
          <w:rPr>
            <w:webHidden/>
          </w:rPr>
          <w:t>1</w:t>
        </w:r>
        <w:r w:rsidR="003776AB">
          <w:rPr>
            <w:webHidden/>
          </w:rPr>
          <w:fldChar w:fldCharType="end"/>
        </w:r>
      </w:hyperlink>
    </w:p>
    <w:p w14:paraId="20504186" w14:textId="6B54FD72" w:rsidR="003776AB" w:rsidRDefault="00942EE9">
      <w:pPr>
        <w:pStyle w:val="TOC1"/>
        <w:rPr>
          <w:rFonts w:asciiTheme="minorHAnsi" w:hAnsiTheme="minorHAnsi" w:cstheme="minorBidi"/>
          <w:sz w:val="22"/>
          <w:szCs w:val="22"/>
        </w:rPr>
      </w:pPr>
      <w:hyperlink w:anchor="_Toc44601635" w:history="1">
        <w:r w:rsidR="003776AB" w:rsidRPr="000D4549">
          <w:rPr>
            <w:rStyle w:val="Hyperlink"/>
          </w:rPr>
          <w:t>Table of Contents</w:t>
        </w:r>
        <w:r w:rsidR="003776AB">
          <w:rPr>
            <w:webHidden/>
          </w:rPr>
          <w:tab/>
        </w:r>
        <w:r w:rsidR="003776AB" w:rsidRPr="003776AB">
          <w:rPr>
            <w:webHidden/>
          </w:rPr>
          <w:tab/>
        </w:r>
        <w:r w:rsidR="003776AB">
          <w:rPr>
            <w:webHidden/>
          </w:rPr>
          <w:fldChar w:fldCharType="begin"/>
        </w:r>
        <w:r w:rsidR="003776AB">
          <w:rPr>
            <w:webHidden/>
          </w:rPr>
          <w:instrText xml:space="preserve"> PAGEREF _Toc44601635 \h </w:instrText>
        </w:r>
        <w:r w:rsidR="003776AB">
          <w:rPr>
            <w:webHidden/>
          </w:rPr>
        </w:r>
        <w:r w:rsidR="003776AB">
          <w:rPr>
            <w:webHidden/>
          </w:rPr>
          <w:fldChar w:fldCharType="separate"/>
        </w:r>
        <w:r w:rsidR="00996BB1">
          <w:rPr>
            <w:webHidden/>
          </w:rPr>
          <w:t>3</w:t>
        </w:r>
        <w:r w:rsidR="003776AB">
          <w:rPr>
            <w:webHidden/>
          </w:rPr>
          <w:fldChar w:fldCharType="end"/>
        </w:r>
      </w:hyperlink>
    </w:p>
    <w:p w14:paraId="41EE7AF6" w14:textId="31E4FA0B" w:rsidR="003776AB" w:rsidRDefault="00942EE9">
      <w:pPr>
        <w:pStyle w:val="TOC1"/>
        <w:rPr>
          <w:rFonts w:asciiTheme="minorHAnsi" w:hAnsiTheme="minorHAnsi" w:cstheme="minorBidi"/>
          <w:sz w:val="22"/>
          <w:szCs w:val="22"/>
        </w:rPr>
      </w:pPr>
      <w:hyperlink w:anchor="_Toc44601636" w:history="1">
        <w:r w:rsidR="003776AB" w:rsidRPr="000D4549">
          <w:rPr>
            <w:rStyle w:val="Hyperlink"/>
          </w:rPr>
          <w:t>List of Tables</w:t>
        </w:r>
        <w:r w:rsidR="003776AB">
          <w:rPr>
            <w:webHidden/>
          </w:rPr>
          <w:tab/>
        </w:r>
        <w:r w:rsidR="003776AB" w:rsidRPr="003776AB">
          <w:rPr>
            <w:webHidden/>
          </w:rPr>
          <w:tab/>
        </w:r>
        <w:r w:rsidR="003776AB">
          <w:rPr>
            <w:webHidden/>
          </w:rPr>
          <w:fldChar w:fldCharType="begin"/>
        </w:r>
        <w:r w:rsidR="003776AB">
          <w:rPr>
            <w:webHidden/>
          </w:rPr>
          <w:instrText xml:space="preserve"> PAGEREF _Toc44601636 \h </w:instrText>
        </w:r>
        <w:r w:rsidR="003776AB">
          <w:rPr>
            <w:webHidden/>
          </w:rPr>
        </w:r>
        <w:r w:rsidR="003776AB">
          <w:rPr>
            <w:webHidden/>
          </w:rPr>
          <w:fldChar w:fldCharType="separate"/>
        </w:r>
        <w:r w:rsidR="00996BB1">
          <w:rPr>
            <w:webHidden/>
          </w:rPr>
          <w:t>7</w:t>
        </w:r>
        <w:r w:rsidR="003776AB">
          <w:rPr>
            <w:webHidden/>
          </w:rPr>
          <w:fldChar w:fldCharType="end"/>
        </w:r>
      </w:hyperlink>
    </w:p>
    <w:p w14:paraId="74EFFB91" w14:textId="539D07D2" w:rsidR="003776AB" w:rsidRDefault="00942EE9">
      <w:pPr>
        <w:pStyle w:val="TOC1"/>
        <w:rPr>
          <w:rFonts w:asciiTheme="minorHAnsi" w:hAnsiTheme="minorHAnsi" w:cstheme="minorBidi"/>
          <w:sz w:val="22"/>
          <w:szCs w:val="22"/>
        </w:rPr>
      </w:pPr>
      <w:hyperlink w:anchor="_Toc44601637" w:history="1">
        <w:r w:rsidR="003776AB" w:rsidRPr="000D4549">
          <w:rPr>
            <w:rStyle w:val="Hyperlink"/>
          </w:rPr>
          <w:t>List of Figures</w:t>
        </w:r>
        <w:r w:rsidR="003776AB">
          <w:rPr>
            <w:webHidden/>
          </w:rPr>
          <w:tab/>
        </w:r>
        <w:r w:rsidR="003776AB" w:rsidRPr="003776AB">
          <w:rPr>
            <w:webHidden/>
          </w:rPr>
          <w:tab/>
        </w:r>
        <w:r w:rsidR="003776AB">
          <w:rPr>
            <w:webHidden/>
          </w:rPr>
          <w:fldChar w:fldCharType="begin"/>
        </w:r>
        <w:r w:rsidR="003776AB">
          <w:rPr>
            <w:webHidden/>
          </w:rPr>
          <w:instrText xml:space="preserve"> PAGEREF _Toc44601637 \h </w:instrText>
        </w:r>
        <w:r w:rsidR="003776AB">
          <w:rPr>
            <w:webHidden/>
          </w:rPr>
        </w:r>
        <w:r w:rsidR="003776AB">
          <w:rPr>
            <w:webHidden/>
          </w:rPr>
          <w:fldChar w:fldCharType="separate"/>
        </w:r>
        <w:r w:rsidR="00996BB1">
          <w:rPr>
            <w:webHidden/>
          </w:rPr>
          <w:t>7</w:t>
        </w:r>
        <w:r w:rsidR="003776AB">
          <w:rPr>
            <w:webHidden/>
          </w:rPr>
          <w:fldChar w:fldCharType="end"/>
        </w:r>
      </w:hyperlink>
    </w:p>
    <w:p w14:paraId="3592DF77" w14:textId="5E485014" w:rsidR="003776AB" w:rsidRDefault="00942EE9">
      <w:pPr>
        <w:pStyle w:val="TOC1"/>
        <w:rPr>
          <w:rFonts w:asciiTheme="minorHAnsi" w:hAnsiTheme="minorHAnsi" w:cstheme="minorBidi"/>
          <w:sz w:val="22"/>
          <w:szCs w:val="22"/>
        </w:rPr>
      </w:pPr>
      <w:hyperlink w:anchor="_Toc44601638" w:history="1">
        <w:r w:rsidR="003776AB" w:rsidRPr="000D4549">
          <w:rPr>
            <w:rStyle w:val="Hyperlink"/>
          </w:rPr>
          <w:t>1</w:t>
        </w:r>
        <w:r w:rsidR="003776AB">
          <w:rPr>
            <w:rFonts w:asciiTheme="minorHAnsi" w:hAnsiTheme="minorHAnsi" w:cstheme="minorBidi"/>
            <w:sz w:val="22"/>
            <w:szCs w:val="22"/>
          </w:rPr>
          <w:tab/>
        </w:r>
        <w:r w:rsidR="003776AB" w:rsidRPr="000D4549">
          <w:rPr>
            <w:rStyle w:val="Hyperlink"/>
          </w:rPr>
          <w:t>Protocol Summary</w:t>
        </w:r>
        <w:r w:rsidR="003776AB">
          <w:rPr>
            <w:webHidden/>
          </w:rPr>
          <w:tab/>
        </w:r>
        <w:r w:rsidR="003776AB">
          <w:rPr>
            <w:webHidden/>
          </w:rPr>
          <w:fldChar w:fldCharType="begin"/>
        </w:r>
        <w:r w:rsidR="003776AB">
          <w:rPr>
            <w:webHidden/>
          </w:rPr>
          <w:instrText xml:space="preserve"> PAGEREF _Toc44601638 \h </w:instrText>
        </w:r>
        <w:r w:rsidR="003776AB">
          <w:rPr>
            <w:webHidden/>
          </w:rPr>
        </w:r>
        <w:r w:rsidR="003776AB">
          <w:rPr>
            <w:webHidden/>
          </w:rPr>
          <w:fldChar w:fldCharType="separate"/>
        </w:r>
        <w:r w:rsidR="00996BB1">
          <w:rPr>
            <w:webHidden/>
          </w:rPr>
          <w:t>8</w:t>
        </w:r>
        <w:r w:rsidR="003776AB">
          <w:rPr>
            <w:webHidden/>
          </w:rPr>
          <w:fldChar w:fldCharType="end"/>
        </w:r>
      </w:hyperlink>
    </w:p>
    <w:p w14:paraId="5E93A063" w14:textId="654C920E" w:rsidR="003776AB" w:rsidRDefault="00942EE9">
      <w:pPr>
        <w:pStyle w:val="TOC2"/>
        <w:rPr>
          <w:rFonts w:asciiTheme="minorHAnsi" w:hAnsiTheme="minorHAnsi" w:cstheme="minorBidi"/>
          <w:sz w:val="22"/>
          <w:szCs w:val="22"/>
        </w:rPr>
      </w:pPr>
      <w:hyperlink w:anchor="_Toc44601639" w:history="1">
        <w:r w:rsidR="003776AB" w:rsidRPr="000D4549">
          <w:rPr>
            <w:rStyle w:val="Hyperlink"/>
          </w:rPr>
          <w:t>1.1</w:t>
        </w:r>
        <w:r w:rsidR="003776AB">
          <w:rPr>
            <w:rFonts w:asciiTheme="minorHAnsi" w:hAnsiTheme="minorHAnsi" w:cstheme="minorBidi"/>
            <w:sz w:val="22"/>
            <w:szCs w:val="22"/>
          </w:rPr>
          <w:tab/>
        </w:r>
        <w:r w:rsidR="003776AB" w:rsidRPr="000D4549">
          <w:rPr>
            <w:rStyle w:val="Hyperlink"/>
          </w:rPr>
          <w:t>Synopsis</w:t>
        </w:r>
        <w:r w:rsidR="003776AB">
          <w:rPr>
            <w:webHidden/>
          </w:rPr>
          <w:tab/>
        </w:r>
        <w:r w:rsidR="003776AB">
          <w:rPr>
            <w:webHidden/>
          </w:rPr>
          <w:fldChar w:fldCharType="begin"/>
        </w:r>
        <w:r w:rsidR="003776AB">
          <w:rPr>
            <w:webHidden/>
          </w:rPr>
          <w:instrText xml:space="preserve"> PAGEREF _Toc44601639 \h </w:instrText>
        </w:r>
        <w:r w:rsidR="003776AB">
          <w:rPr>
            <w:webHidden/>
          </w:rPr>
        </w:r>
        <w:r w:rsidR="003776AB">
          <w:rPr>
            <w:webHidden/>
          </w:rPr>
          <w:fldChar w:fldCharType="separate"/>
        </w:r>
        <w:r w:rsidR="00996BB1">
          <w:rPr>
            <w:webHidden/>
          </w:rPr>
          <w:t>8</w:t>
        </w:r>
        <w:r w:rsidR="003776AB">
          <w:rPr>
            <w:webHidden/>
          </w:rPr>
          <w:fldChar w:fldCharType="end"/>
        </w:r>
      </w:hyperlink>
    </w:p>
    <w:p w14:paraId="607CCCBB" w14:textId="286FAAE1" w:rsidR="003776AB" w:rsidRDefault="00942EE9">
      <w:pPr>
        <w:pStyle w:val="TOC2"/>
        <w:rPr>
          <w:rFonts w:asciiTheme="minorHAnsi" w:hAnsiTheme="minorHAnsi" w:cstheme="minorBidi"/>
          <w:sz w:val="22"/>
          <w:szCs w:val="22"/>
        </w:rPr>
      </w:pPr>
      <w:hyperlink w:anchor="_Toc44601640" w:history="1">
        <w:r w:rsidR="003776AB" w:rsidRPr="000D4549">
          <w:rPr>
            <w:rStyle w:val="Hyperlink"/>
          </w:rPr>
          <w:t>1.2</w:t>
        </w:r>
        <w:r w:rsidR="003776AB">
          <w:rPr>
            <w:rFonts w:asciiTheme="minorHAnsi" w:hAnsiTheme="minorHAnsi" w:cstheme="minorBidi"/>
            <w:sz w:val="22"/>
            <w:szCs w:val="22"/>
          </w:rPr>
          <w:tab/>
        </w:r>
        <w:r w:rsidR="003776AB" w:rsidRPr="000D4549">
          <w:rPr>
            <w:rStyle w:val="Hyperlink"/>
          </w:rPr>
          <w:t>Schema</w:t>
        </w:r>
        <w:r w:rsidR="003776AB">
          <w:rPr>
            <w:webHidden/>
          </w:rPr>
          <w:tab/>
        </w:r>
        <w:r w:rsidR="003776AB">
          <w:rPr>
            <w:webHidden/>
          </w:rPr>
          <w:fldChar w:fldCharType="begin"/>
        </w:r>
        <w:r w:rsidR="003776AB">
          <w:rPr>
            <w:webHidden/>
          </w:rPr>
          <w:instrText xml:space="preserve"> PAGEREF _Toc44601640 \h </w:instrText>
        </w:r>
        <w:r w:rsidR="003776AB">
          <w:rPr>
            <w:webHidden/>
          </w:rPr>
        </w:r>
        <w:r w:rsidR="003776AB">
          <w:rPr>
            <w:webHidden/>
          </w:rPr>
          <w:fldChar w:fldCharType="separate"/>
        </w:r>
        <w:r w:rsidR="00996BB1">
          <w:rPr>
            <w:webHidden/>
          </w:rPr>
          <w:t>12</w:t>
        </w:r>
        <w:r w:rsidR="003776AB">
          <w:rPr>
            <w:webHidden/>
          </w:rPr>
          <w:fldChar w:fldCharType="end"/>
        </w:r>
      </w:hyperlink>
    </w:p>
    <w:p w14:paraId="2EC708D0" w14:textId="6A9CC81E" w:rsidR="003776AB" w:rsidRDefault="00942EE9">
      <w:pPr>
        <w:pStyle w:val="TOC2"/>
        <w:rPr>
          <w:rFonts w:asciiTheme="minorHAnsi" w:hAnsiTheme="minorHAnsi" w:cstheme="minorBidi"/>
          <w:sz w:val="22"/>
          <w:szCs w:val="22"/>
        </w:rPr>
      </w:pPr>
      <w:hyperlink w:anchor="_Toc44601641" w:history="1">
        <w:r w:rsidR="003776AB" w:rsidRPr="000D4549">
          <w:rPr>
            <w:rStyle w:val="Hyperlink"/>
          </w:rPr>
          <w:t>1.3</w:t>
        </w:r>
        <w:r w:rsidR="003776AB">
          <w:rPr>
            <w:rFonts w:asciiTheme="minorHAnsi" w:hAnsiTheme="minorHAnsi" w:cstheme="minorBidi"/>
            <w:sz w:val="22"/>
            <w:szCs w:val="22"/>
          </w:rPr>
          <w:tab/>
        </w:r>
        <w:r w:rsidR="003776AB" w:rsidRPr="000D4549">
          <w:rPr>
            <w:rStyle w:val="Hyperlink"/>
          </w:rPr>
          <w:t>Schedule of Activities</w:t>
        </w:r>
        <w:r w:rsidR="003776AB">
          <w:rPr>
            <w:webHidden/>
          </w:rPr>
          <w:tab/>
        </w:r>
        <w:r w:rsidR="003776AB">
          <w:rPr>
            <w:webHidden/>
          </w:rPr>
          <w:fldChar w:fldCharType="begin"/>
        </w:r>
        <w:r w:rsidR="003776AB">
          <w:rPr>
            <w:webHidden/>
          </w:rPr>
          <w:instrText xml:space="preserve"> PAGEREF _Toc44601641 \h </w:instrText>
        </w:r>
        <w:r w:rsidR="003776AB">
          <w:rPr>
            <w:webHidden/>
          </w:rPr>
        </w:r>
        <w:r w:rsidR="003776AB">
          <w:rPr>
            <w:webHidden/>
          </w:rPr>
          <w:fldChar w:fldCharType="separate"/>
        </w:r>
        <w:r w:rsidR="00996BB1">
          <w:rPr>
            <w:webHidden/>
          </w:rPr>
          <w:t>13</w:t>
        </w:r>
        <w:r w:rsidR="003776AB">
          <w:rPr>
            <w:webHidden/>
          </w:rPr>
          <w:fldChar w:fldCharType="end"/>
        </w:r>
      </w:hyperlink>
    </w:p>
    <w:p w14:paraId="24A9D61A" w14:textId="327D6ADB" w:rsidR="003776AB" w:rsidRDefault="00942EE9">
      <w:pPr>
        <w:pStyle w:val="TOC3"/>
        <w:rPr>
          <w:rFonts w:asciiTheme="minorHAnsi" w:hAnsiTheme="minorHAnsi" w:cstheme="minorBidi"/>
          <w:sz w:val="22"/>
          <w:szCs w:val="22"/>
        </w:rPr>
      </w:pPr>
      <w:hyperlink w:anchor="_Toc44601642" w:history="1">
        <w:r w:rsidR="003776AB" w:rsidRPr="000D4549">
          <w:rPr>
            <w:rStyle w:val="Hyperlink"/>
          </w:rPr>
          <w:t>1.3.1</w:t>
        </w:r>
        <w:r w:rsidR="003776AB">
          <w:rPr>
            <w:rFonts w:asciiTheme="minorHAnsi" w:hAnsiTheme="minorHAnsi" w:cstheme="minorBidi"/>
            <w:sz w:val="22"/>
            <w:szCs w:val="22"/>
          </w:rPr>
          <w:tab/>
        </w:r>
        <w:r w:rsidR="003776AB" w:rsidRPr="000D4549">
          <w:rPr>
            <w:rStyle w:val="Hyperlink"/>
          </w:rPr>
          <w:t>Schedule of Activities for Cohort 1</w:t>
        </w:r>
        <w:r w:rsidR="003776AB">
          <w:rPr>
            <w:webHidden/>
          </w:rPr>
          <w:tab/>
        </w:r>
        <w:r w:rsidR="003776AB">
          <w:rPr>
            <w:webHidden/>
          </w:rPr>
          <w:fldChar w:fldCharType="begin"/>
        </w:r>
        <w:r w:rsidR="003776AB">
          <w:rPr>
            <w:webHidden/>
          </w:rPr>
          <w:instrText xml:space="preserve"> PAGEREF _Toc44601642 \h </w:instrText>
        </w:r>
        <w:r w:rsidR="003776AB">
          <w:rPr>
            <w:webHidden/>
          </w:rPr>
        </w:r>
        <w:r w:rsidR="003776AB">
          <w:rPr>
            <w:webHidden/>
          </w:rPr>
          <w:fldChar w:fldCharType="separate"/>
        </w:r>
        <w:r w:rsidR="00996BB1">
          <w:rPr>
            <w:webHidden/>
          </w:rPr>
          <w:t>13</w:t>
        </w:r>
        <w:r w:rsidR="003776AB">
          <w:rPr>
            <w:webHidden/>
          </w:rPr>
          <w:fldChar w:fldCharType="end"/>
        </w:r>
      </w:hyperlink>
    </w:p>
    <w:p w14:paraId="22876250" w14:textId="12CF9F3D" w:rsidR="003776AB" w:rsidRDefault="00942EE9">
      <w:pPr>
        <w:pStyle w:val="TOC3"/>
        <w:rPr>
          <w:rFonts w:asciiTheme="minorHAnsi" w:hAnsiTheme="minorHAnsi" w:cstheme="minorBidi"/>
          <w:sz w:val="22"/>
          <w:szCs w:val="22"/>
        </w:rPr>
      </w:pPr>
      <w:hyperlink w:anchor="_Toc44601643" w:history="1">
        <w:r w:rsidR="003776AB" w:rsidRPr="000D4549">
          <w:rPr>
            <w:rStyle w:val="Hyperlink"/>
          </w:rPr>
          <w:t>1.3.2</w:t>
        </w:r>
        <w:r w:rsidR="003776AB">
          <w:rPr>
            <w:rFonts w:asciiTheme="minorHAnsi" w:hAnsiTheme="minorHAnsi" w:cstheme="minorBidi"/>
            <w:sz w:val="22"/>
            <w:szCs w:val="22"/>
          </w:rPr>
          <w:tab/>
        </w:r>
        <w:r w:rsidR="003776AB" w:rsidRPr="000D4549">
          <w:rPr>
            <w:rStyle w:val="Hyperlink"/>
          </w:rPr>
          <w:t>Schedule of Activities for Cohort 2</w:t>
        </w:r>
        <w:r w:rsidR="003776AB">
          <w:rPr>
            <w:webHidden/>
          </w:rPr>
          <w:tab/>
        </w:r>
        <w:r w:rsidR="003776AB">
          <w:rPr>
            <w:webHidden/>
          </w:rPr>
          <w:fldChar w:fldCharType="begin"/>
        </w:r>
        <w:r w:rsidR="003776AB">
          <w:rPr>
            <w:webHidden/>
          </w:rPr>
          <w:instrText xml:space="preserve"> PAGEREF _Toc44601643 \h </w:instrText>
        </w:r>
        <w:r w:rsidR="003776AB">
          <w:rPr>
            <w:webHidden/>
          </w:rPr>
        </w:r>
        <w:r w:rsidR="003776AB">
          <w:rPr>
            <w:webHidden/>
          </w:rPr>
          <w:fldChar w:fldCharType="separate"/>
        </w:r>
        <w:r w:rsidR="00996BB1">
          <w:rPr>
            <w:webHidden/>
          </w:rPr>
          <w:t>21</w:t>
        </w:r>
        <w:r w:rsidR="003776AB">
          <w:rPr>
            <w:webHidden/>
          </w:rPr>
          <w:fldChar w:fldCharType="end"/>
        </w:r>
      </w:hyperlink>
    </w:p>
    <w:p w14:paraId="3ED359C0" w14:textId="618CEC8B" w:rsidR="003776AB" w:rsidRDefault="00942EE9">
      <w:pPr>
        <w:pStyle w:val="TOC1"/>
        <w:rPr>
          <w:rFonts w:asciiTheme="minorHAnsi" w:hAnsiTheme="minorHAnsi" w:cstheme="minorBidi"/>
          <w:sz w:val="22"/>
          <w:szCs w:val="22"/>
        </w:rPr>
      </w:pPr>
      <w:hyperlink w:anchor="_Toc44601644" w:history="1">
        <w:r w:rsidR="003776AB" w:rsidRPr="000D4549">
          <w:rPr>
            <w:rStyle w:val="Hyperlink"/>
          </w:rPr>
          <w:t>2</w:t>
        </w:r>
        <w:r w:rsidR="003776AB">
          <w:rPr>
            <w:rFonts w:asciiTheme="minorHAnsi" w:hAnsiTheme="minorHAnsi" w:cstheme="minorBidi"/>
            <w:sz w:val="22"/>
            <w:szCs w:val="22"/>
          </w:rPr>
          <w:tab/>
        </w:r>
        <w:r w:rsidR="003776AB" w:rsidRPr="000D4549">
          <w:rPr>
            <w:rStyle w:val="Hyperlink"/>
          </w:rPr>
          <w:t>Introduction</w:t>
        </w:r>
        <w:r w:rsidR="003776AB">
          <w:rPr>
            <w:webHidden/>
          </w:rPr>
          <w:tab/>
        </w:r>
        <w:r w:rsidR="003776AB">
          <w:rPr>
            <w:webHidden/>
          </w:rPr>
          <w:fldChar w:fldCharType="begin"/>
        </w:r>
        <w:r w:rsidR="003776AB">
          <w:rPr>
            <w:webHidden/>
          </w:rPr>
          <w:instrText xml:space="preserve"> PAGEREF _Toc44601644 \h </w:instrText>
        </w:r>
        <w:r w:rsidR="003776AB">
          <w:rPr>
            <w:webHidden/>
          </w:rPr>
        </w:r>
        <w:r w:rsidR="003776AB">
          <w:rPr>
            <w:webHidden/>
          </w:rPr>
          <w:fldChar w:fldCharType="separate"/>
        </w:r>
        <w:r w:rsidR="00996BB1">
          <w:rPr>
            <w:webHidden/>
          </w:rPr>
          <w:t>33</w:t>
        </w:r>
        <w:r w:rsidR="003776AB">
          <w:rPr>
            <w:webHidden/>
          </w:rPr>
          <w:fldChar w:fldCharType="end"/>
        </w:r>
      </w:hyperlink>
    </w:p>
    <w:p w14:paraId="4D26E78D" w14:textId="30A8A1C3" w:rsidR="003776AB" w:rsidRDefault="00942EE9">
      <w:pPr>
        <w:pStyle w:val="TOC2"/>
        <w:rPr>
          <w:rFonts w:asciiTheme="minorHAnsi" w:hAnsiTheme="minorHAnsi" w:cstheme="minorBidi"/>
          <w:sz w:val="22"/>
          <w:szCs w:val="22"/>
        </w:rPr>
      </w:pPr>
      <w:hyperlink w:anchor="_Toc44601645" w:history="1">
        <w:r w:rsidR="003776AB" w:rsidRPr="000D4549">
          <w:rPr>
            <w:rStyle w:val="Hyperlink"/>
          </w:rPr>
          <w:t>2.1</w:t>
        </w:r>
        <w:r w:rsidR="003776AB">
          <w:rPr>
            <w:rFonts w:asciiTheme="minorHAnsi" w:hAnsiTheme="minorHAnsi" w:cstheme="minorBidi"/>
            <w:sz w:val="22"/>
            <w:szCs w:val="22"/>
          </w:rPr>
          <w:tab/>
        </w:r>
        <w:r w:rsidR="003776AB" w:rsidRPr="000D4549">
          <w:rPr>
            <w:rStyle w:val="Hyperlink"/>
          </w:rPr>
          <w:t>Study Rationale</w:t>
        </w:r>
        <w:r w:rsidR="003776AB">
          <w:rPr>
            <w:webHidden/>
          </w:rPr>
          <w:tab/>
        </w:r>
        <w:r w:rsidR="003776AB">
          <w:rPr>
            <w:webHidden/>
          </w:rPr>
          <w:fldChar w:fldCharType="begin"/>
        </w:r>
        <w:r w:rsidR="003776AB">
          <w:rPr>
            <w:webHidden/>
          </w:rPr>
          <w:instrText xml:space="preserve"> PAGEREF _Toc44601645 \h </w:instrText>
        </w:r>
        <w:r w:rsidR="003776AB">
          <w:rPr>
            <w:webHidden/>
          </w:rPr>
        </w:r>
        <w:r w:rsidR="003776AB">
          <w:rPr>
            <w:webHidden/>
          </w:rPr>
          <w:fldChar w:fldCharType="separate"/>
        </w:r>
        <w:r w:rsidR="00996BB1">
          <w:rPr>
            <w:webHidden/>
          </w:rPr>
          <w:t>33</w:t>
        </w:r>
        <w:r w:rsidR="003776AB">
          <w:rPr>
            <w:webHidden/>
          </w:rPr>
          <w:fldChar w:fldCharType="end"/>
        </w:r>
      </w:hyperlink>
    </w:p>
    <w:p w14:paraId="688DED07" w14:textId="0973227E" w:rsidR="003776AB" w:rsidRDefault="00942EE9">
      <w:pPr>
        <w:pStyle w:val="TOC2"/>
        <w:rPr>
          <w:rFonts w:asciiTheme="minorHAnsi" w:hAnsiTheme="minorHAnsi" w:cstheme="minorBidi"/>
          <w:sz w:val="22"/>
          <w:szCs w:val="22"/>
        </w:rPr>
      </w:pPr>
      <w:hyperlink w:anchor="_Toc44601646" w:history="1">
        <w:r w:rsidR="003776AB" w:rsidRPr="000D4549">
          <w:rPr>
            <w:rStyle w:val="Hyperlink"/>
          </w:rPr>
          <w:t>2.2</w:t>
        </w:r>
        <w:r w:rsidR="003776AB">
          <w:rPr>
            <w:rFonts w:asciiTheme="minorHAnsi" w:hAnsiTheme="minorHAnsi" w:cstheme="minorBidi"/>
            <w:sz w:val="22"/>
            <w:szCs w:val="22"/>
          </w:rPr>
          <w:tab/>
        </w:r>
        <w:r w:rsidR="003776AB" w:rsidRPr="000D4549">
          <w:rPr>
            <w:rStyle w:val="Hyperlink"/>
          </w:rPr>
          <w:t>Background</w:t>
        </w:r>
        <w:r w:rsidR="003776AB">
          <w:rPr>
            <w:webHidden/>
          </w:rPr>
          <w:tab/>
        </w:r>
        <w:r w:rsidR="003776AB">
          <w:rPr>
            <w:webHidden/>
          </w:rPr>
          <w:fldChar w:fldCharType="begin"/>
        </w:r>
        <w:r w:rsidR="003776AB">
          <w:rPr>
            <w:webHidden/>
          </w:rPr>
          <w:instrText xml:space="preserve"> PAGEREF _Toc44601646 \h </w:instrText>
        </w:r>
        <w:r w:rsidR="003776AB">
          <w:rPr>
            <w:webHidden/>
          </w:rPr>
        </w:r>
        <w:r w:rsidR="003776AB">
          <w:rPr>
            <w:webHidden/>
          </w:rPr>
          <w:fldChar w:fldCharType="separate"/>
        </w:r>
        <w:r w:rsidR="00996BB1">
          <w:rPr>
            <w:webHidden/>
          </w:rPr>
          <w:t>34</w:t>
        </w:r>
        <w:r w:rsidR="003776AB">
          <w:rPr>
            <w:webHidden/>
          </w:rPr>
          <w:fldChar w:fldCharType="end"/>
        </w:r>
      </w:hyperlink>
    </w:p>
    <w:p w14:paraId="27CB1975" w14:textId="6E02495F" w:rsidR="003776AB" w:rsidRDefault="00942EE9">
      <w:pPr>
        <w:pStyle w:val="TOC2"/>
        <w:rPr>
          <w:rFonts w:asciiTheme="minorHAnsi" w:hAnsiTheme="minorHAnsi" w:cstheme="minorBidi"/>
          <w:sz w:val="22"/>
          <w:szCs w:val="22"/>
        </w:rPr>
      </w:pPr>
      <w:hyperlink w:anchor="_Toc44601647" w:history="1">
        <w:r w:rsidR="003776AB" w:rsidRPr="000D4549">
          <w:rPr>
            <w:rStyle w:val="Hyperlink"/>
          </w:rPr>
          <w:t>2.3</w:t>
        </w:r>
        <w:r w:rsidR="003776AB">
          <w:rPr>
            <w:rFonts w:asciiTheme="minorHAnsi" w:hAnsiTheme="minorHAnsi" w:cstheme="minorBidi"/>
            <w:sz w:val="22"/>
            <w:szCs w:val="22"/>
          </w:rPr>
          <w:tab/>
        </w:r>
        <w:r w:rsidR="003776AB" w:rsidRPr="000D4549">
          <w:rPr>
            <w:rStyle w:val="Hyperlink"/>
          </w:rPr>
          <w:t>Benefit/Risk Assessment</w:t>
        </w:r>
        <w:r w:rsidR="003776AB">
          <w:rPr>
            <w:webHidden/>
          </w:rPr>
          <w:tab/>
        </w:r>
        <w:r w:rsidR="003776AB">
          <w:rPr>
            <w:webHidden/>
          </w:rPr>
          <w:fldChar w:fldCharType="begin"/>
        </w:r>
        <w:r w:rsidR="003776AB">
          <w:rPr>
            <w:webHidden/>
          </w:rPr>
          <w:instrText xml:space="preserve"> PAGEREF _Toc44601647 \h </w:instrText>
        </w:r>
        <w:r w:rsidR="003776AB">
          <w:rPr>
            <w:webHidden/>
          </w:rPr>
        </w:r>
        <w:r w:rsidR="003776AB">
          <w:rPr>
            <w:webHidden/>
          </w:rPr>
          <w:fldChar w:fldCharType="separate"/>
        </w:r>
        <w:r w:rsidR="00996BB1">
          <w:rPr>
            <w:webHidden/>
          </w:rPr>
          <w:t>35</w:t>
        </w:r>
        <w:r w:rsidR="003776AB">
          <w:rPr>
            <w:webHidden/>
          </w:rPr>
          <w:fldChar w:fldCharType="end"/>
        </w:r>
      </w:hyperlink>
    </w:p>
    <w:p w14:paraId="359C7745" w14:textId="00D152D7" w:rsidR="003776AB" w:rsidRDefault="00942EE9">
      <w:pPr>
        <w:pStyle w:val="TOC1"/>
        <w:rPr>
          <w:rFonts w:asciiTheme="minorHAnsi" w:hAnsiTheme="minorHAnsi" w:cstheme="minorBidi"/>
          <w:sz w:val="22"/>
          <w:szCs w:val="22"/>
        </w:rPr>
      </w:pPr>
      <w:hyperlink w:anchor="_Toc44601648" w:history="1">
        <w:r w:rsidR="003776AB" w:rsidRPr="000D4549">
          <w:rPr>
            <w:rStyle w:val="Hyperlink"/>
          </w:rPr>
          <w:t>3</w:t>
        </w:r>
        <w:r w:rsidR="003776AB">
          <w:rPr>
            <w:rFonts w:asciiTheme="minorHAnsi" w:hAnsiTheme="minorHAnsi" w:cstheme="minorBidi"/>
            <w:sz w:val="22"/>
            <w:szCs w:val="22"/>
          </w:rPr>
          <w:tab/>
        </w:r>
        <w:r w:rsidR="003776AB" w:rsidRPr="000D4549">
          <w:rPr>
            <w:rStyle w:val="Hyperlink"/>
          </w:rPr>
          <w:t>Objectives and Endpoints</w:t>
        </w:r>
        <w:r w:rsidR="003776AB">
          <w:rPr>
            <w:webHidden/>
          </w:rPr>
          <w:tab/>
        </w:r>
        <w:r w:rsidR="003776AB">
          <w:rPr>
            <w:webHidden/>
          </w:rPr>
          <w:fldChar w:fldCharType="begin"/>
        </w:r>
        <w:r w:rsidR="003776AB">
          <w:rPr>
            <w:webHidden/>
          </w:rPr>
          <w:instrText xml:space="preserve"> PAGEREF _Toc44601648 \h </w:instrText>
        </w:r>
        <w:r w:rsidR="003776AB">
          <w:rPr>
            <w:webHidden/>
          </w:rPr>
        </w:r>
        <w:r w:rsidR="003776AB">
          <w:rPr>
            <w:webHidden/>
          </w:rPr>
          <w:fldChar w:fldCharType="separate"/>
        </w:r>
        <w:r w:rsidR="00996BB1">
          <w:rPr>
            <w:webHidden/>
          </w:rPr>
          <w:t>37</w:t>
        </w:r>
        <w:r w:rsidR="003776AB">
          <w:rPr>
            <w:webHidden/>
          </w:rPr>
          <w:fldChar w:fldCharType="end"/>
        </w:r>
      </w:hyperlink>
    </w:p>
    <w:p w14:paraId="4E985CC5" w14:textId="034DAEE1" w:rsidR="003776AB" w:rsidRDefault="00942EE9">
      <w:pPr>
        <w:pStyle w:val="TOC1"/>
        <w:rPr>
          <w:rFonts w:asciiTheme="minorHAnsi" w:hAnsiTheme="minorHAnsi" w:cstheme="minorBidi"/>
          <w:sz w:val="22"/>
          <w:szCs w:val="22"/>
        </w:rPr>
      </w:pPr>
      <w:hyperlink w:anchor="_Toc44601649" w:history="1">
        <w:r w:rsidR="003776AB" w:rsidRPr="000D4549">
          <w:rPr>
            <w:rStyle w:val="Hyperlink"/>
          </w:rPr>
          <w:t>4</w:t>
        </w:r>
        <w:r w:rsidR="003776AB">
          <w:rPr>
            <w:rFonts w:asciiTheme="minorHAnsi" w:hAnsiTheme="minorHAnsi" w:cstheme="minorBidi"/>
            <w:sz w:val="22"/>
            <w:szCs w:val="22"/>
          </w:rPr>
          <w:tab/>
        </w:r>
        <w:r w:rsidR="003776AB" w:rsidRPr="000D4549">
          <w:rPr>
            <w:rStyle w:val="Hyperlink"/>
          </w:rPr>
          <w:t>Study Design</w:t>
        </w:r>
        <w:r w:rsidR="003776AB">
          <w:rPr>
            <w:webHidden/>
          </w:rPr>
          <w:tab/>
        </w:r>
        <w:r w:rsidR="003776AB">
          <w:rPr>
            <w:webHidden/>
          </w:rPr>
          <w:fldChar w:fldCharType="begin"/>
        </w:r>
        <w:r w:rsidR="003776AB">
          <w:rPr>
            <w:webHidden/>
          </w:rPr>
          <w:instrText xml:space="preserve"> PAGEREF _Toc44601649 \h </w:instrText>
        </w:r>
        <w:r w:rsidR="003776AB">
          <w:rPr>
            <w:webHidden/>
          </w:rPr>
        </w:r>
        <w:r w:rsidR="003776AB">
          <w:rPr>
            <w:webHidden/>
          </w:rPr>
          <w:fldChar w:fldCharType="separate"/>
        </w:r>
        <w:r w:rsidR="00996BB1">
          <w:rPr>
            <w:webHidden/>
          </w:rPr>
          <w:t>38</w:t>
        </w:r>
        <w:r w:rsidR="003776AB">
          <w:rPr>
            <w:webHidden/>
          </w:rPr>
          <w:fldChar w:fldCharType="end"/>
        </w:r>
      </w:hyperlink>
    </w:p>
    <w:p w14:paraId="462BCF14" w14:textId="24AEB0FB" w:rsidR="003776AB" w:rsidRDefault="00942EE9">
      <w:pPr>
        <w:pStyle w:val="TOC2"/>
        <w:rPr>
          <w:rFonts w:asciiTheme="minorHAnsi" w:hAnsiTheme="minorHAnsi" w:cstheme="minorBidi"/>
          <w:sz w:val="22"/>
          <w:szCs w:val="22"/>
        </w:rPr>
      </w:pPr>
      <w:hyperlink w:anchor="_Toc44601650" w:history="1">
        <w:r w:rsidR="003776AB" w:rsidRPr="000D4549">
          <w:rPr>
            <w:rStyle w:val="Hyperlink"/>
          </w:rPr>
          <w:t>4.1</w:t>
        </w:r>
        <w:r w:rsidR="003776AB">
          <w:rPr>
            <w:rFonts w:asciiTheme="minorHAnsi" w:hAnsiTheme="minorHAnsi" w:cstheme="minorBidi"/>
            <w:sz w:val="22"/>
            <w:szCs w:val="22"/>
          </w:rPr>
          <w:tab/>
        </w:r>
        <w:r w:rsidR="003776AB" w:rsidRPr="000D4549">
          <w:rPr>
            <w:rStyle w:val="Hyperlink"/>
          </w:rPr>
          <w:t>Overall Design</w:t>
        </w:r>
        <w:r w:rsidR="003776AB">
          <w:rPr>
            <w:webHidden/>
          </w:rPr>
          <w:tab/>
        </w:r>
        <w:r w:rsidR="003776AB">
          <w:rPr>
            <w:webHidden/>
          </w:rPr>
          <w:fldChar w:fldCharType="begin"/>
        </w:r>
        <w:r w:rsidR="003776AB">
          <w:rPr>
            <w:webHidden/>
          </w:rPr>
          <w:instrText xml:space="preserve"> PAGEREF _Toc44601650 \h </w:instrText>
        </w:r>
        <w:r w:rsidR="003776AB">
          <w:rPr>
            <w:webHidden/>
          </w:rPr>
        </w:r>
        <w:r w:rsidR="003776AB">
          <w:rPr>
            <w:webHidden/>
          </w:rPr>
          <w:fldChar w:fldCharType="separate"/>
        </w:r>
        <w:r w:rsidR="00996BB1">
          <w:rPr>
            <w:webHidden/>
          </w:rPr>
          <w:t>38</w:t>
        </w:r>
        <w:r w:rsidR="003776AB">
          <w:rPr>
            <w:webHidden/>
          </w:rPr>
          <w:fldChar w:fldCharType="end"/>
        </w:r>
      </w:hyperlink>
    </w:p>
    <w:p w14:paraId="19B4001E" w14:textId="0CD7DD5E" w:rsidR="003776AB" w:rsidRDefault="00942EE9">
      <w:pPr>
        <w:pStyle w:val="TOC2"/>
        <w:rPr>
          <w:rFonts w:asciiTheme="minorHAnsi" w:hAnsiTheme="minorHAnsi" w:cstheme="minorBidi"/>
          <w:sz w:val="22"/>
          <w:szCs w:val="22"/>
        </w:rPr>
      </w:pPr>
      <w:hyperlink w:anchor="_Toc44601651" w:history="1">
        <w:r w:rsidR="003776AB" w:rsidRPr="000D4549">
          <w:rPr>
            <w:rStyle w:val="Hyperlink"/>
          </w:rPr>
          <w:t>4.2</w:t>
        </w:r>
        <w:r w:rsidR="003776AB">
          <w:rPr>
            <w:rFonts w:asciiTheme="minorHAnsi" w:hAnsiTheme="minorHAnsi" w:cstheme="minorBidi"/>
            <w:sz w:val="22"/>
            <w:szCs w:val="22"/>
          </w:rPr>
          <w:tab/>
        </w:r>
        <w:r w:rsidR="003776AB" w:rsidRPr="000D4549">
          <w:rPr>
            <w:rStyle w:val="Hyperlink"/>
          </w:rPr>
          <w:t>Scientific Rationale for Study Design</w:t>
        </w:r>
        <w:r w:rsidR="003776AB">
          <w:rPr>
            <w:webHidden/>
          </w:rPr>
          <w:tab/>
        </w:r>
        <w:r w:rsidR="003776AB">
          <w:rPr>
            <w:webHidden/>
          </w:rPr>
          <w:fldChar w:fldCharType="begin"/>
        </w:r>
        <w:r w:rsidR="003776AB">
          <w:rPr>
            <w:webHidden/>
          </w:rPr>
          <w:instrText xml:space="preserve"> PAGEREF _Toc44601651 \h </w:instrText>
        </w:r>
        <w:r w:rsidR="003776AB">
          <w:rPr>
            <w:webHidden/>
          </w:rPr>
        </w:r>
        <w:r w:rsidR="003776AB">
          <w:rPr>
            <w:webHidden/>
          </w:rPr>
          <w:fldChar w:fldCharType="separate"/>
        </w:r>
        <w:r w:rsidR="00996BB1">
          <w:rPr>
            <w:webHidden/>
          </w:rPr>
          <w:t>41</w:t>
        </w:r>
        <w:r w:rsidR="003776AB">
          <w:rPr>
            <w:webHidden/>
          </w:rPr>
          <w:fldChar w:fldCharType="end"/>
        </w:r>
      </w:hyperlink>
    </w:p>
    <w:p w14:paraId="29754E2D" w14:textId="4469B526" w:rsidR="003776AB" w:rsidRDefault="00942EE9">
      <w:pPr>
        <w:pStyle w:val="TOC3"/>
        <w:rPr>
          <w:rFonts w:asciiTheme="minorHAnsi" w:hAnsiTheme="minorHAnsi" w:cstheme="minorBidi"/>
          <w:sz w:val="22"/>
          <w:szCs w:val="22"/>
        </w:rPr>
      </w:pPr>
      <w:hyperlink w:anchor="_Toc44601652" w:history="1">
        <w:r w:rsidR="003776AB" w:rsidRPr="000D4549">
          <w:rPr>
            <w:rStyle w:val="Hyperlink"/>
          </w:rPr>
          <w:t>4.2.1</w:t>
        </w:r>
        <w:r w:rsidR="003776AB">
          <w:rPr>
            <w:rFonts w:asciiTheme="minorHAnsi" w:hAnsiTheme="minorHAnsi" w:cstheme="minorBidi"/>
            <w:sz w:val="22"/>
            <w:szCs w:val="22"/>
          </w:rPr>
          <w:tab/>
        </w:r>
        <w:r w:rsidR="003776AB" w:rsidRPr="000D4549">
          <w:rPr>
            <w:rStyle w:val="Hyperlink"/>
          </w:rPr>
          <w:t>Endpoints</w:t>
        </w:r>
        <w:r w:rsidR="003776AB">
          <w:rPr>
            <w:webHidden/>
          </w:rPr>
          <w:tab/>
        </w:r>
        <w:r w:rsidR="003776AB">
          <w:rPr>
            <w:webHidden/>
          </w:rPr>
          <w:fldChar w:fldCharType="begin"/>
        </w:r>
        <w:r w:rsidR="003776AB">
          <w:rPr>
            <w:webHidden/>
          </w:rPr>
          <w:instrText xml:space="preserve"> PAGEREF _Toc44601652 \h </w:instrText>
        </w:r>
        <w:r w:rsidR="003776AB">
          <w:rPr>
            <w:webHidden/>
          </w:rPr>
        </w:r>
        <w:r w:rsidR="003776AB">
          <w:rPr>
            <w:webHidden/>
          </w:rPr>
          <w:fldChar w:fldCharType="separate"/>
        </w:r>
        <w:r w:rsidR="00996BB1">
          <w:rPr>
            <w:webHidden/>
          </w:rPr>
          <w:t>41</w:t>
        </w:r>
        <w:r w:rsidR="003776AB">
          <w:rPr>
            <w:webHidden/>
          </w:rPr>
          <w:fldChar w:fldCharType="end"/>
        </w:r>
      </w:hyperlink>
    </w:p>
    <w:p w14:paraId="1444CE92" w14:textId="00BC29BE" w:rsidR="003776AB" w:rsidRDefault="00942EE9">
      <w:pPr>
        <w:pStyle w:val="TOC3"/>
        <w:rPr>
          <w:rFonts w:asciiTheme="minorHAnsi" w:hAnsiTheme="minorHAnsi" w:cstheme="minorBidi"/>
          <w:sz w:val="22"/>
          <w:szCs w:val="22"/>
        </w:rPr>
      </w:pPr>
      <w:hyperlink w:anchor="_Toc44601653" w:history="1">
        <w:r w:rsidR="003776AB" w:rsidRPr="000D4549">
          <w:rPr>
            <w:rStyle w:val="Hyperlink"/>
          </w:rPr>
          <w:t>4.2.2</w:t>
        </w:r>
        <w:r w:rsidR="003776AB">
          <w:rPr>
            <w:rFonts w:asciiTheme="minorHAnsi" w:hAnsiTheme="minorHAnsi" w:cstheme="minorBidi"/>
            <w:sz w:val="22"/>
            <w:szCs w:val="22"/>
          </w:rPr>
          <w:tab/>
        </w:r>
        <w:r w:rsidR="003776AB" w:rsidRPr="000D4549">
          <w:rPr>
            <w:rStyle w:val="Hyperlink"/>
          </w:rPr>
          <w:t>Selection of Combination and Study Population</w:t>
        </w:r>
        <w:r w:rsidR="003776AB">
          <w:rPr>
            <w:webHidden/>
          </w:rPr>
          <w:tab/>
        </w:r>
        <w:r w:rsidR="003776AB">
          <w:rPr>
            <w:webHidden/>
          </w:rPr>
          <w:fldChar w:fldCharType="begin"/>
        </w:r>
        <w:r w:rsidR="003776AB">
          <w:rPr>
            <w:webHidden/>
          </w:rPr>
          <w:instrText xml:space="preserve"> PAGEREF _Toc44601653 \h </w:instrText>
        </w:r>
        <w:r w:rsidR="003776AB">
          <w:rPr>
            <w:webHidden/>
          </w:rPr>
        </w:r>
        <w:r w:rsidR="003776AB">
          <w:rPr>
            <w:webHidden/>
          </w:rPr>
          <w:fldChar w:fldCharType="separate"/>
        </w:r>
        <w:r w:rsidR="00996BB1">
          <w:rPr>
            <w:webHidden/>
          </w:rPr>
          <w:t>41</w:t>
        </w:r>
        <w:r w:rsidR="003776AB">
          <w:rPr>
            <w:webHidden/>
          </w:rPr>
          <w:fldChar w:fldCharType="end"/>
        </w:r>
      </w:hyperlink>
    </w:p>
    <w:p w14:paraId="2EB56FB0" w14:textId="2B9E01AA" w:rsidR="003776AB" w:rsidRDefault="00942EE9">
      <w:pPr>
        <w:pStyle w:val="TOC2"/>
        <w:rPr>
          <w:rFonts w:asciiTheme="minorHAnsi" w:hAnsiTheme="minorHAnsi" w:cstheme="minorBidi"/>
          <w:sz w:val="22"/>
          <w:szCs w:val="22"/>
        </w:rPr>
      </w:pPr>
      <w:hyperlink w:anchor="_Toc44601654" w:history="1">
        <w:r w:rsidR="003776AB" w:rsidRPr="000D4549">
          <w:rPr>
            <w:rStyle w:val="Hyperlink"/>
          </w:rPr>
          <w:t>4.3</w:t>
        </w:r>
        <w:r w:rsidR="003776AB">
          <w:rPr>
            <w:rFonts w:asciiTheme="minorHAnsi" w:hAnsiTheme="minorHAnsi" w:cstheme="minorBidi"/>
            <w:sz w:val="22"/>
            <w:szCs w:val="22"/>
          </w:rPr>
          <w:tab/>
        </w:r>
        <w:r w:rsidR="003776AB" w:rsidRPr="000D4549">
          <w:rPr>
            <w:rStyle w:val="Hyperlink"/>
          </w:rPr>
          <w:t>Justification for Dose</w:t>
        </w:r>
        <w:r w:rsidR="003776AB">
          <w:rPr>
            <w:webHidden/>
          </w:rPr>
          <w:tab/>
        </w:r>
        <w:r w:rsidR="003776AB">
          <w:rPr>
            <w:webHidden/>
          </w:rPr>
          <w:fldChar w:fldCharType="begin"/>
        </w:r>
        <w:r w:rsidR="003776AB">
          <w:rPr>
            <w:webHidden/>
          </w:rPr>
          <w:instrText xml:space="preserve"> PAGEREF _Toc44601654 \h </w:instrText>
        </w:r>
        <w:r w:rsidR="003776AB">
          <w:rPr>
            <w:webHidden/>
          </w:rPr>
        </w:r>
        <w:r w:rsidR="003776AB">
          <w:rPr>
            <w:webHidden/>
          </w:rPr>
          <w:fldChar w:fldCharType="separate"/>
        </w:r>
        <w:r w:rsidR="00996BB1">
          <w:rPr>
            <w:webHidden/>
          </w:rPr>
          <w:t>41</w:t>
        </w:r>
        <w:r w:rsidR="003776AB">
          <w:rPr>
            <w:webHidden/>
          </w:rPr>
          <w:fldChar w:fldCharType="end"/>
        </w:r>
      </w:hyperlink>
    </w:p>
    <w:p w14:paraId="018A72B5" w14:textId="4B9B415C" w:rsidR="003776AB" w:rsidRDefault="00942EE9">
      <w:pPr>
        <w:pStyle w:val="TOC2"/>
        <w:rPr>
          <w:rFonts w:asciiTheme="minorHAnsi" w:hAnsiTheme="minorHAnsi" w:cstheme="minorBidi"/>
          <w:sz w:val="22"/>
          <w:szCs w:val="22"/>
        </w:rPr>
      </w:pPr>
      <w:hyperlink w:anchor="_Toc44601655" w:history="1">
        <w:r w:rsidR="003776AB" w:rsidRPr="000D4549">
          <w:rPr>
            <w:rStyle w:val="Hyperlink"/>
          </w:rPr>
          <w:t>4.4</w:t>
        </w:r>
        <w:r w:rsidR="003776AB">
          <w:rPr>
            <w:rFonts w:asciiTheme="minorHAnsi" w:hAnsiTheme="minorHAnsi" w:cstheme="minorBidi"/>
            <w:sz w:val="22"/>
            <w:szCs w:val="22"/>
          </w:rPr>
          <w:tab/>
        </w:r>
        <w:r w:rsidR="003776AB" w:rsidRPr="000D4549">
          <w:rPr>
            <w:rStyle w:val="Hyperlink"/>
          </w:rPr>
          <w:t>End of Study Definition</w:t>
        </w:r>
        <w:r w:rsidR="003776AB">
          <w:rPr>
            <w:webHidden/>
          </w:rPr>
          <w:tab/>
        </w:r>
        <w:r w:rsidR="003776AB">
          <w:rPr>
            <w:webHidden/>
          </w:rPr>
          <w:fldChar w:fldCharType="begin"/>
        </w:r>
        <w:r w:rsidR="003776AB">
          <w:rPr>
            <w:webHidden/>
          </w:rPr>
          <w:instrText xml:space="preserve"> PAGEREF _Toc44601655 \h </w:instrText>
        </w:r>
        <w:r w:rsidR="003776AB">
          <w:rPr>
            <w:webHidden/>
          </w:rPr>
        </w:r>
        <w:r w:rsidR="003776AB">
          <w:rPr>
            <w:webHidden/>
          </w:rPr>
          <w:fldChar w:fldCharType="separate"/>
        </w:r>
        <w:r w:rsidR="00996BB1">
          <w:rPr>
            <w:webHidden/>
          </w:rPr>
          <w:t>42</w:t>
        </w:r>
        <w:r w:rsidR="003776AB">
          <w:rPr>
            <w:webHidden/>
          </w:rPr>
          <w:fldChar w:fldCharType="end"/>
        </w:r>
      </w:hyperlink>
    </w:p>
    <w:p w14:paraId="375F2CF9" w14:textId="63015A33" w:rsidR="003776AB" w:rsidRDefault="00942EE9">
      <w:pPr>
        <w:pStyle w:val="TOC1"/>
        <w:rPr>
          <w:rFonts w:asciiTheme="minorHAnsi" w:hAnsiTheme="minorHAnsi" w:cstheme="minorBidi"/>
          <w:sz w:val="22"/>
          <w:szCs w:val="22"/>
        </w:rPr>
      </w:pPr>
      <w:hyperlink w:anchor="_Toc44601656" w:history="1">
        <w:r w:rsidR="003776AB" w:rsidRPr="000D4549">
          <w:rPr>
            <w:rStyle w:val="Hyperlink"/>
          </w:rPr>
          <w:t>5</w:t>
        </w:r>
        <w:r w:rsidR="003776AB">
          <w:rPr>
            <w:rFonts w:asciiTheme="minorHAnsi" w:hAnsiTheme="minorHAnsi" w:cstheme="minorBidi"/>
            <w:sz w:val="22"/>
            <w:szCs w:val="22"/>
          </w:rPr>
          <w:tab/>
        </w:r>
        <w:r w:rsidR="003776AB" w:rsidRPr="000D4549">
          <w:rPr>
            <w:rStyle w:val="Hyperlink"/>
          </w:rPr>
          <w:t>Study Population</w:t>
        </w:r>
        <w:r w:rsidR="003776AB">
          <w:rPr>
            <w:webHidden/>
          </w:rPr>
          <w:tab/>
        </w:r>
        <w:r w:rsidR="003776AB">
          <w:rPr>
            <w:webHidden/>
          </w:rPr>
          <w:fldChar w:fldCharType="begin"/>
        </w:r>
        <w:r w:rsidR="003776AB">
          <w:rPr>
            <w:webHidden/>
          </w:rPr>
          <w:instrText xml:space="preserve"> PAGEREF _Toc44601656 \h </w:instrText>
        </w:r>
        <w:r w:rsidR="003776AB">
          <w:rPr>
            <w:webHidden/>
          </w:rPr>
        </w:r>
        <w:r w:rsidR="003776AB">
          <w:rPr>
            <w:webHidden/>
          </w:rPr>
          <w:fldChar w:fldCharType="separate"/>
        </w:r>
        <w:r w:rsidR="00996BB1">
          <w:rPr>
            <w:webHidden/>
          </w:rPr>
          <w:t>42</w:t>
        </w:r>
        <w:r w:rsidR="003776AB">
          <w:rPr>
            <w:webHidden/>
          </w:rPr>
          <w:fldChar w:fldCharType="end"/>
        </w:r>
      </w:hyperlink>
    </w:p>
    <w:p w14:paraId="594D0E2B" w14:textId="608B37BF" w:rsidR="003776AB" w:rsidRDefault="00942EE9">
      <w:pPr>
        <w:pStyle w:val="TOC2"/>
        <w:rPr>
          <w:rFonts w:asciiTheme="minorHAnsi" w:hAnsiTheme="minorHAnsi" w:cstheme="minorBidi"/>
          <w:sz w:val="22"/>
          <w:szCs w:val="22"/>
        </w:rPr>
      </w:pPr>
      <w:hyperlink w:anchor="_Toc44601657" w:history="1">
        <w:r w:rsidR="003776AB" w:rsidRPr="000D4549">
          <w:rPr>
            <w:rStyle w:val="Hyperlink"/>
          </w:rPr>
          <w:t>5.1</w:t>
        </w:r>
        <w:r w:rsidR="003776AB">
          <w:rPr>
            <w:rFonts w:asciiTheme="minorHAnsi" w:hAnsiTheme="minorHAnsi" w:cstheme="minorBidi"/>
            <w:sz w:val="22"/>
            <w:szCs w:val="22"/>
          </w:rPr>
          <w:tab/>
        </w:r>
        <w:r w:rsidR="003776AB" w:rsidRPr="000D4549">
          <w:rPr>
            <w:rStyle w:val="Hyperlink"/>
          </w:rPr>
          <w:t>Inclusion Criteria</w:t>
        </w:r>
        <w:r w:rsidR="003776AB">
          <w:rPr>
            <w:webHidden/>
          </w:rPr>
          <w:tab/>
        </w:r>
        <w:r w:rsidR="003776AB">
          <w:rPr>
            <w:webHidden/>
          </w:rPr>
          <w:fldChar w:fldCharType="begin"/>
        </w:r>
        <w:r w:rsidR="003776AB">
          <w:rPr>
            <w:webHidden/>
          </w:rPr>
          <w:instrText xml:space="preserve"> PAGEREF _Toc44601657 \h </w:instrText>
        </w:r>
        <w:r w:rsidR="003776AB">
          <w:rPr>
            <w:webHidden/>
          </w:rPr>
        </w:r>
        <w:r w:rsidR="003776AB">
          <w:rPr>
            <w:webHidden/>
          </w:rPr>
          <w:fldChar w:fldCharType="separate"/>
        </w:r>
        <w:r w:rsidR="00996BB1">
          <w:rPr>
            <w:webHidden/>
          </w:rPr>
          <w:t>42</w:t>
        </w:r>
        <w:r w:rsidR="003776AB">
          <w:rPr>
            <w:webHidden/>
          </w:rPr>
          <w:fldChar w:fldCharType="end"/>
        </w:r>
      </w:hyperlink>
    </w:p>
    <w:p w14:paraId="7C257863" w14:textId="41054FB9" w:rsidR="003776AB" w:rsidRDefault="00942EE9">
      <w:pPr>
        <w:pStyle w:val="TOC2"/>
        <w:rPr>
          <w:rFonts w:asciiTheme="minorHAnsi" w:hAnsiTheme="minorHAnsi" w:cstheme="minorBidi"/>
          <w:sz w:val="22"/>
          <w:szCs w:val="22"/>
        </w:rPr>
      </w:pPr>
      <w:hyperlink w:anchor="_Toc44601658" w:history="1">
        <w:r w:rsidR="003776AB" w:rsidRPr="000D4549">
          <w:rPr>
            <w:rStyle w:val="Hyperlink"/>
          </w:rPr>
          <w:t>5.2</w:t>
        </w:r>
        <w:r w:rsidR="003776AB">
          <w:rPr>
            <w:rFonts w:asciiTheme="minorHAnsi" w:hAnsiTheme="minorHAnsi" w:cstheme="minorBidi"/>
            <w:sz w:val="22"/>
            <w:szCs w:val="22"/>
          </w:rPr>
          <w:tab/>
        </w:r>
        <w:r w:rsidR="003776AB" w:rsidRPr="000D4549">
          <w:rPr>
            <w:rStyle w:val="Hyperlink"/>
          </w:rPr>
          <w:t>Exclusion Criteria</w:t>
        </w:r>
        <w:r w:rsidR="003776AB">
          <w:rPr>
            <w:webHidden/>
          </w:rPr>
          <w:tab/>
        </w:r>
        <w:r w:rsidR="003776AB">
          <w:rPr>
            <w:webHidden/>
          </w:rPr>
          <w:fldChar w:fldCharType="begin"/>
        </w:r>
        <w:r w:rsidR="003776AB">
          <w:rPr>
            <w:webHidden/>
          </w:rPr>
          <w:instrText xml:space="preserve"> PAGEREF _Toc44601658 \h </w:instrText>
        </w:r>
        <w:r w:rsidR="003776AB">
          <w:rPr>
            <w:webHidden/>
          </w:rPr>
        </w:r>
        <w:r w:rsidR="003776AB">
          <w:rPr>
            <w:webHidden/>
          </w:rPr>
          <w:fldChar w:fldCharType="separate"/>
        </w:r>
        <w:r w:rsidR="00996BB1">
          <w:rPr>
            <w:webHidden/>
          </w:rPr>
          <w:t>46</w:t>
        </w:r>
        <w:r w:rsidR="003776AB">
          <w:rPr>
            <w:webHidden/>
          </w:rPr>
          <w:fldChar w:fldCharType="end"/>
        </w:r>
      </w:hyperlink>
    </w:p>
    <w:p w14:paraId="448855F7" w14:textId="675894D3" w:rsidR="003776AB" w:rsidRDefault="00942EE9">
      <w:pPr>
        <w:pStyle w:val="TOC2"/>
        <w:rPr>
          <w:rFonts w:asciiTheme="minorHAnsi" w:hAnsiTheme="minorHAnsi" w:cstheme="minorBidi"/>
          <w:sz w:val="22"/>
          <w:szCs w:val="22"/>
        </w:rPr>
      </w:pPr>
      <w:hyperlink w:anchor="_Toc44601659" w:history="1">
        <w:r w:rsidR="003776AB" w:rsidRPr="000D4549">
          <w:rPr>
            <w:rStyle w:val="Hyperlink"/>
          </w:rPr>
          <w:t>5.3</w:t>
        </w:r>
        <w:r w:rsidR="003776AB">
          <w:rPr>
            <w:rFonts w:asciiTheme="minorHAnsi" w:hAnsiTheme="minorHAnsi" w:cstheme="minorBidi"/>
            <w:sz w:val="22"/>
            <w:szCs w:val="22"/>
          </w:rPr>
          <w:tab/>
        </w:r>
        <w:r w:rsidR="003776AB" w:rsidRPr="000D4549">
          <w:rPr>
            <w:rStyle w:val="Hyperlink"/>
          </w:rPr>
          <w:t>Lifestyle Considerations</w:t>
        </w:r>
        <w:r w:rsidR="003776AB">
          <w:rPr>
            <w:webHidden/>
          </w:rPr>
          <w:tab/>
        </w:r>
        <w:r w:rsidR="003776AB">
          <w:rPr>
            <w:webHidden/>
          </w:rPr>
          <w:fldChar w:fldCharType="begin"/>
        </w:r>
        <w:r w:rsidR="003776AB">
          <w:rPr>
            <w:webHidden/>
          </w:rPr>
          <w:instrText xml:space="preserve"> PAGEREF _Toc44601659 \h </w:instrText>
        </w:r>
        <w:r w:rsidR="003776AB">
          <w:rPr>
            <w:webHidden/>
          </w:rPr>
        </w:r>
        <w:r w:rsidR="003776AB">
          <w:rPr>
            <w:webHidden/>
          </w:rPr>
          <w:fldChar w:fldCharType="separate"/>
        </w:r>
        <w:r w:rsidR="00996BB1">
          <w:rPr>
            <w:webHidden/>
          </w:rPr>
          <w:t>49</w:t>
        </w:r>
        <w:r w:rsidR="003776AB">
          <w:rPr>
            <w:webHidden/>
          </w:rPr>
          <w:fldChar w:fldCharType="end"/>
        </w:r>
      </w:hyperlink>
    </w:p>
    <w:p w14:paraId="3D56C311" w14:textId="0B96AC0D" w:rsidR="003776AB" w:rsidRDefault="00942EE9">
      <w:pPr>
        <w:pStyle w:val="TOC2"/>
        <w:rPr>
          <w:rFonts w:asciiTheme="minorHAnsi" w:hAnsiTheme="minorHAnsi" w:cstheme="minorBidi"/>
          <w:sz w:val="22"/>
          <w:szCs w:val="22"/>
        </w:rPr>
      </w:pPr>
      <w:hyperlink w:anchor="_Toc44601660" w:history="1">
        <w:r w:rsidR="003776AB" w:rsidRPr="000D4549">
          <w:rPr>
            <w:rStyle w:val="Hyperlink"/>
          </w:rPr>
          <w:t>5.4</w:t>
        </w:r>
        <w:r w:rsidR="003776AB">
          <w:rPr>
            <w:rFonts w:asciiTheme="minorHAnsi" w:hAnsiTheme="minorHAnsi" w:cstheme="minorBidi"/>
            <w:sz w:val="22"/>
            <w:szCs w:val="22"/>
          </w:rPr>
          <w:tab/>
        </w:r>
        <w:r w:rsidR="003776AB" w:rsidRPr="000D4549">
          <w:rPr>
            <w:rStyle w:val="Hyperlink"/>
          </w:rPr>
          <w:t>Screen Failures</w:t>
        </w:r>
        <w:r w:rsidR="003776AB">
          <w:rPr>
            <w:webHidden/>
          </w:rPr>
          <w:tab/>
        </w:r>
        <w:r w:rsidR="003776AB">
          <w:rPr>
            <w:webHidden/>
          </w:rPr>
          <w:fldChar w:fldCharType="begin"/>
        </w:r>
        <w:r w:rsidR="003776AB">
          <w:rPr>
            <w:webHidden/>
          </w:rPr>
          <w:instrText xml:space="preserve"> PAGEREF _Toc44601660 \h </w:instrText>
        </w:r>
        <w:r w:rsidR="003776AB">
          <w:rPr>
            <w:webHidden/>
          </w:rPr>
        </w:r>
        <w:r w:rsidR="003776AB">
          <w:rPr>
            <w:webHidden/>
          </w:rPr>
          <w:fldChar w:fldCharType="separate"/>
        </w:r>
        <w:r w:rsidR="00996BB1">
          <w:rPr>
            <w:webHidden/>
          </w:rPr>
          <w:t>49</w:t>
        </w:r>
        <w:r w:rsidR="003776AB">
          <w:rPr>
            <w:webHidden/>
          </w:rPr>
          <w:fldChar w:fldCharType="end"/>
        </w:r>
      </w:hyperlink>
    </w:p>
    <w:p w14:paraId="448630F4" w14:textId="459BD87A" w:rsidR="003776AB" w:rsidRDefault="00942EE9">
      <w:pPr>
        <w:pStyle w:val="TOC1"/>
        <w:rPr>
          <w:rFonts w:asciiTheme="minorHAnsi" w:hAnsiTheme="minorHAnsi" w:cstheme="minorBidi"/>
          <w:sz w:val="22"/>
          <w:szCs w:val="22"/>
        </w:rPr>
      </w:pPr>
      <w:hyperlink w:anchor="_Toc44601661" w:history="1">
        <w:r w:rsidR="003776AB" w:rsidRPr="000D4549">
          <w:rPr>
            <w:rStyle w:val="Hyperlink"/>
          </w:rPr>
          <w:t>6</w:t>
        </w:r>
        <w:r w:rsidR="003776AB">
          <w:rPr>
            <w:rFonts w:asciiTheme="minorHAnsi" w:hAnsiTheme="minorHAnsi" w:cstheme="minorBidi"/>
            <w:sz w:val="22"/>
            <w:szCs w:val="22"/>
          </w:rPr>
          <w:tab/>
        </w:r>
        <w:r w:rsidR="003776AB" w:rsidRPr="000D4549">
          <w:rPr>
            <w:rStyle w:val="Hyperlink"/>
          </w:rPr>
          <w:t>Study Intervention(s)</w:t>
        </w:r>
        <w:r w:rsidR="003776AB">
          <w:rPr>
            <w:webHidden/>
          </w:rPr>
          <w:tab/>
        </w:r>
        <w:r w:rsidR="003776AB">
          <w:rPr>
            <w:webHidden/>
          </w:rPr>
          <w:fldChar w:fldCharType="begin"/>
        </w:r>
        <w:r w:rsidR="003776AB">
          <w:rPr>
            <w:webHidden/>
          </w:rPr>
          <w:instrText xml:space="preserve"> PAGEREF _Toc44601661 \h </w:instrText>
        </w:r>
        <w:r w:rsidR="003776AB">
          <w:rPr>
            <w:webHidden/>
          </w:rPr>
        </w:r>
        <w:r w:rsidR="003776AB">
          <w:rPr>
            <w:webHidden/>
          </w:rPr>
          <w:fldChar w:fldCharType="separate"/>
        </w:r>
        <w:r w:rsidR="00996BB1">
          <w:rPr>
            <w:webHidden/>
          </w:rPr>
          <w:t>49</w:t>
        </w:r>
        <w:r w:rsidR="003776AB">
          <w:rPr>
            <w:webHidden/>
          </w:rPr>
          <w:fldChar w:fldCharType="end"/>
        </w:r>
      </w:hyperlink>
    </w:p>
    <w:p w14:paraId="6B10C8F2" w14:textId="7179B19E" w:rsidR="003776AB" w:rsidRDefault="00942EE9">
      <w:pPr>
        <w:pStyle w:val="TOC2"/>
        <w:rPr>
          <w:rFonts w:asciiTheme="minorHAnsi" w:hAnsiTheme="minorHAnsi" w:cstheme="minorBidi"/>
          <w:sz w:val="22"/>
          <w:szCs w:val="22"/>
        </w:rPr>
      </w:pPr>
      <w:hyperlink w:anchor="_Toc44601662" w:history="1">
        <w:r w:rsidR="003776AB" w:rsidRPr="000D4549">
          <w:rPr>
            <w:rStyle w:val="Hyperlink"/>
          </w:rPr>
          <w:t>6.1</w:t>
        </w:r>
        <w:r w:rsidR="003776AB">
          <w:rPr>
            <w:rFonts w:asciiTheme="minorHAnsi" w:hAnsiTheme="minorHAnsi" w:cstheme="minorBidi"/>
            <w:sz w:val="22"/>
            <w:szCs w:val="22"/>
          </w:rPr>
          <w:tab/>
        </w:r>
        <w:r w:rsidR="003776AB" w:rsidRPr="000D4549">
          <w:rPr>
            <w:rStyle w:val="Hyperlink"/>
          </w:rPr>
          <w:t>Study Intervention(s) Administration</w:t>
        </w:r>
        <w:r w:rsidR="003776AB">
          <w:rPr>
            <w:webHidden/>
          </w:rPr>
          <w:tab/>
        </w:r>
        <w:r w:rsidR="003776AB">
          <w:rPr>
            <w:webHidden/>
          </w:rPr>
          <w:fldChar w:fldCharType="begin"/>
        </w:r>
        <w:r w:rsidR="003776AB">
          <w:rPr>
            <w:webHidden/>
          </w:rPr>
          <w:instrText xml:space="preserve"> PAGEREF _Toc44601662 \h </w:instrText>
        </w:r>
        <w:r w:rsidR="003776AB">
          <w:rPr>
            <w:webHidden/>
          </w:rPr>
        </w:r>
        <w:r w:rsidR="003776AB">
          <w:rPr>
            <w:webHidden/>
          </w:rPr>
          <w:fldChar w:fldCharType="separate"/>
        </w:r>
        <w:r w:rsidR="00996BB1">
          <w:rPr>
            <w:webHidden/>
          </w:rPr>
          <w:t>49</w:t>
        </w:r>
        <w:r w:rsidR="003776AB">
          <w:rPr>
            <w:webHidden/>
          </w:rPr>
          <w:fldChar w:fldCharType="end"/>
        </w:r>
      </w:hyperlink>
    </w:p>
    <w:p w14:paraId="7DF9D09D" w14:textId="65895848" w:rsidR="003776AB" w:rsidRDefault="00942EE9">
      <w:pPr>
        <w:pStyle w:val="TOC3"/>
        <w:rPr>
          <w:rFonts w:asciiTheme="minorHAnsi" w:hAnsiTheme="minorHAnsi" w:cstheme="minorBidi"/>
          <w:sz w:val="22"/>
          <w:szCs w:val="22"/>
        </w:rPr>
      </w:pPr>
      <w:hyperlink w:anchor="_Toc44601663" w:history="1">
        <w:r w:rsidR="003776AB" w:rsidRPr="000D4549">
          <w:rPr>
            <w:rStyle w:val="Hyperlink"/>
          </w:rPr>
          <w:t>6.1.1</w:t>
        </w:r>
        <w:r w:rsidR="003776AB">
          <w:rPr>
            <w:rFonts w:asciiTheme="minorHAnsi" w:hAnsiTheme="minorHAnsi" w:cstheme="minorBidi"/>
            <w:sz w:val="22"/>
            <w:szCs w:val="22"/>
          </w:rPr>
          <w:tab/>
        </w:r>
        <w:r w:rsidR="003776AB" w:rsidRPr="000D4549">
          <w:rPr>
            <w:rStyle w:val="Hyperlink"/>
          </w:rPr>
          <w:t>Bintrafusp alfa</w:t>
        </w:r>
        <w:r w:rsidR="003776AB">
          <w:rPr>
            <w:webHidden/>
          </w:rPr>
          <w:tab/>
        </w:r>
        <w:r w:rsidR="003776AB">
          <w:rPr>
            <w:webHidden/>
          </w:rPr>
          <w:fldChar w:fldCharType="begin"/>
        </w:r>
        <w:r w:rsidR="003776AB">
          <w:rPr>
            <w:webHidden/>
          </w:rPr>
          <w:instrText xml:space="preserve"> PAGEREF _Toc44601663 \h </w:instrText>
        </w:r>
        <w:r w:rsidR="003776AB">
          <w:rPr>
            <w:webHidden/>
          </w:rPr>
        </w:r>
        <w:r w:rsidR="003776AB">
          <w:rPr>
            <w:webHidden/>
          </w:rPr>
          <w:fldChar w:fldCharType="separate"/>
        </w:r>
        <w:r w:rsidR="00996BB1">
          <w:rPr>
            <w:webHidden/>
          </w:rPr>
          <w:t>50</w:t>
        </w:r>
        <w:r w:rsidR="003776AB">
          <w:rPr>
            <w:webHidden/>
          </w:rPr>
          <w:fldChar w:fldCharType="end"/>
        </w:r>
      </w:hyperlink>
    </w:p>
    <w:p w14:paraId="73C51C08" w14:textId="3D2AE767" w:rsidR="003776AB" w:rsidRDefault="00942EE9">
      <w:pPr>
        <w:pStyle w:val="TOC3"/>
        <w:rPr>
          <w:rFonts w:asciiTheme="minorHAnsi" w:hAnsiTheme="minorHAnsi" w:cstheme="minorBidi"/>
          <w:sz w:val="22"/>
          <w:szCs w:val="22"/>
        </w:rPr>
      </w:pPr>
      <w:hyperlink w:anchor="_Toc44601664" w:history="1">
        <w:r w:rsidR="003776AB" w:rsidRPr="000D4549">
          <w:rPr>
            <w:rStyle w:val="Hyperlink"/>
          </w:rPr>
          <w:t>6.1.2</w:t>
        </w:r>
        <w:r w:rsidR="003776AB">
          <w:rPr>
            <w:rFonts w:asciiTheme="minorHAnsi" w:hAnsiTheme="minorHAnsi" w:cstheme="minorBidi"/>
            <w:sz w:val="22"/>
            <w:szCs w:val="22"/>
          </w:rPr>
          <w:tab/>
        </w:r>
        <w:r w:rsidR="003776AB" w:rsidRPr="000D4549">
          <w:rPr>
            <w:rStyle w:val="Hyperlink"/>
          </w:rPr>
          <w:t>Chemotherapy and Bevacizumab</w:t>
        </w:r>
        <w:r w:rsidR="003776AB">
          <w:rPr>
            <w:webHidden/>
          </w:rPr>
          <w:tab/>
        </w:r>
        <w:r w:rsidR="003776AB">
          <w:rPr>
            <w:webHidden/>
          </w:rPr>
          <w:fldChar w:fldCharType="begin"/>
        </w:r>
        <w:r w:rsidR="003776AB">
          <w:rPr>
            <w:webHidden/>
          </w:rPr>
          <w:instrText xml:space="preserve"> PAGEREF _Toc44601664 \h </w:instrText>
        </w:r>
        <w:r w:rsidR="003776AB">
          <w:rPr>
            <w:webHidden/>
          </w:rPr>
        </w:r>
        <w:r w:rsidR="003776AB">
          <w:rPr>
            <w:webHidden/>
          </w:rPr>
          <w:fldChar w:fldCharType="separate"/>
        </w:r>
        <w:r w:rsidR="00996BB1">
          <w:rPr>
            <w:webHidden/>
          </w:rPr>
          <w:t>50</w:t>
        </w:r>
        <w:r w:rsidR="003776AB">
          <w:rPr>
            <w:webHidden/>
          </w:rPr>
          <w:fldChar w:fldCharType="end"/>
        </w:r>
      </w:hyperlink>
    </w:p>
    <w:p w14:paraId="6BD148A1" w14:textId="32230886" w:rsidR="003776AB" w:rsidRDefault="00942EE9">
      <w:pPr>
        <w:pStyle w:val="TOC3"/>
        <w:rPr>
          <w:rFonts w:asciiTheme="minorHAnsi" w:hAnsiTheme="minorHAnsi" w:cstheme="minorBidi"/>
          <w:sz w:val="22"/>
          <w:szCs w:val="22"/>
        </w:rPr>
      </w:pPr>
      <w:hyperlink w:anchor="_Toc44601665" w:history="1">
        <w:r w:rsidR="003776AB" w:rsidRPr="000D4549">
          <w:rPr>
            <w:rStyle w:val="Hyperlink"/>
          </w:rPr>
          <w:t>6.1.3</w:t>
        </w:r>
        <w:r w:rsidR="003776AB">
          <w:rPr>
            <w:rFonts w:asciiTheme="minorHAnsi" w:hAnsiTheme="minorHAnsi" w:cstheme="minorBidi"/>
            <w:sz w:val="22"/>
            <w:szCs w:val="22"/>
          </w:rPr>
          <w:tab/>
        </w:r>
        <w:r w:rsidR="003776AB" w:rsidRPr="000D4549">
          <w:rPr>
            <w:rStyle w:val="Hyperlink"/>
          </w:rPr>
          <w:t>Radiation</w:t>
        </w:r>
        <w:r w:rsidR="003776AB">
          <w:rPr>
            <w:webHidden/>
          </w:rPr>
          <w:tab/>
        </w:r>
        <w:r w:rsidR="003776AB">
          <w:rPr>
            <w:webHidden/>
          </w:rPr>
          <w:fldChar w:fldCharType="begin"/>
        </w:r>
        <w:r w:rsidR="003776AB">
          <w:rPr>
            <w:webHidden/>
          </w:rPr>
          <w:instrText xml:space="preserve"> PAGEREF _Toc44601665 \h </w:instrText>
        </w:r>
        <w:r w:rsidR="003776AB">
          <w:rPr>
            <w:webHidden/>
          </w:rPr>
        </w:r>
        <w:r w:rsidR="003776AB">
          <w:rPr>
            <w:webHidden/>
          </w:rPr>
          <w:fldChar w:fldCharType="separate"/>
        </w:r>
        <w:r w:rsidR="00996BB1">
          <w:rPr>
            <w:webHidden/>
          </w:rPr>
          <w:t>51</w:t>
        </w:r>
        <w:r w:rsidR="003776AB">
          <w:rPr>
            <w:webHidden/>
          </w:rPr>
          <w:fldChar w:fldCharType="end"/>
        </w:r>
      </w:hyperlink>
    </w:p>
    <w:p w14:paraId="56DC2DB7" w14:textId="080BC993" w:rsidR="003776AB" w:rsidRDefault="00942EE9">
      <w:pPr>
        <w:pStyle w:val="TOC2"/>
        <w:rPr>
          <w:rFonts w:asciiTheme="minorHAnsi" w:hAnsiTheme="minorHAnsi" w:cstheme="minorBidi"/>
          <w:sz w:val="22"/>
          <w:szCs w:val="22"/>
        </w:rPr>
      </w:pPr>
      <w:hyperlink w:anchor="_Toc44601666" w:history="1">
        <w:r w:rsidR="003776AB" w:rsidRPr="000D4549">
          <w:rPr>
            <w:rStyle w:val="Hyperlink"/>
          </w:rPr>
          <w:t>6.2</w:t>
        </w:r>
        <w:r w:rsidR="003776AB">
          <w:rPr>
            <w:rFonts w:asciiTheme="minorHAnsi" w:hAnsiTheme="minorHAnsi" w:cstheme="minorBidi"/>
            <w:sz w:val="22"/>
            <w:szCs w:val="22"/>
          </w:rPr>
          <w:tab/>
        </w:r>
        <w:r w:rsidR="003776AB" w:rsidRPr="000D4549">
          <w:rPr>
            <w:rStyle w:val="Hyperlink"/>
          </w:rPr>
          <w:t>Study Intervention(s) Preparation, Handling, Storage, and Accountability</w:t>
        </w:r>
        <w:r w:rsidR="003776AB">
          <w:rPr>
            <w:webHidden/>
          </w:rPr>
          <w:tab/>
        </w:r>
        <w:r w:rsidR="003776AB">
          <w:rPr>
            <w:webHidden/>
          </w:rPr>
          <w:fldChar w:fldCharType="begin"/>
        </w:r>
        <w:r w:rsidR="003776AB">
          <w:rPr>
            <w:webHidden/>
          </w:rPr>
          <w:instrText xml:space="preserve"> PAGEREF _Toc44601666 \h </w:instrText>
        </w:r>
        <w:r w:rsidR="003776AB">
          <w:rPr>
            <w:webHidden/>
          </w:rPr>
        </w:r>
        <w:r w:rsidR="003776AB">
          <w:rPr>
            <w:webHidden/>
          </w:rPr>
          <w:fldChar w:fldCharType="separate"/>
        </w:r>
        <w:r w:rsidR="00996BB1">
          <w:rPr>
            <w:webHidden/>
          </w:rPr>
          <w:t>51</w:t>
        </w:r>
        <w:r w:rsidR="003776AB">
          <w:rPr>
            <w:webHidden/>
          </w:rPr>
          <w:fldChar w:fldCharType="end"/>
        </w:r>
      </w:hyperlink>
    </w:p>
    <w:p w14:paraId="57D2AE9B" w14:textId="1B24BFDE" w:rsidR="003776AB" w:rsidRDefault="00942EE9">
      <w:pPr>
        <w:pStyle w:val="TOC2"/>
        <w:rPr>
          <w:rFonts w:asciiTheme="minorHAnsi" w:hAnsiTheme="minorHAnsi" w:cstheme="minorBidi"/>
          <w:sz w:val="22"/>
          <w:szCs w:val="22"/>
        </w:rPr>
      </w:pPr>
      <w:hyperlink w:anchor="_Toc44601667" w:history="1">
        <w:r w:rsidR="003776AB" w:rsidRPr="000D4549">
          <w:rPr>
            <w:rStyle w:val="Hyperlink"/>
          </w:rPr>
          <w:t>6.3</w:t>
        </w:r>
        <w:r w:rsidR="003776AB">
          <w:rPr>
            <w:rFonts w:asciiTheme="minorHAnsi" w:hAnsiTheme="minorHAnsi" w:cstheme="minorBidi"/>
            <w:sz w:val="22"/>
            <w:szCs w:val="22"/>
          </w:rPr>
          <w:tab/>
        </w:r>
        <w:r w:rsidR="003776AB" w:rsidRPr="000D4549">
          <w:rPr>
            <w:rStyle w:val="Hyperlink"/>
          </w:rPr>
          <w:t>Measures to Minimize Bias: Study Intervention Assignment and Blinding</w:t>
        </w:r>
        <w:r w:rsidR="003776AB">
          <w:rPr>
            <w:webHidden/>
          </w:rPr>
          <w:tab/>
        </w:r>
        <w:r w:rsidR="003776AB">
          <w:rPr>
            <w:webHidden/>
          </w:rPr>
          <w:fldChar w:fldCharType="begin"/>
        </w:r>
        <w:r w:rsidR="003776AB">
          <w:rPr>
            <w:webHidden/>
          </w:rPr>
          <w:instrText xml:space="preserve"> PAGEREF _Toc44601667 \h </w:instrText>
        </w:r>
        <w:r w:rsidR="003776AB">
          <w:rPr>
            <w:webHidden/>
          </w:rPr>
        </w:r>
        <w:r w:rsidR="003776AB">
          <w:rPr>
            <w:webHidden/>
          </w:rPr>
          <w:fldChar w:fldCharType="separate"/>
        </w:r>
        <w:r w:rsidR="00996BB1">
          <w:rPr>
            <w:webHidden/>
          </w:rPr>
          <w:t>53</w:t>
        </w:r>
        <w:r w:rsidR="003776AB">
          <w:rPr>
            <w:webHidden/>
          </w:rPr>
          <w:fldChar w:fldCharType="end"/>
        </w:r>
      </w:hyperlink>
    </w:p>
    <w:p w14:paraId="48814414" w14:textId="42B626AA" w:rsidR="003776AB" w:rsidRDefault="00942EE9">
      <w:pPr>
        <w:pStyle w:val="TOC3"/>
        <w:rPr>
          <w:rFonts w:asciiTheme="minorHAnsi" w:hAnsiTheme="minorHAnsi" w:cstheme="minorBidi"/>
          <w:sz w:val="22"/>
          <w:szCs w:val="22"/>
        </w:rPr>
      </w:pPr>
      <w:hyperlink w:anchor="_Toc44601668" w:history="1">
        <w:r w:rsidR="003776AB" w:rsidRPr="000D4549">
          <w:rPr>
            <w:rStyle w:val="Hyperlink"/>
          </w:rPr>
          <w:t>6.3.1</w:t>
        </w:r>
        <w:r w:rsidR="003776AB">
          <w:rPr>
            <w:rFonts w:asciiTheme="minorHAnsi" w:hAnsiTheme="minorHAnsi" w:cstheme="minorBidi"/>
            <w:sz w:val="22"/>
            <w:szCs w:val="22"/>
          </w:rPr>
          <w:tab/>
        </w:r>
        <w:r w:rsidR="003776AB" w:rsidRPr="000D4549">
          <w:rPr>
            <w:rStyle w:val="Hyperlink"/>
          </w:rPr>
          <w:t>Study Intervention Assignment</w:t>
        </w:r>
        <w:r w:rsidR="003776AB">
          <w:rPr>
            <w:webHidden/>
          </w:rPr>
          <w:tab/>
        </w:r>
        <w:r w:rsidR="003776AB">
          <w:rPr>
            <w:webHidden/>
          </w:rPr>
          <w:fldChar w:fldCharType="begin"/>
        </w:r>
        <w:r w:rsidR="003776AB">
          <w:rPr>
            <w:webHidden/>
          </w:rPr>
          <w:instrText xml:space="preserve"> PAGEREF _Toc44601668 \h </w:instrText>
        </w:r>
        <w:r w:rsidR="003776AB">
          <w:rPr>
            <w:webHidden/>
          </w:rPr>
        </w:r>
        <w:r w:rsidR="003776AB">
          <w:rPr>
            <w:webHidden/>
          </w:rPr>
          <w:fldChar w:fldCharType="separate"/>
        </w:r>
        <w:r w:rsidR="00996BB1">
          <w:rPr>
            <w:webHidden/>
          </w:rPr>
          <w:t>53</w:t>
        </w:r>
        <w:r w:rsidR="003776AB">
          <w:rPr>
            <w:webHidden/>
          </w:rPr>
          <w:fldChar w:fldCharType="end"/>
        </w:r>
      </w:hyperlink>
    </w:p>
    <w:p w14:paraId="221D8FF4" w14:textId="5BE70E19" w:rsidR="003776AB" w:rsidRDefault="00942EE9">
      <w:pPr>
        <w:pStyle w:val="TOC3"/>
        <w:rPr>
          <w:rFonts w:asciiTheme="minorHAnsi" w:hAnsiTheme="minorHAnsi" w:cstheme="minorBidi"/>
          <w:sz w:val="22"/>
          <w:szCs w:val="22"/>
        </w:rPr>
      </w:pPr>
      <w:hyperlink w:anchor="_Toc44601669" w:history="1">
        <w:r w:rsidR="003776AB" w:rsidRPr="000D4549">
          <w:rPr>
            <w:rStyle w:val="Hyperlink"/>
          </w:rPr>
          <w:t>6.3.2</w:t>
        </w:r>
        <w:r w:rsidR="003776AB">
          <w:rPr>
            <w:rFonts w:asciiTheme="minorHAnsi" w:hAnsiTheme="minorHAnsi" w:cstheme="minorBidi"/>
            <w:sz w:val="22"/>
            <w:szCs w:val="22"/>
          </w:rPr>
          <w:tab/>
        </w:r>
        <w:r w:rsidR="003776AB" w:rsidRPr="000D4549">
          <w:rPr>
            <w:rStyle w:val="Hyperlink"/>
          </w:rPr>
          <w:t>Blinding</w:t>
        </w:r>
        <w:r w:rsidR="003776AB">
          <w:rPr>
            <w:webHidden/>
          </w:rPr>
          <w:tab/>
        </w:r>
        <w:r w:rsidR="003776AB">
          <w:rPr>
            <w:webHidden/>
          </w:rPr>
          <w:fldChar w:fldCharType="begin"/>
        </w:r>
        <w:r w:rsidR="003776AB">
          <w:rPr>
            <w:webHidden/>
          </w:rPr>
          <w:instrText xml:space="preserve"> PAGEREF _Toc44601669 \h </w:instrText>
        </w:r>
        <w:r w:rsidR="003776AB">
          <w:rPr>
            <w:webHidden/>
          </w:rPr>
        </w:r>
        <w:r w:rsidR="003776AB">
          <w:rPr>
            <w:webHidden/>
          </w:rPr>
          <w:fldChar w:fldCharType="separate"/>
        </w:r>
        <w:r w:rsidR="00996BB1">
          <w:rPr>
            <w:webHidden/>
          </w:rPr>
          <w:t>53</w:t>
        </w:r>
        <w:r w:rsidR="003776AB">
          <w:rPr>
            <w:webHidden/>
          </w:rPr>
          <w:fldChar w:fldCharType="end"/>
        </w:r>
      </w:hyperlink>
    </w:p>
    <w:p w14:paraId="63285190" w14:textId="1B332F9C" w:rsidR="003776AB" w:rsidRDefault="00942EE9">
      <w:pPr>
        <w:pStyle w:val="TOC2"/>
        <w:rPr>
          <w:rFonts w:asciiTheme="minorHAnsi" w:hAnsiTheme="minorHAnsi" w:cstheme="minorBidi"/>
          <w:sz w:val="22"/>
          <w:szCs w:val="22"/>
        </w:rPr>
      </w:pPr>
      <w:hyperlink w:anchor="_Toc44601670" w:history="1">
        <w:r w:rsidR="003776AB" w:rsidRPr="000D4549">
          <w:rPr>
            <w:rStyle w:val="Hyperlink"/>
          </w:rPr>
          <w:t>6.4</w:t>
        </w:r>
        <w:r w:rsidR="003776AB">
          <w:rPr>
            <w:rFonts w:asciiTheme="minorHAnsi" w:hAnsiTheme="minorHAnsi" w:cstheme="minorBidi"/>
            <w:sz w:val="22"/>
            <w:szCs w:val="22"/>
          </w:rPr>
          <w:tab/>
        </w:r>
        <w:r w:rsidR="003776AB" w:rsidRPr="000D4549">
          <w:rPr>
            <w:rStyle w:val="Hyperlink"/>
          </w:rPr>
          <w:t>Study Intervention Compliance</w:t>
        </w:r>
        <w:r w:rsidR="003776AB">
          <w:rPr>
            <w:webHidden/>
          </w:rPr>
          <w:tab/>
        </w:r>
        <w:r w:rsidR="003776AB">
          <w:rPr>
            <w:webHidden/>
          </w:rPr>
          <w:fldChar w:fldCharType="begin"/>
        </w:r>
        <w:r w:rsidR="003776AB">
          <w:rPr>
            <w:webHidden/>
          </w:rPr>
          <w:instrText xml:space="preserve"> PAGEREF _Toc44601670 \h </w:instrText>
        </w:r>
        <w:r w:rsidR="003776AB">
          <w:rPr>
            <w:webHidden/>
          </w:rPr>
        </w:r>
        <w:r w:rsidR="003776AB">
          <w:rPr>
            <w:webHidden/>
          </w:rPr>
          <w:fldChar w:fldCharType="separate"/>
        </w:r>
        <w:r w:rsidR="00996BB1">
          <w:rPr>
            <w:webHidden/>
          </w:rPr>
          <w:t>53</w:t>
        </w:r>
        <w:r w:rsidR="003776AB">
          <w:rPr>
            <w:webHidden/>
          </w:rPr>
          <w:fldChar w:fldCharType="end"/>
        </w:r>
      </w:hyperlink>
    </w:p>
    <w:p w14:paraId="1CCDFDEC" w14:textId="09C35A90" w:rsidR="003776AB" w:rsidRDefault="00942EE9">
      <w:pPr>
        <w:pStyle w:val="TOC2"/>
        <w:rPr>
          <w:rFonts w:asciiTheme="minorHAnsi" w:hAnsiTheme="minorHAnsi" w:cstheme="minorBidi"/>
          <w:sz w:val="22"/>
          <w:szCs w:val="22"/>
        </w:rPr>
      </w:pPr>
      <w:hyperlink w:anchor="_Toc44601671" w:history="1">
        <w:r w:rsidR="003776AB" w:rsidRPr="000D4549">
          <w:rPr>
            <w:rStyle w:val="Hyperlink"/>
          </w:rPr>
          <w:t>6.5</w:t>
        </w:r>
        <w:r w:rsidR="003776AB">
          <w:rPr>
            <w:rFonts w:asciiTheme="minorHAnsi" w:hAnsiTheme="minorHAnsi" w:cstheme="minorBidi"/>
            <w:sz w:val="22"/>
            <w:szCs w:val="22"/>
          </w:rPr>
          <w:tab/>
        </w:r>
        <w:r w:rsidR="003776AB" w:rsidRPr="000D4549">
          <w:rPr>
            <w:rStyle w:val="Hyperlink"/>
          </w:rPr>
          <w:t>Concomitant Therapy</w:t>
        </w:r>
        <w:r w:rsidR="003776AB">
          <w:rPr>
            <w:webHidden/>
          </w:rPr>
          <w:tab/>
        </w:r>
        <w:r w:rsidR="003776AB">
          <w:rPr>
            <w:webHidden/>
          </w:rPr>
          <w:fldChar w:fldCharType="begin"/>
        </w:r>
        <w:r w:rsidR="003776AB">
          <w:rPr>
            <w:webHidden/>
          </w:rPr>
          <w:instrText xml:space="preserve"> PAGEREF _Toc44601671 \h </w:instrText>
        </w:r>
        <w:r w:rsidR="003776AB">
          <w:rPr>
            <w:webHidden/>
          </w:rPr>
        </w:r>
        <w:r w:rsidR="003776AB">
          <w:rPr>
            <w:webHidden/>
          </w:rPr>
          <w:fldChar w:fldCharType="separate"/>
        </w:r>
        <w:r w:rsidR="00996BB1">
          <w:rPr>
            <w:webHidden/>
          </w:rPr>
          <w:t>53</w:t>
        </w:r>
        <w:r w:rsidR="003776AB">
          <w:rPr>
            <w:webHidden/>
          </w:rPr>
          <w:fldChar w:fldCharType="end"/>
        </w:r>
      </w:hyperlink>
    </w:p>
    <w:p w14:paraId="2592FCD6" w14:textId="198BEE92" w:rsidR="003776AB" w:rsidRDefault="00942EE9">
      <w:pPr>
        <w:pStyle w:val="TOC3"/>
        <w:rPr>
          <w:rFonts w:asciiTheme="minorHAnsi" w:hAnsiTheme="minorHAnsi" w:cstheme="minorBidi"/>
          <w:sz w:val="22"/>
          <w:szCs w:val="22"/>
        </w:rPr>
      </w:pPr>
      <w:hyperlink w:anchor="_Toc44601672" w:history="1">
        <w:r w:rsidR="003776AB" w:rsidRPr="000D4549">
          <w:rPr>
            <w:rStyle w:val="Hyperlink"/>
          </w:rPr>
          <w:t>6.5.1</w:t>
        </w:r>
        <w:r w:rsidR="003776AB">
          <w:rPr>
            <w:rFonts w:asciiTheme="minorHAnsi" w:hAnsiTheme="minorHAnsi" w:cstheme="minorBidi"/>
            <w:sz w:val="22"/>
            <w:szCs w:val="22"/>
          </w:rPr>
          <w:tab/>
        </w:r>
        <w:r w:rsidR="003776AB" w:rsidRPr="000D4549">
          <w:rPr>
            <w:rStyle w:val="Hyperlink"/>
          </w:rPr>
          <w:t>Permitted Medicines</w:t>
        </w:r>
        <w:r w:rsidR="003776AB">
          <w:rPr>
            <w:webHidden/>
          </w:rPr>
          <w:tab/>
        </w:r>
        <w:r w:rsidR="003776AB">
          <w:rPr>
            <w:webHidden/>
          </w:rPr>
          <w:fldChar w:fldCharType="begin"/>
        </w:r>
        <w:r w:rsidR="003776AB">
          <w:rPr>
            <w:webHidden/>
          </w:rPr>
          <w:instrText xml:space="preserve"> PAGEREF _Toc44601672 \h </w:instrText>
        </w:r>
        <w:r w:rsidR="003776AB">
          <w:rPr>
            <w:webHidden/>
          </w:rPr>
        </w:r>
        <w:r w:rsidR="003776AB">
          <w:rPr>
            <w:webHidden/>
          </w:rPr>
          <w:fldChar w:fldCharType="separate"/>
        </w:r>
        <w:r w:rsidR="00996BB1">
          <w:rPr>
            <w:webHidden/>
          </w:rPr>
          <w:t>54</w:t>
        </w:r>
        <w:r w:rsidR="003776AB">
          <w:rPr>
            <w:webHidden/>
          </w:rPr>
          <w:fldChar w:fldCharType="end"/>
        </w:r>
      </w:hyperlink>
    </w:p>
    <w:p w14:paraId="12FA56C4" w14:textId="0B165AC8" w:rsidR="003776AB" w:rsidRDefault="00942EE9">
      <w:pPr>
        <w:pStyle w:val="TOC3"/>
        <w:rPr>
          <w:rFonts w:asciiTheme="minorHAnsi" w:hAnsiTheme="minorHAnsi" w:cstheme="minorBidi"/>
          <w:sz w:val="22"/>
          <w:szCs w:val="22"/>
        </w:rPr>
      </w:pPr>
      <w:hyperlink w:anchor="_Toc44601673" w:history="1">
        <w:r w:rsidR="003776AB" w:rsidRPr="000D4549">
          <w:rPr>
            <w:rStyle w:val="Hyperlink"/>
          </w:rPr>
          <w:t>6.5.2</w:t>
        </w:r>
        <w:r w:rsidR="003776AB">
          <w:rPr>
            <w:rFonts w:asciiTheme="minorHAnsi" w:hAnsiTheme="minorHAnsi" w:cstheme="minorBidi"/>
            <w:sz w:val="22"/>
            <w:szCs w:val="22"/>
          </w:rPr>
          <w:tab/>
        </w:r>
        <w:r w:rsidR="003776AB" w:rsidRPr="000D4549">
          <w:rPr>
            <w:rStyle w:val="Hyperlink"/>
          </w:rPr>
          <w:t>Prohibited Medicines</w:t>
        </w:r>
        <w:r w:rsidR="003776AB">
          <w:rPr>
            <w:webHidden/>
          </w:rPr>
          <w:tab/>
        </w:r>
        <w:r w:rsidR="003776AB">
          <w:rPr>
            <w:webHidden/>
          </w:rPr>
          <w:fldChar w:fldCharType="begin"/>
        </w:r>
        <w:r w:rsidR="003776AB">
          <w:rPr>
            <w:webHidden/>
          </w:rPr>
          <w:instrText xml:space="preserve"> PAGEREF _Toc44601673 \h </w:instrText>
        </w:r>
        <w:r w:rsidR="003776AB">
          <w:rPr>
            <w:webHidden/>
          </w:rPr>
        </w:r>
        <w:r w:rsidR="003776AB">
          <w:rPr>
            <w:webHidden/>
          </w:rPr>
          <w:fldChar w:fldCharType="separate"/>
        </w:r>
        <w:r w:rsidR="00996BB1">
          <w:rPr>
            <w:webHidden/>
          </w:rPr>
          <w:t>54</w:t>
        </w:r>
        <w:r w:rsidR="003776AB">
          <w:rPr>
            <w:webHidden/>
          </w:rPr>
          <w:fldChar w:fldCharType="end"/>
        </w:r>
      </w:hyperlink>
    </w:p>
    <w:p w14:paraId="28DF5972" w14:textId="286423AF" w:rsidR="003776AB" w:rsidRDefault="00942EE9">
      <w:pPr>
        <w:pStyle w:val="TOC3"/>
        <w:rPr>
          <w:rFonts w:asciiTheme="minorHAnsi" w:hAnsiTheme="minorHAnsi" w:cstheme="minorBidi"/>
          <w:sz w:val="22"/>
          <w:szCs w:val="22"/>
        </w:rPr>
      </w:pPr>
      <w:hyperlink w:anchor="_Toc44601674" w:history="1">
        <w:r w:rsidR="003776AB" w:rsidRPr="000D4549">
          <w:rPr>
            <w:rStyle w:val="Hyperlink"/>
          </w:rPr>
          <w:t>6.5.3</w:t>
        </w:r>
        <w:r w:rsidR="003776AB">
          <w:rPr>
            <w:rFonts w:asciiTheme="minorHAnsi" w:hAnsiTheme="minorHAnsi" w:cstheme="minorBidi"/>
            <w:sz w:val="22"/>
            <w:szCs w:val="22"/>
          </w:rPr>
          <w:tab/>
        </w:r>
        <w:r w:rsidR="003776AB" w:rsidRPr="000D4549">
          <w:rPr>
            <w:rStyle w:val="Hyperlink"/>
          </w:rPr>
          <w:t>Other Interventions</w:t>
        </w:r>
        <w:r w:rsidR="003776AB">
          <w:rPr>
            <w:webHidden/>
          </w:rPr>
          <w:tab/>
        </w:r>
        <w:r w:rsidR="003776AB">
          <w:rPr>
            <w:webHidden/>
          </w:rPr>
          <w:fldChar w:fldCharType="begin"/>
        </w:r>
        <w:r w:rsidR="003776AB">
          <w:rPr>
            <w:webHidden/>
          </w:rPr>
          <w:instrText xml:space="preserve"> PAGEREF _Toc44601674 \h </w:instrText>
        </w:r>
        <w:r w:rsidR="003776AB">
          <w:rPr>
            <w:webHidden/>
          </w:rPr>
        </w:r>
        <w:r w:rsidR="003776AB">
          <w:rPr>
            <w:webHidden/>
          </w:rPr>
          <w:fldChar w:fldCharType="separate"/>
        </w:r>
        <w:r w:rsidR="00996BB1">
          <w:rPr>
            <w:webHidden/>
          </w:rPr>
          <w:t>55</w:t>
        </w:r>
        <w:r w:rsidR="003776AB">
          <w:rPr>
            <w:webHidden/>
          </w:rPr>
          <w:fldChar w:fldCharType="end"/>
        </w:r>
      </w:hyperlink>
    </w:p>
    <w:p w14:paraId="1B7745C1" w14:textId="02AEC330" w:rsidR="003776AB" w:rsidRDefault="00942EE9">
      <w:pPr>
        <w:pStyle w:val="TOC2"/>
        <w:rPr>
          <w:rFonts w:asciiTheme="minorHAnsi" w:hAnsiTheme="minorHAnsi" w:cstheme="minorBidi"/>
          <w:sz w:val="22"/>
          <w:szCs w:val="22"/>
        </w:rPr>
      </w:pPr>
      <w:hyperlink w:anchor="_Toc44601675" w:history="1">
        <w:r w:rsidR="003776AB" w:rsidRPr="000D4549">
          <w:rPr>
            <w:rStyle w:val="Hyperlink"/>
          </w:rPr>
          <w:t>6.6</w:t>
        </w:r>
        <w:r w:rsidR="003776AB">
          <w:rPr>
            <w:rFonts w:asciiTheme="minorHAnsi" w:hAnsiTheme="minorHAnsi" w:cstheme="minorBidi"/>
            <w:sz w:val="22"/>
            <w:szCs w:val="22"/>
          </w:rPr>
          <w:tab/>
        </w:r>
        <w:r w:rsidR="003776AB" w:rsidRPr="000D4549">
          <w:rPr>
            <w:rStyle w:val="Hyperlink"/>
          </w:rPr>
          <w:t>Dose Selection and Modification</w:t>
        </w:r>
        <w:r w:rsidR="003776AB">
          <w:rPr>
            <w:webHidden/>
          </w:rPr>
          <w:tab/>
        </w:r>
        <w:r w:rsidR="003776AB">
          <w:rPr>
            <w:webHidden/>
          </w:rPr>
          <w:fldChar w:fldCharType="begin"/>
        </w:r>
        <w:r w:rsidR="003776AB">
          <w:rPr>
            <w:webHidden/>
          </w:rPr>
          <w:instrText xml:space="preserve"> PAGEREF _Toc44601675 \h </w:instrText>
        </w:r>
        <w:r w:rsidR="003776AB">
          <w:rPr>
            <w:webHidden/>
          </w:rPr>
        </w:r>
        <w:r w:rsidR="003776AB">
          <w:rPr>
            <w:webHidden/>
          </w:rPr>
          <w:fldChar w:fldCharType="separate"/>
        </w:r>
        <w:r w:rsidR="00996BB1">
          <w:rPr>
            <w:webHidden/>
          </w:rPr>
          <w:t>55</w:t>
        </w:r>
        <w:r w:rsidR="003776AB">
          <w:rPr>
            <w:webHidden/>
          </w:rPr>
          <w:fldChar w:fldCharType="end"/>
        </w:r>
      </w:hyperlink>
    </w:p>
    <w:p w14:paraId="49BBC0B3" w14:textId="0591F91D" w:rsidR="003776AB" w:rsidRDefault="00942EE9">
      <w:pPr>
        <w:pStyle w:val="TOC3"/>
        <w:rPr>
          <w:rFonts w:asciiTheme="minorHAnsi" w:hAnsiTheme="minorHAnsi" w:cstheme="minorBidi"/>
          <w:sz w:val="22"/>
          <w:szCs w:val="22"/>
        </w:rPr>
      </w:pPr>
      <w:hyperlink w:anchor="_Toc44601676" w:history="1">
        <w:r w:rsidR="003776AB" w:rsidRPr="000D4549">
          <w:rPr>
            <w:rStyle w:val="Hyperlink"/>
            <w:rFonts w:eastAsia="TimesNewRoman"/>
          </w:rPr>
          <w:t>6.6.1</w:t>
        </w:r>
        <w:r w:rsidR="003776AB">
          <w:rPr>
            <w:rFonts w:asciiTheme="minorHAnsi" w:hAnsiTheme="minorHAnsi" w:cstheme="minorBidi"/>
            <w:sz w:val="22"/>
            <w:szCs w:val="22"/>
          </w:rPr>
          <w:tab/>
        </w:r>
        <w:r w:rsidR="003776AB" w:rsidRPr="000D4549">
          <w:rPr>
            <w:rStyle w:val="Hyperlink"/>
            <w:rFonts w:eastAsia="TimesNewRoman"/>
          </w:rPr>
          <w:t>Safety Monitoring Committee</w:t>
        </w:r>
        <w:r w:rsidR="003776AB">
          <w:rPr>
            <w:webHidden/>
          </w:rPr>
          <w:tab/>
        </w:r>
        <w:r w:rsidR="003776AB">
          <w:rPr>
            <w:webHidden/>
          </w:rPr>
          <w:fldChar w:fldCharType="begin"/>
        </w:r>
        <w:r w:rsidR="003776AB">
          <w:rPr>
            <w:webHidden/>
          </w:rPr>
          <w:instrText xml:space="preserve"> PAGEREF _Toc44601676 \h </w:instrText>
        </w:r>
        <w:r w:rsidR="003776AB">
          <w:rPr>
            <w:webHidden/>
          </w:rPr>
        </w:r>
        <w:r w:rsidR="003776AB">
          <w:rPr>
            <w:webHidden/>
          </w:rPr>
          <w:fldChar w:fldCharType="separate"/>
        </w:r>
        <w:r w:rsidR="00996BB1">
          <w:rPr>
            <w:webHidden/>
          </w:rPr>
          <w:t>55</w:t>
        </w:r>
        <w:r w:rsidR="003776AB">
          <w:rPr>
            <w:webHidden/>
          </w:rPr>
          <w:fldChar w:fldCharType="end"/>
        </w:r>
      </w:hyperlink>
    </w:p>
    <w:p w14:paraId="42DC66B9" w14:textId="647D5A02" w:rsidR="003776AB" w:rsidRDefault="00942EE9">
      <w:pPr>
        <w:pStyle w:val="TOC3"/>
        <w:rPr>
          <w:rFonts w:asciiTheme="minorHAnsi" w:hAnsiTheme="minorHAnsi" w:cstheme="minorBidi"/>
          <w:sz w:val="22"/>
          <w:szCs w:val="22"/>
        </w:rPr>
      </w:pPr>
      <w:hyperlink w:anchor="_Toc44601677" w:history="1">
        <w:r w:rsidR="003776AB" w:rsidRPr="000D4549">
          <w:rPr>
            <w:rStyle w:val="Hyperlink"/>
          </w:rPr>
          <w:t>6.6.2</w:t>
        </w:r>
        <w:r w:rsidR="003776AB">
          <w:rPr>
            <w:rFonts w:asciiTheme="minorHAnsi" w:hAnsiTheme="minorHAnsi" w:cstheme="minorBidi"/>
            <w:sz w:val="22"/>
            <w:szCs w:val="22"/>
          </w:rPr>
          <w:tab/>
        </w:r>
        <w:r w:rsidR="003776AB" w:rsidRPr="000D4549">
          <w:rPr>
            <w:rStyle w:val="Hyperlink"/>
          </w:rPr>
          <w:t>Definition of Dose-limiting Toxicity</w:t>
        </w:r>
        <w:r w:rsidR="003776AB">
          <w:rPr>
            <w:webHidden/>
          </w:rPr>
          <w:tab/>
        </w:r>
        <w:r w:rsidR="003776AB">
          <w:rPr>
            <w:webHidden/>
          </w:rPr>
          <w:fldChar w:fldCharType="begin"/>
        </w:r>
        <w:r w:rsidR="003776AB">
          <w:rPr>
            <w:webHidden/>
          </w:rPr>
          <w:instrText xml:space="preserve"> PAGEREF _Toc44601677 \h </w:instrText>
        </w:r>
        <w:r w:rsidR="003776AB">
          <w:rPr>
            <w:webHidden/>
          </w:rPr>
        </w:r>
        <w:r w:rsidR="003776AB">
          <w:rPr>
            <w:webHidden/>
          </w:rPr>
          <w:fldChar w:fldCharType="separate"/>
        </w:r>
        <w:r w:rsidR="00996BB1">
          <w:rPr>
            <w:webHidden/>
          </w:rPr>
          <w:t>56</w:t>
        </w:r>
        <w:r w:rsidR="003776AB">
          <w:rPr>
            <w:webHidden/>
          </w:rPr>
          <w:fldChar w:fldCharType="end"/>
        </w:r>
      </w:hyperlink>
    </w:p>
    <w:p w14:paraId="1C5D9CED" w14:textId="7C706D11" w:rsidR="003776AB" w:rsidRDefault="00942EE9">
      <w:pPr>
        <w:pStyle w:val="TOC2"/>
        <w:rPr>
          <w:rFonts w:asciiTheme="minorHAnsi" w:hAnsiTheme="minorHAnsi" w:cstheme="minorBidi"/>
          <w:sz w:val="22"/>
          <w:szCs w:val="22"/>
        </w:rPr>
      </w:pPr>
      <w:hyperlink w:anchor="_Toc44601678" w:history="1">
        <w:r w:rsidR="003776AB" w:rsidRPr="000D4549">
          <w:rPr>
            <w:rStyle w:val="Hyperlink"/>
          </w:rPr>
          <w:t>6.7</w:t>
        </w:r>
        <w:r w:rsidR="003776AB">
          <w:rPr>
            <w:rFonts w:asciiTheme="minorHAnsi" w:hAnsiTheme="minorHAnsi" w:cstheme="minorBidi"/>
            <w:sz w:val="22"/>
            <w:szCs w:val="22"/>
          </w:rPr>
          <w:tab/>
        </w:r>
        <w:r w:rsidR="003776AB" w:rsidRPr="000D4549">
          <w:rPr>
            <w:rStyle w:val="Hyperlink"/>
          </w:rPr>
          <w:t>Study Intervention After the End of the Study</w:t>
        </w:r>
        <w:r w:rsidR="003776AB">
          <w:rPr>
            <w:webHidden/>
          </w:rPr>
          <w:tab/>
        </w:r>
        <w:r w:rsidR="003776AB">
          <w:rPr>
            <w:webHidden/>
          </w:rPr>
          <w:fldChar w:fldCharType="begin"/>
        </w:r>
        <w:r w:rsidR="003776AB">
          <w:rPr>
            <w:webHidden/>
          </w:rPr>
          <w:instrText xml:space="preserve"> PAGEREF _Toc44601678 \h </w:instrText>
        </w:r>
        <w:r w:rsidR="003776AB">
          <w:rPr>
            <w:webHidden/>
          </w:rPr>
        </w:r>
        <w:r w:rsidR="003776AB">
          <w:rPr>
            <w:webHidden/>
          </w:rPr>
          <w:fldChar w:fldCharType="separate"/>
        </w:r>
        <w:r w:rsidR="00996BB1">
          <w:rPr>
            <w:webHidden/>
          </w:rPr>
          <w:t>58</w:t>
        </w:r>
        <w:r w:rsidR="003776AB">
          <w:rPr>
            <w:webHidden/>
          </w:rPr>
          <w:fldChar w:fldCharType="end"/>
        </w:r>
      </w:hyperlink>
    </w:p>
    <w:p w14:paraId="4E5A0225" w14:textId="44482301" w:rsidR="003776AB" w:rsidRDefault="00942EE9">
      <w:pPr>
        <w:pStyle w:val="TOC2"/>
        <w:rPr>
          <w:rFonts w:asciiTheme="minorHAnsi" w:hAnsiTheme="minorHAnsi" w:cstheme="minorBidi"/>
          <w:sz w:val="22"/>
          <w:szCs w:val="22"/>
        </w:rPr>
      </w:pPr>
      <w:hyperlink w:anchor="_Toc44601679" w:history="1">
        <w:r w:rsidR="003776AB" w:rsidRPr="000D4549">
          <w:rPr>
            <w:rStyle w:val="Hyperlink"/>
          </w:rPr>
          <w:t>6.8</w:t>
        </w:r>
        <w:r w:rsidR="003776AB">
          <w:rPr>
            <w:rFonts w:asciiTheme="minorHAnsi" w:hAnsiTheme="minorHAnsi" w:cstheme="minorBidi"/>
            <w:sz w:val="22"/>
            <w:szCs w:val="22"/>
          </w:rPr>
          <w:tab/>
        </w:r>
        <w:r w:rsidR="003776AB" w:rsidRPr="000D4549">
          <w:rPr>
            <w:rStyle w:val="Hyperlink"/>
          </w:rPr>
          <w:t>Special Precautions</w:t>
        </w:r>
        <w:r w:rsidR="003776AB">
          <w:rPr>
            <w:webHidden/>
          </w:rPr>
          <w:tab/>
        </w:r>
        <w:r w:rsidR="003776AB">
          <w:rPr>
            <w:webHidden/>
          </w:rPr>
          <w:fldChar w:fldCharType="begin"/>
        </w:r>
        <w:r w:rsidR="003776AB">
          <w:rPr>
            <w:webHidden/>
          </w:rPr>
          <w:instrText xml:space="preserve"> PAGEREF _Toc44601679 \h </w:instrText>
        </w:r>
        <w:r w:rsidR="003776AB">
          <w:rPr>
            <w:webHidden/>
          </w:rPr>
        </w:r>
        <w:r w:rsidR="003776AB">
          <w:rPr>
            <w:webHidden/>
          </w:rPr>
          <w:fldChar w:fldCharType="separate"/>
        </w:r>
        <w:r w:rsidR="00996BB1">
          <w:rPr>
            <w:webHidden/>
          </w:rPr>
          <w:t>58</w:t>
        </w:r>
        <w:r w:rsidR="003776AB">
          <w:rPr>
            <w:webHidden/>
          </w:rPr>
          <w:fldChar w:fldCharType="end"/>
        </w:r>
      </w:hyperlink>
    </w:p>
    <w:p w14:paraId="6E111B4F" w14:textId="59F471EE" w:rsidR="003776AB" w:rsidRDefault="00942EE9">
      <w:pPr>
        <w:pStyle w:val="TOC3"/>
        <w:rPr>
          <w:rFonts w:asciiTheme="minorHAnsi" w:hAnsiTheme="minorHAnsi" w:cstheme="minorBidi"/>
          <w:sz w:val="22"/>
          <w:szCs w:val="22"/>
        </w:rPr>
      </w:pPr>
      <w:hyperlink w:anchor="_Toc44601680" w:history="1">
        <w:r w:rsidR="003776AB" w:rsidRPr="000D4549">
          <w:rPr>
            <w:rStyle w:val="Hyperlink"/>
          </w:rPr>
          <w:t>6.8.1</w:t>
        </w:r>
        <w:r w:rsidR="003776AB">
          <w:rPr>
            <w:rFonts w:asciiTheme="minorHAnsi" w:hAnsiTheme="minorHAnsi" w:cstheme="minorBidi"/>
            <w:sz w:val="22"/>
            <w:szCs w:val="22"/>
          </w:rPr>
          <w:tab/>
        </w:r>
        <w:r w:rsidR="003776AB" w:rsidRPr="000D4549">
          <w:rPr>
            <w:rStyle w:val="Hyperlink"/>
          </w:rPr>
          <w:t>General Guidance</w:t>
        </w:r>
        <w:r w:rsidR="003776AB">
          <w:rPr>
            <w:webHidden/>
          </w:rPr>
          <w:tab/>
        </w:r>
        <w:r w:rsidR="003776AB">
          <w:rPr>
            <w:webHidden/>
          </w:rPr>
          <w:fldChar w:fldCharType="begin"/>
        </w:r>
        <w:r w:rsidR="003776AB">
          <w:rPr>
            <w:webHidden/>
          </w:rPr>
          <w:instrText xml:space="preserve"> PAGEREF _Toc44601680 \h </w:instrText>
        </w:r>
        <w:r w:rsidR="003776AB">
          <w:rPr>
            <w:webHidden/>
          </w:rPr>
        </w:r>
        <w:r w:rsidR="003776AB">
          <w:rPr>
            <w:webHidden/>
          </w:rPr>
          <w:fldChar w:fldCharType="separate"/>
        </w:r>
        <w:r w:rsidR="00996BB1">
          <w:rPr>
            <w:webHidden/>
          </w:rPr>
          <w:t>58</w:t>
        </w:r>
        <w:r w:rsidR="003776AB">
          <w:rPr>
            <w:webHidden/>
          </w:rPr>
          <w:fldChar w:fldCharType="end"/>
        </w:r>
      </w:hyperlink>
    </w:p>
    <w:p w14:paraId="215185AF" w14:textId="16E665EE" w:rsidR="003776AB" w:rsidRDefault="00942EE9">
      <w:pPr>
        <w:pStyle w:val="TOC3"/>
        <w:rPr>
          <w:rFonts w:asciiTheme="minorHAnsi" w:hAnsiTheme="minorHAnsi" w:cstheme="minorBidi"/>
          <w:sz w:val="22"/>
          <w:szCs w:val="22"/>
        </w:rPr>
      </w:pPr>
      <w:hyperlink w:anchor="_Toc44601681" w:history="1">
        <w:r w:rsidR="003776AB" w:rsidRPr="000D4549">
          <w:rPr>
            <w:rStyle w:val="Hyperlink"/>
          </w:rPr>
          <w:t>6.8.2</w:t>
        </w:r>
        <w:r w:rsidR="003776AB">
          <w:rPr>
            <w:rFonts w:asciiTheme="minorHAnsi" w:hAnsiTheme="minorHAnsi" w:cstheme="minorBidi"/>
            <w:sz w:val="22"/>
            <w:szCs w:val="22"/>
          </w:rPr>
          <w:tab/>
        </w:r>
        <w:r w:rsidR="003776AB" w:rsidRPr="000D4549">
          <w:rPr>
            <w:rStyle w:val="Hyperlink"/>
          </w:rPr>
          <w:t>Bintrafusp alfa</w:t>
        </w:r>
        <w:r w:rsidR="003776AB">
          <w:rPr>
            <w:webHidden/>
          </w:rPr>
          <w:tab/>
        </w:r>
        <w:r w:rsidR="003776AB">
          <w:rPr>
            <w:webHidden/>
          </w:rPr>
          <w:fldChar w:fldCharType="begin"/>
        </w:r>
        <w:r w:rsidR="003776AB">
          <w:rPr>
            <w:webHidden/>
          </w:rPr>
          <w:instrText xml:space="preserve"> PAGEREF _Toc44601681 \h </w:instrText>
        </w:r>
        <w:r w:rsidR="003776AB">
          <w:rPr>
            <w:webHidden/>
          </w:rPr>
        </w:r>
        <w:r w:rsidR="003776AB">
          <w:rPr>
            <w:webHidden/>
          </w:rPr>
          <w:fldChar w:fldCharType="separate"/>
        </w:r>
        <w:r w:rsidR="00996BB1">
          <w:rPr>
            <w:webHidden/>
          </w:rPr>
          <w:t>58</w:t>
        </w:r>
        <w:r w:rsidR="003776AB">
          <w:rPr>
            <w:webHidden/>
          </w:rPr>
          <w:fldChar w:fldCharType="end"/>
        </w:r>
      </w:hyperlink>
    </w:p>
    <w:p w14:paraId="4F825846" w14:textId="1C3CCE5D" w:rsidR="003776AB" w:rsidRDefault="00942EE9">
      <w:pPr>
        <w:pStyle w:val="TOC3"/>
        <w:rPr>
          <w:rFonts w:asciiTheme="minorHAnsi" w:hAnsiTheme="minorHAnsi" w:cstheme="minorBidi"/>
          <w:sz w:val="22"/>
          <w:szCs w:val="22"/>
        </w:rPr>
      </w:pPr>
      <w:hyperlink w:anchor="_Toc44601682" w:history="1">
        <w:r w:rsidR="003776AB" w:rsidRPr="000D4549">
          <w:rPr>
            <w:rStyle w:val="Hyperlink"/>
          </w:rPr>
          <w:t>6.8.3</w:t>
        </w:r>
        <w:r w:rsidR="003776AB">
          <w:rPr>
            <w:rFonts w:asciiTheme="minorHAnsi" w:hAnsiTheme="minorHAnsi" w:cstheme="minorBidi"/>
            <w:sz w:val="22"/>
            <w:szCs w:val="22"/>
          </w:rPr>
          <w:tab/>
        </w:r>
        <w:r w:rsidR="003776AB" w:rsidRPr="000D4549">
          <w:rPr>
            <w:rStyle w:val="Hyperlink"/>
          </w:rPr>
          <w:t>Bevacizumab</w:t>
        </w:r>
        <w:r w:rsidR="003776AB">
          <w:rPr>
            <w:webHidden/>
          </w:rPr>
          <w:tab/>
        </w:r>
        <w:r w:rsidR="003776AB">
          <w:rPr>
            <w:webHidden/>
          </w:rPr>
          <w:fldChar w:fldCharType="begin"/>
        </w:r>
        <w:r w:rsidR="003776AB">
          <w:rPr>
            <w:webHidden/>
          </w:rPr>
          <w:instrText xml:space="preserve"> PAGEREF _Toc44601682 \h </w:instrText>
        </w:r>
        <w:r w:rsidR="003776AB">
          <w:rPr>
            <w:webHidden/>
          </w:rPr>
        </w:r>
        <w:r w:rsidR="003776AB">
          <w:rPr>
            <w:webHidden/>
          </w:rPr>
          <w:fldChar w:fldCharType="separate"/>
        </w:r>
        <w:r w:rsidR="00996BB1">
          <w:rPr>
            <w:webHidden/>
          </w:rPr>
          <w:t>61</w:t>
        </w:r>
        <w:r w:rsidR="003776AB">
          <w:rPr>
            <w:webHidden/>
          </w:rPr>
          <w:fldChar w:fldCharType="end"/>
        </w:r>
      </w:hyperlink>
    </w:p>
    <w:p w14:paraId="56815D21" w14:textId="2DD78254" w:rsidR="003776AB" w:rsidRDefault="00942EE9">
      <w:pPr>
        <w:pStyle w:val="TOC4"/>
        <w:rPr>
          <w:rFonts w:asciiTheme="minorHAnsi" w:hAnsiTheme="minorHAnsi" w:cstheme="minorBidi"/>
          <w:sz w:val="22"/>
          <w:szCs w:val="22"/>
        </w:rPr>
      </w:pPr>
      <w:hyperlink w:anchor="_Toc44601683" w:history="1">
        <w:r w:rsidR="003776AB" w:rsidRPr="000D4549">
          <w:rPr>
            <w:rStyle w:val="Hyperlink"/>
          </w:rPr>
          <w:t>6.8.3.1</w:t>
        </w:r>
        <w:r w:rsidR="003776AB">
          <w:rPr>
            <w:rFonts w:asciiTheme="minorHAnsi" w:hAnsiTheme="minorHAnsi" w:cstheme="minorBidi"/>
            <w:sz w:val="22"/>
            <w:szCs w:val="22"/>
          </w:rPr>
          <w:tab/>
        </w:r>
        <w:r w:rsidR="003776AB" w:rsidRPr="000D4549">
          <w:rPr>
            <w:rStyle w:val="Hyperlink"/>
          </w:rPr>
          <w:t>Risk Management for Bevacizumab</w:t>
        </w:r>
        <w:r w:rsidR="003776AB">
          <w:rPr>
            <w:webHidden/>
          </w:rPr>
          <w:tab/>
        </w:r>
        <w:r w:rsidR="003776AB">
          <w:rPr>
            <w:webHidden/>
          </w:rPr>
          <w:fldChar w:fldCharType="begin"/>
        </w:r>
        <w:r w:rsidR="003776AB">
          <w:rPr>
            <w:webHidden/>
          </w:rPr>
          <w:instrText xml:space="preserve"> PAGEREF _Toc44601683 \h </w:instrText>
        </w:r>
        <w:r w:rsidR="003776AB">
          <w:rPr>
            <w:webHidden/>
          </w:rPr>
        </w:r>
        <w:r w:rsidR="003776AB">
          <w:rPr>
            <w:webHidden/>
          </w:rPr>
          <w:fldChar w:fldCharType="separate"/>
        </w:r>
        <w:r w:rsidR="00996BB1">
          <w:rPr>
            <w:webHidden/>
          </w:rPr>
          <w:t>61</w:t>
        </w:r>
        <w:r w:rsidR="003776AB">
          <w:rPr>
            <w:webHidden/>
          </w:rPr>
          <w:fldChar w:fldCharType="end"/>
        </w:r>
      </w:hyperlink>
    </w:p>
    <w:p w14:paraId="3BDEA3D0" w14:textId="4C9B0B1B" w:rsidR="003776AB" w:rsidRDefault="00942EE9">
      <w:pPr>
        <w:pStyle w:val="TOC3"/>
        <w:rPr>
          <w:rFonts w:asciiTheme="minorHAnsi" w:hAnsiTheme="minorHAnsi" w:cstheme="minorBidi"/>
          <w:sz w:val="22"/>
          <w:szCs w:val="22"/>
        </w:rPr>
      </w:pPr>
      <w:hyperlink w:anchor="_Toc44601684" w:history="1">
        <w:r w:rsidR="003776AB" w:rsidRPr="000D4549">
          <w:rPr>
            <w:rStyle w:val="Hyperlink"/>
          </w:rPr>
          <w:t>6.8.4</w:t>
        </w:r>
        <w:r w:rsidR="003776AB">
          <w:rPr>
            <w:rFonts w:asciiTheme="minorHAnsi" w:hAnsiTheme="minorHAnsi" w:cstheme="minorBidi"/>
            <w:sz w:val="22"/>
            <w:szCs w:val="22"/>
          </w:rPr>
          <w:tab/>
        </w:r>
        <w:r w:rsidR="003776AB" w:rsidRPr="000D4549">
          <w:rPr>
            <w:rStyle w:val="Hyperlink"/>
          </w:rPr>
          <w:t>Cisplatin, Carboplatin, and Paclitaxel</w:t>
        </w:r>
        <w:r w:rsidR="003776AB">
          <w:rPr>
            <w:webHidden/>
          </w:rPr>
          <w:tab/>
        </w:r>
        <w:r w:rsidR="003776AB">
          <w:rPr>
            <w:webHidden/>
          </w:rPr>
          <w:fldChar w:fldCharType="begin"/>
        </w:r>
        <w:r w:rsidR="003776AB">
          <w:rPr>
            <w:webHidden/>
          </w:rPr>
          <w:instrText xml:space="preserve"> PAGEREF _Toc44601684 \h </w:instrText>
        </w:r>
        <w:r w:rsidR="003776AB">
          <w:rPr>
            <w:webHidden/>
          </w:rPr>
        </w:r>
        <w:r w:rsidR="003776AB">
          <w:rPr>
            <w:webHidden/>
          </w:rPr>
          <w:fldChar w:fldCharType="separate"/>
        </w:r>
        <w:r w:rsidR="00996BB1">
          <w:rPr>
            <w:webHidden/>
          </w:rPr>
          <w:t>61</w:t>
        </w:r>
        <w:r w:rsidR="003776AB">
          <w:rPr>
            <w:webHidden/>
          </w:rPr>
          <w:fldChar w:fldCharType="end"/>
        </w:r>
      </w:hyperlink>
    </w:p>
    <w:p w14:paraId="673F40D2" w14:textId="46F8C542" w:rsidR="003776AB" w:rsidRDefault="00942EE9">
      <w:pPr>
        <w:pStyle w:val="TOC4"/>
        <w:rPr>
          <w:rFonts w:asciiTheme="minorHAnsi" w:hAnsiTheme="minorHAnsi" w:cstheme="minorBidi"/>
          <w:sz w:val="22"/>
          <w:szCs w:val="22"/>
        </w:rPr>
      </w:pPr>
      <w:hyperlink w:anchor="_Toc44601685" w:history="1">
        <w:r w:rsidR="003776AB" w:rsidRPr="000D4549">
          <w:rPr>
            <w:rStyle w:val="Hyperlink"/>
          </w:rPr>
          <w:t>6.8.4.1</w:t>
        </w:r>
        <w:r w:rsidR="003776AB">
          <w:rPr>
            <w:rFonts w:asciiTheme="minorHAnsi" w:hAnsiTheme="minorHAnsi" w:cstheme="minorBidi"/>
            <w:sz w:val="22"/>
            <w:szCs w:val="22"/>
          </w:rPr>
          <w:tab/>
        </w:r>
        <w:r w:rsidR="003776AB" w:rsidRPr="000D4549">
          <w:rPr>
            <w:rStyle w:val="Hyperlink"/>
          </w:rPr>
          <w:t>Risk Management for Chemotherapy</w:t>
        </w:r>
        <w:r w:rsidR="003776AB">
          <w:rPr>
            <w:webHidden/>
          </w:rPr>
          <w:tab/>
        </w:r>
        <w:r w:rsidR="003776AB">
          <w:rPr>
            <w:webHidden/>
          </w:rPr>
          <w:fldChar w:fldCharType="begin"/>
        </w:r>
        <w:r w:rsidR="003776AB">
          <w:rPr>
            <w:webHidden/>
          </w:rPr>
          <w:instrText xml:space="preserve"> PAGEREF _Toc44601685 \h </w:instrText>
        </w:r>
        <w:r w:rsidR="003776AB">
          <w:rPr>
            <w:webHidden/>
          </w:rPr>
        </w:r>
        <w:r w:rsidR="003776AB">
          <w:rPr>
            <w:webHidden/>
          </w:rPr>
          <w:fldChar w:fldCharType="separate"/>
        </w:r>
        <w:r w:rsidR="00996BB1">
          <w:rPr>
            <w:webHidden/>
          </w:rPr>
          <w:t>62</w:t>
        </w:r>
        <w:r w:rsidR="003776AB">
          <w:rPr>
            <w:webHidden/>
          </w:rPr>
          <w:fldChar w:fldCharType="end"/>
        </w:r>
      </w:hyperlink>
    </w:p>
    <w:p w14:paraId="00A6A577" w14:textId="2F2C8604" w:rsidR="003776AB" w:rsidRDefault="00942EE9">
      <w:pPr>
        <w:pStyle w:val="TOC3"/>
        <w:rPr>
          <w:rFonts w:asciiTheme="minorHAnsi" w:hAnsiTheme="minorHAnsi" w:cstheme="minorBidi"/>
          <w:sz w:val="22"/>
          <w:szCs w:val="22"/>
        </w:rPr>
      </w:pPr>
      <w:hyperlink w:anchor="_Toc44601686" w:history="1">
        <w:r w:rsidR="003776AB" w:rsidRPr="000D4549">
          <w:rPr>
            <w:rStyle w:val="Hyperlink"/>
          </w:rPr>
          <w:t>6.8.5</w:t>
        </w:r>
        <w:r w:rsidR="003776AB">
          <w:rPr>
            <w:rFonts w:asciiTheme="minorHAnsi" w:hAnsiTheme="minorHAnsi" w:cstheme="minorBidi"/>
            <w:sz w:val="22"/>
            <w:szCs w:val="22"/>
          </w:rPr>
          <w:tab/>
        </w:r>
        <w:r w:rsidR="003776AB" w:rsidRPr="000D4549">
          <w:rPr>
            <w:rStyle w:val="Hyperlink"/>
          </w:rPr>
          <w:t>Chemoradiation</w:t>
        </w:r>
        <w:r w:rsidR="003776AB">
          <w:rPr>
            <w:webHidden/>
          </w:rPr>
          <w:tab/>
        </w:r>
        <w:r w:rsidR="003776AB">
          <w:rPr>
            <w:webHidden/>
          </w:rPr>
          <w:fldChar w:fldCharType="begin"/>
        </w:r>
        <w:r w:rsidR="003776AB">
          <w:rPr>
            <w:webHidden/>
          </w:rPr>
          <w:instrText xml:space="preserve"> PAGEREF _Toc44601686 \h </w:instrText>
        </w:r>
        <w:r w:rsidR="003776AB">
          <w:rPr>
            <w:webHidden/>
          </w:rPr>
        </w:r>
        <w:r w:rsidR="003776AB">
          <w:rPr>
            <w:webHidden/>
          </w:rPr>
          <w:fldChar w:fldCharType="separate"/>
        </w:r>
        <w:r w:rsidR="00996BB1">
          <w:rPr>
            <w:webHidden/>
          </w:rPr>
          <w:t>66</w:t>
        </w:r>
        <w:r w:rsidR="003776AB">
          <w:rPr>
            <w:webHidden/>
          </w:rPr>
          <w:fldChar w:fldCharType="end"/>
        </w:r>
      </w:hyperlink>
    </w:p>
    <w:p w14:paraId="14266C4C" w14:textId="4CEAFA37" w:rsidR="003776AB" w:rsidRDefault="00942EE9">
      <w:pPr>
        <w:pStyle w:val="TOC1"/>
        <w:rPr>
          <w:rFonts w:asciiTheme="minorHAnsi" w:hAnsiTheme="minorHAnsi" w:cstheme="minorBidi"/>
          <w:sz w:val="22"/>
          <w:szCs w:val="22"/>
        </w:rPr>
      </w:pPr>
      <w:hyperlink w:anchor="_Toc44601687" w:history="1">
        <w:r w:rsidR="003776AB" w:rsidRPr="000D4549">
          <w:rPr>
            <w:rStyle w:val="Hyperlink"/>
          </w:rPr>
          <w:t>7</w:t>
        </w:r>
        <w:r w:rsidR="003776AB">
          <w:rPr>
            <w:rFonts w:asciiTheme="minorHAnsi" w:hAnsiTheme="minorHAnsi" w:cstheme="minorBidi"/>
            <w:sz w:val="22"/>
            <w:szCs w:val="22"/>
          </w:rPr>
          <w:tab/>
        </w:r>
        <w:r w:rsidR="003776AB" w:rsidRPr="000D4549">
          <w:rPr>
            <w:rStyle w:val="Hyperlink"/>
          </w:rPr>
          <w:t>Discontinuation of Study Intervention and Participant Discontinuation/Withdrawal</w:t>
        </w:r>
        <w:r w:rsidR="003776AB">
          <w:rPr>
            <w:webHidden/>
          </w:rPr>
          <w:tab/>
        </w:r>
        <w:r w:rsidR="003776AB">
          <w:rPr>
            <w:webHidden/>
          </w:rPr>
          <w:fldChar w:fldCharType="begin"/>
        </w:r>
        <w:r w:rsidR="003776AB">
          <w:rPr>
            <w:webHidden/>
          </w:rPr>
          <w:instrText xml:space="preserve"> PAGEREF _Toc44601687 \h </w:instrText>
        </w:r>
        <w:r w:rsidR="003776AB">
          <w:rPr>
            <w:webHidden/>
          </w:rPr>
        </w:r>
        <w:r w:rsidR="003776AB">
          <w:rPr>
            <w:webHidden/>
          </w:rPr>
          <w:fldChar w:fldCharType="separate"/>
        </w:r>
        <w:r w:rsidR="00996BB1">
          <w:rPr>
            <w:webHidden/>
          </w:rPr>
          <w:t>66</w:t>
        </w:r>
        <w:r w:rsidR="003776AB">
          <w:rPr>
            <w:webHidden/>
          </w:rPr>
          <w:fldChar w:fldCharType="end"/>
        </w:r>
      </w:hyperlink>
    </w:p>
    <w:p w14:paraId="21155D94" w14:textId="7ADF5179" w:rsidR="003776AB" w:rsidRDefault="00942EE9">
      <w:pPr>
        <w:pStyle w:val="TOC2"/>
        <w:rPr>
          <w:rFonts w:asciiTheme="minorHAnsi" w:hAnsiTheme="minorHAnsi" w:cstheme="minorBidi"/>
          <w:sz w:val="22"/>
          <w:szCs w:val="22"/>
        </w:rPr>
      </w:pPr>
      <w:hyperlink w:anchor="_Toc44601688" w:history="1">
        <w:r w:rsidR="003776AB" w:rsidRPr="000D4549">
          <w:rPr>
            <w:rStyle w:val="Hyperlink"/>
          </w:rPr>
          <w:t>7.1</w:t>
        </w:r>
        <w:r w:rsidR="003776AB">
          <w:rPr>
            <w:rFonts w:asciiTheme="minorHAnsi" w:hAnsiTheme="minorHAnsi" w:cstheme="minorBidi"/>
            <w:sz w:val="22"/>
            <w:szCs w:val="22"/>
          </w:rPr>
          <w:tab/>
        </w:r>
        <w:r w:rsidR="003776AB" w:rsidRPr="000D4549">
          <w:rPr>
            <w:rStyle w:val="Hyperlink"/>
          </w:rPr>
          <w:t>Discontinuation of Study Intervention</w:t>
        </w:r>
        <w:r w:rsidR="003776AB">
          <w:rPr>
            <w:webHidden/>
          </w:rPr>
          <w:tab/>
        </w:r>
        <w:r w:rsidR="003776AB">
          <w:rPr>
            <w:webHidden/>
          </w:rPr>
          <w:fldChar w:fldCharType="begin"/>
        </w:r>
        <w:r w:rsidR="003776AB">
          <w:rPr>
            <w:webHidden/>
          </w:rPr>
          <w:instrText xml:space="preserve"> PAGEREF _Toc44601688 \h </w:instrText>
        </w:r>
        <w:r w:rsidR="003776AB">
          <w:rPr>
            <w:webHidden/>
          </w:rPr>
        </w:r>
        <w:r w:rsidR="003776AB">
          <w:rPr>
            <w:webHidden/>
          </w:rPr>
          <w:fldChar w:fldCharType="separate"/>
        </w:r>
        <w:r w:rsidR="00996BB1">
          <w:rPr>
            <w:webHidden/>
          </w:rPr>
          <w:t>66</w:t>
        </w:r>
        <w:r w:rsidR="003776AB">
          <w:rPr>
            <w:webHidden/>
          </w:rPr>
          <w:fldChar w:fldCharType="end"/>
        </w:r>
      </w:hyperlink>
    </w:p>
    <w:p w14:paraId="4BB3BE0F" w14:textId="58B20ABF" w:rsidR="003776AB" w:rsidRDefault="00942EE9">
      <w:pPr>
        <w:pStyle w:val="TOC3"/>
        <w:rPr>
          <w:rFonts w:asciiTheme="minorHAnsi" w:hAnsiTheme="minorHAnsi" w:cstheme="minorBidi"/>
          <w:sz w:val="22"/>
          <w:szCs w:val="22"/>
        </w:rPr>
      </w:pPr>
      <w:hyperlink w:anchor="_Toc44601689" w:history="1">
        <w:r w:rsidR="003776AB" w:rsidRPr="000D4549">
          <w:rPr>
            <w:rStyle w:val="Hyperlink"/>
          </w:rPr>
          <w:t>7.1.1</w:t>
        </w:r>
        <w:r w:rsidR="003776AB">
          <w:rPr>
            <w:rFonts w:asciiTheme="minorHAnsi" w:hAnsiTheme="minorHAnsi" w:cstheme="minorBidi"/>
            <w:sz w:val="22"/>
            <w:szCs w:val="22"/>
          </w:rPr>
          <w:tab/>
        </w:r>
        <w:r w:rsidR="003776AB" w:rsidRPr="000D4549">
          <w:rPr>
            <w:rStyle w:val="Hyperlink"/>
          </w:rPr>
          <w:t>Temporary Discontinuation</w:t>
        </w:r>
        <w:r w:rsidR="003776AB">
          <w:rPr>
            <w:webHidden/>
          </w:rPr>
          <w:tab/>
        </w:r>
        <w:r w:rsidR="003776AB">
          <w:rPr>
            <w:webHidden/>
          </w:rPr>
          <w:fldChar w:fldCharType="begin"/>
        </w:r>
        <w:r w:rsidR="003776AB">
          <w:rPr>
            <w:webHidden/>
          </w:rPr>
          <w:instrText xml:space="preserve"> PAGEREF _Toc44601689 \h </w:instrText>
        </w:r>
        <w:r w:rsidR="003776AB">
          <w:rPr>
            <w:webHidden/>
          </w:rPr>
        </w:r>
        <w:r w:rsidR="003776AB">
          <w:rPr>
            <w:webHidden/>
          </w:rPr>
          <w:fldChar w:fldCharType="separate"/>
        </w:r>
        <w:r w:rsidR="00996BB1">
          <w:rPr>
            <w:webHidden/>
          </w:rPr>
          <w:t>68</w:t>
        </w:r>
        <w:r w:rsidR="003776AB">
          <w:rPr>
            <w:webHidden/>
          </w:rPr>
          <w:fldChar w:fldCharType="end"/>
        </w:r>
      </w:hyperlink>
    </w:p>
    <w:p w14:paraId="498F2BFD" w14:textId="30224562" w:rsidR="003776AB" w:rsidRDefault="00942EE9">
      <w:pPr>
        <w:pStyle w:val="TOC3"/>
        <w:rPr>
          <w:rFonts w:asciiTheme="minorHAnsi" w:hAnsiTheme="minorHAnsi" w:cstheme="minorBidi"/>
          <w:sz w:val="22"/>
          <w:szCs w:val="22"/>
        </w:rPr>
      </w:pPr>
      <w:hyperlink w:anchor="_Toc44601690" w:history="1">
        <w:r w:rsidR="003776AB" w:rsidRPr="000D4549">
          <w:rPr>
            <w:rStyle w:val="Hyperlink"/>
          </w:rPr>
          <w:t>7.1.2</w:t>
        </w:r>
        <w:r w:rsidR="003776AB">
          <w:rPr>
            <w:rFonts w:asciiTheme="minorHAnsi" w:hAnsiTheme="minorHAnsi" w:cstheme="minorBidi"/>
            <w:sz w:val="22"/>
            <w:szCs w:val="22"/>
          </w:rPr>
          <w:tab/>
        </w:r>
        <w:r w:rsidR="003776AB" w:rsidRPr="000D4549">
          <w:rPr>
            <w:rStyle w:val="Hyperlink"/>
          </w:rPr>
          <w:t>Reinitiation</w:t>
        </w:r>
        <w:r w:rsidR="003776AB">
          <w:rPr>
            <w:webHidden/>
          </w:rPr>
          <w:tab/>
        </w:r>
        <w:r w:rsidR="003776AB">
          <w:rPr>
            <w:webHidden/>
          </w:rPr>
          <w:fldChar w:fldCharType="begin"/>
        </w:r>
        <w:r w:rsidR="003776AB">
          <w:rPr>
            <w:webHidden/>
          </w:rPr>
          <w:instrText xml:space="preserve"> PAGEREF _Toc44601690 \h </w:instrText>
        </w:r>
        <w:r w:rsidR="003776AB">
          <w:rPr>
            <w:webHidden/>
          </w:rPr>
        </w:r>
        <w:r w:rsidR="003776AB">
          <w:rPr>
            <w:webHidden/>
          </w:rPr>
          <w:fldChar w:fldCharType="separate"/>
        </w:r>
        <w:r w:rsidR="00996BB1">
          <w:rPr>
            <w:webHidden/>
          </w:rPr>
          <w:t>68</w:t>
        </w:r>
        <w:r w:rsidR="003776AB">
          <w:rPr>
            <w:webHidden/>
          </w:rPr>
          <w:fldChar w:fldCharType="end"/>
        </w:r>
      </w:hyperlink>
    </w:p>
    <w:p w14:paraId="149765AD" w14:textId="1E1F8949" w:rsidR="003776AB" w:rsidRDefault="00942EE9">
      <w:pPr>
        <w:pStyle w:val="TOC3"/>
        <w:rPr>
          <w:rFonts w:asciiTheme="minorHAnsi" w:hAnsiTheme="minorHAnsi" w:cstheme="minorBidi"/>
          <w:sz w:val="22"/>
          <w:szCs w:val="22"/>
        </w:rPr>
      </w:pPr>
      <w:hyperlink w:anchor="_Toc44601691" w:history="1">
        <w:r w:rsidR="003776AB" w:rsidRPr="000D4549">
          <w:rPr>
            <w:rStyle w:val="Hyperlink"/>
          </w:rPr>
          <w:t>7.1.3</w:t>
        </w:r>
        <w:r w:rsidR="003776AB">
          <w:rPr>
            <w:rFonts w:asciiTheme="minorHAnsi" w:hAnsiTheme="minorHAnsi" w:cstheme="minorBidi"/>
            <w:sz w:val="22"/>
            <w:szCs w:val="22"/>
          </w:rPr>
          <w:tab/>
        </w:r>
        <w:r w:rsidR="003776AB" w:rsidRPr="000D4549">
          <w:rPr>
            <w:rStyle w:val="Hyperlink"/>
          </w:rPr>
          <w:t>Treatment Beyond Progression</w:t>
        </w:r>
        <w:r w:rsidR="003776AB">
          <w:rPr>
            <w:webHidden/>
          </w:rPr>
          <w:tab/>
        </w:r>
        <w:r w:rsidR="003776AB">
          <w:rPr>
            <w:webHidden/>
          </w:rPr>
          <w:fldChar w:fldCharType="begin"/>
        </w:r>
        <w:r w:rsidR="003776AB">
          <w:rPr>
            <w:webHidden/>
          </w:rPr>
          <w:instrText xml:space="preserve"> PAGEREF _Toc44601691 \h </w:instrText>
        </w:r>
        <w:r w:rsidR="003776AB">
          <w:rPr>
            <w:webHidden/>
          </w:rPr>
        </w:r>
        <w:r w:rsidR="003776AB">
          <w:rPr>
            <w:webHidden/>
          </w:rPr>
          <w:fldChar w:fldCharType="separate"/>
        </w:r>
        <w:r w:rsidR="00996BB1">
          <w:rPr>
            <w:webHidden/>
          </w:rPr>
          <w:t>69</w:t>
        </w:r>
        <w:r w:rsidR="003776AB">
          <w:rPr>
            <w:webHidden/>
          </w:rPr>
          <w:fldChar w:fldCharType="end"/>
        </w:r>
      </w:hyperlink>
    </w:p>
    <w:p w14:paraId="0F244C62" w14:textId="1BBA669D" w:rsidR="003776AB" w:rsidRDefault="00942EE9">
      <w:pPr>
        <w:pStyle w:val="TOC4"/>
        <w:rPr>
          <w:rFonts w:asciiTheme="minorHAnsi" w:hAnsiTheme="minorHAnsi" w:cstheme="minorBidi"/>
          <w:sz w:val="22"/>
          <w:szCs w:val="22"/>
        </w:rPr>
      </w:pPr>
      <w:hyperlink w:anchor="_Toc44601692" w:history="1">
        <w:r w:rsidR="003776AB" w:rsidRPr="000D4549">
          <w:rPr>
            <w:rStyle w:val="Hyperlink"/>
          </w:rPr>
          <w:t>7.1.3.1</w:t>
        </w:r>
        <w:r w:rsidR="003776AB">
          <w:rPr>
            <w:rFonts w:asciiTheme="minorHAnsi" w:hAnsiTheme="minorHAnsi" w:cstheme="minorBidi"/>
            <w:sz w:val="22"/>
            <w:szCs w:val="22"/>
          </w:rPr>
          <w:tab/>
        </w:r>
        <w:r w:rsidR="003776AB" w:rsidRPr="000D4549">
          <w:rPr>
            <w:rStyle w:val="Hyperlink"/>
          </w:rPr>
          <w:t>Treatment Beyond Initial Progression</w:t>
        </w:r>
        <w:r w:rsidR="003776AB">
          <w:rPr>
            <w:webHidden/>
          </w:rPr>
          <w:tab/>
        </w:r>
        <w:r w:rsidR="003776AB">
          <w:rPr>
            <w:webHidden/>
          </w:rPr>
          <w:fldChar w:fldCharType="begin"/>
        </w:r>
        <w:r w:rsidR="003776AB">
          <w:rPr>
            <w:webHidden/>
          </w:rPr>
          <w:instrText xml:space="preserve"> PAGEREF _Toc44601692 \h </w:instrText>
        </w:r>
        <w:r w:rsidR="003776AB">
          <w:rPr>
            <w:webHidden/>
          </w:rPr>
        </w:r>
        <w:r w:rsidR="003776AB">
          <w:rPr>
            <w:webHidden/>
          </w:rPr>
          <w:fldChar w:fldCharType="separate"/>
        </w:r>
        <w:r w:rsidR="00996BB1">
          <w:rPr>
            <w:webHidden/>
          </w:rPr>
          <w:t>69</w:t>
        </w:r>
        <w:r w:rsidR="003776AB">
          <w:rPr>
            <w:webHidden/>
          </w:rPr>
          <w:fldChar w:fldCharType="end"/>
        </w:r>
      </w:hyperlink>
    </w:p>
    <w:p w14:paraId="7E92F75B" w14:textId="5428FFCA" w:rsidR="003776AB" w:rsidRDefault="00942EE9">
      <w:pPr>
        <w:pStyle w:val="TOC4"/>
        <w:rPr>
          <w:rFonts w:asciiTheme="minorHAnsi" w:hAnsiTheme="minorHAnsi" w:cstheme="minorBidi"/>
          <w:sz w:val="22"/>
          <w:szCs w:val="22"/>
        </w:rPr>
      </w:pPr>
      <w:hyperlink w:anchor="_Toc44601693" w:history="1">
        <w:r w:rsidR="003776AB" w:rsidRPr="000D4549">
          <w:rPr>
            <w:rStyle w:val="Hyperlink"/>
          </w:rPr>
          <w:t>7.1.3.2</w:t>
        </w:r>
        <w:r w:rsidR="003776AB">
          <w:rPr>
            <w:rFonts w:asciiTheme="minorHAnsi" w:hAnsiTheme="minorHAnsi" w:cstheme="minorBidi"/>
            <w:sz w:val="22"/>
            <w:szCs w:val="22"/>
          </w:rPr>
          <w:tab/>
        </w:r>
        <w:r w:rsidR="003776AB" w:rsidRPr="000D4549">
          <w:rPr>
            <w:rStyle w:val="Hyperlink"/>
          </w:rPr>
          <w:t>Treatment Beyond Confirmed Progression</w:t>
        </w:r>
        <w:r w:rsidR="003776AB">
          <w:rPr>
            <w:webHidden/>
          </w:rPr>
          <w:tab/>
        </w:r>
        <w:r w:rsidR="003776AB">
          <w:rPr>
            <w:webHidden/>
          </w:rPr>
          <w:fldChar w:fldCharType="begin"/>
        </w:r>
        <w:r w:rsidR="003776AB">
          <w:rPr>
            <w:webHidden/>
          </w:rPr>
          <w:instrText xml:space="preserve"> PAGEREF _Toc44601693 \h </w:instrText>
        </w:r>
        <w:r w:rsidR="003776AB">
          <w:rPr>
            <w:webHidden/>
          </w:rPr>
        </w:r>
        <w:r w:rsidR="003776AB">
          <w:rPr>
            <w:webHidden/>
          </w:rPr>
          <w:fldChar w:fldCharType="separate"/>
        </w:r>
        <w:r w:rsidR="00996BB1">
          <w:rPr>
            <w:webHidden/>
          </w:rPr>
          <w:t>69</w:t>
        </w:r>
        <w:r w:rsidR="003776AB">
          <w:rPr>
            <w:webHidden/>
          </w:rPr>
          <w:fldChar w:fldCharType="end"/>
        </w:r>
      </w:hyperlink>
    </w:p>
    <w:p w14:paraId="67286142" w14:textId="785A070F" w:rsidR="003776AB" w:rsidRDefault="00942EE9">
      <w:pPr>
        <w:pStyle w:val="TOC4"/>
        <w:rPr>
          <w:rFonts w:asciiTheme="minorHAnsi" w:hAnsiTheme="minorHAnsi" w:cstheme="minorBidi"/>
          <w:sz w:val="22"/>
          <w:szCs w:val="22"/>
        </w:rPr>
      </w:pPr>
      <w:hyperlink w:anchor="_Toc44601694" w:history="1">
        <w:r w:rsidR="003776AB" w:rsidRPr="000D4549">
          <w:rPr>
            <w:rStyle w:val="Hyperlink"/>
            <w:lang w:eastAsia="ja-JP" w:bidi="he-IL"/>
          </w:rPr>
          <w:t>7.1.3.3</w:t>
        </w:r>
        <w:r w:rsidR="003776AB">
          <w:rPr>
            <w:rFonts w:asciiTheme="minorHAnsi" w:hAnsiTheme="minorHAnsi" w:cstheme="minorBidi"/>
            <w:sz w:val="22"/>
            <w:szCs w:val="22"/>
          </w:rPr>
          <w:tab/>
        </w:r>
        <w:r w:rsidR="003776AB" w:rsidRPr="000D4549">
          <w:rPr>
            <w:rStyle w:val="Hyperlink"/>
            <w:lang w:eastAsia="ja-JP" w:bidi="he-IL"/>
          </w:rPr>
          <w:t>Continuation of Study Intervention After Local Treatment of Disease Progression</w:t>
        </w:r>
        <w:r w:rsidR="003776AB">
          <w:rPr>
            <w:webHidden/>
          </w:rPr>
          <w:tab/>
        </w:r>
        <w:r w:rsidR="003776AB">
          <w:rPr>
            <w:webHidden/>
          </w:rPr>
          <w:fldChar w:fldCharType="begin"/>
        </w:r>
        <w:r w:rsidR="003776AB">
          <w:rPr>
            <w:webHidden/>
          </w:rPr>
          <w:instrText xml:space="preserve"> PAGEREF _Toc44601694 \h </w:instrText>
        </w:r>
        <w:r w:rsidR="003776AB">
          <w:rPr>
            <w:webHidden/>
          </w:rPr>
        </w:r>
        <w:r w:rsidR="003776AB">
          <w:rPr>
            <w:webHidden/>
          </w:rPr>
          <w:fldChar w:fldCharType="separate"/>
        </w:r>
        <w:r w:rsidR="00996BB1">
          <w:rPr>
            <w:webHidden/>
          </w:rPr>
          <w:t>69</w:t>
        </w:r>
        <w:r w:rsidR="003776AB">
          <w:rPr>
            <w:webHidden/>
          </w:rPr>
          <w:fldChar w:fldCharType="end"/>
        </w:r>
      </w:hyperlink>
    </w:p>
    <w:p w14:paraId="1327FCEB" w14:textId="6101248E" w:rsidR="003776AB" w:rsidRDefault="00942EE9">
      <w:pPr>
        <w:pStyle w:val="TOC2"/>
        <w:rPr>
          <w:rFonts w:asciiTheme="minorHAnsi" w:hAnsiTheme="minorHAnsi" w:cstheme="minorBidi"/>
          <w:sz w:val="22"/>
          <w:szCs w:val="22"/>
        </w:rPr>
      </w:pPr>
      <w:hyperlink w:anchor="_Toc44601695" w:history="1">
        <w:r w:rsidR="003776AB" w:rsidRPr="000D4549">
          <w:rPr>
            <w:rStyle w:val="Hyperlink"/>
          </w:rPr>
          <w:t>7.2</w:t>
        </w:r>
        <w:r w:rsidR="003776AB">
          <w:rPr>
            <w:rFonts w:asciiTheme="minorHAnsi" w:hAnsiTheme="minorHAnsi" w:cstheme="minorBidi"/>
            <w:sz w:val="22"/>
            <w:szCs w:val="22"/>
          </w:rPr>
          <w:tab/>
        </w:r>
        <w:r w:rsidR="003776AB" w:rsidRPr="000D4549">
          <w:rPr>
            <w:rStyle w:val="Hyperlink"/>
          </w:rPr>
          <w:t>Participant Discontinuation/Withdrawal From the Study</w:t>
        </w:r>
        <w:r w:rsidR="003776AB">
          <w:rPr>
            <w:webHidden/>
          </w:rPr>
          <w:tab/>
        </w:r>
        <w:r w:rsidR="003776AB">
          <w:rPr>
            <w:webHidden/>
          </w:rPr>
          <w:fldChar w:fldCharType="begin"/>
        </w:r>
        <w:r w:rsidR="003776AB">
          <w:rPr>
            <w:webHidden/>
          </w:rPr>
          <w:instrText xml:space="preserve"> PAGEREF _Toc44601695 \h </w:instrText>
        </w:r>
        <w:r w:rsidR="003776AB">
          <w:rPr>
            <w:webHidden/>
          </w:rPr>
        </w:r>
        <w:r w:rsidR="003776AB">
          <w:rPr>
            <w:webHidden/>
          </w:rPr>
          <w:fldChar w:fldCharType="separate"/>
        </w:r>
        <w:r w:rsidR="00996BB1">
          <w:rPr>
            <w:webHidden/>
          </w:rPr>
          <w:t>70</w:t>
        </w:r>
        <w:r w:rsidR="003776AB">
          <w:rPr>
            <w:webHidden/>
          </w:rPr>
          <w:fldChar w:fldCharType="end"/>
        </w:r>
      </w:hyperlink>
    </w:p>
    <w:p w14:paraId="001E71FB" w14:textId="679CE8D7" w:rsidR="003776AB" w:rsidRDefault="00942EE9">
      <w:pPr>
        <w:pStyle w:val="TOC2"/>
        <w:rPr>
          <w:rFonts w:asciiTheme="minorHAnsi" w:hAnsiTheme="minorHAnsi" w:cstheme="minorBidi"/>
          <w:sz w:val="22"/>
          <w:szCs w:val="22"/>
        </w:rPr>
      </w:pPr>
      <w:hyperlink w:anchor="_Toc44601696" w:history="1">
        <w:r w:rsidR="003776AB" w:rsidRPr="000D4549">
          <w:rPr>
            <w:rStyle w:val="Hyperlink"/>
          </w:rPr>
          <w:t>7.3</w:t>
        </w:r>
        <w:r w:rsidR="003776AB">
          <w:rPr>
            <w:rFonts w:asciiTheme="minorHAnsi" w:hAnsiTheme="minorHAnsi" w:cstheme="minorBidi"/>
            <w:sz w:val="22"/>
            <w:szCs w:val="22"/>
          </w:rPr>
          <w:tab/>
        </w:r>
        <w:r w:rsidR="003776AB" w:rsidRPr="000D4549">
          <w:rPr>
            <w:rStyle w:val="Hyperlink"/>
          </w:rPr>
          <w:t>Lost to Follow-Up</w:t>
        </w:r>
        <w:r w:rsidR="003776AB">
          <w:rPr>
            <w:webHidden/>
          </w:rPr>
          <w:tab/>
        </w:r>
        <w:r w:rsidR="003776AB">
          <w:rPr>
            <w:webHidden/>
          </w:rPr>
          <w:fldChar w:fldCharType="begin"/>
        </w:r>
        <w:r w:rsidR="003776AB">
          <w:rPr>
            <w:webHidden/>
          </w:rPr>
          <w:instrText xml:space="preserve"> PAGEREF _Toc44601696 \h </w:instrText>
        </w:r>
        <w:r w:rsidR="003776AB">
          <w:rPr>
            <w:webHidden/>
          </w:rPr>
        </w:r>
        <w:r w:rsidR="003776AB">
          <w:rPr>
            <w:webHidden/>
          </w:rPr>
          <w:fldChar w:fldCharType="separate"/>
        </w:r>
        <w:r w:rsidR="00996BB1">
          <w:rPr>
            <w:webHidden/>
          </w:rPr>
          <w:t>71</w:t>
        </w:r>
        <w:r w:rsidR="003776AB">
          <w:rPr>
            <w:webHidden/>
          </w:rPr>
          <w:fldChar w:fldCharType="end"/>
        </w:r>
      </w:hyperlink>
    </w:p>
    <w:p w14:paraId="2B075CE9" w14:textId="79A69000" w:rsidR="003776AB" w:rsidRDefault="00942EE9">
      <w:pPr>
        <w:pStyle w:val="TOC1"/>
        <w:rPr>
          <w:rFonts w:asciiTheme="minorHAnsi" w:hAnsiTheme="minorHAnsi" w:cstheme="minorBidi"/>
          <w:sz w:val="22"/>
          <w:szCs w:val="22"/>
        </w:rPr>
      </w:pPr>
      <w:hyperlink w:anchor="_Toc44601697" w:history="1">
        <w:r w:rsidR="003776AB" w:rsidRPr="000D4549">
          <w:rPr>
            <w:rStyle w:val="Hyperlink"/>
          </w:rPr>
          <w:t>8</w:t>
        </w:r>
        <w:r w:rsidR="003776AB">
          <w:rPr>
            <w:rFonts w:asciiTheme="minorHAnsi" w:hAnsiTheme="minorHAnsi" w:cstheme="minorBidi"/>
            <w:sz w:val="22"/>
            <w:szCs w:val="22"/>
          </w:rPr>
          <w:tab/>
        </w:r>
        <w:r w:rsidR="003776AB" w:rsidRPr="000D4549">
          <w:rPr>
            <w:rStyle w:val="Hyperlink"/>
          </w:rPr>
          <w:t>Study Assessments and Procedures</w:t>
        </w:r>
        <w:r w:rsidR="003776AB">
          <w:rPr>
            <w:webHidden/>
          </w:rPr>
          <w:tab/>
        </w:r>
        <w:r w:rsidR="003776AB">
          <w:rPr>
            <w:webHidden/>
          </w:rPr>
          <w:fldChar w:fldCharType="begin"/>
        </w:r>
        <w:r w:rsidR="003776AB">
          <w:rPr>
            <w:webHidden/>
          </w:rPr>
          <w:instrText xml:space="preserve"> PAGEREF _Toc44601697 \h </w:instrText>
        </w:r>
        <w:r w:rsidR="003776AB">
          <w:rPr>
            <w:webHidden/>
          </w:rPr>
        </w:r>
        <w:r w:rsidR="003776AB">
          <w:rPr>
            <w:webHidden/>
          </w:rPr>
          <w:fldChar w:fldCharType="separate"/>
        </w:r>
        <w:r w:rsidR="00996BB1">
          <w:rPr>
            <w:webHidden/>
          </w:rPr>
          <w:t>71</w:t>
        </w:r>
        <w:r w:rsidR="003776AB">
          <w:rPr>
            <w:webHidden/>
          </w:rPr>
          <w:fldChar w:fldCharType="end"/>
        </w:r>
      </w:hyperlink>
    </w:p>
    <w:p w14:paraId="54842F5C" w14:textId="4504F954" w:rsidR="003776AB" w:rsidRDefault="00942EE9">
      <w:pPr>
        <w:pStyle w:val="TOC2"/>
        <w:rPr>
          <w:rFonts w:asciiTheme="minorHAnsi" w:hAnsiTheme="minorHAnsi" w:cstheme="minorBidi"/>
          <w:sz w:val="22"/>
          <w:szCs w:val="22"/>
        </w:rPr>
      </w:pPr>
      <w:hyperlink w:anchor="_Toc44601698" w:history="1">
        <w:r w:rsidR="003776AB" w:rsidRPr="000D4549">
          <w:rPr>
            <w:rStyle w:val="Hyperlink"/>
          </w:rPr>
          <w:t>8.1</w:t>
        </w:r>
        <w:r w:rsidR="003776AB">
          <w:rPr>
            <w:rFonts w:asciiTheme="minorHAnsi" w:hAnsiTheme="minorHAnsi" w:cstheme="minorBidi"/>
            <w:sz w:val="22"/>
            <w:szCs w:val="22"/>
          </w:rPr>
          <w:tab/>
        </w:r>
        <w:r w:rsidR="003776AB" w:rsidRPr="000D4549">
          <w:rPr>
            <w:rStyle w:val="Hyperlink"/>
          </w:rPr>
          <w:t>Efficacy Assessments and Procedures</w:t>
        </w:r>
        <w:r w:rsidR="003776AB">
          <w:rPr>
            <w:webHidden/>
          </w:rPr>
          <w:tab/>
        </w:r>
        <w:r w:rsidR="003776AB">
          <w:rPr>
            <w:webHidden/>
          </w:rPr>
          <w:fldChar w:fldCharType="begin"/>
        </w:r>
        <w:r w:rsidR="003776AB">
          <w:rPr>
            <w:webHidden/>
          </w:rPr>
          <w:instrText xml:space="preserve"> PAGEREF _Toc44601698 \h </w:instrText>
        </w:r>
        <w:r w:rsidR="003776AB">
          <w:rPr>
            <w:webHidden/>
          </w:rPr>
        </w:r>
        <w:r w:rsidR="003776AB">
          <w:rPr>
            <w:webHidden/>
          </w:rPr>
          <w:fldChar w:fldCharType="separate"/>
        </w:r>
        <w:r w:rsidR="00996BB1">
          <w:rPr>
            <w:webHidden/>
          </w:rPr>
          <w:t>72</w:t>
        </w:r>
        <w:r w:rsidR="003776AB">
          <w:rPr>
            <w:webHidden/>
          </w:rPr>
          <w:fldChar w:fldCharType="end"/>
        </w:r>
      </w:hyperlink>
    </w:p>
    <w:p w14:paraId="6E19C70B" w14:textId="60132A71" w:rsidR="003776AB" w:rsidRDefault="00942EE9">
      <w:pPr>
        <w:pStyle w:val="TOC2"/>
        <w:rPr>
          <w:rFonts w:asciiTheme="minorHAnsi" w:hAnsiTheme="minorHAnsi" w:cstheme="minorBidi"/>
          <w:sz w:val="22"/>
          <w:szCs w:val="22"/>
        </w:rPr>
      </w:pPr>
      <w:hyperlink w:anchor="_Toc44601699" w:history="1">
        <w:r w:rsidR="003776AB" w:rsidRPr="000D4549">
          <w:rPr>
            <w:rStyle w:val="Hyperlink"/>
          </w:rPr>
          <w:t>8.2</w:t>
        </w:r>
        <w:r w:rsidR="003776AB">
          <w:rPr>
            <w:rFonts w:asciiTheme="minorHAnsi" w:hAnsiTheme="minorHAnsi" w:cstheme="minorBidi"/>
            <w:sz w:val="22"/>
            <w:szCs w:val="22"/>
          </w:rPr>
          <w:tab/>
        </w:r>
        <w:r w:rsidR="003776AB" w:rsidRPr="000D4549">
          <w:rPr>
            <w:rStyle w:val="Hyperlink"/>
          </w:rPr>
          <w:t>Safety Assessments and Procedures</w:t>
        </w:r>
        <w:r w:rsidR="003776AB">
          <w:rPr>
            <w:webHidden/>
          </w:rPr>
          <w:tab/>
        </w:r>
        <w:r w:rsidR="003776AB">
          <w:rPr>
            <w:webHidden/>
          </w:rPr>
          <w:fldChar w:fldCharType="begin"/>
        </w:r>
        <w:r w:rsidR="003776AB">
          <w:rPr>
            <w:webHidden/>
          </w:rPr>
          <w:instrText xml:space="preserve"> PAGEREF _Toc44601699 \h </w:instrText>
        </w:r>
        <w:r w:rsidR="003776AB">
          <w:rPr>
            <w:webHidden/>
          </w:rPr>
        </w:r>
        <w:r w:rsidR="003776AB">
          <w:rPr>
            <w:webHidden/>
          </w:rPr>
          <w:fldChar w:fldCharType="separate"/>
        </w:r>
        <w:r w:rsidR="00996BB1">
          <w:rPr>
            <w:webHidden/>
          </w:rPr>
          <w:t>73</w:t>
        </w:r>
        <w:r w:rsidR="003776AB">
          <w:rPr>
            <w:webHidden/>
          </w:rPr>
          <w:fldChar w:fldCharType="end"/>
        </w:r>
      </w:hyperlink>
    </w:p>
    <w:p w14:paraId="6DF5DD0A" w14:textId="4D9BC908" w:rsidR="003776AB" w:rsidRDefault="00942EE9">
      <w:pPr>
        <w:pStyle w:val="TOC3"/>
        <w:rPr>
          <w:rFonts w:asciiTheme="minorHAnsi" w:hAnsiTheme="minorHAnsi" w:cstheme="minorBidi"/>
          <w:sz w:val="22"/>
          <w:szCs w:val="22"/>
        </w:rPr>
      </w:pPr>
      <w:hyperlink w:anchor="_Toc44601700" w:history="1">
        <w:r w:rsidR="003776AB" w:rsidRPr="000D4549">
          <w:rPr>
            <w:rStyle w:val="Hyperlink"/>
          </w:rPr>
          <w:t>8.2.1</w:t>
        </w:r>
        <w:r w:rsidR="003776AB">
          <w:rPr>
            <w:rFonts w:asciiTheme="minorHAnsi" w:hAnsiTheme="minorHAnsi" w:cstheme="minorBidi"/>
            <w:sz w:val="22"/>
            <w:szCs w:val="22"/>
          </w:rPr>
          <w:tab/>
        </w:r>
        <w:r w:rsidR="003776AB" w:rsidRPr="000D4549">
          <w:rPr>
            <w:rStyle w:val="Hyperlink"/>
          </w:rPr>
          <w:t>Physical Examinations</w:t>
        </w:r>
        <w:r w:rsidR="003776AB">
          <w:rPr>
            <w:webHidden/>
          </w:rPr>
          <w:tab/>
        </w:r>
        <w:r w:rsidR="003776AB">
          <w:rPr>
            <w:webHidden/>
          </w:rPr>
          <w:fldChar w:fldCharType="begin"/>
        </w:r>
        <w:r w:rsidR="003776AB">
          <w:rPr>
            <w:webHidden/>
          </w:rPr>
          <w:instrText xml:space="preserve"> PAGEREF _Toc44601700 \h </w:instrText>
        </w:r>
        <w:r w:rsidR="003776AB">
          <w:rPr>
            <w:webHidden/>
          </w:rPr>
        </w:r>
        <w:r w:rsidR="003776AB">
          <w:rPr>
            <w:webHidden/>
          </w:rPr>
          <w:fldChar w:fldCharType="separate"/>
        </w:r>
        <w:r w:rsidR="00996BB1">
          <w:rPr>
            <w:webHidden/>
          </w:rPr>
          <w:t>73</w:t>
        </w:r>
        <w:r w:rsidR="003776AB">
          <w:rPr>
            <w:webHidden/>
          </w:rPr>
          <w:fldChar w:fldCharType="end"/>
        </w:r>
      </w:hyperlink>
    </w:p>
    <w:p w14:paraId="0C2DC624" w14:textId="6FA793B6" w:rsidR="003776AB" w:rsidRDefault="00942EE9">
      <w:pPr>
        <w:pStyle w:val="TOC3"/>
        <w:rPr>
          <w:rFonts w:asciiTheme="minorHAnsi" w:hAnsiTheme="minorHAnsi" w:cstheme="minorBidi"/>
          <w:sz w:val="22"/>
          <w:szCs w:val="22"/>
        </w:rPr>
      </w:pPr>
      <w:hyperlink w:anchor="_Toc44601701" w:history="1">
        <w:r w:rsidR="003776AB" w:rsidRPr="000D4549">
          <w:rPr>
            <w:rStyle w:val="Hyperlink"/>
          </w:rPr>
          <w:t>8.2.2</w:t>
        </w:r>
        <w:r w:rsidR="003776AB">
          <w:rPr>
            <w:rFonts w:asciiTheme="minorHAnsi" w:hAnsiTheme="minorHAnsi" w:cstheme="minorBidi"/>
            <w:sz w:val="22"/>
            <w:szCs w:val="22"/>
          </w:rPr>
          <w:tab/>
        </w:r>
        <w:r w:rsidR="003776AB" w:rsidRPr="000D4549">
          <w:rPr>
            <w:rStyle w:val="Hyperlink"/>
          </w:rPr>
          <w:t>Vital Signs</w:t>
        </w:r>
        <w:r w:rsidR="003776AB">
          <w:rPr>
            <w:webHidden/>
          </w:rPr>
          <w:tab/>
        </w:r>
        <w:r w:rsidR="003776AB">
          <w:rPr>
            <w:webHidden/>
          </w:rPr>
          <w:fldChar w:fldCharType="begin"/>
        </w:r>
        <w:r w:rsidR="003776AB">
          <w:rPr>
            <w:webHidden/>
          </w:rPr>
          <w:instrText xml:space="preserve"> PAGEREF _Toc44601701 \h </w:instrText>
        </w:r>
        <w:r w:rsidR="003776AB">
          <w:rPr>
            <w:webHidden/>
          </w:rPr>
        </w:r>
        <w:r w:rsidR="003776AB">
          <w:rPr>
            <w:webHidden/>
          </w:rPr>
          <w:fldChar w:fldCharType="separate"/>
        </w:r>
        <w:r w:rsidR="00996BB1">
          <w:rPr>
            <w:webHidden/>
          </w:rPr>
          <w:t>74</w:t>
        </w:r>
        <w:r w:rsidR="003776AB">
          <w:rPr>
            <w:webHidden/>
          </w:rPr>
          <w:fldChar w:fldCharType="end"/>
        </w:r>
      </w:hyperlink>
    </w:p>
    <w:p w14:paraId="53171025" w14:textId="7EC29C5D" w:rsidR="003776AB" w:rsidRDefault="00942EE9">
      <w:pPr>
        <w:pStyle w:val="TOC3"/>
        <w:rPr>
          <w:rFonts w:asciiTheme="minorHAnsi" w:hAnsiTheme="minorHAnsi" w:cstheme="minorBidi"/>
          <w:sz w:val="22"/>
          <w:szCs w:val="22"/>
        </w:rPr>
      </w:pPr>
      <w:hyperlink w:anchor="_Toc44601702" w:history="1">
        <w:r w:rsidR="003776AB" w:rsidRPr="000D4549">
          <w:rPr>
            <w:rStyle w:val="Hyperlink"/>
          </w:rPr>
          <w:t>8.2.3</w:t>
        </w:r>
        <w:r w:rsidR="003776AB">
          <w:rPr>
            <w:rFonts w:asciiTheme="minorHAnsi" w:hAnsiTheme="minorHAnsi" w:cstheme="minorBidi"/>
            <w:sz w:val="22"/>
            <w:szCs w:val="22"/>
          </w:rPr>
          <w:tab/>
        </w:r>
        <w:r w:rsidR="003776AB" w:rsidRPr="000D4549">
          <w:rPr>
            <w:rStyle w:val="Hyperlink"/>
          </w:rPr>
          <w:t>Electrocardiograms</w:t>
        </w:r>
        <w:r w:rsidR="003776AB">
          <w:rPr>
            <w:webHidden/>
          </w:rPr>
          <w:tab/>
        </w:r>
        <w:r w:rsidR="003776AB">
          <w:rPr>
            <w:webHidden/>
          </w:rPr>
          <w:fldChar w:fldCharType="begin"/>
        </w:r>
        <w:r w:rsidR="003776AB">
          <w:rPr>
            <w:webHidden/>
          </w:rPr>
          <w:instrText xml:space="preserve"> PAGEREF _Toc44601702 \h </w:instrText>
        </w:r>
        <w:r w:rsidR="003776AB">
          <w:rPr>
            <w:webHidden/>
          </w:rPr>
        </w:r>
        <w:r w:rsidR="003776AB">
          <w:rPr>
            <w:webHidden/>
          </w:rPr>
          <w:fldChar w:fldCharType="separate"/>
        </w:r>
        <w:r w:rsidR="00996BB1">
          <w:rPr>
            <w:webHidden/>
          </w:rPr>
          <w:t>74</w:t>
        </w:r>
        <w:r w:rsidR="003776AB">
          <w:rPr>
            <w:webHidden/>
          </w:rPr>
          <w:fldChar w:fldCharType="end"/>
        </w:r>
      </w:hyperlink>
    </w:p>
    <w:p w14:paraId="36D336B4" w14:textId="0CE699CB" w:rsidR="003776AB" w:rsidRDefault="00942EE9">
      <w:pPr>
        <w:pStyle w:val="TOC3"/>
        <w:rPr>
          <w:rFonts w:asciiTheme="minorHAnsi" w:hAnsiTheme="minorHAnsi" w:cstheme="minorBidi"/>
          <w:sz w:val="22"/>
          <w:szCs w:val="22"/>
        </w:rPr>
      </w:pPr>
      <w:hyperlink w:anchor="_Toc44601703" w:history="1">
        <w:r w:rsidR="003776AB" w:rsidRPr="000D4549">
          <w:rPr>
            <w:rStyle w:val="Hyperlink"/>
          </w:rPr>
          <w:t>8.2.4</w:t>
        </w:r>
        <w:r w:rsidR="003776AB">
          <w:rPr>
            <w:rFonts w:asciiTheme="minorHAnsi" w:hAnsiTheme="minorHAnsi" w:cstheme="minorBidi"/>
            <w:sz w:val="22"/>
            <w:szCs w:val="22"/>
          </w:rPr>
          <w:tab/>
        </w:r>
        <w:r w:rsidR="003776AB" w:rsidRPr="000D4549">
          <w:rPr>
            <w:rStyle w:val="Hyperlink"/>
          </w:rPr>
          <w:t>Clinical Safety Laboratory Assessments</w:t>
        </w:r>
        <w:r w:rsidR="003776AB">
          <w:rPr>
            <w:webHidden/>
          </w:rPr>
          <w:tab/>
        </w:r>
        <w:r w:rsidR="003776AB">
          <w:rPr>
            <w:webHidden/>
          </w:rPr>
          <w:fldChar w:fldCharType="begin"/>
        </w:r>
        <w:r w:rsidR="003776AB">
          <w:rPr>
            <w:webHidden/>
          </w:rPr>
          <w:instrText xml:space="preserve"> PAGEREF _Toc44601703 \h </w:instrText>
        </w:r>
        <w:r w:rsidR="003776AB">
          <w:rPr>
            <w:webHidden/>
          </w:rPr>
        </w:r>
        <w:r w:rsidR="003776AB">
          <w:rPr>
            <w:webHidden/>
          </w:rPr>
          <w:fldChar w:fldCharType="separate"/>
        </w:r>
        <w:r w:rsidR="00996BB1">
          <w:rPr>
            <w:webHidden/>
          </w:rPr>
          <w:t>74</w:t>
        </w:r>
        <w:r w:rsidR="003776AB">
          <w:rPr>
            <w:webHidden/>
          </w:rPr>
          <w:fldChar w:fldCharType="end"/>
        </w:r>
      </w:hyperlink>
    </w:p>
    <w:p w14:paraId="5FE67A5F" w14:textId="68F7CDE2" w:rsidR="003776AB" w:rsidRDefault="00942EE9">
      <w:pPr>
        <w:pStyle w:val="TOC2"/>
        <w:rPr>
          <w:rFonts w:asciiTheme="minorHAnsi" w:hAnsiTheme="minorHAnsi" w:cstheme="minorBidi"/>
          <w:sz w:val="22"/>
          <w:szCs w:val="22"/>
        </w:rPr>
      </w:pPr>
      <w:hyperlink w:anchor="_Toc44601704" w:history="1">
        <w:r w:rsidR="003776AB" w:rsidRPr="000D4549">
          <w:rPr>
            <w:rStyle w:val="Hyperlink"/>
          </w:rPr>
          <w:t>8.3</w:t>
        </w:r>
        <w:r w:rsidR="003776AB">
          <w:rPr>
            <w:rFonts w:asciiTheme="minorHAnsi" w:hAnsiTheme="minorHAnsi" w:cstheme="minorBidi"/>
            <w:sz w:val="22"/>
            <w:szCs w:val="22"/>
          </w:rPr>
          <w:tab/>
        </w:r>
        <w:r w:rsidR="003776AB" w:rsidRPr="000D4549">
          <w:rPr>
            <w:rStyle w:val="Hyperlink"/>
          </w:rPr>
          <w:t>Adverse Events and Serious Adverse Events</w:t>
        </w:r>
        <w:r w:rsidR="003776AB">
          <w:rPr>
            <w:webHidden/>
          </w:rPr>
          <w:tab/>
        </w:r>
        <w:r w:rsidR="003776AB">
          <w:rPr>
            <w:webHidden/>
          </w:rPr>
          <w:fldChar w:fldCharType="begin"/>
        </w:r>
        <w:r w:rsidR="003776AB">
          <w:rPr>
            <w:webHidden/>
          </w:rPr>
          <w:instrText xml:space="preserve"> PAGEREF _Toc44601704 \h </w:instrText>
        </w:r>
        <w:r w:rsidR="003776AB">
          <w:rPr>
            <w:webHidden/>
          </w:rPr>
        </w:r>
        <w:r w:rsidR="003776AB">
          <w:rPr>
            <w:webHidden/>
          </w:rPr>
          <w:fldChar w:fldCharType="separate"/>
        </w:r>
        <w:r w:rsidR="00996BB1">
          <w:rPr>
            <w:webHidden/>
          </w:rPr>
          <w:t>75</w:t>
        </w:r>
        <w:r w:rsidR="003776AB">
          <w:rPr>
            <w:webHidden/>
          </w:rPr>
          <w:fldChar w:fldCharType="end"/>
        </w:r>
      </w:hyperlink>
    </w:p>
    <w:p w14:paraId="27F16654" w14:textId="3DD715B6" w:rsidR="003776AB" w:rsidRDefault="00942EE9">
      <w:pPr>
        <w:pStyle w:val="TOC3"/>
        <w:rPr>
          <w:rFonts w:asciiTheme="minorHAnsi" w:hAnsiTheme="minorHAnsi" w:cstheme="minorBidi"/>
          <w:sz w:val="22"/>
          <w:szCs w:val="22"/>
        </w:rPr>
      </w:pPr>
      <w:hyperlink w:anchor="_Toc44601705" w:history="1">
        <w:r w:rsidR="003776AB" w:rsidRPr="000D4549">
          <w:rPr>
            <w:rStyle w:val="Hyperlink"/>
          </w:rPr>
          <w:t>8.3.1</w:t>
        </w:r>
        <w:r w:rsidR="003776AB">
          <w:rPr>
            <w:rFonts w:asciiTheme="minorHAnsi" w:hAnsiTheme="minorHAnsi" w:cstheme="minorBidi"/>
            <w:sz w:val="22"/>
            <w:szCs w:val="22"/>
          </w:rPr>
          <w:tab/>
        </w:r>
        <w:r w:rsidR="003776AB" w:rsidRPr="000D4549">
          <w:rPr>
            <w:rStyle w:val="Hyperlink"/>
          </w:rPr>
          <w:t>Time Period and Frequency for Collecting Adverse Event and Serious Adverse Event Information</w:t>
        </w:r>
        <w:r w:rsidR="003776AB">
          <w:rPr>
            <w:webHidden/>
          </w:rPr>
          <w:tab/>
        </w:r>
        <w:r w:rsidR="003776AB">
          <w:rPr>
            <w:webHidden/>
          </w:rPr>
          <w:fldChar w:fldCharType="begin"/>
        </w:r>
        <w:r w:rsidR="003776AB">
          <w:rPr>
            <w:webHidden/>
          </w:rPr>
          <w:instrText xml:space="preserve"> PAGEREF _Toc44601705 \h </w:instrText>
        </w:r>
        <w:r w:rsidR="003776AB">
          <w:rPr>
            <w:webHidden/>
          </w:rPr>
        </w:r>
        <w:r w:rsidR="003776AB">
          <w:rPr>
            <w:webHidden/>
          </w:rPr>
          <w:fldChar w:fldCharType="separate"/>
        </w:r>
        <w:r w:rsidR="00996BB1">
          <w:rPr>
            <w:webHidden/>
          </w:rPr>
          <w:t>75</w:t>
        </w:r>
        <w:r w:rsidR="003776AB">
          <w:rPr>
            <w:webHidden/>
          </w:rPr>
          <w:fldChar w:fldCharType="end"/>
        </w:r>
      </w:hyperlink>
    </w:p>
    <w:p w14:paraId="72EF79DB" w14:textId="6DE80965" w:rsidR="003776AB" w:rsidRDefault="00942EE9">
      <w:pPr>
        <w:pStyle w:val="TOC3"/>
        <w:rPr>
          <w:rFonts w:asciiTheme="minorHAnsi" w:hAnsiTheme="minorHAnsi" w:cstheme="minorBidi"/>
          <w:sz w:val="22"/>
          <w:szCs w:val="22"/>
        </w:rPr>
      </w:pPr>
      <w:hyperlink w:anchor="_Toc44601706" w:history="1">
        <w:r w:rsidR="003776AB" w:rsidRPr="000D4549">
          <w:rPr>
            <w:rStyle w:val="Hyperlink"/>
          </w:rPr>
          <w:t>8.3.2</w:t>
        </w:r>
        <w:r w:rsidR="003776AB">
          <w:rPr>
            <w:rFonts w:asciiTheme="minorHAnsi" w:hAnsiTheme="minorHAnsi" w:cstheme="minorBidi"/>
            <w:sz w:val="22"/>
            <w:szCs w:val="22"/>
          </w:rPr>
          <w:tab/>
        </w:r>
        <w:r w:rsidR="003776AB" w:rsidRPr="000D4549">
          <w:rPr>
            <w:rStyle w:val="Hyperlink"/>
          </w:rPr>
          <w:t>Method of Detecting Adverse Events and Serious Adverse Events</w:t>
        </w:r>
        <w:r w:rsidR="003776AB">
          <w:rPr>
            <w:webHidden/>
          </w:rPr>
          <w:tab/>
        </w:r>
        <w:r w:rsidR="003776AB">
          <w:rPr>
            <w:webHidden/>
          </w:rPr>
          <w:fldChar w:fldCharType="begin"/>
        </w:r>
        <w:r w:rsidR="003776AB">
          <w:rPr>
            <w:webHidden/>
          </w:rPr>
          <w:instrText xml:space="preserve"> PAGEREF _Toc44601706 \h </w:instrText>
        </w:r>
        <w:r w:rsidR="003776AB">
          <w:rPr>
            <w:webHidden/>
          </w:rPr>
        </w:r>
        <w:r w:rsidR="003776AB">
          <w:rPr>
            <w:webHidden/>
          </w:rPr>
          <w:fldChar w:fldCharType="separate"/>
        </w:r>
        <w:r w:rsidR="00996BB1">
          <w:rPr>
            <w:webHidden/>
          </w:rPr>
          <w:t>76</w:t>
        </w:r>
        <w:r w:rsidR="003776AB">
          <w:rPr>
            <w:webHidden/>
          </w:rPr>
          <w:fldChar w:fldCharType="end"/>
        </w:r>
      </w:hyperlink>
    </w:p>
    <w:p w14:paraId="6822C27D" w14:textId="6D7F0507" w:rsidR="003776AB" w:rsidRDefault="00942EE9">
      <w:pPr>
        <w:pStyle w:val="TOC3"/>
        <w:rPr>
          <w:rFonts w:asciiTheme="minorHAnsi" w:hAnsiTheme="minorHAnsi" w:cstheme="minorBidi"/>
          <w:sz w:val="22"/>
          <w:szCs w:val="22"/>
        </w:rPr>
      </w:pPr>
      <w:hyperlink w:anchor="_Toc44601707" w:history="1">
        <w:r w:rsidR="003776AB" w:rsidRPr="000D4549">
          <w:rPr>
            <w:rStyle w:val="Hyperlink"/>
          </w:rPr>
          <w:t>8.3.3</w:t>
        </w:r>
        <w:r w:rsidR="003776AB">
          <w:rPr>
            <w:rFonts w:asciiTheme="minorHAnsi" w:hAnsiTheme="minorHAnsi" w:cstheme="minorBidi"/>
            <w:sz w:val="22"/>
            <w:szCs w:val="22"/>
          </w:rPr>
          <w:tab/>
        </w:r>
        <w:r w:rsidR="003776AB" w:rsidRPr="000D4549">
          <w:rPr>
            <w:rStyle w:val="Hyperlink"/>
          </w:rPr>
          <w:t>Follow-up of Adverse Events and Serious Adverse Events</w:t>
        </w:r>
        <w:r w:rsidR="003776AB">
          <w:rPr>
            <w:webHidden/>
          </w:rPr>
          <w:tab/>
        </w:r>
        <w:r w:rsidR="003776AB">
          <w:rPr>
            <w:webHidden/>
          </w:rPr>
          <w:fldChar w:fldCharType="begin"/>
        </w:r>
        <w:r w:rsidR="003776AB">
          <w:rPr>
            <w:webHidden/>
          </w:rPr>
          <w:instrText xml:space="preserve"> PAGEREF _Toc44601707 \h </w:instrText>
        </w:r>
        <w:r w:rsidR="003776AB">
          <w:rPr>
            <w:webHidden/>
          </w:rPr>
        </w:r>
        <w:r w:rsidR="003776AB">
          <w:rPr>
            <w:webHidden/>
          </w:rPr>
          <w:fldChar w:fldCharType="separate"/>
        </w:r>
        <w:r w:rsidR="00996BB1">
          <w:rPr>
            <w:webHidden/>
          </w:rPr>
          <w:t>76</w:t>
        </w:r>
        <w:r w:rsidR="003776AB">
          <w:rPr>
            <w:webHidden/>
          </w:rPr>
          <w:fldChar w:fldCharType="end"/>
        </w:r>
      </w:hyperlink>
    </w:p>
    <w:p w14:paraId="188C2009" w14:textId="7F15FE87" w:rsidR="003776AB" w:rsidRDefault="00942EE9">
      <w:pPr>
        <w:pStyle w:val="TOC3"/>
        <w:rPr>
          <w:rFonts w:asciiTheme="minorHAnsi" w:hAnsiTheme="minorHAnsi" w:cstheme="minorBidi"/>
          <w:sz w:val="22"/>
          <w:szCs w:val="22"/>
        </w:rPr>
      </w:pPr>
      <w:hyperlink w:anchor="_Toc44601708" w:history="1">
        <w:r w:rsidR="003776AB" w:rsidRPr="000D4549">
          <w:rPr>
            <w:rStyle w:val="Hyperlink"/>
          </w:rPr>
          <w:t>8.3.4</w:t>
        </w:r>
        <w:r w:rsidR="003776AB">
          <w:rPr>
            <w:rFonts w:asciiTheme="minorHAnsi" w:hAnsiTheme="minorHAnsi" w:cstheme="minorBidi"/>
            <w:sz w:val="22"/>
            <w:szCs w:val="22"/>
          </w:rPr>
          <w:tab/>
        </w:r>
        <w:r w:rsidR="003776AB" w:rsidRPr="000D4549">
          <w:rPr>
            <w:rStyle w:val="Hyperlink"/>
          </w:rPr>
          <w:t>Regulatory Reporting Requirements for Serious Adverse Events</w:t>
        </w:r>
        <w:r w:rsidR="003776AB">
          <w:rPr>
            <w:webHidden/>
          </w:rPr>
          <w:tab/>
        </w:r>
        <w:r w:rsidR="003776AB">
          <w:rPr>
            <w:webHidden/>
          </w:rPr>
          <w:fldChar w:fldCharType="begin"/>
        </w:r>
        <w:r w:rsidR="003776AB">
          <w:rPr>
            <w:webHidden/>
          </w:rPr>
          <w:instrText xml:space="preserve"> PAGEREF _Toc44601708 \h </w:instrText>
        </w:r>
        <w:r w:rsidR="003776AB">
          <w:rPr>
            <w:webHidden/>
          </w:rPr>
        </w:r>
        <w:r w:rsidR="003776AB">
          <w:rPr>
            <w:webHidden/>
          </w:rPr>
          <w:fldChar w:fldCharType="separate"/>
        </w:r>
        <w:r w:rsidR="00996BB1">
          <w:rPr>
            <w:webHidden/>
          </w:rPr>
          <w:t>76</w:t>
        </w:r>
        <w:r w:rsidR="003776AB">
          <w:rPr>
            <w:webHidden/>
          </w:rPr>
          <w:fldChar w:fldCharType="end"/>
        </w:r>
      </w:hyperlink>
    </w:p>
    <w:p w14:paraId="52B5BEF4" w14:textId="6AAF8B53" w:rsidR="003776AB" w:rsidRDefault="00942EE9">
      <w:pPr>
        <w:pStyle w:val="TOC3"/>
        <w:rPr>
          <w:rFonts w:asciiTheme="minorHAnsi" w:hAnsiTheme="minorHAnsi" w:cstheme="minorBidi"/>
          <w:sz w:val="22"/>
          <w:szCs w:val="22"/>
        </w:rPr>
      </w:pPr>
      <w:hyperlink w:anchor="_Toc44601709" w:history="1">
        <w:r w:rsidR="003776AB" w:rsidRPr="000D4549">
          <w:rPr>
            <w:rStyle w:val="Hyperlink"/>
          </w:rPr>
          <w:t>8.3.5</w:t>
        </w:r>
        <w:r w:rsidR="003776AB">
          <w:rPr>
            <w:rFonts w:asciiTheme="minorHAnsi" w:hAnsiTheme="minorHAnsi" w:cstheme="minorBidi"/>
            <w:sz w:val="22"/>
            <w:szCs w:val="22"/>
          </w:rPr>
          <w:tab/>
        </w:r>
        <w:r w:rsidR="003776AB" w:rsidRPr="000D4549">
          <w:rPr>
            <w:rStyle w:val="Hyperlink"/>
          </w:rPr>
          <w:t>Pregnancy</w:t>
        </w:r>
        <w:r w:rsidR="003776AB">
          <w:rPr>
            <w:webHidden/>
          </w:rPr>
          <w:tab/>
        </w:r>
        <w:r w:rsidR="003776AB">
          <w:rPr>
            <w:webHidden/>
          </w:rPr>
          <w:fldChar w:fldCharType="begin"/>
        </w:r>
        <w:r w:rsidR="003776AB">
          <w:rPr>
            <w:webHidden/>
          </w:rPr>
          <w:instrText xml:space="preserve"> PAGEREF _Toc44601709 \h </w:instrText>
        </w:r>
        <w:r w:rsidR="003776AB">
          <w:rPr>
            <w:webHidden/>
          </w:rPr>
        </w:r>
        <w:r w:rsidR="003776AB">
          <w:rPr>
            <w:webHidden/>
          </w:rPr>
          <w:fldChar w:fldCharType="separate"/>
        </w:r>
        <w:r w:rsidR="00996BB1">
          <w:rPr>
            <w:webHidden/>
          </w:rPr>
          <w:t>77</w:t>
        </w:r>
        <w:r w:rsidR="003776AB">
          <w:rPr>
            <w:webHidden/>
          </w:rPr>
          <w:fldChar w:fldCharType="end"/>
        </w:r>
      </w:hyperlink>
    </w:p>
    <w:p w14:paraId="216B6DA2" w14:textId="4B0F7761" w:rsidR="003776AB" w:rsidRDefault="00942EE9">
      <w:pPr>
        <w:pStyle w:val="TOC3"/>
        <w:rPr>
          <w:rFonts w:asciiTheme="minorHAnsi" w:hAnsiTheme="minorHAnsi" w:cstheme="minorBidi"/>
          <w:sz w:val="22"/>
          <w:szCs w:val="22"/>
        </w:rPr>
      </w:pPr>
      <w:hyperlink w:anchor="_Toc44601710" w:history="1">
        <w:r w:rsidR="003776AB" w:rsidRPr="000D4549">
          <w:rPr>
            <w:rStyle w:val="Hyperlink"/>
          </w:rPr>
          <w:t>8.3.6</w:t>
        </w:r>
        <w:r w:rsidR="003776AB">
          <w:rPr>
            <w:rFonts w:asciiTheme="minorHAnsi" w:hAnsiTheme="minorHAnsi" w:cstheme="minorBidi"/>
            <w:sz w:val="22"/>
            <w:szCs w:val="22"/>
          </w:rPr>
          <w:tab/>
        </w:r>
        <w:r w:rsidR="003776AB" w:rsidRPr="000D4549">
          <w:rPr>
            <w:rStyle w:val="Hyperlink"/>
          </w:rPr>
          <w:t>Adverse Events of Special Interest</w:t>
        </w:r>
        <w:r w:rsidR="003776AB">
          <w:rPr>
            <w:webHidden/>
          </w:rPr>
          <w:tab/>
        </w:r>
        <w:r w:rsidR="003776AB">
          <w:rPr>
            <w:webHidden/>
          </w:rPr>
          <w:fldChar w:fldCharType="begin"/>
        </w:r>
        <w:r w:rsidR="003776AB">
          <w:rPr>
            <w:webHidden/>
          </w:rPr>
          <w:instrText xml:space="preserve"> PAGEREF _Toc44601710 \h </w:instrText>
        </w:r>
        <w:r w:rsidR="003776AB">
          <w:rPr>
            <w:webHidden/>
          </w:rPr>
        </w:r>
        <w:r w:rsidR="003776AB">
          <w:rPr>
            <w:webHidden/>
          </w:rPr>
          <w:fldChar w:fldCharType="separate"/>
        </w:r>
        <w:r w:rsidR="00996BB1">
          <w:rPr>
            <w:webHidden/>
          </w:rPr>
          <w:t>78</w:t>
        </w:r>
        <w:r w:rsidR="003776AB">
          <w:rPr>
            <w:webHidden/>
          </w:rPr>
          <w:fldChar w:fldCharType="end"/>
        </w:r>
      </w:hyperlink>
    </w:p>
    <w:p w14:paraId="3159B545" w14:textId="27A2F7B7" w:rsidR="003776AB" w:rsidRDefault="00942EE9">
      <w:pPr>
        <w:pStyle w:val="TOC4"/>
        <w:rPr>
          <w:rFonts w:asciiTheme="minorHAnsi" w:hAnsiTheme="minorHAnsi" w:cstheme="minorBidi"/>
          <w:sz w:val="22"/>
          <w:szCs w:val="22"/>
        </w:rPr>
      </w:pPr>
      <w:hyperlink w:anchor="_Toc44601711" w:history="1">
        <w:r w:rsidR="003776AB" w:rsidRPr="000D4549">
          <w:rPr>
            <w:rStyle w:val="Hyperlink"/>
          </w:rPr>
          <w:t>8.3.6.1</w:t>
        </w:r>
        <w:r w:rsidR="003776AB">
          <w:rPr>
            <w:rFonts w:asciiTheme="minorHAnsi" w:hAnsiTheme="minorHAnsi" w:cstheme="minorBidi"/>
            <w:sz w:val="22"/>
            <w:szCs w:val="22"/>
          </w:rPr>
          <w:tab/>
        </w:r>
        <w:r w:rsidR="003776AB" w:rsidRPr="000D4549">
          <w:rPr>
            <w:rStyle w:val="Hyperlink"/>
          </w:rPr>
          <w:t>Infusion-related Reactions Including Immediate Hypersensitivity</w:t>
        </w:r>
        <w:r w:rsidR="003776AB">
          <w:rPr>
            <w:webHidden/>
          </w:rPr>
          <w:tab/>
        </w:r>
        <w:r w:rsidR="003776AB">
          <w:rPr>
            <w:webHidden/>
          </w:rPr>
          <w:fldChar w:fldCharType="begin"/>
        </w:r>
        <w:r w:rsidR="003776AB">
          <w:rPr>
            <w:webHidden/>
          </w:rPr>
          <w:instrText xml:space="preserve"> PAGEREF _Toc44601711 \h </w:instrText>
        </w:r>
        <w:r w:rsidR="003776AB">
          <w:rPr>
            <w:webHidden/>
          </w:rPr>
        </w:r>
        <w:r w:rsidR="003776AB">
          <w:rPr>
            <w:webHidden/>
          </w:rPr>
          <w:fldChar w:fldCharType="separate"/>
        </w:r>
        <w:r w:rsidR="00996BB1">
          <w:rPr>
            <w:webHidden/>
          </w:rPr>
          <w:t>78</w:t>
        </w:r>
        <w:r w:rsidR="003776AB">
          <w:rPr>
            <w:webHidden/>
          </w:rPr>
          <w:fldChar w:fldCharType="end"/>
        </w:r>
      </w:hyperlink>
    </w:p>
    <w:p w14:paraId="598BF49A" w14:textId="295110C7" w:rsidR="003776AB" w:rsidRDefault="00942EE9">
      <w:pPr>
        <w:pStyle w:val="TOC4"/>
        <w:rPr>
          <w:rFonts w:asciiTheme="minorHAnsi" w:hAnsiTheme="minorHAnsi" w:cstheme="minorBidi"/>
          <w:sz w:val="22"/>
          <w:szCs w:val="22"/>
        </w:rPr>
      </w:pPr>
      <w:hyperlink w:anchor="_Toc44601712" w:history="1">
        <w:r w:rsidR="003776AB" w:rsidRPr="000D4549">
          <w:rPr>
            <w:rStyle w:val="Hyperlink"/>
          </w:rPr>
          <w:t>8.3.6.2</w:t>
        </w:r>
        <w:r w:rsidR="003776AB">
          <w:rPr>
            <w:rFonts w:asciiTheme="minorHAnsi" w:hAnsiTheme="minorHAnsi" w:cstheme="minorBidi"/>
            <w:sz w:val="22"/>
            <w:szCs w:val="22"/>
          </w:rPr>
          <w:tab/>
        </w:r>
        <w:r w:rsidR="003776AB" w:rsidRPr="000D4549">
          <w:rPr>
            <w:rStyle w:val="Hyperlink"/>
          </w:rPr>
          <w:t>Immune-related Adverse Events</w:t>
        </w:r>
        <w:r w:rsidR="003776AB">
          <w:rPr>
            <w:webHidden/>
          </w:rPr>
          <w:tab/>
        </w:r>
        <w:r w:rsidR="003776AB">
          <w:rPr>
            <w:webHidden/>
          </w:rPr>
          <w:fldChar w:fldCharType="begin"/>
        </w:r>
        <w:r w:rsidR="003776AB">
          <w:rPr>
            <w:webHidden/>
          </w:rPr>
          <w:instrText xml:space="preserve"> PAGEREF _Toc44601712 \h </w:instrText>
        </w:r>
        <w:r w:rsidR="003776AB">
          <w:rPr>
            <w:webHidden/>
          </w:rPr>
        </w:r>
        <w:r w:rsidR="003776AB">
          <w:rPr>
            <w:webHidden/>
          </w:rPr>
          <w:fldChar w:fldCharType="separate"/>
        </w:r>
        <w:r w:rsidR="00996BB1">
          <w:rPr>
            <w:webHidden/>
          </w:rPr>
          <w:t>81</w:t>
        </w:r>
        <w:r w:rsidR="003776AB">
          <w:rPr>
            <w:webHidden/>
          </w:rPr>
          <w:fldChar w:fldCharType="end"/>
        </w:r>
      </w:hyperlink>
    </w:p>
    <w:p w14:paraId="69339E4C" w14:textId="03DE6C16" w:rsidR="003776AB" w:rsidRDefault="00942EE9">
      <w:pPr>
        <w:pStyle w:val="TOC4"/>
        <w:rPr>
          <w:rFonts w:asciiTheme="minorHAnsi" w:hAnsiTheme="minorHAnsi" w:cstheme="minorBidi"/>
          <w:sz w:val="22"/>
          <w:szCs w:val="22"/>
        </w:rPr>
      </w:pPr>
      <w:hyperlink w:anchor="_Toc44601713" w:history="1">
        <w:r w:rsidR="003776AB" w:rsidRPr="000D4549">
          <w:rPr>
            <w:rStyle w:val="Hyperlink"/>
          </w:rPr>
          <w:t>8.3.6.3</w:t>
        </w:r>
        <w:r w:rsidR="003776AB">
          <w:rPr>
            <w:rFonts w:asciiTheme="minorHAnsi" w:hAnsiTheme="minorHAnsi" w:cstheme="minorBidi"/>
            <w:sz w:val="22"/>
            <w:szCs w:val="22"/>
          </w:rPr>
          <w:tab/>
        </w:r>
        <w:r w:rsidR="003776AB" w:rsidRPr="000D4549">
          <w:rPr>
            <w:rStyle w:val="Hyperlink"/>
          </w:rPr>
          <w:t>Potential TGF</w:t>
        </w:r>
        <w:r w:rsidR="003776AB" w:rsidRPr="000D4549">
          <w:rPr>
            <w:rStyle w:val="Hyperlink"/>
          </w:rPr>
          <w:noBreakHyphen/>
          <w:t>β-mediated Skin Adverse Events</w:t>
        </w:r>
        <w:r w:rsidR="003776AB">
          <w:rPr>
            <w:webHidden/>
          </w:rPr>
          <w:tab/>
        </w:r>
        <w:r w:rsidR="003776AB">
          <w:rPr>
            <w:webHidden/>
          </w:rPr>
          <w:fldChar w:fldCharType="begin"/>
        </w:r>
        <w:r w:rsidR="003776AB">
          <w:rPr>
            <w:webHidden/>
          </w:rPr>
          <w:instrText xml:space="preserve"> PAGEREF _Toc44601713 \h </w:instrText>
        </w:r>
        <w:r w:rsidR="003776AB">
          <w:rPr>
            <w:webHidden/>
          </w:rPr>
        </w:r>
        <w:r w:rsidR="003776AB">
          <w:rPr>
            <w:webHidden/>
          </w:rPr>
          <w:fldChar w:fldCharType="separate"/>
        </w:r>
        <w:r w:rsidR="00996BB1">
          <w:rPr>
            <w:webHidden/>
          </w:rPr>
          <w:t>82</w:t>
        </w:r>
        <w:r w:rsidR="003776AB">
          <w:rPr>
            <w:webHidden/>
          </w:rPr>
          <w:fldChar w:fldCharType="end"/>
        </w:r>
      </w:hyperlink>
    </w:p>
    <w:p w14:paraId="7C4CA817" w14:textId="22864383" w:rsidR="003776AB" w:rsidRDefault="00942EE9">
      <w:pPr>
        <w:pStyle w:val="TOC4"/>
        <w:rPr>
          <w:rFonts w:asciiTheme="minorHAnsi" w:hAnsiTheme="minorHAnsi" w:cstheme="minorBidi"/>
          <w:sz w:val="22"/>
          <w:szCs w:val="22"/>
        </w:rPr>
      </w:pPr>
      <w:hyperlink w:anchor="_Toc44601714" w:history="1">
        <w:r w:rsidR="003776AB" w:rsidRPr="000D4549">
          <w:rPr>
            <w:rStyle w:val="Hyperlink"/>
          </w:rPr>
          <w:t>8.3.6.4</w:t>
        </w:r>
        <w:r w:rsidR="003776AB">
          <w:rPr>
            <w:rFonts w:asciiTheme="minorHAnsi" w:hAnsiTheme="minorHAnsi" w:cstheme="minorBidi"/>
            <w:sz w:val="22"/>
            <w:szCs w:val="22"/>
          </w:rPr>
          <w:tab/>
        </w:r>
        <w:r w:rsidR="003776AB" w:rsidRPr="000D4549">
          <w:rPr>
            <w:rStyle w:val="Hyperlink"/>
          </w:rPr>
          <w:t>Treatment-related Anemia</w:t>
        </w:r>
        <w:r w:rsidR="003776AB">
          <w:rPr>
            <w:webHidden/>
          </w:rPr>
          <w:tab/>
        </w:r>
        <w:r w:rsidR="003776AB">
          <w:rPr>
            <w:webHidden/>
          </w:rPr>
          <w:fldChar w:fldCharType="begin"/>
        </w:r>
        <w:r w:rsidR="003776AB">
          <w:rPr>
            <w:webHidden/>
          </w:rPr>
          <w:instrText xml:space="preserve"> PAGEREF _Toc44601714 \h </w:instrText>
        </w:r>
        <w:r w:rsidR="003776AB">
          <w:rPr>
            <w:webHidden/>
          </w:rPr>
        </w:r>
        <w:r w:rsidR="003776AB">
          <w:rPr>
            <w:webHidden/>
          </w:rPr>
          <w:fldChar w:fldCharType="separate"/>
        </w:r>
        <w:r w:rsidR="00996BB1">
          <w:rPr>
            <w:webHidden/>
          </w:rPr>
          <w:t>83</w:t>
        </w:r>
        <w:r w:rsidR="003776AB">
          <w:rPr>
            <w:webHidden/>
          </w:rPr>
          <w:fldChar w:fldCharType="end"/>
        </w:r>
      </w:hyperlink>
    </w:p>
    <w:p w14:paraId="23D97C6F" w14:textId="7A539996" w:rsidR="003776AB" w:rsidRDefault="00942EE9">
      <w:pPr>
        <w:pStyle w:val="TOC3"/>
        <w:rPr>
          <w:rFonts w:asciiTheme="minorHAnsi" w:hAnsiTheme="minorHAnsi" w:cstheme="minorBidi"/>
          <w:sz w:val="22"/>
          <w:szCs w:val="22"/>
        </w:rPr>
      </w:pPr>
      <w:hyperlink w:anchor="_Toc44601715" w:history="1">
        <w:r w:rsidR="003776AB" w:rsidRPr="000D4549">
          <w:rPr>
            <w:rStyle w:val="Hyperlink"/>
          </w:rPr>
          <w:t>8.3.7</w:t>
        </w:r>
        <w:r w:rsidR="003776AB">
          <w:rPr>
            <w:rFonts w:asciiTheme="minorHAnsi" w:hAnsiTheme="minorHAnsi" w:cstheme="minorBidi"/>
            <w:sz w:val="22"/>
            <w:szCs w:val="22"/>
          </w:rPr>
          <w:tab/>
        </w:r>
        <w:r w:rsidR="003776AB" w:rsidRPr="000D4549">
          <w:rPr>
            <w:rStyle w:val="Hyperlink"/>
          </w:rPr>
          <w:t>Other Potential Risks for Bintrafusp alfa</w:t>
        </w:r>
        <w:r w:rsidR="003776AB">
          <w:rPr>
            <w:webHidden/>
          </w:rPr>
          <w:tab/>
        </w:r>
        <w:r w:rsidR="003776AB">
          <w:rPr>
            <w:webHidden/>
          </w:rPr>
          <w:fldChar w:fldCharType="begin"/>
        </w:r>
        <w:r w:rsidR="003776AB">
          <w:rPr>
            <w:webHidden/>
          </w:rPr>
          <w:instrText xml:space="preserve"> PAGEREF _Toc44601715 \h </w:instrText>
        </w:r>
        <w:r w:rsidR="003776AB">
          <w:rPr>
            <w:webHidden/>
          </w:rPr>
        </w:r>
        <w:r w:rsidR="003776AB">
          <w:rPr>
            <w:webHidden/>
          </w:rPr>
          <w:fldChar w:fldCharType="separate"/>
        </w:r>
        <w:r w:rsidR="00996BB1">
          <w:rPr>
            <w:webHidden/>
          </w:rPr>
          <w:t>85</w:t>
        </w:r>
        <w:r w:rsidR="003776AB">
          <w:rPr>
            <w:webHidden/>
          </w:rPr>
          <w:fldChar w:fldCharType="end"/>
        </w:r>
      </w:hyperlink>
    </w:p>
    <w:p w14:paraId="69876E63" w14:textId="2471806A" w:rsidR="003776AB" w:rsidRDefault="00942EE9">
      <w:pPr>
        <w:pStyle w:val="TOC2"/>
        <w:rPr>
          <w:rFonts w:asciiTheme="minorHAnsi" w:hAnsiTheme="minorHAnsi" w:cstheme="minorBidi"/>
          <w:sz w:val="22"/>
          <w:szCs w:val="22"/>
        </w:rPr>
      </w:pPr>
      <w:hyperlink w:anchor="_Toc44601716" w:history="1">
        <w:r w:rsidR="003776AB" w:rsidRPr="000D4549">
          <w:rPr>
            <w:rStyle w:val="Hyperlink"/>
          </w:rPr>
          <w:t>8.4</w:t>
        </w:r>
        <w:r w:rsidR="003776AB">
          <w:rPr>
            <w:rFonts w:asciiTheme="minorHAnsi" w:hAnsiTheme="minorHAnsi" w:cstheme="minorBidi"/>
            <w:sz w:val="22"/>
            <w:szCs w:val="22"/>
          </w:rPr>
          <w:tab/>
        </w:r>
        <w:r w:rsidR="003776AB" w:rsidRPr="000D4549">
          <w:rPr>
            <w:rStyle w:val="Hyperlink"/>
          </w:rPr>
          <w:t>Treatment of Overdose</w:t>
        </w:r>
        <w:r w:rsidR="003776AB">
          <w:rPr>
            <w:webHidden/>
          </w:rPr>
          <w:tab/>
        </w:r>
        <w:r w:rsidR="003776AB">
          <w:rPr>
            <w:webHidden/>
          </w:rPr>
          <w:fldChar w:fldCharType="begin"/>
        </w:r>
        <w:r w:rsidR="003776AB">
          <w:rPr>
            <w:webHidden/>
          </w:rPr>
          <w:instrText xml:space="preserve"> PAGEREF _Toc44601716 \h </w:instrText>
        </w:r>
        <w:r w:rsidR="003776AB">
          <w:rPr>
            <w:webHidden/>
          </w:rPr>
        </w:r>
        <w:r w:rsidR="003776AB">
          <w:rPr>
            <w:webHidden/>
          </w:rPr>
          <w:fldChar w:fldCharType="separate"/>
        </w:r>
        <w:r w:rsidR="00996BB1">
          <w:rPr>
            <w:webHidden/>
          </w:rPr>
          <w:t>86</w:t>
        </w:r>
        <w:r w:rsidR="003776AB">
          <w:rPr>
            <w:webHidden/>
          </w:rPr>
          <w:fldChar w:fldCharType="end"/>
        </w:r>
      </w:hyperlink>
    </w:p>
    <w:p w14:paraId="0BA2B16C" w14:textId="1EF38C52" w:rsidR="003776AB" w:rsidRDefault="00942EE9">
      <w:pPr>
        <w:pStyle w:val="TOC2"/>
        <w:rPr>
          <w:rFonts w:asciiTheme="minorHAnsi" w:hAnsiTheme="minorHAnsi" w:cstheme="minorBidi"/>
          <w:sz w:val="22"/>
          <w:szCs w:val="22"/>
        </w:rPr>
      </w:pPr>
      <w:hyperlink w:anchor="_Toc44601717" w:history="1">
        <w:r w:rsidR="003776AB" w:rsidRPr="000D4549">
          <w:rPr>
            <w:rStyle w:val="Hyperlink"/>
          </w:rPr>
          <w:t>8.5</w:t>
        </w:r>
        <w:r w:rsidR="003776AB">
          <w:rPr>
            <w:rFonts w:asciiTheme="minorHAnsi" w:hAnsiTheme="minorHAnsi" w:cstheme="minorBidi"/>
            <w:sz w:val="22"/>
            <w:szCs w:val="22"/>
          </w:rPr>
          <w:tab/>
        </w:r>
        <w:r w:rsidR="003776AB" w:rsidRPr="000D4549">
          <w:rPr>
            <w:rStyle w:val="Hyperlink"/>
          </w:rPr>
          <w:t>Pharmacokinetics</w:t>
        </w:r>
        <w:r w:rsidR="003776AB">
          <w:rPr>
            <w:webHidden/>
          </w:rPr>
          <w:tab/>
        </w:r>
        <w:r w:rsidR="003776AB">
          <w:rPr>
            <w:webHidden/>
          </w:rPr>
          <w:fldChar w:fldCharType="begin"/>
        </w:r>
        <w:r w:rsidR="003776AB">
          <w:rPr>
            <w:webHidden/>
          </w:rPr>
          <w:instrText xml:space="preserve"> PAGEREF _Toc44601717 \h </w:instrText>
        </w:r>
        <w:r w:rsidR="003776AB">
          <w:rPr>
            <w:webHidden/>
          </w:rPr>
        </w:r>
        <w:r w:rsidR="003776AB">
          <w:rPr>
            <w:webHidden/>
          </w:rPr>
          <w:fldChar w:fldCharType="separate"/>
        </w:r>
        <w:r w:rsidR="00996BB1">
          <w:rPr>
            <w:webHidden/>
          </w:rPr>
          <w:t>86</w:t>
        </w:r>
        <w:r w:rsidR="003776AB">
          <w:rPr>
            <w:webHidden/>
          </w:rPr>
          <w:fldChar w:fldCharType="end"/>
        </w:r>
      </w:hyperlink>
    </w:p>
    <w:p w14:paraId="7B7D2D75" w14:textId="395C0B38" w:rsidR="003776AB" w:rsidRDefault="00942EE9">
      <w:pPr>
        <w:pStyle w:val="TOC2"/>
        <w:rPr>
          <w:rFonts w:asciiTheme="minorHAnsi" w:hAnsiTheme="minorHAnsi" w:cstheme="minorBidi"/>
          <w:sz w:val="22"/>
          <w:szCs w:val="22"/>
        </w:rPr>
      </w:pPr>
      <w:hyperlink w:anchor="_Toc44601718" w:history="1">
        <w:r w:rsidR="003776AB" w:rsidRPr="000D4549">
          <w:rPr>
            <w:rStyle w:val="Hyperlink"/>
          </w:rPr>
          <w:t>8.6</w:t>
        </w:r>
        <w:r w:rsidR="003776AB">
          <w:rPr>
            <w:rFonts w:asciiTheme="minorHAnsi" w:hAnsiTheme="minorHAnsi" w:cstheme="minorBidi"/>
            <w:sz w:val="22"/>
            <w:szCs w:val="22"/>
          </w:rPr>
          <w:tab/>
        </w:r>
        <w:r w:rsidR="003776AB" w:rsidRPr="000D4549">
          <w:rPr>
            <w:rStyle w:val="Hyperlink"/>
          </w:rPr>
          <w:t>Pharmacodynamics</w:t>
        </w:r>
        <w:r w:rsidR="003776AB">
          <w:rPr>
            <w:webHidden/>
          </w:rPr>
          <w:tab/>
        </w:r>
        <w:r w:rsidR="003776AB">
          <w:rPr>
            <w:webHidden/>
          </w:rPr>
          <w:fldChar w:fldCharType="begin"/>
        </w:r>
        <w:r w:rsidR="003776AB">
          <w:rPr>
            <w:webHidden/>
          </w:rPr>
          <w:instrText xml:space="preserve"> PAGEREF _Toc44601718 \h </w:instrText>
        </w:r>
        <w:r w:rsidR="003776AB">
          <w:rPr>
            <w:webHidden/>
          </w:rPr>
        </w:r>
        <w:r w:rsidR="003776AB">
          <w:rPr>
            <w:webHidden/>
          </w:rPr>
          <w:fldChar w:fldCharType="separate"/>
        </w:r>
        <w:r w:rsidR="00996BB1">
          <w:rPr>
            <w:webHidden/>
          </w:rPr>
          <w:t>87</w:t>
        </w:r>
        <w:r w:rsidR="003776AB">
          <w:rPr>
            <w:webHidden/>
          </w:rPr>
          <w:fldChar w:fldCharType="end"/>
        </w:r>
      </w:hyperlink>
    </w:p>
    <w:p w14:paraId="0C45EEAC" w14:textId="4AC21B60" w:rsidR="003776AB" w:rsidRDefault="00942EE9">
      <w:pPr>
        <w:pStyle w:val="TOC2"/>
        <w:rPr>
          <w:rFonts w:asciiTheme="minorHAnsi" w:hAnsiTheme="minorHAnsi" w:cstheme="minorBidi"/>
          <w:sz w:val="22"/>
          <w:szCs w:val="22"/>
        </w:rPr>
      </w:pPr>
      <w:hyperlink w:anchor="_Toc44601719" w:history="1">
        <w:r w:rsidR="003776AB" w:rsidRPr="000D4549">
          <w:rPr>
            <w:rStyle w:val="Hyperlink"/>
          </w:rPr>
          <w:t>8.7</w:t>
        </w:r>
        <w:r w:rsidR="003776AB">
          <w:rPr>
            <w:rFonts w:asciiTheme="minorHAnsi" w:hAnsiTheme="minorHAnsi" w:cstheme="minorBidi"/>
            <w:sz w:val="22"/>
            <w:szCs w:val="22"/>
          </w:rPr>
          <w:tab/>
        </w:r>
        <w:r w:rsidR="003776AB" w:rsidRPr="000D4549">
          <w:rPr>
            <w:rStyle w:val="Hyperlink"/>
          </w:rPr>
          <w:t>Pharmacogenetics</w:t>
        </w:r>
        <w:r w:rsidR="003776AB">
          <w:rPr>
            <w:webHidden/>
          </w:rPr>
          <w:tab/>
        </w:r>
        <w:r w:rsidR="003776AB">
          <w:rPr>
            <w:webHidden/>
          </w:rPr>
          <w:fldChar w:fldCharType="begin"/>
        </w:r>
        <w:r w:rsidR="003776AB">
          <w:rPr>
            <w:webHidden/>
          </w:rPr>
          <w:instrText xml:space="preserve"> PAGEREF _Toc44601719 \h </w:instrText>
        </w:r>
        <w:r w:rsidR="003776AB">
          <w:rPr>
            <w:webHidden/>
          </w:rPr>
        </w:r>
        <w:r w:rsidR="003776AB">
          <w:rPr>
            <w:webHidden/>
          </w:rPr>
          <w:fldChar w:fldCharType="separate"/>
        </w:r>
        <w:r w:rsidR="00996BB1">
          <w:rPr>
            <w:webHidden/>
          </w:rPr>
          <w:t>87</w:t>
        </w:r>
        <w:r w:rsidR="003776AB">
          <w:rPr>
            <w:webHidden/>
          </w:rPr>
          <w:fldChar w:fldCharType="end"/>
        </w:r>
      </w:hyperlink>
    </w:p>
    <w:p w14:paraId="71E1F80D" w14:textId="2399052C" w:rsidR="003776AB" w:rsidRDefault="00942EE9">
      <w:pPr>
        <w:pStyle w:val="TOC2"/>
        <w:rPr>
          <w:rFonts w:asciiTheme="minorHAnsi" w:hAnsiTheme="minorHAnsi" w:cstheme="minorBidi"/>
          <w:sz w:val="22"/>
          <w:szCs w:val="22"/>
        </w:rPr>
      </w:pPr>
      <w:hyperlink w:anchor="_Toc44601720" w:history="1">
        <w:r w:rsidR="003776AB" w:rsidRPr="000D4549">
          <w:rPr>
            <w:rStyle w:val="Hyperlink"/>
          </w:rPr>
          <w:t>8.8</w:t>
        </w:r>
        <w:r w:rsidR="003776AB">
          <w:rPr>
            <w:rFonts w:asciiTheme="minorHAnsi" w:hAnsiTheme="minorHAnsi" w:cstheme="minorBidi"/>
            <w:sz w:val="22"/>
            <w:szCs w:val="22"/>
          </w:rPr>
          <w:tab/>
        </w:r>
        <w:r w:rsidR="003776AB" w:rsidRPr="000D4549">
          <w:rPr>
            <w:rStyle w:val="Hyperlink"/>
          </w:rPr>
          <w:t>Biomarkers</w:t>
        </w:r>
        <w:r w:rsidR="003776AB">
          <w:rPr>
            <w:webHidden/>
          </w:rPr>
          <w:tab/>
        </w:r>
        <w:r w:rsidR="003776AB">
          <w:rPr>
            <w:webHidden/>
          </w:rPr>
          <w:fldChar w:fldCharType="begin"/>
        </w:r>
        <w:r w:rsidR="003776AB">
          <w:rPr>
            <w:webHidden/>
          </w:rPr>
          <w:instrText xml:space="preserve"> PAGEREF _Toc44601720 \h </w:instrText>
        </w:r>
        <w:r w:rsidR="003776AB">
          <w:rPr>
            <w:webHidden/>
          </w:rPr>
        </w:r>
        <w:r w:rsidR="003776AB">
          <w:rPr>
            <w:webHidden/>
          </w:rPr>
          <w:fldChar w:fldCharType="separate"/>
        </w:r>
        <w:r w:rsidR="00996BB1">
          <w:rPr>
            <w:webHidden/>
          </w:rPr>
          <w:t>88</w:t>
        </w:r>
        <w:r w:rsidR="003776AB">
          <w:rPr>
            <w:webHidden/>
          </w:rPr>
          <w:fldChar w:fldCharType="end"/>
        </w:r>
      </w:hyperlink>
    </w:p>
    <w:p w14:paraId="04F5F413" w14:textId="78D3019A" w:rsidR="003776AB" w:rsidRDefault="00942EE9">
      <w:pPr>
        <w:pStyle w:val="TOC2"/>
        <w:rPr>
          <w:rFonts w:asciiTheme="minorHAnsi" w:hAnsiTheme="minorHAnsi" w:cstheme="minorBidi"/>
          <w:sz w:val="22"/>
          <w:szCs w:val="22"/>
        </w:rPr>
      </w:pPr>
      <w:hyperlink w:anchor="_Toc44601721" w:history="1">
        <w:r w:rsidR="003776AB" w:rsidRPr="000D4549">
          <w:rPr>
            <w:rStyle w:val="Hyperlink"/>
          </w:rPr>
          <w:t>8.9</w:t>
        </w:r>
        <w:r w:rsidR="003776AB">
          <w:rPr>
            <w:rFonts w:asciiTheme="minorHAnsi" w:hAnsiTheme="minorHAnsi" w:cstheme="minorBidi"/>
            <w:sz w:val="22"/>
            <w:szCs w:val="22"/>
          </w:rPr>
          <w:tab/>
        </w:r>
        <w:r w:rsidR="003776AB" w:rsidRPr="000D4549">
          <w:rPr>
            <w:rStyle w:val="Hyperlink"/>
          </w:rPr>
          <w:t>Immunogenicity Assessments</w:t>
        </w:r>
        <w:r w:rsidR="003776AB">
          <w:rPr>
            <w:webHidden/>
          </w:rPr>
          <w:tab/>
        </w:r>
        <w:r w:rsidR="003776AB">
          <w:rPr>
            <w:webHidden/>
          </w:rPr>
          <w:fldChar w:fldCharType="begin"/>
        </w:r>
        <w:r w:rsidR="003776AB">
          <w:rPr>
            <w:webHidden/>
          </w:rPr>
          <w:instrText xml:space="preserve"> PAGEREF _Toc44601721 \h </w:instrText>
        </w:r>
        <w:r w:rsidR="003776AB">
          <w:rPr>
            <w:webHidden/>
          </w:rPr>
        </w:r>
        <w:r w:rsidR="003776AB">
          <w:rPr>
            <w:webHidden/>
          </w:rPr>
          <w:fldChar w:fldCharType="separate"/>
        </w:r>
        <w:r w:rsidR="00996BB1">
          <w:rPr>
            <w:webHidden/>
          </w:rPr>
          <w:t>89</w:t>
        </w:r>
        <w:r w:rsidR="003776AB">
          <w:rPr>
            <w:webHidden/>
          </w:rPr>
          <w:fldChar w:fldCharType="end"/>
        </w:r>
      </w:hyperlink>
    </w:p>
    <w:p w14:paraId="6AA13F5D" w14:textId="32ABFD4D" w:rsidR="003776AB" w:rsidRDefault="00942EE9">
      <w:pPr>
        <w:pStyle w:val="TOC2"/>
        <w:rPr>
          <w:rFonts w:asciiTheme="minorHAnsi" w:hAnsiTheme="minorHAnsi" w:cstheme="minorBidi"/>
          <w:sz w:val="22"/>
          <w:szCs w:val="22"/>
        </w:rPr>
      </w:pPr>
      <w:hyperlink w:anchor="_Toc44601722" w:history="1">
        <w:r w:rsidR="003776AB" w:rsidRPr="000D4549">
          <w:rPr>
            <w:rStyle w:val="Hyperlink"/>
          </w:rPr>
          <w:t>8.10</w:t>
        </w:r>
        <w:r w:rsidR="003776AB">
          <w:rPr>
            <w:rFonts w:asciiTheme="minorHAnsi" w:hAnsiTheme="minorHAnsi" w:cstheme="minorBidi"/>
            <w:sz w:val="22"/>
            <w:szCs w:val="22"/>
          </w:rPr>
          <w:tab/>
        </w:r>
        <w:r w:rsidR="003776AB" w:rsidRPr="000D4549">
          <w:rPr>
            <w:rStyle w:val="Hyperlink"/>
          </w:rPr>
          <w:t>Health Economics</w:t>
        </w:r>
        <w:r w:rsidR="003776AB">
          <w:rPr>
            <w:webHidden/>
          </w:rPr>
          <w:tab/>
        </w:r>
        <w:r w:rsidR="003776AB">
          <w:rPr>
            <w:webHidden/>
          </w:rPr>
          <w:fldChar w:fldCharType="begin"/>
        </w:r>
        <w:r w:rsidR="003776AB">
          <w:rPr>
            <w:webHidden/>
          </w:rPr>
          <w:instrText xml:space="preserve"> PAGEREF _Toc44601722 \h </w:instrText>
        </w:r>
        <w:r w:rsidR="003776AB">
          <w:rPr>
            <w:webHidden/>
          </w:rPr>
        </w:r>
        <w:r w:rsidR="003776AB">
          <w:rPr>
            <w:webHidden/>
          </w:rPr>
          <w:fldChar w:fldCharType="separate"/>
        </w:r>
        <w:r w:rsidR="00996BB1">
          <w:rPr>
            <w:webHidden/>
          </w:rPr>
          <w:t>89</w:t>
        </w:r>
        <w:r w:rsidR="003776AB">
          <w:rPr>
            <w:webHidden/>
          </w:rPr>
          <w:fldChar w:fldCharType="end"/>
        </w:r>
      </w:hyperlink>
    </w:p>
    <w:p w14:paraId="4708B10B" w14:textId="13BE2514" w:rsidR="003776AB" w:rsidRDefault="00942EE9">
      <w:pPr>
        <w:pStyle w:val="TOC1"/>
        <w:rPr>
          <w:rFonts w:asciiTheme="minorHAnsi" w:hAnsiTheme="minorHAnsi" w:cstheme="minorBidi"/>
          <w:sz w:val="22"/>
          <w:szCs w:val="22"/>
        </w:rPr>
      </w:pPr>
      <w:hyperlink w:anchor="_Toc44601723" w:history="1">
        <w:r w:rsidR="003776AB" w:rsidRPr="000D4549">
          <w:rPr>
            <w:rStyle w:val="Hyperlink"/>
          </w:rPr>
          <w:t>9</w:t>
        </w:r>
        <w:r w:rsidR="003776AB">
          <w:rPr>
            <w:rFonts w:asciiTheme="minorHAnsi" w:hAnsiTheme="minorHAnsi" w:cstheme="minorBidi"/>
            <w:sz w:val="22"/>
            <w:szCs w:val="22"/>
          </w:rPr>
          <w:tab/>
        </w:r>
        <w:r w:rsidR="003776AB" w:rsidRPr="000D4549">
          <w:rPr>
            <w:rStyle w:val="Hyperlink"/>
          </w:rPr>
          <w:t>Statistical Considerations</w:t>
        </w:r>
        <w:r w:rsidR="003776AB">
          <w:rPr>
            <w:webHidden/>
          </w:rPr>
          <w:tab/>
        </w:r>
        <w:r w:rsidR="003776AB">
          <w:rPr>
            <w:webHidden/>
          </w:rPr>
          <w:fldChar w:fldCharType="begin"/>
        </w:r>
        <w:r w:rsidR="003776AB">
          <w:rPr>
            <w:webHidden/>
          </w:rPr>
          <w:instrText xml:space="preserve"> PAGEREF _Toc44601723 \h </w:instrText>
        </w:r>
        <w:r w:rsidR="003776AB">
          <w:rPr>
            <w:webHidden/>
          </w:rPr>
        </w:r>
        <w:r w:rsidR="003776AB">
          <w:rPr>
            <w:webHidden/>
          </w:rPr>
          <w:fldChar w:fldCharType="separate"/>
        </w:r>
        <w:r w:rsidR="00996BB1">
          <w:rPr>
            <w:webHidden/>
          </w:rPr>
          <w:t>89</w:t>
        </w:r>
        <w:r w:rsidR="003776AB">
          <w:rPr>
            <w:webHidden/>
          </w:rPr>
          <w:fldChar w:fldCharType="end"/>
        </w:r>
      </w:hyperlink>
    </w:p>
    <w:p w14:paraId="337CE02B" w14:textId="433806ED" w:rsidR="003776AB" w:rsidRDefault="00942EE9">
      <w:pPr>
        <w:pStyle w:val="TOC2"/>
        <w:rPr>
          <w:rFonts w:asciiTheme="minorHAnsi" w:hAnsiTheme="minorHAnsi" w:cstheme="minorBidi"/>
          <w:sz w:val="22"/>
          <w:szCs w:val="22"/>
        </w:rPr>
      </w:pPr>
      <w:hyperlink w:anchor="_Toc44601724" w:history="1">
        <w:r w:rsidR="003776AB" w:rsidRPr="000D4549">
          <w:rPr>
            <w:rStyle w:val="Hyperlink"/>
          </w:rPr>
          <w:t>9.1</w:t>
        </w:r>
        <w:r w:rsidR="003776AB">
          <w:rPr>
            <w:rFonts w:asciiTheme="minorHAnsi" w:hAnsiTheme="minorHAnsi" w:cstheme="minorBidi"/>
            <w:sz w:val="22"/>
            <w:szCs w:val="22"/>
          </w:rPr>
          <w:tab/>
        </w:r>
        <w:r w:rsidR="003776AB" w:rsidRPr="000D4549">
          <w:rPr>
            <w:rStyle w:val="Hyperlink"/>
          </w:rPr>
          <w:t>Statistical Hypotheses</w:t>
        </w:r>
        <w:r w:rsidR="003776AB">
          <w:rPr>
            <w:webHidden/>
          </w:rPr>
          <w:tab/>
        </w:r>
        <w:r w:rsidR="003776AB">
          <w:rPr>
            <w:webHidden/>
          </w:rPr>
          <w:fldChar w:fldCharType="begin"/>
        </w:r>
        <w:r w:rsidR="003776AB">
          <w:rPr>
            <w:webHidden/>
          </w:rPr>
          <w:instrText xml:space="preserve"> PAGEREF _Toc44601724 \h </w:instrText>
        </w:r>
        <w:r w:rsidR="003776AB">
          <w:rPr>
            <w:webHidden/>
          </w:rPr>
        </w:r>
        <w:r w:rsidR="003776AB">
          <w:rPr>
            <w:webHidden/>
          </w:rPr>
          <w:fldChar w:fldCharType="separate"/>
        </w:r>
        <w:r w:rsidR="00996BB1">
          <w:rPr>
            <w:webHidden/>
          </w:rPr>
          <w:t>89</w:t>
        </w:r>
        <w:r w:rsidR="003776AB">
          <w:rPr>
            <w:webHidden/>
          </w:rPr>
          <w:fldChar w:fldCharType="end"/>
        </w:r>
      </w:hyperlink>
    </w:p>
    <w:p w14:paraId="58B09E0C" w14:textId="458E43BF" w:rsidR="003776AB" w:rsidRDefault="00942EE9">
      <w:pPr>
        <w:pStyle w:val="TOC2"/>
        <w:rPr>
          <w:rFonts w:asciiTheme="minorHAnsi" w:hAnsiTheme="minorHAnsi" w:cstheme="minorBidi"/>
          <w:sz w:val="22"/>
          <w:szCs w:val="22"/>
        </w:rPr>
      </w:pPr>
      <w:hyperlink w:anchor="_Toc44601725" w:history="1">
        <w:r w:rsidR="003776AB" w:rsidRPr="000D4549">
          <w:rPr>
            <w:rStyle w:val="Hyperlink"/>
          </w:rPr>
          <w:t>9.2</w:t>
        </w:r>
        <w:r w:rsidR="003776AB">
          <w:rPr>
            <w:rFonts w:asciiTheme="minorHAnsi" w:hAnsiTheme="minorHAnsi" w:cstheme="minorBidi"/>
            <w:sz w:val="22"/>
            <w:szCs w:val="22"/>
          </w:rPr>
          <w:tab/>
        </w:r>
        <w:r w:rsidR="003776AB" w:rsidRPr="000D4549">
          <w:rPr>
            <w:rStyle w:val="Hyperlink"/>
          </w:rPr>
          <w:t>Sample Size Determination</w:t>
        </w:r>
        <w:r w:rsidR="003776AB">
          <w:rPr>
            <w:webHidden/>
          </w:rPr>
          <w:tab/>
        </w:r>
        <w:r w:rsidR="003776AB">
          <w:rPr>
            <w:webHidden/>
          </w:rPr>
          <w:fldChar w:fldCharType="begin"/>
        </w:r>
        <w:r w:rsidR="003776AB">
          <w:rPr>
            <w:webHidden/>
          </w:rPr>
          <w:instrText xml:space="preserve"> PAGEREF _Toc44601725 \h </w:instrText>
        </w:r>
        <w:r w:rsidR="003776AB">
          <w:rPr>
            <w:webHidden/>
          </w:rPr>
        </w:r>
        <w:r w:rsidR="003776AB">
          <w:rPr>
            <w:webHidden/>
          </w:rPr>
          <w:fldChar w:fldCharType="separate"/>
        </w:r>
        <w:r w:rsidR="00996BB1">
          <w:rPr>
            <w:webHidden/>
          </w:rPr>
          <w:t>89</w:t>
        </w:r>
        <w:r w:rsidR="003776AB">
          <w:rPr>
            <w:webHidden/>
          </w:rPr>
          <w:fldChar w:fldCharType="end"/>
        </w:r>
      </w:hyperlink>
    </w:p>
    <w:p w14:paraId="0AAC16B1" w14:textId="44B2F6CF" w:rsidR="003776AB" w:rsidRDefault="00942EE9">
      <w:pPr>
        <w:pStyle w:val="TOC2"/>
        <w:rPr>
          <w:rFonts w:asciiTheme="minorHAnsi" w:hAnsiTheme="minorHAnsi" w:cstheme="minorBidi"/>
          <w:sz w:val="22"/>
          <w:szCs w:val="22"/>
        </w:rPr>
      </w:pPr>
      <w:hyperlink w:anchor="_Toc44601726" w:history="1">
        <w:r w:rsidR="003776AB" w:rsidRPr="000D4549">
          <w:rPr>
            <w:rStyle w:val="Hyperlink"/>
          </w:rPr>
          <w:t>9.3</w:t>
        </w:r>
        <w:r w:rsidR="003776AB">
          <w:rPr>
            <w:rFonts w:asciiTheme="minorHAnsi" w:hAnsiTheme="minorHAnsi" w:cstheme="minorBidi"/>
            <w:sz w:val="22"/>
            <w:szCs w:val="22"/>
          </w:rPr>
          <w:tab/>
        </w:r>
        <w:r w:rsidR="003776AB" w:rsidRPr="000D4549">
          <w:rPr>
            <w:rStyle w:val="Hyperlink"/>
          </w:rPr>
          <w:t>Populations for Analyses</w:t>
        </w:r>
        <w:r w:rsidR="003776AB">
          <w:rPr>
            <w:webHidden/>
          </w:rPr>
          <w:tab/>
        </w:r>
        <w:r w:rsidR="003776AB">
          <w:rPr>
            <w:webHidden/>
          </w:rPr>
          <w:fldChar w:fldCharType="begin"/>
        </w:r>
        <w:r w:rsidR="003776AB">
          <w:rPr>
            <w:webHidden/>
          </w:rPr>
          <w:instrText xml:space="preserve"> PAGEREF _Toc44601726 \h </w:instrText>
        </w:r>
        <w:r w:rsidR="003776AB">
          <w:rPr>
            <w:webHidden/>
          </w:rPr>
        </w:r>
        <w:r w:rsidR="003776AB">
          <w:rPr>
            <w:webHidden/>
          </w:rPr>
          <w:fldChar w:fldCharType="separate"/>
        </w:r>
        <w:r w:rsidR="00996BB1">
          <w:rPr>
            <w:webHidden/>
          </w:rPr>
          <w:t>90</w:t>
        </w:r>
        <w:r w:rsidR="003776AB">
          <w:rPr>
            <w:webHidden/>
          </w:rPr>
          <w:fldChar w:fldCharType="end"/>
        </w:r>
      </w:hyperlink>
    </w:p>
    <w:p w14:paraId="06EF4019" w14:textId="16030846" w:rsidR="003776AB" w:rsidRDefault="00942EE9">
      <w:pPr>
        <w:pStyle w:val="TOC2"/>
        <w:rPr>
          <w:rFonts w:asciiTheme="minorHAnsi" w:hAnsiTheme="minorHAnsi" w:cstheme="minorBidi"/>
          <w:sz w:val="22"/>
          <w:szCs w:val="22"/>
        </w:rPr>
      </w:pPr>
      <w:hyperlink w:anchor="_Toc44601727" w:history="1">
        <w:r w:rsidR="003776AB" w:rsidRPr="000D4549">
          <w:rPr>
            <w:rStyle w:val="Hyperlink"/>
          </w:rPr>
          <w:t>9.4</w:t>
        </w:r>
        <w:r w:rsidR="003776AB">
          <w:rPr>
            <w:rFonts w:asciiTheme="minorHAnsi" w:hAnsiTheme="minorHAnsi" w:cstheme="minorBidi"/>
            <w:sz w:val="22"/>
            <w:szCs w:val="22"/>
          </w:rPr>
          <w:tab/>
        </w:r>
        <w:r w:rsidR="003776AB" w:rsidRPr="000D4549">
          <w:rPr>
            <w:rStyle w:val="Hyperlink"/>
          </w:rPr>
          <w:t>Statistical Analyses</w:t>
        </w:r>
        <w:r w:rsidR="003776AB">
          <w:rPr>
            <w:webHidden/>
          </w:rPr>
          <w:tab/>
        </w:r>
        <w:r w:rsidR="003776AB">
          <w:rPr>
            <w:webHidden/>
          </w:rPr>
          <w:fldChar w:fldCharType="begin"/>
        </w:r>
        <w:r w:rsidR="003776AB">
          <w:rPr>
            <w:webHidden/>
          </w:rPr>
          <w:instrText xml:space="preserve"> PAGEREF _Toc44601727 \h </w:instrText>
        </w:r>
        <w:r w:rsidR="003776AB">
          <w:rPr>
            <w:webHidden/>
          </w:rPr>
        </w:r>
        <w:r w:rsidR="003776AB">
          <w:rPr>
            <w:webHidden/>
          </w:rPr>
          <w:fldChar w:fldCharType="separate"/>
        </w:r>
        <w:r w:rsidR="00996BB1">
          <w:rPr>
            <w:webHidden/>
          </w:rPr>
          <w:t>91</w:t>
        </w:r>
        <w:r w:rsidR="003776AB">
          <w:rPr>
            <w:webHidden/>
          </w:rPr>
          <w:fldChar w:fldCharType="end"/>
        </w:r>
      </w:hyperlink>
    </w:p>
    <w:p w14:paraId="237AB09D" w14:textId="646966E5" w:rsidR="003776AB" w:rsidRDefault="00942EE9">
      <w:pPr>
        <w:pStyle w:val="TOC3"/>
        <w:rPr>
          <w:rFonts w:asciiTheme="minorHAnsi" w:hAnsiTheme="minorHAnsi" w:cstheme="minorBidi"/>
          <w:sz w:val="22"/>
          <w:szCs w:val="22"/>
        </w:rPr>
      </w:pPr>
      <w:hyperlink w:anchor="_Toc44601728" w:history="1">
        <w:r w:rsidR="003776AB" w:rsidRPr="000D4549">
          <w:rPr>
            <w:rStyle w:val="Hyperlink"/>
          </w:rPr>
          <w:t>9.4.1</w:t>
        </w:r>
        <w:r w:rsidR="003776AB">
          <w:rPr>
            <w:rFonts w:asciiTheme="minorHAnsi" w:hAnsiTheme="minorHAnsi" w:cstheme="minorBidi"/>
            <w:sz w:val="22"/>
            <w:szCs w:val="22"/>
          </w:rPr>
          <w:tab/>
        </w:r>
        <w:r w:rsidR="003776AB" w:rsidRPr="000D4549">
          <w:rPr>
            <w:rStyle w:val="Hyperlink"/>
          </w:rPr>
          <w:t>Efficacy Analyses</w:t>
        </w:r>
        <w:r w:rsidR="003776AB">
          <w:rPr>
            <w:webHidden/>
          </w:rPr>
          <w:tab/>
        </w:r>
        <w:r w:rsidR="003776AB">
          <w:rPr>
            <w:webHidden/>
          </w:rPr>
          <w:fldChar w:fldCharType="begin"/>
        </w:r>
        <w:r w:rsidR="003776AB">
          <w:rPr>
            <w:webHidden/>
          </w:rPr>
          <w:instrText xml:space="preserve"> PAGEREF _Toc44601728 \h </w:instrText>
        </w:r>
        <w:r w:rsidR="003776AB">
          <w:rPr>
            <w:webHidden/>
          </w:rPr>
        </w:r>
        <w:r w:rsidR="003776AB">
          <w:rPr>
            <w:webHidden/>
          </w:rPr>
          <w:fldChar w:fldCharType="separate"/>
        </w:r>
        <w:r w:rsidR="00996BB1">
          <w:rPr>
            <w:webHidden/>
          </w:rPr>
          <w:t>91</w:t>
        </w:r>
        <w:r w:rsidR="003776AB">
          <w:rPr>
            <w:webHidden/>
          </w:rPr>
          <w:fldChar w:fldCharType="end"/>
        </w:r>
      </w:hyperlink>
    </w:p>
    <w:p w14:paraId="34D62CFC" w14:textId="3FC6955E" w:rsidR="003776AB" w:rsidRDefault="00942EE9">
      <w:pPr>
        <w:pStyle w:val="TOC3"/>
        <w:rPr>
          <w:rFonts w:asciiTheme="minorHAnsi" w:hAnsiTheme="minorHAnsi" w:cstheme="minorBidi"/>
          <w:sz w:val="22"/>
          <w:szCs w:val="22"/>
        </w:rPr>
      </w:pPr>
      <w:hyperlink w:anchor="_Toc44601729" w:history="1">
        <w:r w:rsidR="003776AB" w:rsidRPr="000D4549">
          <w:rPr>
            <w:rStyle w:val="Hyperlink"/>
          </w:rPr>
          <w:t>9.4.2</w:t>
        </w:r>
        <w:r w:rsidR="003776AB">
          <w:rPr>
            <w:rFonts w:asciiTheme="minorHAnsi" w:hAnsiTheme="minorHAnsi" w:cstheme="minorBidi"/>
            <w:sz w:val="22"/>
            <w:szCs w:val="22"/>
          </w:rPr>
          <w:tab/>
        </w:r>
        <w:r w:rsidR="003776AB" w:rsidRPr="000D4549">
          <w:rPr>
            <w:rStyle w:val="Hyperlink"/>
          </w:rPr>
          <w:t>Safety Analyses</w:t>
        </w:r>
        <w:r w:rsidR="003776AB">
          <w:rPr>
            <w:webHidden/>
          </w:rPr>
          <w:tab/>
        </w:r>
        <w:r w:rsidR="003776AB">
          <w:rPr>
            <w:webHidden/>
          </w:rPr>
          <w:fldChar w:fldCharType="begin"/>
        </w:r>
        <w:r w:rsidR="003776AB">
          <w:rPr>
            <w:webHidden/>
          </w:rPr>
          <w:instrText xml:space="preserve"> PAGEREF _Toc44601729 \h </w:instrText>
        </w:r>
        <w:r w:rsidR="003776AB">
          <w:rPr>
            <w:webHidden/>
          </w:rPr>
        </w:r>
        <w:r w:rsidR="003776AB">
          <w:rPr>
            <w:webHidden/>
          </w:rPr>
          <w:fldChar w:fldCharType="separate"/>
        </w:r>
        <w:r w:rsidR="00996BB1">
          <w:rPr>
            <w:webHidden/>
          </w:rPr>
          <w:t>91</w:t>
        </w:r>
        <w:r w:rsidR="003776AB">
          <w:rPr>
            <w:webHidden/>
          </w:rPr>
          <w:fldChar w:fldCharType="end"/>
        </w:r>
      </w:hyperlink>
    </w:p>
    <w:p w14:paraId="178890FF" w14:textId="4CDD5188" w:rsidR="003776AB" w:rsidRDefault="00942EE9">
      <w:pPr>
        <w:pStyle w:val="TOC3"/>
        <w:rPr>
          <w:rFonts w:asciiTheme="minorHAnsi" w:hAnsiTheme="minorHAnsi" w:cstheme="minorBidi"/>
          <w:sz w:val="22"/>
          <w:szCs w:val="22"/>
        </w:rPr>
      </w:pPr>
      <w:hyperlink w:anchor="_Toc44601730" w:history="1">
        <w:r w:rsidR="003776AB" w:rsidRPr="000D4549">
          <w:rPr>
            <w:rStyle w:val="Hyperlink"/>
          </w:rPr>
          <w:t>9.4.3</w:t>
        </w:r>
        <w:r w:rsidR="003776AB">
          <w:rPr>
            <w:rFonts w:asciiTheme="minorHAnsi" w:hAnsiTheme="minorHAnsi" w:cstheme="minorBidi"/>
            <w:sz w:val="22"/>
            <w:szCs w:val="22"/>
          </w:rPr>
          <w:tab/>
        </w:r>
        <w:r w:rsidR="003776AB" w:rsidRPr="000D4549">
          <w:rPr>
            <w:rStyle w:val="Hyperlink"/>
          </w:rPr>
          <w:t>Other Analyses</w:t>
        </w:r>
        <w:r w:rsidR="003776AB">
          <w:rPr>
            <w:webHidden/>
          </w:rPr>
          <w:tab/>
        </w:r>
        <w:r w:rsidR="003776AB">
          <w:rPr>
            <w:webHidden/>
          </w:rPr>
          <w:fldChar w:fldCharType="begin"/>
        </w:r>
        <w:r w:rsidR="003776AB">
          <w:rPr>
            <w:webHidden/>
          </w:rPr>
          <w:instrText xml:space="preserve"> PAGEREF _Toc44601730 \h </w:instrText>
        </w:r>
        <w:r w:rsidR="003776AB">
          <w:rPr>
            <w:webHidden/>
          </w:rPr>
        </w:r>
        <w:r w:rsidR="003776AB">
          <w:rPr>
            <w:webHidden/>
          </w:rPr>
          <w:fldChar w:fldCharType="separate"/>
        </w:r>
        <w:r w:rsidR="00996BB1">
          <w:rPr>
            <w:webHidden/>
          </w:rPr>
          <w:t>92</w:t>
        </w:r>
        <w:r w:rsidR="003776AB">
          <w:rPr>
            <w:webHidden/>
          </w:rPr>
          <w:fldChar w:fldCharType="end"/>
        </w:r>
      </w:hyperlink>
    </w:p>
    <w:p w14:paraId="6D2F4B1E" w14:textId="1214CF38" w:rsidR="003776AB" w:rsidRDefault="00942EE9">
      <w:pPr>
        <w:pStyle w:val="TOC3"/>
        <w:rPr>
          <w:rFonts w:asciiTheme="minorHAnsi" w:hAnsiTheme="minorHAnsi" w:cstheme="minorBidi"/>
          <w:sz w:val="22"/>
          <w:szCs w:val="22"/>
        </w:rPr>
      </w:pPr>
      <w:hyperlink w:anchor="_Toc44601731" w:history="1">
        <w:r w:rsidR="003776AB" w:rsidRPr="000D4549">
          <w:rPr>
            <w:rStyle w:val="Hyperlink"/>
          </w:rPr>
          <w:t>9.4.4</w:t>
        </w:r>
        <w:r w:rsidR="003776AB">
          <w:rPr>
            <w:rFonts w:asciiTheme="minorHAnsi" w:hAnsiTheme="minorHAnsi" w:cstheme="minorBidi"/>
            <w:sz w:val="22"/>
            <w:szCs w:val="22"/>
          </w:rPr>
          <w:tab/>
        </w:r>
        <w:r w:rsidR="003776AB" w:rsidRPr="000D4549">
          <w:rPr>
            <w:rStyle w:val="Hyperlink"/>
          </w:rPr>
          <w:t>Sequence of Analyses</w:t>
        </w:r>
        <w:r w:rsidR="003776AB">
          <w:rPr>
            <w:webHidden/>
          </w:rPr>
          <w:tab/>
        </w:r>
        <w:r w:rsidR="003776AB">
          <w:rPr>
            <w:webHidden/>
          </w:rPr>
          <w:fldChar w:fldCharType="begin"/>
        </w:r>
        <w:r w:rsidR="003776AB">
          <w:rPr>
            <w:webHidden/>
          </w:rPr>
          <w:instrText xml:space="preserve"> PAGEREF _Toc44601731 \h </w:instrText>
        </w:r>
        <w:r w:rsidR="003776AB">
          <w:rPr>
            <w:webHidden/>
          </w:rPr>
        </w:r>
        <w:r w:rsidR="003776AB">
          <w:rPr>
            <w:webHidden/>
          </w:rPr>
          <w:fldChar w:fldCharType="separate"/>
        </w:r>
        <w:r w:rsidR="00996BB1">
          <w:rPr>
            <w:webHidden/>
          </w:rPr>
          <w:t>92</w:t>
        </w:r>
        <w:r w:rsidR="003776AB">
          <w:rPr>
            <w:webHidden/>
          </w:rPr>
          <w:fldChar w:fldCharType="end"/>
        </w:r>
      </w:hyperlink>
    </w:p>
    <w:p w14:paraId="4A61BEDA" w14:textId="12947589" w:rsidR="003776AB" w:rsidRDefault="00942EE9">
      <w:pPr>
        <w:pStyle w:val="TOC1"/>
        <w:rPr>
          <w:rFonts w:asciiTheme="minorHAnsi" w:hAnsiTheme="minorHAnsi" w:cstheme="minorBidi"/>
          <w:sz w:val="22"/>
          <w:szCs w:val="22"/>
        </w:rPr>
      </w:pPr>
      <w:hyperlink w:anchor="_Toc44601732" w:history="1">
        <w:r w:rsidR="003776AB" w:rsidRPr="000D4549">
          <w:rPr>
            <w:rStyle w:val="Hyperlink"/>
          </w:rPr>
          <w:t>10</w:t>
        </w:r>
        <w:r w:rsidR="003776AB">
          <w:rPr>
            <w:rFonts w:asciiTheme="minorHAnsi" w:hAnsiTheme="minorHAnsi" w:cstheme="minorBidi"/>
            <w:sz w:val="22"/>
            <w:szCs w:val="22"/>
          </w:rPr>
          <w:tab/>
        </w:r>
        <w:r w:rsidR="003776AB" w:rsidRPr="000D4549">
          <w:rPr>
            <w:rStyle w:val="Hyperlink"/>
          </w:rPr>
          <w:t>References</w:t>
        </w:r>
        <w:r w:rsidR="003776AB">
          <w:rPr>
            <w:webHidden/>
          </w:rPr>
          <w:tab/>
        </w:r>
        <w:r w:rsidR="003776AB">
          <w:rPr>
            <w:webHidden/>
          </w:rPr>
          <w:fldChar w:fldCharType="begin"/>
        </w:r>
        <w:r w:rsidR="003776AB">
          <w:rPr>
            <w:webHidden/>
          </w:rPr>
          <w:instrText xml:space="preserve"> PAGEREF _Toc44601732 \h </w:instrText>
        </w:r>
        <w:r w:rsidR="003776AB">
          <w:rPr>
            <w:webHidden/>
          </w:rPr>
        </w:r>
        <w:r w:rsidR="003776AB">
          <w:rPr>
            <w:webHidden/>
          </w:rPr>
          <w:fldChar w:fldCharType="separate"/>
        </w:r>
        <w:r w:rsidR="00996BB1">
          <w:rPr>
            <w:webHidden/>
          </w:rPr>
          <w:t>94</w:t>
        </w:r>
        <w:r w:rsidR="003776AB">
          <w:rPr>
            <w:webHidden/>
          </w:rPr>
          <w:fldChar w:fldCharType="end"/>
        </w:r>
      </w:hyperlink>
    </w:p>
    <w:p w14:paraId="22E37BE7" w14:textId="607F92B2" w:rsidR="003776AB" w:rsidRDefault="00942EE9">
      <w:pPr>
        <w:pStyle w:val="TOC1"/>
        <w:rPr>
          <w:rFonts w:asciiTheme="minorHAnsi" w:hAnsiTheme="minorHAnsi" w:cstheme="minorBidi"/>
          <w:sz w:val="22"/>
          <w:szCs w:val="22"/>
        </w:rPr>
      </w:pPr>
      <w:hyperlink w:anchor="_Toc44601733" w:history="1">
        <w:r w:rsidR="003776AB" w:rsidRPr="000D4549">
          <w:rPr>
            <w:rStyle w:val="Hyperlink"/>
          </w:rPr>
          <w:t>11</w:t>
        </w:r>
        <w:r w:rsidR="003776AB">
          <w:rPr>
            <w:rFonts w:asciiTheme="minorHAnsi" w:hAnsiTheme="minorHAnsi" w:cstheme="minorBidi"/>
            <w:sz w:val="22"/>
            <w:szCs w:val="22"/>
          </w:rPr>
          <w:tab/>
        </w:r>
        <w:r w:rsidR="003776AB" w:rsidRPr="000D4549">
          <w:rPr>
            <w:rStyle w:val="Hyperlink"/>
          </w:rPr>
          <w:t>Appendices</w:t>
        </w:r>
        <w:r w:rsidR="003776AB">
          <w:rPr>
            <w:webHidden/>
          </w:rPr>
          <w:tab/>
        </w:r>
        <w:r w:rsidR="003776AB">
          <w:rPr>
            <w:webHidden/>
          </w:rPr>
          <w:fldChar w:fldCharType="begin"/>
        </w:r>
        <w:r w:rsidR="003776AB">
          <w:rPr>
            <w:webHidden/>
          </w:rPr>
          <w:instrText xml:space="preserve"> PAGEREF _Toc44601733 \h </w:instrText>
        </w:r>
        <w:r w:rsidR="003776AB">
          <w:rPr>
            <w:webHidden/>
          </w:rPr>
        </w:r>
        <w:r w:rsidR="003776AB">
          <w:rPr>
            <w:webHidden/>
          </w:rPr>
          <w:fldChar w:fldCharType="separate"/>
        </w:r>
        <w:r w:rsidR="00996BB1">
          <w:rPr>
            <w:webHidden/>
          </w:rPr>
          <w:t>96</w:t>
        </w:r>
        <w:r w:rsidR="003776AB">
          <w:rPr>
            <w:webHidden/>
          </w:rPr>
          <w:fldChar w:fldCharType="end"/>
        </w:r>
      </w:hyperlink>
    </w:p>
    <w:p w14:paraId="0C150412" w14:textId="39C61A58" w:rsidR="003776AB" w:rsidRDefault="00942EE9">
      <w:pPr>
        <w:pStyle w:val="TOC1"/>
        <w:rPr>
          <w:rFonts w:asciiTheme="minorHAnsi" w:hAnsiTheme="minorHAnsi" w:cstheme="minorBidi"/>
          <w:sz w:val="22"/>
          <w:szCs w:val="22"/>
        </w:rPr>
      </w:pPr>
      <w:hyperlink w:anchor="_Toc44601734" w:history="1">
        <w:r w:rsidR="003776AB" w:rsidRPr="000D4549">
          <w:rPr>
            <w:rStyle w:val="Hyperlink"/>
          </w:rPr>
          <w:t>Appendix 1</w:t>
        </w:r>
        <w:r w:rsidR="003776AB">
          <w:rPr>
            <w:rFonts w:asciiTheme="minorHAnsi" w:hAnsiTheme="minorHAnsi" w:cstheme="minorBidi"/>
            <w:sz w:val="22"/>
            <w:szCs w:val="22"/>
          </w:rPr>
          <w:tab/>
        </w:r>
        <w:r w:rsidR="003776AB" w:rsidRPr="000D4549">
          <w:rPr>
            <w:rStyle w:val="Hyperlink"/>
          </w:rPr>
          <w:t>Abbreviations</w:t>
        </w:r>
        <w:r w:rsidR="003776AB">
          <w:rPr>
            <w:webHidden/>
          </w:rPr>
          <w:tab/>
        </w:r>
        <w:r w:rsidR="003776AB">
          <w:rPr>
            <w:webHidden/>
          </w:rPr>
          <w:fldChar w:fldCharType="begin"/>
        </w:r>
        <w:r w:rsidR="003776AB">
          <w:rPr>
            <w:webHidden/>
          </w:rPr>
          <w:instrText xml:space="preserve"> PAGEREF _Toc44601734 \h </w:instrText>
        </w:r>
        <w:r w:rsidR="003776AB">
          <w:rPr>
            <w:webHidden/>
          </w:rPr>
        </w:r>
        <w:r w:rsidR="003776AB">
          <w:rPr>
            <w:webHidden/>
          </w:rPr>
          <w:fldChar w:fldCharType="separate"/>
        </w:r>
        <w:r w:rsidR="00996BB1">
          <w:rPr>
            <w:webHidden/>
          </w:rPr>
          <w:t>96</w:t>
        </w:r>
        <w:r w:rsidR="003776AB">
          <w:rPr>
            <w:webHidden/>
          </w:rPr>
          <w:fldChar w:fldCharType="end"/>
        </w:r>
      </w:hyperlink>
    </w:p>
    <w:p w14:paraId="1D49CE07" w14:textId="523B2252" w:rsidR="003776AB" w:rsidRDefault="00942EE9">
      <w:pPr>
        <w:pStyle w:val="TOC1"/>
        <w:rPr>
          <w:rFonts w:asciiTheme="minorHAnsi" w:hAnsiTheme="minorHAnsi" w:cstheme="minorBidi"/>
          <w:sz w:val="22"/>
          <w:szCs w:val="22"/>
        </w:rPr>
      </w:pPr>
      <w:hyperlink w:anchor="_Toc44601735" w:history="1">
        <w:r w:rsidR="003776AB" w:rsidRPr="000D4549">
          <w:rPr>
            <w:rStyle w:val="Hyperlink"/>
          </w:rPr>
          <w:t>Appendix 2</w:t>
        </w:r>
        <w:r w:rsidR="003776AB">
          <w:rPr>
            <w:rFonts w:asciiTheme="minorHAnsi" w:hAnsiTheme="minorHAnsi" w:cstheme="minorBidi"/>
            <w:sz w:val="22"/>
            <w:szCs w:val="22"/>
          </w:rPr>
          <w:tab/>
        </w:r>
        <w:r w:rsidR="003776AB" w:rsidRPr="000D4549">
          <w:rPr>
            <w:rStyle w:val="Hyperlink"/>
          </w:rPr>
          <w:t>Study Governance</w:t>
        </w:r>
        <w:r w:rsidR="003776AB">
          <w:rPr>
            <w:webHidden/>
          </w:rPr>
          <w:tab/>
        </w:r>
        <w:r w:rsidR="003776AB">
          <w:rPr>
            <w:webHidden/>
          </w:rPr>
          <w:fldChar w:fldCharType="begin"/>
        </w:r>
        <w:r w:rsidR="003776AB">
          <w:rPr>
            <w:webHidden/>
          </w:rPr>
          <w:instrText xml:space="preserve"> PAGEREF _Toc44601735 \h </w:instrText>
        </w:r>
        <w:r w:rsidR="003776AB">
          <w:rPr>
            <w:webHidden/>
          </w:rPr>
        </w:r>
        <w:r w:rsidR="003776AB">
          <w:rPr>
            <w:webHidden/>
          </w:rPr>
          <w:fldChar w:fldCharType="separate"/>
        </w:r>
        <w:r w:rsidR="00996BB1">
          <w:rPr>
            <w:webHidden/>
          </w:rPr>
          <w:t>99</w:t>
        </w:r>
        <w:r w:rsidR="003776AB">
          <w:rPr>
            <w:webHidden/>
          </w:rPr>
          <w:fldChar w:fldCharType="end"/>
        </w:r>
      </w:hyperlink>
    </w:p>
    <w:p w14:paraId="3371B1D1" w14:textId="489831C7" w:rsidR="003776AB" w:rsidRDefault="00942EE9">
      <w:pPr>
        <w:pStyle w:val="TOC1"/>
        <w:rPr>
          <w:rFonts w:asciiTheme="minorHAnsi" w:hAnsiTheme="minorHAnsi" w:cstheme="minorBidi"/>
          <w:sz w:val="22"/>
          <w:szCs w:val="22"/>
        </w:rPr>
      </w:pPr>
      <w:hyperlink w:anchor="_Toc44601736" w:history="1">
        <w:r w:rsidR="003776AB" w:rsidRPr="000D4549">
          <w:rPr>
            <w:rStyle w:val="Hyperlink"/>
          </w:rPr>
          <w:t>Appendix 3</w:t>
        </w:r>
        <w:r w:rsidR="003776AB">
          <w:rPr>
            <w:rFonts w:asciiTheme="minorHAnsi" w:hAnsiTheme="minorHAnsi" w:cstheme="minorBidi"/>
            <w:sz w:val="22"/>
            <w:szCs w:val="22"/>
          </w:rPr>
          <w:tab/>
        </w:r>
        <w:r w:rsidR="003776AB" w:rsidRPr="000D4549">
          <w:rPr>
            <w:rStyle w:val="Hyperlink"/>
          </w:rPr>
          <w:t>Contraception</w:t>
        </w:r>
        <w:r w:rsidR="003776AB">
          <w:rPr>
            <w:webHidden/>
          </w:rPr>
          <w:tab/>
        </w:r>
        <w:r w:rsidR="003776AB">
          <w:rPr>
            <w:webHidden/>
          </w:rPr>
          <w:fldChar w:fldCharType="begin"/>
        </w:r>
        <w:r w:rsidR="003776AB">
          <w:rPr>
            <w:webHidden/>
          </w:rPr>
          <w:instrText xml:space="preserve"> PAGEREF _Toc44601736 \h </w:instrText>
        </w:r>
        <w:r w:rsidR="003776AB">
          <w:rPr>
            <w:webHidden/>
          </w:rPr>
        </w:r>
        <w:r w:rsidR="003776AB">
          <w:rPr>
            <w:webHidden/>
          </w:rPr>
          <w:fldChar w:fldCharType="separate"/>
        </w:r>
        <w:r w:rsidR="00996BB1">
          <w:rPr>
            <w:webHidden/>
          </w:rPr>
          <w:t>107</w:t>
        </w:r>
        <w:r w:rsidR="003776AB">
          <w:rPr>
            <w:webHidden/>
          </w:rPr>
          <w:fldChar w:fldCharType="end"/>
        </w:r>
      </w:hyperlink>
    </w:p>
    <w:p w14:paraId="2BBF7F83" w14:textId="378CB8A1" w:rsidR="003776AB" w:rsidRDefault="00942EE9">
      <w:pPr>
        <w:pStyle w:val="TOC1"/>
        <w:rPr>
          <w:rFonts w:asciiTheme="minorHAnsi" w:hAnsiTheme="minorHAnsi" w:cstheme="minorBidi"/>
          <w:sz w:val="22"/>
          <w:szCs w:val="22"/>
        </w:rPr>
      </w:pPr>
      <w:hyperlink w:anchor="_Toc44601737" w:history="1">
        <w:r w:rsidR="003776AB" w:rsidRPr="000D4549">
          <w:rPr>
            <w:rStyle w:val="Hyperlink"/>
          </w:rPr>
          <w:t>Appendix 4</w:t>
        </w:r>
        <w:r w:rsidR="003776AB">
          <w:rPr>
            <w:rFonts w:asciiTheme="minorHAnsi" w:hAnsiTheme="minorHAnsi" w:cstheme="minorBidi"/>
            <w:sz w:val="22"/>
            <w:szCs w:val="22"/>
          </w:rPr>
          <w:tab/>
        </w:r>
        <w:r w:rsidR="003776AB" w:rsidRPr="000D4549">
          <w:rPr>
            <w:rStyle w:val="Hyperlink"/>
          </w:rPr>
          <w:t>Adverse Events: Definitions and Procedures for Recording, Evaluating, Follow-up, and Reporting</w:t>
        </w:r>
        <w:r w:rsidR="003776AB">
          <w:rPr>
            <w:webHidden/>
          </w:rPr>
          <w:tab/>
        </w:r>
        <w:r w:rsidR="003776AB">
          <w:rPr>
            <w:webHidden/>
          </w:rPr>
          <w:fldChar w:fldCharType="begin"/>
        </w:r>
        <w:r w:rsidR="003776AB">
          <w:rPr>
            <w:webHidden/>
          </w:rPr>
          <w:instrText xml:space="preserve"> PAGEREF _Toc44601737 \h </w:instrText>
        </w:r>
        <w:r w:rsidR="003776AB">
          <w:rPr>
            <w:webHidden/>
          </w:rPr>
        </w:r>
        <w:r w:rsidR="003776AB">
          <w:rPr>
            <w:webHidden/>
          </w:rPr>
          <w:fldChar w:fldCharType="separate"/>
        </w:r>
        <w:r w:rsidR="00996BB1">
          <w:rPr>
            <w:webHidden/>
          </w:rPr>
          <w:t>109</w:t>
        </w:r>
        <w:r w:rsidR="003776AB">
          <w:rPr>
            <w:webHidden/>
          </w:rPr>
          <w:fldChar w:fldCharType="end"/>
        </w:r>
      </w:hyperlink>
    </w:p>
    <w:p w14:paraId="6C8B7D3C" w14:textId="3F74211E" w:rsidR="003776AB" w:rsidRDefault="00942EE9">
      <w:pPr>
        <w:pStyle w:val="TOC1"/>
        <w:rPr>
          <w:rFonts w:asciiTheme="minorHAnsi" w:hAnsiTheme="minorHAnsi" w:cstheme="minorBidi"/>
          <w:sz w:val="22"/>
          <w:szCs w:val="22"/>
        </w:rPr>
      </w:pPr>
      <w:hyperlink w:anchor="_Toc44601738" w:history="1">
        <w:r w:rsidR="003776AB" w:rsidRPr="000D4549">
          <w:rPr>
            <w:rStyle w:val="Hyperlink"/>
          </w:rPr>
          <w:t>Appendix 5</w:t>
        </w:r>
        <w:r w:rsidR="003776AB">
          <w:rPr>
            <w:rFonts w:asciiTheme="minorHAnsi" w:hAnsiTheme="minorHAnsi" w:cstheme="minorBidi"/>
            <w:sz w:val="22"/>
            <w:szCs w:val="22"/>
          </w:rPr>
          <w:tab/>
        </w:r>
        <w:r w:rsidR="003776AB" w:rsidRPr="000D4549">
          <w:rPr>
            <w:rStyle w:val="Hyperlink"/>
          </w:rPr>
          <w:t>Clinical Laboratory Tests</w:t>
        </w:r>
        <w:r w:rsidR="003776AB">
          <w:rPr>
            <w:webHidden/>
          </w:rPr>
          <w:tab/>
        </w:r>
        <w:r w:rsidR="003776AB">
          <w:rPr>
            <w:webHidden/>
          </w:rPr>
          <w:fldChar w:fldCharType="begin"/>
        </w:r>
        <w:r w:rsidR="003776AB">
          <w:rPr>
            <w:webHidden/>
          </w:rPr>
          <w:instrText xml:space="preserve"> PAGEREF _Toc44601738 \h </w:instrText>
        </w:r>
        <w:r w:rsidR="003776AB">
          <w:rPr>
            <w:webHidden/>
          </w:rPr>
        </w:r>
        <w:r w:rsidR="003776AB">
          <w:rPr>
            <w:webHidden/>
          </w:rPr>
          <w:fldChar w:fldCharType="separate"/>
        </w:r>
        <w:r w:rsidR="00996BB1">
          <w:rPr>
            <w:webHidden/>
          </w:rPr>
          <w:t>116</w:t>
        </w:r>
        <w:r w:rsidR="003776AB">
          <w:rPr>
            <w:webHidden/>
          </w:rPr>
          <w:fldChar w:fldCharType="end"/>
        </w:r>
      </w:hyperlink>
    </w:p>
    <w:p w14:paraId="3E504CED" w14:textId="2FF75202" w:rsidR="003776AB" w:rsidRDefault="00942EE9">
      <w:pPr>
        <w:pStyle w:val="TOC1"/>
        <w:rPr>
          <w:rFonts w:asciiTheme="minorHAnsi" w:hAnsiTheme="minorHAnsi" w:cstheme="minorBidi"/>
          <w:sz w:val="22"/>
          <w:szCs w:val="22"/>
        </w:rPr>
      </w:pPr>
      <w:hyperlink w:anchor="_Toc44601739" w:history="1">
        <w:r w:rsidR="003776AB" w:rsidRPr="000D4549">
          <w:rPr>
            <w:rStyle w:val="Hyperlink"/>
          </w:rPr>
          <w:t>Appendix 6</w:t>
        </w:r>
        <w:r w:rsidR="003776AB">
          <w:rPr>
            <w:rFonts w:asciiTheme="minorHAnsi" w:hAnsiTheme="minorHAnsi" w:cstheme="minorBidi"/>
            <w:sz w:val="22"/>
            <w:szCs w:val="22"/>
          </w:rPr>
          <w:tab/>
        </w:r>
        <w:r w:rsidR="003776AB" w:rsidRPr="000D4549">
          <w:rPr>
            <w:rStyle w:val="Hyperlink"/>
          </w:rPr>
          <w:t>Pharmacogenetics</w:t>
        </w:r>
        <w:r w:rsidR="003776AB">
          <w:rPr>
            <w:webHidden/>
          </w:rPr>
          <w:tab/>
        </w:r>
        <w:r w:rsidR="003776AB">
          <w:rPr>
            <w:webHidden/>
          </w:rPr>
          <w:fldChar w:fldCharType="begin"/>
        </w:r>
        <w:r w:rsidR="003776AB">
          <w:rPr>
            <w:webHidden/>
          </w:rPr>
          <w:instrText xml:space="preserve"> PAGEREF _Toc44601739 \h </w:instrText>
        </w:r>
        <w:r w:rsidR="003776AB">
          <w:rPr>
            <w:webHidden/>
          </w:rPr>
        </w:r>
        <w:r w:rsidR="003776AB">
          <w:rPr>
            <w:webHidden/>
          </w:rPr>
          <w:fldChar w:fldCharType="separate"/>
        </w:r>
        <w:r w:rsidR="00996BB1">
          <w:rPr>
            <w:webHidden/>
          </w:rPr>
          <w:t>118</w:t>
        </w:r>
        <w:r w:rsidR="003776AB">
          <w:rPr>
            <w:webHidden/>
          </w:rPr>
          <w:fldChar w:fldCharType="end"/>
        </w:r>
      </w:hyperlink>
    </w:p>
    <w:p w14:paraId="29A3E9C1" w14:textId="4E7DDC6B" w:rsidR="003776AB" w:rsidRDefault="00942EE9">
      <w:pPr>
        <w:pStyle w:val="TOC1"/>
        <w:rPr>
          <w:rFonts w:asciiTheme="minorHAnsi" w:hAnsiTheme="minorHAnsi" w:cstheme="minorBidi"/>
          <w:sz w:val="22"/>
          <w:szCs w:val="22"/>
        </w:rPr>
      </w:pPr>
      <w:hyperlink w:anchor="_Toc44601740" w:history="1">
        <w:r w:rsidR="003776AB" w:rsidRPr="000D4549">
          <w:rPr>
            <w:rStyle w:val="Hyperlink"/>
          </w:rPr>
          <w:t>Appendix 7</w:t>
        </w:r>
        <w:r w:rsidR="003776AB">
          <w:rPr>
            <w:rFonts w:asciiTheme="minorHAnsi" w:hAnsiTheme="minorHAnsi" w:cstheme="minorBidi"/>
            <w:sz w:val="22"/>
            <w:szCs w:val="22"/>
          </w:rPr>
          <w:tab/>
        </w:r>
        <w:r w:rsidR="003776AB" w:rsidRPr="000D4549">
          <w:rPr>
            <w:rStyle w:val="Hyperlink"/>
          </w:rPr>
          <w:t>Response Evaluation Criteria in Solid Tumors (RECIST) Version 1.1</w:t>
        </w:r>
        <w:r w:rsidR="003776AB">
          <w:rPr>
            <w:webHidden/>
          </w:rPr>
          <w:tab/>
        </w:r>
        <w:r w:rsidR="003776AB">
          <w:rPr>
            <w:webHidden/>
          </w:rPr>
          <w:fldChar w:fldCharType="begin"/>
        </w:r>
        <w:r w:rsidR="003776AB">
          <w:rPr>
            <w:webHidden/>
          </w:rPr>
          <w:instrText xml:space="preserve"> PAGEREF _Toc44601740 \h </w:instrText>
        </w:r>
        <w:r w:rsidR="003776AB">
          <w:rPr>
            <w:webHidden/>
          </w:rPr>
        </w:r>
        <w:r w:rsidR="003776AB">
          <w:rPr>
            <w:webHidden/>
          </w:rPr>
          <w:fldChar w:fldCharType="separate"/>
        </w:r>
        <w:r w:rsidR="00996BB1">
          <w:rPr>
            <w:webHidden/>
          </w:rPr>
          <w:t>119</w:t>
        </w:r>
        <w:r w:rsidR="003776AB">
          <w:rPr>
            <w:webHidden/>
          </w:rPr>
          <w:fldChar w:fldCharType="end"/>
        </w:r>
      </w:hyperlink>
    </w:p>
    <w:p w14:paraId="104B59CC" w14:textId="720D8425" w:rsidR="003776AB" w:rsidRDefault="00942EE9">
      <w:pPr>
        <w:pStyle w:val="TOC1"/>
        <w:rPr>
          <w:rFonts w:asciiTheme="minorHAnsi" w:hAnsiTheme="minorHAnsi" w:cstheme="minorBidi"/>
          <w:sz w:val="22"/>
          <w:szCs w:val="22"/>
        </w:rPr>
      </w:pPr>
      <w:hyperlink w:anchor="_Toc44601741" w:history="1">
        <w:r w:rsidR="003776AB" w:rsidRPr="000D4549">
          <w:rPr>
            <w:rStyle w:val="Hyperlink"/>
          </w:rPr>
          <w:t>Appendix 8</w:t>
        </w:r>
        <w:r w:rsidR="003776AB">
          <w:rPr>
            <w:rFonts w:asciiTheme="minorHAnsi" w:hAnsiTheme="minorHAnsi" w:cstheme="minorBidi"/>
            <w:sz w:val="22"/>
            <w:szCs w:val="22"/>
          </w:rPr>
          <w:tab/>
        </w:r>
        <w:r w:rsidR="003776AB" w:rsidRPr="000D4549">
          <w:rPr>
            <w:rStyle w:val="Hyperlink"/>
          </w:rPr>
          <w:t>Protocol Amendment History</w:t>
        </w:r>
        <w:r w:rsidR="003776AB">
          <w:rPr>
            <w:webHidden/>
          </w:rPr>
          <w:tab/>
        </w:r>
        <w:r w:rsidR="003776AB">
          <w:rPr>
            <w:webHidden/>
          </w:rPr>
          <w:fldChar w:fldCharType="begin"/>
        </w:r>
        <w:r w:rsidR="003776AB">
          <w:rPr>
            <w:webHidden/>
          </w:rPr>
          <w:instrText xml:space="preserve"> PAGEREF _Toc44601741 \h </w:instrText>
        </w:r>
        <w:r w:rsidR="003776AB">
          <w:rPr>
            <w:webHidden/>
          </w:rPr>
        </w:r>
        <w:r w:rsidR="003776AB">
          <w:rPr>
            <w:webHidden/>
          </w:rPr>
          <w:fldChar w:fldCharType="separate"/>
        </w:r>
        <w:r w:rsidR="00996BB1">
          <w:rPr>
            <w:webHidden/>
          </w:rPr>
          <w:t>128</w:t>
        </w:r>
        <w:r w:rsidR="003776AB">
          <w:rPr>
            <w:webHidden/>
          </w:rPr>
          <w:fldChar w:fldCharType="end"/>
        </w:r>
      </w:hyperlink>
    </w:p>
    <w:p w14:paraId="35C0A1EE" w14:textId="311F5686" w:rsidR="003776AB" w:rsidRDefault="00942EE9">
      <w:pPr>
        <w:pStyle w:val="TOC1"/>
        <w:rPr>
          <w:rFonts w:asciiTheme="minorHAnsi" w:hAnsiTheme="minorHAnsi" w:cstheme="minorBidi"/>
          <w:sz w:val="22"/>
          <w:szCs w:val="22"/>
        </w:rPr>
      </w:pPr>
      <w:hyperlink w:anchor="_Toc44601742" w:history="1">
        <w:r w:rsidR="003776AB" w:rsidRPr="000D4549">
          <w:rPr>
            <w:rStyle w:val="Hyperlink"/>
          </w:rPr>
          <w:t>Appendix 9</w:t>
        </w:r>
        <w:r w:rsidR="003776AB">
          <w:rPr>
            <w:rFonts w:asciiTheme="minorHAnsi" w:hAnsiTheme="minorHAnsi" w:cstheme="minorBidi"/>
            <w:sz w:val="22"/>
            <w:szCs w:val="22"/>
          </w:rPr>
          <w:tab/>
        </w:r>
        <w:r w:rsidR="003776AB" w:rsidRPr="000D4549">
          <w:rPr>
            <w:rStyle w:val="Hyperlink"/>
          </w:rPr>
          <w:t>Sponsor Signature Page</w:t>
        </w:r>
        <w:r w:rsidR="003776AB">
          <w:rPr>
            <w:webHidden/>
          </w:rPr>
          <w:tab/>
        </w:r>
        <w:r w:rsidR="003776AB">
          <w:rPr>
            <w:webHidden/>
          </w:rPr>
          <w:fldChar w:fldCharType="begin"/>
        </w:r>
        <w:r w:rsidR="003776AB">
          <w:rPr>
            <w:webHidden/>
          </w:rPr>
          <w:instrText xml:space="preserve"> PAGEREF _Toc44601742 \h </w:instrText>
        </w:r>
        <w:r w:rsidR="003776AB">
          <w:rPr>
            <w:webHidden/>
          </w:rPr>
        </w:r>
        <w:r w:rsidR="003776AB">
          <w:rPr>
            <w:webHidden/>
          </w:rPr>
          <w:fldChar w:fldCharType="separate"/>
        </w:r>
        <w:r w:rsidR="00996BB1">
          <w:rPr>
            <w:webHidden/>
          </w:rPr>
          <w:t>129</w:t>
        </w:r>
        <w:r w:rsidR="003776AB">
          <w:rPr>
            <w:webHidden/>
          </w:rPr>
          <w:fldChar w:fldCharType="end"/>
        </w:r>
      </w:hyperlink>
    </w:p>
    <w:p w14:paraId="3A10F17E" w14:textId="333C8D43" w:rsidR="003776AB" w:rsidRDefault="00942EE9">
      <w:pPr>
        <w:pStyle w:val="TOC1"/>
        <w:rPr>
          <w:rFonts w:asciiTheme="minorHAnsi" w:hAnsiTheme="minorHAnsi" w:cstheme="minorBidi"/>
          <w:sz w:val="22"/>
          <w:szCs w:val="22"/>
        </w:rPr>
      </w:pPr>
      <w:hyperlink w:anchor="_Toc44601743" w:history="1">
        <w:r w:rsidR="003776AB" w:rsidRPr="000D4549">
          <w:rPr>
            <w:rStyle w:val="Hyperlink"/>
          </w:rPr>
          <w:t>Appendix 10</w:t>
        </w:r>
        <w:r w:rsidR="003776AB">
          <w:rPr>
            <w:rFonts w:asciiTheme="minorHAnsi" w:hAnsiTheme="minorHAnsi" w:cstheme="minorBidi"/>
            <w:sz w:val="22"/>
            <w:szCs w:val="22"/>
          </w:rPr>
          <w:tab/>
        </w:r>
        <w:r w:rsidR="003776AB" w:rsidRPr="000D4549">
          <w:rPr>
            <w:rStyle w:val="Hyperlink"/>
          </w:rPr>
          <w:t>Coordinating Investigator Signature Page</w:t>
        </w:r>
        <w:r w:rsidR="003776AB">
          <w:rPr>
            <w:webHidden/>
          </w:rPr>
          <w:tab/>
        </w:r>
        <w:r w:rsidR="003776AB">
          <w:rPr>
            <w:webHidden/>
          </w:rPr>
          <w:fldChar w:fldCharType="begin"/>
        </w:r>
        <w:r w:rsidR="003776AB">
          <w:rPr>
            <w:webHidden/>
          </w:rPr>
          <w:instrText xml:space="preserve"> PAGEREF _Toc44601743 \h </w:instrText>
        </w:r>
        <w:r w:rsidR="003776AB">
          <w:rPr>
            <w:webHidden/>
          </w:rPr>
        </w:r>
        <w:r w:rsidR="003776AB">
          <w:rPr>
            <w:webHidden/>
          </w:rPr>
          <w:fldChar w:fldCharType="separate"/>
        </w:r>
        <w:r w:rsidR="00996BB1">
          <w:rPr>
            <w:webHidden/>
          </w:rPr>
          <w:t>130</w:t>
        </w:r>
        <w:r w:rsidR="003776AB">
          <w:rPr>
            <w:webHidden/>
          </w:rPr>
          <w:fldChar w:fldCharType="end"/>
        </w:r>
      </w:hyperlink>
    </w:p>
    <w:p w14:paraId="370D33EF" w14:textId="7964A4F1" w:rsidR="003776AB" w:rsidRDefault="00942EE9">
      <w:pPr>
        <w:pStyle w:val="TOC1"/>
        <w:rPr>
          <w:rFonts w:asciiTheme="minorHAnsi" w:hAnsiTheme="minorHAnsi" w:cstheme="minorBidi"/>
          <w:sz w:val="22"/>
          <w:szCs w:val="22"/>
        </w:rPr>
      </w:pPr>
      <w:hyperlink w:anchor="_Toc44601744" w:history="1">
        <w:r w:rsidR="003776AB" w:rsidRPr="000D4549">
          <w:rPr>
            <w:rStyle w:val="Hyperlink"/>
          </w:rPr>
          <w:t>Appendix 11</w:t>
        </w:r>
        <w:r w:rsidR="003776AB">
          <w:rPr>
            <w:rFonts w:asciiTheme="minorHAnsi" w:hAnsiTheme="minorHAnsi" w:cstheme="minorBidi"/>
            <w:sz w:val="22"/>
            <w:szCs w:val="22"/>
          </w:rPr>
          <w:tab/>
        </w:r>
        <w:r w:rsidR="003776AB" w:rsidRPr="000D4549">
          <w:rPr>
            <w:rStyle w:val="Hyperlink"/>
          </w:rPr>
          <w:t>Principal Investigator Signature Page</w:t>
        </w:r>
        <w:r w:rsidR="003776AB">
          <w:rPr>
            <w:webHidden/>
          </w:rPr>
          <w:tab/>
        </w:r>
        <w:r w:rsidR="003776AB">
          <w:rPr>
            <w:webHidden/>
          </w:rPr>
          <w:fldChar w:fldCharType="begin"/>
        </w:r>
        <w:r w:rsidR="003776AB">
          <w:rPr>
            <w:webHidden/>
          </w:rPr>
          <w:instrText xml:space="preserve"> PAGEREF _Toc44601744 \h </w:instrText>
        </w:r>
        <w:r w:rsidR="003776AB">
          <w:rPr>
            <w:webHidden/>
          </w:rPr>
        </w:r>
        <w:r w:rsidR="003776AB">
          <w:rPr>
            <w:webHidden/>
          </w:rPr>
          <w:fldChar w:fldCharType="separate"/>
        </w:r>
        <w:r w:rsidR="00996BB1">
          <w:rPr>
            <w:webHidden/>
          </w:rPr>
          <w:t>131</w:t>
        </w:r>
        <w:r w:rsidR="003776AB">
          <w:rPr>
            <w:webHidden/>
          </w:rPr>
          <w:fldChar w:fldCharType="end"/>
        </w:r>
      </w:hyperlink>
    </w:p>
    <w:p w14:paraId="12445FDF" w14:textId="5832F1FA" w:rsidR="00BA43ED" w:rsidRPr="00AF1814" w:rsidRDefault="00DA3174" w:rsidP="007C2DE4">
      <w:pPr>
        <w:pStyle w:val="TOC1"/>
      </w:pPr>
      <w:r w:rsidRPr="00AF1814">
        <w:fldChar w:fldCharType="end"/>
      </w:r>
    </w:p>
    <w:p w14:paraId="641EB1AC" w14:textId="77777777" w:rsidR="00BA43ED" w:rsidRPr="00AF1814" w:rsidRDefault="00DA3174" w:rsidP="00C71121">
      <w:pPr>
        <w:pStyle w:val="Heading1unnumbered"/>
        <w:pageBreakBefore/>
        <w:tabs>
          <w:tab w:val="clear" w:pos="4716"/>
        </w:tabs>
      </w:pPr>
      <w:bookmarkStart w:id="9" w:name="_Toc36455652"/>
      <w:bookmarkStart w:id="10" w:name="_Toc44601636"/>
      <w:r w:rsidRPr="00AF1814">
        <w:lastRenderedPageBreak/>
        <w:t>List of Tables</w:t>
      </w:r>
      <w:bookmarkEnd w:id="9"/>
      <w:bookmarkEnd w:id="10"/>
    </w:p>
    <w:p w14:paraId="30FE2212" w14:textId="3D2644EE" w:rsidR="003776AB" w:rsidRDefault="00DA3174">
      <w:pPr>
        <w:pStyle w:val="TableofFigures"/>
        <w:rPr>
          <w:rFonts w:asciiTheme="minorHAnsi" w:hAnsiTheme="minorHAnsi" w:cstheme="minorBidi"/>
          <w:sz w:val="22"/>
          <w:szCs w:val="22"/>
        </w:rPr>
      </w:pPr>
      <w:r w:rsidRPr="00AF1814">
        <w:rPr>
          <w:rFonts w:ascii="TimesNewRoman,Bold" w:hAnsi="TimesNewRoman,Bold" w:cs="TimesNewRoman,Bold"/>
          <w:b/>
          <w:bCs/>
          <w:sz w:val="28"/>
          <w:szCs w:val="28"/>
          <w:lang w:eastAsia="ja-JP"/>
        </w:rPr>
        <w:fldChar w:fldCharType="begin"/>
      </w:r>
      <w:r w:rsidRPr="00AF1814">
        <w:rPr>
          <w:rFonts w:ascii="TimesNewRoman,Bold" w:hAnsi="TimesNewRoman,Bold" w:cs="TimesNewRoman,Bold"/>
          <w:b/>
          <w:bCs/>
          <w:sz w:val="28"/>
          <w:szCs w:val="28"/>
          <w:lang w:eastAsia="ja-JP"/>
        </w:rPr>
        <w:instrText xml:space="preserve"> TOC \h \z \c "Table" </w:instrText>
      </w:r>
      <w:r w:rsidRPr="00AF1814">
        <w:rPr>
          <w:rFonts w:ascii="TimesNewRoman,Bold" w:hAnsi="TimesNewRoman,Bold" w:cs="TimesNewRoman,Bold"/>
          <w:b/>
          <w:bCs/>
          <w:sz w:val="28"/>
          <w:szCs w:val="28"/>
          <w:lang w:eastAsia="ja-JP"/>
        </w:rPr>
        <w:fldChar w:fldCharType="separate"/>
      </w:r>
      <w:hyperlink w:anchor="_Toc44601745" w:history="1">
        <w:r w:rsidR="003776AB" w:rsidRPr="005E6433">
          <w:rPr>
            <w:rStyle w:val="Hyperlink"/>
          </w:rPr>
          <w:t>Table 1</w:t>
        </w:r>
        <w:r w:rsidR="003776AB">
          <w:rPr>
            <w:rFonts w:asciiTheme="minorHAnsi" w:hAnsiTheme="minorHAnsi" w:cstheme="minorBidi"/>
            <w:sz w:val="22"/>
            <w:szCs w:val="22"/>
          </w:rPr>
          <w:tab/>
        </w:r>
        <w:r w:rsidR="003776AB" w:rsidRPr="005E6433">
          <w:rPr>
            <w:rStyle w:val="Hyperlink"/>
          </w:rPr>
          <w:t>Schedule of Activities for Cohort 1</w:t>
        </w:r>
        <w:r w:rsidR="003776AB">
          <w:rPr>
            <w:webHidden/>
          </w:rPr>
          <w:tab/>
        </w:r>
        <w:r w:rsidR="003776AB">
          <w:rPr>
            <w:webHidden/>
          </w:rPr>
          <w:fldChar w:fldCharType="begin"/>
        </w:r>
        <w:r w:rsidR="003776AB">
          <w:rPr>
            <w:webHidden/>
          </w:rPr>
          <w:instrText xml:space="preserve"> PAGEREF _Toc44601745 \h </w:instrText>
        </w:r>
        <w:r w:rsidR="003776AB">
          <w:rPr>
            <w:webHidden/>
          </w:rPr>
        </w:r>
        <w:r w:rsidR="003776AB">
          <w:rPr>
            <w:webHidden/>
          </w:rPr>
          <w:fldChar w:fldCharType="separate"/>
        </w:r>
        <w:r w:rsidR="00996BB1">
          <w:rPr>
            <w:webHidden/>
          </w:rPr>
          <w:t>13</w:t>
        </w:r>
        <w:r w:rsidR="003776AB">
          <w:rPr>
            <w:webHidden/>
          </w:rPr>
          <w:fldChar w:fldCharType="end"/>
        </w:r>
      </w:hyperlink>
    </w:p>
    <w:p w14:paraId="206DCBEE" w14:textId="2E3C5765" w:rsidR="003776AB" w:rsidRDefault="00942EE9">
      <w:pPr>
        <w:pStyle w:val="TableofFigures"/>
        <w:rPr>
          <w:rFonts w:asciiTheme="minorHAnsi" w:hAnsiTheme="minorHAnsi" w:cstheme="minorBidi"/>
          <w:sz w:val="22"/>
          <w:szCs w:val="22"/>
        </w:rPr>
      </w:pPr>
      <w:hyperlink w:anchor="_Toc44601746" w:history="1">
        <w:r w:rsidR="003776AB" w:rsidRPr="005E6433">
          <w:rPr>
            <w:rStyle w:val="Hyperlink"/>
          </w:rPr>
          <w:t>Table 2</w:t>
        </w:r>
        <w:r w:rsidR="003776AB">
          <w:rPr>
            <w:rFonts w:asciiTheme="minorHAnsi" w:hAnsiTheme="minorHAnsi" w:cstheme="minorBidi"/>
            <w:sz w:val="22"/>
            <w:szCs w:val="22"/>
          </w:rPr>
          <w:tab/>
        </w:r>
        <w:r w:rsidR="003776AB" w:rsidRPr="005E6433">
          <w:rPr>
            <w:rStyle w:val="Hyperlink"/>
          </w:rPr>
          <w:t>Schedule of Activities for PK and ADA Sampling in Cohort 1</w:t>
        </w:r>
        <w:r w:rsidR="003776AB">
          <w:rPr>
            <w:webHidden/>
          </w:rPr>
          <w:tab/>
        </w:r>
        <w:r w:rsidR="003776AB">
          <w:rPr>
            <w:webHidden/>
          </w:rPr>
          <w:fldChar w:fldCharType="begin"/>
        </w:r>
        <w:r w:rsidR="003776AB">
          <w:rPr>
            <w:webHidden/>
          </w:rPr>
          <w:instrText xml:space="preserve"> PAGEREF _Toc44601746 \h </w:instrText>
        </w:r>
        <w:r w:rsidR="003776AB">
          <w:rPr>
            <w:webHidden/>
          </w:rPr>
        </w:r>
        <w:r w:rsidR="003776AB">
          <w:rPr>
            <w:webHidden/>
          </w:rPr>
          <w:fldChar w:fldCharType="separate"/>
        </w:r>
        <w:r w:rsidR="00996BB1">
          <w:rPr>
            <w:webHidden/>
          </w:rPr>
          <w:t>20</w:t>
        </w:r>
        <w:r w:rsidR="003776AB">
          <w:rPr>
            <w:webHidden/>
          </w:rPr>
          <w:fldChar w:fldCharType="end"/>
        </w:r>
      </w:hyperlink>
    </w:p>
    <w:p w14:paraId="2F353690" w14:textId="5EE7759C" w:rsidR="003776AB" w:rsidRDefault="00942EE9">
      <w:pPr>
        <w:pStyle w:val="TableofFigures"/>
        <w:rPr>
          <w:rFonts w:asciiTheme="minorHAnsi" w:hAnsiTheme="minorHAnsi" w:cstheme="minorBidi"/>
          <w:sz w:val="22"/>
          <w:szCs w:val="22"/>
        </w:rPr>
      </w:pPr>
      <w:hyperlink w:anchor="_Toc44601747" w:history="1">
        <w:r w:rsidR="003776AB" w:rsidRPr="005E6433">
          <w:rPr>
            <w:rStyle w:val="Hyperlink"/>
          </w:rPr>
          <w:t>Table 3</w:t>
        </w:r>
        <w:r w:rsidR="003776AB">
          <w:rPr>
            <w:rFonts w:asciiTheme="minorHAnsi" w:hAnsiTheme="minorHAnsi" w:cstheme="minorBidi"/>
            <w:sz w:val="22"/>
            <w:szCs w:val="22"/>
          </w:rPr>
          <w:tab/>
        </w:r>
        <w:r w:rsidR="003776AB" w:rsidRPr="005E6433">
          <w:rPr>
            <w:rStyle w:val="Hyperlink"/>
          </w:rPr>
          <w:t>Schedule of Activities During cCRT in Cohort 2</w:t>
        </w:r>
        <w:r w:rsidR="003776AB">
          <w:rPr>
            <w:webHidden/>
          </w:rPr>
          <w:tab/>
        </w:r>
        <w:r w:rsidR="003776AB">
          <w:rPr>
            <w:webHidden/>
          </w:rPr>
          <w:fldChar w:fldCharType="begin"/>
        </w:r>
        <w:r w:rsidR="003776AB">
          <w:rPr>
            <w:webHidden/>
          </w:rPr>
          <w:instrText xml:space="preserve"> PAGEREF _Toc44601747 \h </w:instrText>
        </w:r>
        <w:r w:rsidR="003776AB">
          <w:rPr>
            <w:webHidden/>
          </w:rPr>
        </w:r>
        <w:r w:rsidR="003776AB">
          <w:rPr>
            <w:webHidden/>
          </w:rPr>
          <w:fldChar w:fldCharType="separate"/>
        </w:r>
        <w:r w:rsidR="00996BB1">
          <w:rPr>
            <w:webHidden/>
          </w:rPr>
          <w:t>21</w:t>
        </w:r>
        <w:r w:rsidR="003776AB">
          <w:rPr>
            <w:webHidden/>
          </w:rPr>
          <w:fldChar w:fldCharType="end"/>
        </w:r>
      </w:hyperlink>
    </w:p>
    <w:p w14:paraId="277B08A2" w14:textId="08FB7704" w:rsidR="003776AB" w:rsidRDefault="00942EE9">
      <w:pPr>
        <w:pStyle w:val="TableofFigures"/>
        <w:rPr>
          <w:rFonts w:asciiTheme="minorHAnsi" w:hAnsiTheme="minorHAnsi" w:cstheme="minorBidi"/>
          <w:sz w:val="22"/>
          <w:szCs w:val="22"/>
        </w:rPr>
      </w:pPr>
      <w:hyperlink w:anchor="_Toc44601748" w:history="1">
        <w:r w:rsidR="003776AB" w:rsidRPr="005E6433">
          <w:rPr>
            <w:rStyle w:val="Hyperlink"/>
          </w:rPr>
          <w:t>Table 4</w:t>
        </w:r>
        <w:r w:rsidR="003776AB">
          <w:rPr>
            <w:rFonts w:asciiTheme="minorHAnsi" w:hAnsiTheme="minorHAnsi" w:cstheme="minorBidi"/>
            <w:sz w:val="22"/>
            <w:szCs w:val="22"/>
          </w:rPr>
          <w:tab/>
        </w:r>
        <w:r w:rsidR="003776AB" w:rsidRPr="005E6433">
          <w:rPr>
            <w:rStyle w:val="Hyperlink"/>
          </w:rPr>
          <w:t>Schedule of Activities After cCRT in Cohort 2</w:t>
        </w:r>
        <w:r w:rsidR="003776AB">
          <w:rPr>
            <w:webHidden/>
          </w:rPr>
          <w:tab/>
        </w:r>
        <w:r w:rsidR="003776AB">
          <w:rPr>
            <w:webHidden/>
          </w:rPr>
          <w:fldChar w:fldCharType="begin"/>
        </w:r>
        <w:r w:rsidR="003776AB">
          <w:rPr>
            <w:webHidden/>
          </w:rPr>
          <w:instrText xml:space="preserve"> PAGEREF _Toc44601748 \h </w:instrText>
        </w:r>
        <w:r w:rsidR="003776AB">
          <w:rPr>
            <w:webHidden/>
          </w:rPr>
        </w:r>
        <w:r w:rsidR="003776AB">
          <w:rPr>
            <w:webHidden/>
          </w:rPr>
          <w:fldChar w:fldCharType="separate"/>
        </w:r>
        <w:r w:rsidR="00996BB1">
          <w:rPr>
            <w:webHidden/>
          </w:rPr>
          <w:t>27</w:t>
        </w:r>
        <w:r w:rsidR="003776AB">
          <w:rPr>
            <w:webHidden/>
          </w:rPr>
          <w:fldChar w:fldCharType="end"/>
        </w:r>
      </w:hyperlink>
    </w:p>
    <w:p w14:paraId="3606EBEB" w14:textId="638D5EAB" w:rsidR="003776AB" w:rsidRDefault="00942EE9">
      <w:pPr>
        <w:pStyle w:val="TableofFigures"/>
        <w:rPr>
          <w:rFonts w:asciiTheme="minorHAnsi" w:hAnsiTheme="minorHAnsi" w:cstheme="minorBidi"/>
          <w:sz w:val="22"/>
          <w:szCs w:val="22"/>
        </w:rPr>
      </w:pPr>
      <w:hyperlink w:anchor="_Toc44601749" w:history="1">
        <w:r w:rsidR="003776AB" w:rsidRPr="005E6433">
          <w:rPr>
            <w:rStyle w:val="Hyperlink"/>
          </w:rPr>
          <w:t>Table 5</w:t>
        </w:r>
        <w:r w:rsidR="003776AB">
          <w:rPr>
            <w:rFonts w:asciiTheme="minorHAnsi" w:hAnsiTheme="minorHAnsi" w:cstheme="minorBidi"/>
            <w:sz w:val="22"/>
            <w:szCs w:val="22"/>
          </w:rPr>
          <w:tab/>
        </w:r>
        <w:r w:rsidR="003776AB" w:rsidRPr="005E6433">
          <w:rPr>
            <w:rStyle w:val="Hyperlink"/>
          </w:rPr>
          <w:t>Schedule of Activities for PK and ADA Sampling in Cohort 2</w:t>
        </w:r>
        <w:r w:rsidR="003776AB">
          <w:rPr>
            <w:webHidden/>
          </w:rPr>
          <w:tab/>
        </w:r>
        <w:r w:rsidR="003776AB">
          <w:rPr>
            <w:webHidden/>
          </w:rPr>
          <w:fldChar w:fldCharType="begin"/>
        </w:r>
        <w:r w:rsidR="003776AB">
          <w:rPr>
            <w:webHidden/>
          </w:rPr>
          <w:instrText xml:space="preserve"> PAGEREF _Toc44601749 \h </w:instrText>
        </w:r>
        <w:r w:rsidR="003776AB">
          <w:rPr>
            <w:webHidden/>
          </w:rPr>
        </w:r>
        <w:r w:rsidR="003776AB">
          <w:rPr>
            <w:webHidden/>
          </w:rPr>
          <w:fldChar w:fldCharType="separate"/>
        </w:r>
        <w:r w:rsidR="00996BB1">
          <w:rPr>
            <w:webHidden/>
          </w:rPr>
          <w:t>32</w:t>
        </w:r>
        <w:r w:rsidR="003776AB">
          <w:rPr>
            <w:webHidden/>
          </w:rPr>
          <w:fldChar w:fldCharType="end"/>
        </w:r>
      </w:hyperlink>
    </w:p>
    <w:p w14:paraId="429571A2" w14:textId="5B9FCE58" w:rsidR="003776AB" w:rsidRDefault="00942EE9">
      <w:pPr>
        <w:pStyle w:val="TableofFigures"/>
        <w:rPr>
          <w:rFonts w:asciiTheme="minorHAnsi" w:hAnsiTheme="minorHAnsi" w:cstheme="minorBidi"/>
          <w:sz w:val="22"/>
          <w:szCs w:val="22"/>
        </w:rPr>
      </w:pPr>
      <w:hyperlink w:anchor="_Toc44601750" w:history="1">
        <w:r w:rsidR="003776AB" w:rsidRPr="005E6433">
          <w:rPr>
            <w:rStyle w:val="Hyperlink"/>
          </w:rPr>
          <w:t>Table 6</w:t>
        </w:r>
        <w:r w:rsidR="003776AB">
          <w:rPr>
            <w:rFonts w:asciiTheme="minorHAnsi" w:hAnsiTheme="minorHAnsi" w:cstheme="minorBidi"/>
            <w:sz w:val="22"/>
            <w:szCs w:val="22"/>
          </w:rPr>
          <w:tab/>
        </w:r>
        <w:r w:rsidR="003776AB" w:rsidRPr="005E6433">
          <w:rPr>
            <w:rStyle w:val="Hyperlink"/>
          </w:rPr>
          <w:t>Objectives and Endpoints</w:t>
        </w:r>
        <w:r w:rsidR="003776AB">
          <w:rPr>
            <w:webHidden/>
          </w:rPr>
          <w:tab/>
        </w:r>
        <w:r w:rsidR="003776AB">
          <w:rPr>
            <w:webHidden/>
          </w:rPr>
          <w:fldChar w:fldCharType="begin"/>
        </w:r>
        <w:r w:rsidR="003776AB">
          <w:rPr>
            <w:webHidden/>
          </w:rPr>
          <w:instrText xml:space="preserve"> PAGEREF _Toc44601750 \h </w:instrText>
        </w:r>
        <w:r w:rsidR="003776AB">
          <w:rPr>
            <w:webHidden/>
          </w:rPr>
        </w:r>
        <w:r w:rsidR="003776AB">
          <w:rPr>
            <w:webHidden/>
          </w:rPr>
          <w:fldChar w:fldCharType="separate"/>
        </w:r>
        <w:r w:rsidR="00996BB1">
          <w:rPr>
            <w:webHidden/>
          </w:rPr>
          <w:t>37</w:t>
        </w:r>
        <w:r w:rsidR="003776AB">
          <w:rPr>
            <w:webHidden/>
          </w:rPr>
          <w:fldChar w:fldCharType="end"/>
        </w:r>
      </w:hyperlink>
    </w:p>
    <w:p w14:paraId="7A3536D4" w14:textId="707A035E" w:rsidR="003776AB" w:rsidRDefault="00942EE9">
      <w:pPr>
        <w:pStyle w:val="TableofFigures"/>
        <w:rPr>
          <w:rFonts w:asciiTheme="minorHAnsi" w:hAnsiTheme="minorHAnsi" w:cstheme="minorBidi"/>
          <w:sz w:val="22"/>
          <w:szCs w:val="22"/>
        </w:rPr>
      </w:pPr>
      <w:hyperlink w:anchor="_Toc44601751" w:history="1">
        <w:r w:rsidR="003776AB" w:rsidRPr="005E6433">
          <w:rPr>
            <w:rStyle w:val="Hyperlink"/>
          </w:rPr>
          <w:t>Table 7</w:t>
        </w:r>
        <w:r w:rsidR="003776AB">
          <w:rPr>
            <w:rFonts w:asciiTheme="minorHAnsi" w:hAnsiTheme="minorHAnsi" w:cstheme="minorBidi"/>
            <w:sz w:val="22"/>
            <w:szCs w:val="22"/>
          </w:rPr>
          <w:tab/>
        </w:r>
        <w:r w:rsidR="003776AB" w:rsidRPr="005E6433">
          <w:rPr>
            <w:rStyle w:val="Hyperlink"/>
          </w:rPr>
          <w:t>Administration of Bintrafusp alfa (M7824)</w:t>
        </w:r>
        <w:r w:rsidR="003776AB">
          <w:rPr>
            <w:webHidden/>
          </w:rPr>
          <w:tab/>
        </w:r>
        <w:r w:rsidR="003776AB">
          <w:rPr>
            <w:webHidden/>
          </w:rPr>
          <w:fldChar w:fldCharType="begin"/>
        </w:r>
        <w:r w:rsidR="003776AB">
          <w:rPr>
            <w:webHidden/>
          </w:rPr>
          <w:instrText xml:space="preserve"> PAGEREF _Toc44601751 \h </w:instrText>
        </w:r>
        <w:r w:rsidR="003776AB">
          <w:rPr>
            <w:webHidden/>
          </w:rPr>
        </w:r>
        <w:r w:rsidR="003776AB">
          <w:rPr>
            <w:webHidden/>
          </w:rPr>
          <w:fldChar w:fldCharType="separate"/>
        </w:r>
        <w:r w:rsidR="00996BB1">
          <w:rPr>
            <w:webHidden/>
          </w:rPr>
          <w:t>50</w:t>
        </w:r>
        <w:r w:rsidR="003776AB">
          <w:rPr>
            <w:webHidden/>
          </w:rPr>
          <w:fldChar w:fldCharType="end"/>
        </w:r>
      </w:hyperlink>
    </w:p>
    <w:p w14:paraId="66856131" w14:textId="162DD601" w:rsidR="003776AB" w:rsidRDefault="00942EE9">
      <w:pPr>
        <w:pStyle w:val="TableofFigures"/>
        <w:rPr>
          <w:rFonts w:asciiTheme="minorHAnsi" w:hAnsiTheme="minorHAnsi" w:cstheme="minorBidi"/>
          <w:sz w:val="22"/>
          <w:szCs w:val="22"/>
        </w:rPr>
      </w:pPr>
      <w:hyperlink w:anchor="_Toc44601752" w:history="1">
        <w:r w:rsidR="003776AB" w:rsidRPr="005E6433">
          <w:rPr>
            <w:rStyle w:val="Hyperlink"/>
          </w:rPr>
          <w:t>Table 8</w:t>
        </w:r>
        <w:r w:rsidR="003776AB">
          <w:rPr>
            <w:rFonts w:asciiTheme="minorHAnsi" w:hAnsiTheme="minorHAnsi" w:cstheme="minorBidi"/>
            <w:sz w:val="22"/>
            <w:szCs w:val="22"/>
          </w:rPr>
          <w:tab/>
        </w:r>
        <w:r w:rsidR="003776AB" w:rsidRPr="005E6433">
          <w:rPr>
            <w:rStyle w:val="Hyperlink"/>
          </w:rPr>
          <w:t>Predosing Consideration for Cisplatin</w:t>
        </w:r>
        <w:r w:rsidR="003776AB">
          <w:rPr>
            <w:webHidden/>
          </w:rPr>
          <w:tab/>
        </w:r>
        <w:r w:rsidR="003776AB">
          <w:rPr>
            <w:webHidden/>
          </w:rPr>
          <w:fldChar w:fldCharType="begin"/>
        </w:r>
        <w:r w:rsidR="003776AB">
          <w:rPr>
            <w:webHidden/>
          </w:rPr>
          <w:instrText xml:space="preserve"> PAGEREF _Toc44601752 \h </w:instrText>
        </w:r>
        <w:r w:rsidR="003776AB">
          <w:rPr>
            <w:webHidden/>
          </w:rPr>
        </w:r>
        <w:r w:rsidR="003776AB">
          <w:rPr>
            <w:webHidden/>
          </w:rPr>
          <w:fldChar w:fldCharType="separate"/>
        </w:r>
        <w:r w:rsidR="00996BB1">
          <w:rPr>
            <w:webHidden/>
          </w:rPr>
          <w:t>64</w:t>
        </w:r>
        <w:r w:rsidR="003776AB">
          <w:rPr>
            <w:webHidden/>
          </w:rPr>
          <w:fldChar w:fldCharType="end"/>
        </w:r>
      </w:hyperlink>
    </w:p>
    <w:p w14:paraId="25EE9082" w14:textId="41200F41" w:rsidR="003776AB" w:rsidRDefault="00942EE9">
      <w:pPr>
        <w:pStyle w:val="TableofFigures"/>
        <w:rPr>
          <w:rFonts w:asciiTheme="minorHAnsi" w:hAnsiTheme="minorHAnsi" w:cstheme="minorBidi"/>
          <w:sz w:val="22"/>
          <w:szCs w:val="22"/>
        </w:rPr>
      </w:pPr>
      <w:hyperlink w:anchor="_Toc44601753" w:history="1">
        <w:r w:rsidR="003776AB" w:rsidRPr="005E6433">
          <w:rPr>
            <w:rStyle w:val="Hyperlink"/>
          </w:rPr>
          <w:t>Table 9</w:t>
        </w:r>
        <w:r w:rsidR="003776AB">
          <w:rPr>
            <w:rFonts w:asciiTheme="minorHAnsi" w:hAnsiTheme="minorHAnsi" w:cstheme="minorBidi"/>
            <w:sz w:val="22"/>
            <w:szCs w:val="22"/>
          </w:rPr>
          <w:tab/>
        </w:r>
        <w:r w:rsidR="003776AB" w:rsidRPr="005E6433">
          <w:rPr>
            <w:rStyle w:val="Hyperlink"/>
          </w:rPr>
          <w:t>Predosing Consideration for Carboplatin</w:t>
        </w:r>
        <w:r w:rsidR="003776AB">
          <w:rPr>
            <w:webHidden/>
          </w:rPr>
          <w:tab/>
        </w:r>
        <w:r w:rsidR="003776AB">
          <w:rPr>
            <w:webHidden/>
          </w:rPr>
          <w:fldChar w:fldCharType="begin"/>
        </w:r>
        <w:r w:rsidR="003776AB">
          <w:rPr>
            <w:webHidden/>
          </w:rPr>
          <w:instrText xml:space="preserve"> PAGEREF _Toc44601753 \h </w:instrText>
        </w:r>
        <w:r w:rsidR="003776AB">
          <w:rPr>
            <w:webHidden/>
          </w:rPr>
        </w:r>
        <w:r w:rsidR="003776AB">
          <w:rPr>
            <w:webHidden/>
          </w:rPr>
          <w:fldChar w:fldCharType="separate"/>
        </w:r>
        <w:r w:rsidR="00996BB1">
          <w:rPr>
            <w:webHidden/>
          </w:rPr>
          <w:t>65</w:t>
        </w:r>
        <w:r w:rsidR="003776AB">
          <w:rPr>
            <w:webHidden/>
          </w:rPr>
          <w:fldChar w:fldCharType="end"/>
        </w:r>
      </w:hyperlink>
    </w:p>
    <w:p w14:paraId="4C2AA0CB" w14:textId="4935AA3F" w:rsidR="003776AB" w:rsidRDefault="00942EE9">
      <w:pPr>
        <w:pStyle w:val="TableofFigures"/>
        <w:rPr>
          <w:rFonts w:asciiTheme="minorHAnsi" w:hAnsiTheme="minorHAnsi" w:cstheme="minorBidi"/>
          <w:sz w:val="22"/>
          <w:szCs w:val="22"/>
        </w:rPr>
      </w:pPr>
      <w:hyperlink w:anchor="_Toc44601754" w:history="1">
        <w:r w:rsidR="003776AB" w:rsidRPr="005E6433">
          <w:rPr>
            <w:rStyle w:val="Hyperlink"/>
          </w:rPr>
          <w:t>Table 10</w:t>
        </w:r>
        <w:r w:rsidR="003776AB">
          <w:rPr>
            <w:rFonts w:asciiTheme="minorHAnsi" w:hAnsiTheme="minorHAnsi" w:cstheme="minorBidi"/>
            <w:sz w:val="22"/>
            <w:szCs w:val="22"/>
          </w:rPr>
          <w:tab/>
        </w:r>
        <w:r w:rsidR="003776AB" w:rsidRPr="005E6433">
          <w:rPr>
            <w:rStyle w:val="Hyperlink"/>
          </w:rPr>
          <w:t xml:space="preserve">Treatment Modification of </w:t>
        </w:r>
        <w:r w:rsidR="003776AB" w:rsidRPr="005E6433">
          <w:rPr>
            <w:rStyle w:val="Hyperlink"/>
            <w:rFonts w:eastAsia="Calibri"/>
          </w:rPr>
          <w:t>Bintrafusp alfa</w:t>
        </w:r>
        <w:r w:rsidR="003776AB" w:rsidRPr="005E6433">
          <w:rPr>
            <w:rStyle w:val="Hyperlink"/>
          </w:rPr>
          <w:t xml:space="preserve"> for Symptoms of Infusion-Related Reactions Including Immediate Hypersensitivity</w:t>
        </w:r>
        <w:r w:rsidR="003776AB">
          <w:rPr>
            <w:webHidden/>
          </w:rPr>
          <w:tab/>
        </w:r>
        <w:r w:rsidR="003776AB">
          <w:rPr>
            <w:webHidden/>
          </w:rPr>
          <w:fldChar w:fldCharType="begin"/>
        </w:r>
        <w:r w:rsidR="003776AB">
          <w:rPr>
            <w:webHidden/>
          </w:rPr>
          <w:instrText xml:space="preserve"> PAGEREF _Toc44601754 \h </w:instrText>
        </w:r>
        <w:r w:rsidR="003776AB">
          <w:rPr>
            <w:webHidden/>
          </w:rPr>
        </w:r>
        <w:r w:rsidR="003776AB">
          <w:rPr>
            <w:webHidden/>
          </w:rPr>
          <w:fldChar w:fldCharType="separate"/>
        </w:r>
        <w:r w:rsidR="00996BB1">
          <w:rPr>
            <w:webHidden/>
          </w:rPr>
          <w:t>80</w:t>
        </w:r>
        <w:r w:rsidR="003776AB">
          <w:rPr>
            <w:webHidden/>
          </w:rPr>
          <w:fldChar w:fldCharType="end"/>
        </w:r>
      </w:hyperlink>
    </w:p>
    <w:p w14:paraId="1A677639" w14:textId="30A88FD4" w:rsidR="003776AB" w:rsidRDefault="00942EE9">
      <w:pPr>
        <w:pStyle w:val="TableofFigures"/>
        <w:rPr>
          <w:rFonts w:asciiTheme="minorHAnsi" w:hAnsiTheme="minorHAnsi" w:cstheme="minorBidi"/>
          <w:sz w:val="22"/>
          <w:szCs w:val="22"/>
        </w:rPr>
      </w:pPr>
      <w:hyperlink w:anchor="_Toc44601755" w:history="1">
        <w:r w:rsidR="003776AB" w:rsidRPr="005E6433">
          <w:rPr>
            <w:rStyle w:val="Hyperlink"/>
          </w:rPr>
          <w:t>Table 11</w:t>
        </w:r>
        <w:r w:rsidR="003776AB">
          <w:rPr>
            <w:rFonts w:asciiTheme="minorHAnsi" w:hAnsiTheme="minorHAnsi" w:cstheme="minorBidi"/>
            <w:sz w:val="22"/>
            <w:szCs w:val="22"/>
          </w:rPr>
          <w:tab/>
        </w:r>
        <w:r w:rsidR="003776AB" w:rsidRPr="005E6433">
          <w:rPr>
            <w:rStyle w:val="Hyperlink"/>
          </w:rPr>
          <w:t>Evaluation Guidance of Suspected Treatment-Related Anemia Adverse Events</w:t>
        </w:r>
        <w:r w:rsidR="003776AB">
          <w:rPr>
            <w:webHidden/>
          </w:rPr>
          <w:tab/>
        </w:r>
        <w:r w:rsidR="003776AB">
          <w:rPr>
            <w:webHidden/>
          </w:rPr>
          <w:fldChar w:fldCharType="begin"/>
        </w:r>
        <w:r w:rsidR="003776AB">
          <w:rPr>
            <w:webHidden/>
          </w:rPr>
          <w:instrText xml:space="preserve"> PAGEREF _Toc44601755 \h </w:instrText>
        </w:r>
        <w:r w:rsidR="003776AB">
          <w:rPr>
            <w:webHidden/>
          </w:rPr>
        </w:r>
        <w:r w:rsidR="003776AB">
          <w:rPr>
            <w:webHidden/>
          </w:rPr>
          <w:fldChar w:fldCharType="separate"/>
        </w:r>
        <w:r w:rsidR="00996BB1">
          <w:rPr>
            <w:webHidden/>
          </w:rPr>
          <w:t>84</w:t>
        </w:r>
        <w:r w:rsidR="003776AB">
          <w:rPr>
            <w:webHidden/>
          </w:rPr>
          <w:fldChar w:fldCharType="end"/>
        </w:r>
      </w:hyperlink>
    </w:p>
    <w:p w14:paraId="0E2F2075" w14:textId="718B872D" w:rsidR="003776AB" w:rsidRDefault="00942EE9">
      <w:pPr>
        <w:pStyle w:val="TableofFigures"/>
        <w:rPr>
          <w:rFonts w:asciiTheme="minorHAnsi" w:hAnsiTheme="minorHAnsi" w:cstheme="minorBidi"/>
          <w:sz w:val="22"/>
          <w:szCs w:val="22"/>
        </w:rPr>
      </w:pPr>
      <w:hyperlink w:anchor="_Toc44601756" w:history="1">
        <w:r w:rsidR="003776AB" w:rsidRPr="005E6433">
          <w:rPr>
            <w:rStyle w:val="Hyperlink"/>
          </w:rPr>
          <w:t>Table 12</w:t>
        </w:r>
        <w:r w:rsidR="003776AB">
          <w:rPr>
            <w:rFonts w:asciiTheme="minorHAnsi" w:hAnsiTheme="minorHAnsi" w:cstheme="minorBidi"/>
            <w:sz w:val="22"/>
            <w:szCs w:val="22"/>
          </w:rPr>
          <w:tab/>
        </w:r>
        <w:r w:rsidR="003776AB" w:rsidRPr="005E6433">
          <w:rPr>
            <w:rStyle w:val="Hyperlink"/>
          </w:rPr>
          <w:t>Pharmacokinetic Parameters</w:t>
        </w:r>
        <w:r w:rsidR="003776AB">
          <w:rPr>
            <w:webHidden/>
          </w:rPr>
          <w:tab/>
        </w:r>
        <w:r w:rsidR="003776AB">
          <w:rPr>
            <w:webHidden/>
          </w:rPr>
          <w:fldChar w:fldCharType="begin"/>
        </w:r>
        <w:r w:rsidR="003776AB">
          <w:rPr>
            <w:webHidden/>
          </w:rPr>
          <w:instrText xml:space="preserve"> PAGEREF _Toc44601756 \h </w:instrText>
        </w:r>
        <w:r w:rsidR="003776AB">
          <w:rPr>
            <w:webHidden/>
          </w:rPr>
        </w:r>
        <w:r w:rsidR="003776AB">
          <w:rPr>
            <w:webHidden/>
          </w:rPr>
          <w:fldChar w:fldCharType="separate"/>
        </w:r>
        <w:r w:rsidR="00996BB1">
          <w:rPr>
            <w:webHidden/>
          </w:rPr>
          <w:t>86</w:t>
        </w:r>
        <w:r w:rsidR="003776AB">
          <w:rPr>
            <w:webHidden/>
          </w:rPr>
          <w:fldChar w:fldCharType="end"/>
        </w:r>
      </w:hyperlink>
    </w:p>
    <w:p w14:paraId="40FCE160" w14:textId="3EAC1B25" w:rsidR="003776AB" w:rsidRDefault="00942EE9">
      <w:pPr>
        <w:pStyle w:val="TableofFigures"/>
        <w:rPr>
          <w:rFonts w:asciiTheme="minorHAnsi" w:hAnsiTheme="minorHAnsi" w:cstheme="minorBidi"/>
          <w:sz w:val="22"/>
          <w:szCs w:val="22"/>
        </w:rPr>
      </w:pPr>
      <w:hyperlink w:anchor="_Toc44601757" w:history="1">
        <w:r w:rsidR="003776AB" w:rsidRPr="005E6433">
          <w:rPr>
            <w:rStyle w:val="Hyperlink"/>
          </w:rPr>
          <w:t>Table 13</w:t>
        </w:r>
        <w:r w:rsidR="003776AB">
          <w:rPr>
            <w:rFonts w:asciiTheme="minorHAnsi" w:hAnsiTheme="minorHAnsi" w:cstheme="minorBidi"/>
            <w:sz w:val="22"/>
            <w:szCs w:val="22"/>
          </w:rPr>
          <w:tab/>
        </w:r>
        <w:r w:rsidR="003776AB" w:rsidRPr="005E6433">
          <w:rPr>
            <w:rStyle w:val="Hyperlink"/>
          </w:rPr>
          <w:t>Analysis Set</w:t>
        </w:r>
        <w:r w:rsidR="003776AB">
          <w:rPr>
            <w:webHidden/>
          </w:rPr>
          <w:tab/>
        </w:r>
        <w:r w:rsidR="003776AB">
          <w:rPr>
            <w:webHidden/>
          </w:rPr>
          <w:fldChar w:fldCharType="begin"/>
        </w:r>
        <w:r w:rsidR="003776AB">
          <w:rPr>
            <w:webHidden/>
          </w:rPr>
          <w:instrText xml:space="preserve"> PAGEREF _Toc44601757 \h </w:instrText>
        </w:r>
        <w:r w:rsidR="003776AB">
          <w:rPr>
            <w:webHidden/>
          </w:rPr>
        </w:r>
        <w:r w:rsidR="003776AB">
          <w:rPr>
            <w:webHidden/>
          </w:rPr>
          <w:fldChar w:fldCharType="separate"/>
        </w:r>
        <w:r w:rsidR="00996BB1">
          <w:rPr>
            <w:webHidden/>
          </w:rPr>
          <w:t>90</w:t>
        </w:r>
        <w:r w:rsidR="003776AB">
          <w:rPr>
            <w:webHidden/>
          </w:rPr>
          <w:fldChar w:fldCharType="end"/>
        </w:r>
      </w:hyperlink>
    </w:p>
    <w:p w14:paraId="405EF48B" w14:textId="18108618" w:rsidR="003776AB" w:rsidRDefault="00942EE9">
      <w:pPr>
        <w:pStyle w:val="TableofFigures"/>
        <w:rPr>
          <w:rFonts w:asciiTheme="minorHAnsi" w:hAnsiTheme="minorHAnsi" w:cstheme="minorBidi"/>
          <w:sz w:val="22"/>
          <w:szCs w:val="22"/>
        </w:rPr>
      </w:pPr>
      <w:hyperlink w:anchor="_Toc44601758" w:history="1">
        <w:r w:rsidR="003776AB" w:rsidRPr="005E6433">
          <w:rPr>
            <w:rStyle w:val="Hyperlink"/>
          </w:rPr>
          <w:t>Table 14</w:t>
        </w:r>
        <w:r w:rsidR="003776AB">
          <w:rPr>
            <w:rFonts w:asciiTheme="minorHAnsi" w:hAnsiTheme="minorHAnsi" w:cstheme="minorBidi"/>
            <w:sz w:val="22"/>
            <w:szCs w:val="22"/>
          </w:rPr>
          <w:tab/>
        </w:r>
        <w:r w:rsidR="003776AB" w:rsidRPr="005E6433">
          <w:rPr>
            <w:rStyle w:val="Hyperlink"/>
          </w:rPr>
          <w:t>Efficacy Analysis</w:t>
        </w:r>
        <w:r w:rsidR="003776AB">
          <w:rPr>
            <w:webHidden/>
          </w:rPr>
          <w:tab/>
        </w:r>
        <w:r w:rsidR="003776AB">
          <w:rPr>
            <w:webHidden/>
          </w:rPr>
          <w:fldChar w:fldCharType="begin"/>
        </w:r>
        <w:r w:rsidR="003776AB">
          <w:rPr>
            <w:webHidden/>
          </w:rPr>
          <w:instrText xml:space="preserve"> PAGEREF _Toc44601758 \h </w:instrText>
        </w:r>
        <w:r w:rsidR="003776AB">
          <w:rPr>
            <w:webHidden/>
          </w:rPr>
        </w:r>
        <w:r w:rsidR="003776AB">
          <w:rPr>
            <w:webHidden/>
          </w:rPr>
          <w:fldChar w:fldCharType="separate"/>
        </w:r>
        <w:r w:rsidR="00996BB1">
          <w:rPr>
            <w:webHidden/>
          </w:rPr>
          <w:t>91</w:t>
        </w:r>
        <w:r w:rsidR="003776AB">
          <w:rPr>
            <w:webHidden/>
          </w:rPr>
          <w:fldChar w:fldCharType="end"/>
        </w:r>
      </w:hyperlink>
    </w:p>
    <w:p w14:paraId="15D85C14" w14:textId="70B5B93A" w:rsidR="003776AB" w:rsidRDefault="00942EE9">
      <w:pPr>
        <w:pStyle w:val="TableofFigures"/>
        <w:rPr>
          <w:rFonts w:asciiTheme="minorHAnsi" w:hAnsiTheme="minorHAnsi" w:cstheme="minorBidi"/>
          <w:sz w:val="22"/>
          <w:szCs w:val="22"/>
        </w:rPr>
      </w:pPr>
      <w:hyperlink w:anchor="_Toc44601759" w:history="1">
        <w:r w:rsidR="003776AB" w:rsidRPr="005E6433">
          <w:rPr>
            <w:rStyle w:val="Hyperlink"/>
          </w:rPr>
          <w:t>Table 15</w:t>
        </w:r>
        <w:r w:rsidR="003776AB">
          <w:rPr>
            <w:rFonts w:asciiTheme="minorHAnsi" w:hAnsiTheme="minorHAnsi" w:cstheme="minorBidi"/>
            <w:sz w:val="22"/>
            <w:szCs w:val="22"/>
          </w:rPr>
          <w:tab/>
        </w:r>
        <w:r w:rsidR="003776AB" w:rsidRPr="005E6433">
          <w:rPr>
            <w:rStyle w:val="Hyperlink"/>
          </w:rPr>
          <w:t>Safety Analysis</w:t>
        </w:r>
        <w:r w:rsidR="003776AB">
          <w:rPr>
            <w:webHidden/>
          </w:rPr>
          <w:tab/>
        </w:r>
        <w:r w:rsidR="003776AB">
          <w:rPr>
            <w:webHidden/>
          </w:rPr>
          <w:fldChar w:fldCharType="begin"/>
        </w:r>
        <w:r w:rsidR="003776AB">
          <w:rPr>
            <w:webHidden/>
          </w:rPr>
          <w:instrText xml:space="preserve"> PAGEREF _Toc44601759 \h </w:instrText>
        </w:r>
        <w:r w:rsidR="003776AB">
          <w:rPr>
            <w:webHidden/>
          </w:rPr>
        </w:r>
        <w:r w:rsidR="003776AB">
          <w:rPr>
            <w:webHidden/>
          </w:rPr>
          <w:fldChar w:fldCharType="separate"/>
        </w:r>
        <w:r w:rsidR="00996BB1">
          <w:rPr>
            <w:webHidden/>
          </w:rPr>
          <w:t>91</w:t>
        </w:r>
        <w:r w:rsidR="003776AB">
          <w:rPr>
            <w:webHidden/>
          </w:rPr>
          <w:fldChar w:fldCharType="end"/>
        </w:r>
      </w:hyperlink>
    </w:p>
    <w:p w14:paraId="28512E1A" w14:textId="553D8E52" w:rsidR="003776AB" w:rsidRDefault="00942EE9">
      <w:pPr>
        <w:pStyle w:val="TableofFigures"/>
        <w:rPr>
          <w:rFonts w:asciiTheme="minorHAnsi" w:hAnsiTheme="minorHAnsi" w:cstheme="minorBidi"/>
          <w:sz w:val="22"/>
          <w:szCs w:val="22"/>
        </w:rPr>
      </w:pPr>
      <w:hyperlink w:anchor="_Toc44601760" w:history="1">
        <w:r w:rsidR="003776AB" w:rsidRPr="005E6433">
          <w:rPr>
            <w:rStyle w:val="Hyperlink"/>
          </w:rPr>
          <w:t>Table 16</w:t>
        </w:r>
        <w:r w:rsidR="003776AB">
          <w:rPr>
            <w:rFonts w:asciiTheme="minorHAnsi" w:hAnsiTheme="minorHAnsi" w:cstheme="minorBidi"/>
            <w:sz w:val="22"/>
            <w:szCs w:val="22"/>
          </w:rPr>
          <w:tab/>
        </w:r>
        <w:r w:rsidR="003776AB" w:rsidRPr="005E6433">
          <w:rPr>
            <w:rStyle w:val="Hyperlink"/>
          </w:rPr>
          <w:t>Protocol-Required Clinical Laboratory Assessments</w:t>
        </w:r>
        <w:r w:rsidR="003776AB">
          <w:rPr>
            <w:webHidden/>
          </w:rPr>
          <w:tab/>
        </w:r>
        <w:r w:rsidR="003776AB">
          <w:rPr>
            <w:webHidden/>
          </w:rPr>
          <w:fldChar w:fldCharType="begin"/>
        </w:r>
        <w:r w:rsidR="003776AB">
          <w:rPr>
            <w:webHidden/>
          </w:rPr>
          <w:instrText xml:space="preserve"> PAGEREF _Toc44601760 \h </w:instrText>
        </w:r>
        <w:r w:rsidR="003776AB">
          <w:rPr>
            <w:webHidden/>
          </w:rPr>
        </w:r>
        <w:r w:rsidR="003776AB">
          <w:rPr>
            <w:webHidden/>
          </w:rPr>
          <w:fldChar w:fldCharType="separate"/>
        </w:r>
        <w:r w:rsidR="00996BB1">
          <w:rPr>
            <w:webHidden/>
          </w:rPr>
          <w:t>116</w:t>
        </w:r>
        <w:r w:rsidR="003776AB">
          <w:rPr>
            <w:webHidden/>
          </w:rPr>
          <w:fldChar w:fldCharType="end"/>
        </w:r>
      </w:hyperlink>
    </w:p>
    <w:p w14:paraId="4908F2B7" w14:textId="60156CDC" w:rsidR="00CF0D9E" w:rsidRPr="00AF1814" w:rsidRDefault="00DA3174" w:rsidP="0099601C">
      <w:pPr>
        <w:pStyle w:val="BodyText"/>
        <w:rPr>
          <w:rFonts w:ascii="TimesNewRoman,Bold" w:hAnsi="TimesNewRoman,Bold" w:cs="TimesNewRoman,Bold"/>
          <w:b/>
          <w:bCs/>
          <w:sz w:val="28"/>
          <w:szCs w:val="28"/>
          <w:lang w:eastAsia="ja-JP"/>
        </w:rPr>
      </w:pPr>
      <w:r w:rsidRPr="00AF1814">
        <w:rPr>
          <w:rFonts w:ascii="TimesNewRoman,Bold" w:hAnsi="TimesNewRoman,Bold" w:cs="TimesNewRoman,Bold"/>
          <w:b/>
          <w:bCs/>
          <w:sz w:val="28"/>
          <w:szCs w:val="28"/>
          <w:lang w:eastAsia="ja-JP"/>
        </w:rPr>
        <w:fldChar w:fldCharType="end"/>
      </w:r>
    </w:p>
    <w:p w14:paraId="7754211B" w14:textId="77777777" w:rsidR="00D03DF1" w:rsidRPr="00AF1814" w:rsidRDefault="00DA3174" w:rsidP="00D03DF1">
      <w:pPr>
        <w:pStyle w:val="Heading1unnumbered"/>
        <w:keepNext w:val="0"/>
        <w:keepLines w:val="0"/>
        <w:widowControl w:val="0"/>
        <w:tabs>
          <w:tab w:val="clear" w:pos="4716"/>
        </w:tabs>
      </w:pPr>
      <w:bookmarkStart w:id="11" w:name="_Toc36455653"/>
      <w:bookmarkStart w:id="12" w:name="_Toc44601637"/>
      <w:r w:rsidRPr="00AF1814">
        <w:t>List of Figures</w:t>
      </w:r>
      <w:bookmarkEnd w:id="11"/>
      <w:bookmarkEnd w:id="12"/>
    </w:p>
    <w:p w14:paraId="2A217A1A" w14:textId="7F94C7CE" w:rsidR="003776AB" w:rsidRDefault="00DA3174">
      <w:pPr>
        <w:pStyle w:val="TableofFigures"/>
        <w:rPr>
          <w:rFonts w:asciiTheme="minorHAnsi" w:hAnsiTheme="minorHAnsi" w:cstheme="minorBidi"/>
          <w:sz w:val="22"/>
          <w:szCs w:val="22"/>
        </w:rPr>
      </w:pPr>
      <w:r w:rsidRPr="00AF1814">
        <w:fldChar w:fldCharType="begin"/>
      </w:r>
      <w:r w:rsidRPr="00AF1814">
        <w:instrText xml:space="preserve"> TOC \h \z \c "Figure" </w:instrText>
      </w:r>
      <w:r w:rsidRPr="00AF1814">
        <w:fldChar w:fldCharType="separate"/>
      </w:r>
      <w:hyperlink w:anchor="_Toc44601761" w:history="1">
        <w:r w:rsidR="003776AB" w:rsidRPr="00F75DE9">
          <w:rPr>
            <w:rStyle w:val="Hyperlink"/>
          </w:rPr>
          <w:t>Figure 1</w:t>
        </w:r>
        <w:r w:rsidR="003776AB">
          <w:rPr>
            <w:rFonts w:asciiTheme="minorHAnsi" w:hAnsiTheme="minorHAnsi" w:cstheme="minorBidi"/>
            <w:sz w:val="22"/>
            <w:szCs w:val="22"/>
          </w:rPr>
          <w:tab/>
        </w:r>
        <w:r w:rsidR="003776AB" w:rsidRPr="00F75DE9">
          <w:rPr>
            <w:rStyle w:val="Hyperlink"/>
          </w:rPr>
          <w:t>Study Schema</w:t>
        </w:r>
        <w:r w:rsidR="003776AB">
          <w:rPr>
            <w:webHidden/>
          </w:rPr>
          <w:tab/>
        </w:r>
        <w:r w:rsidR="003776AB">
          <w:rPr>
            <w:webHidden/>
          </w:rPr>
          <w:fldChar w:fldCharType="begin"/>
        </w:r>
        <w:r w:rsidR="003776AB">
          <w:rPr>
            <w:webHidden/>
          </w:rPr>
          <w:instrText xml:space="preserve"> PAGEREF _Toc44601761 \h </w:instrText>
        </w:r>
        <w:r w:rsidR="003776AB">
          <w:rPr>
            <w:webHidden/>
          </w:rPr>
        </w:r>
        <w:r w:rsidR="003776AB">
          <w:rPr>
            <w:webHidden/>
          </w:rPr>
          <w:fldChar w:fldCharType="separate"/>
        </w:r>
        <w:r w:rsidR="00996BB1">
          <w:rPr>
            <w:webHidden/>
          </w:rPr>
          <w:t>12</w:t>
        </w:r>
        <w:r w:rsidR="003776AB">
          <w:rPr>
            <w:webHidden/>
          </w:rPr>
          <w:fldChar w:fldCharType="end"/>
        </w:r>
      </w:hyperlink>
    </w:p>
    <w:p w14:paraId="63F30F86" w14:textId="109E75FF" w:rsidR="00D03DF1" w:rsidRPr="00AF1814" w:rsidRDefault="00DA3174" w:rsidP="00D03DF1">
      <w:pPr>
        <w:pStyle w:val="BodyText"/>
      </w:pPr>
      <w:r w:rsidRPr="00AF1814">
        <w:fldChar w:fldCharType="end"/>
      </w:r>
    </w:p>
    <w:p w14:paraId="7EA783FB" w14:textId="77777777" w:rsidR="00BA43ED" w:rsidRPr="00AF1814" w:rsidRDefault="00DA3174" w:rsidP="00392AF9">
      <w:pPr>
        <w:pStyle w:val="Heading1"/>
        <w:pageBreakBefore/>
        <w:tabs>
          <w:tab w:val="clear" w:pos="4716"/>
        </w:tabs>
        <w:ind w:left="1980" w:hanging="1980"/>
      </w:pPr>
      <w:bookmarkStart w:id="13" w:name="_Toc44601638"/>
      <w:r w:rsidRPr="00AF1814">
        <w:lastRenderedPageBreak/>
        <w:t>Protocol Summary</w:t>
      </w:r>
      <w:bookmarkEnd w:id="13"/>
    </w:p>
    <w:p w14:paraId="7B7F417F" w14:textId="77777777" w:rsidR="00BA43ED" w:rsidRPr="00AF1814" w:rsidRDefault="00DA3174" w:rsidP="00DA3C57">
      <w:pPr>
        <w:pStyle w:val="Heading2"/>
        <w:ind w:left="2019" w:hanging="2019"/>
      </w:pPr>
      <w:bookmarkStart w:id="14" w:name="_Toc44601639"/>
      <w:r w:rsidRPr="00AF1814">
        <w:t>Synopsis</w:t>
      </w:r>
      <w:bookmarkEnd w:id="14"/>
    </w:p>
    <w:p w14:paraId="5C009527" w14:textId="084B4C8F" w:rsidR="00BA43ED" w:rsidRPr="00AF1814" w:rsidRDefault="00DA3174" w:rsidP="00BA43ED">
      <w:pPr>
        <w:pStyle w:val="BodyText"/>
        <w:rPr>
          <w:b/>
        </w:rPr>
      </w:pPr>
      <w:r w:rsidRPr="00AF1814">
        <w:rPr>
          <w:b/>
        </w:rPr>
        <w:t xml:space="preserve">Protocol Title: </w:t>
      </w:r>
      <w:bookmarkStart w:id="15" w:name="_Toc506469783"/>
      <w:bookmarkEnd w:id="15"/>
      <w:r w:rsidR="000C7AE9" w:rsidRPr="00AF1814">
        <w:t xml:space="preserve">Safety Study of Bintrafusp alfa in Combination with </w:t>
      </w:r>
      <w:r w:rsidR="00D56AF6">
        <w:t>Other Anti</w:t>
      </w:r>
      <w:r w:rsidR="0048637B">
        <w:noBreakHyphen/>
      </w:r>
      <w:r w:rsidR="00D56AF6">
        <w:t>cancer Therap</w:t>
      </w:r>
      <w:r w:rsidR="0048637B">
        <w:t>ies</w:t>
      </w:r>
      <w:r w:rsidR="000C7AE9" w:rsidRPr="00AF1814">
        <w:t xml:space="preserve"> in Participants with </w:t>
      </w:r>
      <w:r w:rsidR="00C420E0">
        <w:t xml:space="preserve">Locally Advanced or </w:t>
      </w:r>
      <w:r w:rsidR="000C7AE9" w:rsidRPr="00AF1814">
        <w:t>Advanced Cervical Cancer</w:t>
      </w:r>
    </w:p>
    <w:p w14:paraId="1D66E84A" w14:textId="77777777" w:rsidR="00BA43ED" w:rsidRPr="00AF1814" w:rsidRDefault="00DA3174" w:rsidP="00BA43ED">
      <w:pPr>
        <w:pStyle w:val="BodyText"/>
        <w:rPr>
          <w:b/>
        </w:rPr>
      </w:pPr>
      <w:r w:rsidRPr="00AF1814">
        <w:rPr>
          <w:b/>
        </w:rPr>
        <w:t xml:space="preserve">Short Title: </w:t>
      </w:r>
      <w:bookmarkStart w:id="16" w:name="_Toc506469784"/>
      <w:bookmarkEnd w:id="16"/>
      <w:r w:rsidR="000C7AE9" w:rsidRPr="00AF1814">
        <w:t>Ph</w:t>
      </w:r>
      <w:r w:rsidR="0073107E" w:rsidRPr="00AF1814">
        <w:t xml:space="preserve">ase </w:t>
      </w:r>
      <w:r w:rsidR="000C7AE9" w:rsidRPr="00AF1814">
        <w:t>Ib Bintrafusp alfa Combination Therapy in Cervical Cancer</w:t>
      </w:r>
    </w:p>
    <w:p w14:paraId="0FEA20AC" w14:textId="77777777" w:rsidR="00BA43ED" w:rsidRPr="00AF1814" w:rsidRDefault="00DA3174" w:rsidP="00BA43ED">
      <w:pPr>
        <w:pStyle w:val="BodyText"/>
        <w:rPr>
          <w:rFonts w:eastAsia="Calibri" w:cs="Cordia New"/>
          <w:szCs w:val="22"/>
        </w:rPr>
      </w:pPr>
      <w:r w:rsidRPr="00AF1814">
        <w:rPr>
          <w:b/>
        </w:rPr>
        <w:t xml:space="preserve">Rationale: </w:t>
      </w:r>
      <w:bookmarkStart w:id="17" w:name="_Toc506469785"/>
      <w:bookmarkEnd w:id="17"/>
    </w:p>
    <w:p w14:paraId="23F42C65" w14:textId="2F14ECBF" w:rsidR="002420B7" w:rsidRPr="00AF1814" w:rsidRDefault="00DA3174" w:rsidP="002420B7">
      <w:pPr>
        <w:pStyle w:val="BodyText"/>
        <w:rPr>
          <w:rFonts w:eastAsia="TimesNewRoman"/>
          <w:szCs w:val="24"/>
        </w:rPr>
      </w:pPr>
      <w:r w:rsidRPr="00AF1814">
        <w:t>This Phase Ib open</w:t>
      </w:r>
      <w:r w:rsidRPr="00AF1814">
        <w:noBreakHyphen/>
        <w:t>label study is to evaluate the safety and tolerability of bintrafusp alfa in combination with</w:t>
      </w:r>
      <w:r w:rsidR="004E5748" w:rsidRPr="004E5748">
        <w:t xml:space="preserve"> other anti-cancer therap</w:t>
      </w:r>
      <w:r w:rsidR="0048637B">
        <w:t>ies</w:t>
      </w:r>
      <w:r w:rsidR="004E5748" w:rsidRPr="004E5748">
        <w:t xml:space="preserve"> in participants with locally advanced or advanced cervical cancer. Bintrafusp alfa will be combined with</w:t>
      </w:r>
      <w:r w:rsidRPr="00AF1814">
        <w:t xml:space="preserve"> platinum therapy and paclitaxel with or without bevacizumab in participants with </w:t>
      </w:r>
      <w:r w:rsidR="004E5748">
        <w:t>recurrent, persistent</w:t>
      </w:r>
      <w:r w:rsidR="008D7C7A">
        <w:t>,</w:t>
      </w:r>
      <w:r w:rsidR="004E5748">
        <w:t xml:space="preserve"> or </w:t>
      </w:r>
      <w:r w:rsidRPr="00AF1814">
        <w:t xml:space="preserve">metastatic cervical cancer </w:t>
      </w:r>
      <w:r w:rsidR="004E5748">
        <w:t xml:space="preserve">(Cohort 1A and 1B) </w:t>
      </w:r>
      <w:r w:rsidRPr="00AF1814">
        <w:t xml:space="preserve">or </w:t>
      </w:r>
      <w:r w:rsidR="004E5748">
        <w:t xml:space="preserve">with </w:t>
      </w:r>
      <w:r w:rsidRPr="00AF1814">
        <w:t xml:space="preserve">platinum therapy </w:t>
      </w:r>
      <w:r w:rsidR="004E5748">
        <w:t>and definitive</w:t>
      </w:r>
      <w:r w:rsidRPr="00AF1814">
        <w:t xml:space="preserve"> radiation in participants with locally </w:t>
      </w:r>
      <w:r w:rsidRPr="00AF1814">
        <w:rPr>
          <w:rFonts w:eastAsia="TimesNewRoman"/>
          <w:szCs w:val="24"/>
        </w:rPr>
        <w:t>advanced cervical cancer</w:t>
      </w:r>
      <w:r w:rsidR="004E5748">
        <w:rPr>
          <w:rFonts w:eastAsia="TimesNewRoman"/>
          <w:szCs w:val="24"/>
        </w:rPr>
        <w:t xml:space="preserve"> (Cohort 2)</w:t>
      </w:r>
      <w:r w:rsidRPr="00AF1814">
        <w:rPr>
          <w:rFonts w:eastAsia="TimesNewRoman"/>
          <w:szCs w:val="24"/>
        </w:rPr>
        <w:t xml:space="preserve">. </w:t>
      </w:r>
      <w:r w:rsidR="004E5748" w:rsidRPr="004E5748">
        <w:rPr>
          <w:rFonts w:eastAsia="TimesNewRoman"/>
          <w:szCs w:val="24"/>
        </w:rPr>
        <w:t>Further combination regimens with other anti-cancer therap</w:t>
      </w:r>
      <w:r w:rsidR="0048637B">
        <w:rPr>
          <w:rFonts w:eastAsia="TimesNewRoman"/>
          <w:szCs w:val="24"/>
        </w:rPr>
        <w:t>ies</w:t>
      </w:r>
      <w:r w:rsidR="004E5748" w:rsidRPr="004E5748">
        <w:rPr>
          <w:rFonts w:eastAsia="TimesNewRoman"/>
          <w:szCs w:val="24"/>
        </w:rPr>
        <w:t xml:space="preserve"> may be added by protocol amendment.</w:t>
      </w:r>
    </w:p>
    <w:p w14:paraId="6957E439" w14:textId="77777777" w:rsidR="00FA74AC" w:rsidRPr="00AF1814" w:rsidRDefault="00DA3174" w:rsidP="00FA74AC">
      <w:pPr>
        <w:pStyle w:val="List1withbullet"/>
        <w:numPr>
          <w:ilvl w:val="0"/>
          <w:numId w:val="0"/>
        </w:numPr>
      </w:pPr>
      <w:r w:rsidRPr="00AF1814">
        <w:t xml:space="preserve">Bintrafusp alfa monotherapy has demonstrated </w:t>
      </w:r>
      <w:r w:rsidR="00286784" w:rsidRPr="00AF1814">
        <w:t xml:space="preserve">a </w:t>
      </w:r>
      <w:r w:rsidRPr="00AF1814">
        <w:t xml:space="preserve">manageable safety profile in close to 700 participants and promising efficacy in </w:t>
      </w:r>
      <w:r w:rsidR="0033641D" w:rsidRPr="00AF1814">
        <w:t xml:space="preserve">heavily pretreated </w:t>
      </w:r>
      <w:r w:rsidR="00BC0FFC" w:rsidRPr="00AF1814">
        <w:t>participants</w:t>
      </w:r>
      <w:r w:rsidRPr="00AF1814">
        <w:t xml:space="preserve"> with advanced cervical cancer in the Phase I </w:t>
      </w:r>
      <w:r w:rsidR="000616B1" w:rsidRPr="00AF1814">
        <w:t>S</w:t>
      </w:r>
      <w:r w:rsidRPr="00AF1814">
        <w:t>tudy EMR200647-001. In addition, the observed safety profile of the combination therapy of bintrafusp alfa with platinum therapy and pemetrexed in participants with Stage IV non</w:t>
      </w:r>
      <w:r w:rsidRPr="00AF1814">
        <w:noBreakHyphen/>
        <w:t>small cell lung cancer (Study MS200647</w:t>
      </w:r>
      <w:r w:rsidR="00C921C4" w:rsidRPr="00AF1814">
        <w:t>_</w:t>
      </w:r>
      <w:r w:rsidRPr="00AF1814">
        <w:t xml:space="preserve">0024) and combination therapy of bintrafusp alfa with gemcitabine and cisplatin in participants with first-line biliary tract cancer in a Phase II/III </w:t>
      </w:r>
      <w:r w:rsidR="00F15279" w:rsidRPr="00AF1814">
        <w:t>S</w:t>
      </w:r>
      <w:r w:rsidRPr="00AF1814">
        <w:t xml:space="preserve">tudy (MS200647_0055) did not reveal any new or increased risks compared to what can be expected from current experience, respectively, with chemotherapy and bintrafusp alfa alone. </w:t>
      </w:r>
    </w:p>
    <w:p w14:paraId="6BDB4E20" w14:textId="77777777" w:rsidR="00FA74AC" w:rsidRPr="00AF1814" w:rsidRDefault="00DA3174" w:rsidP="00FA74AC">
      <w:pPr>
        <w:pStyle w:val="BodyText"/>
      </w:pPr>
      <w:r w:rsidRPr="00AF1814">
        <w:t>Enhanced antitumor activity has been observed with bintrafusp alfa in combination with chemotherapy regimens or with fractionated, localized radiotherapy in animal models. In addition, clinical benefit for the combination of checkpoint inhibitors with chemotherapy and concomitant chemoradiation therapy (cCRT) agents has been demonstrated in various tumor types including lung, head and neck</w:t>
      </w:r>
      <w:r w:rsidR="000616B1" w:rsidRPr="00AF1814">
        <w:t>,</w:t>
      </w:r>
      <w:r w:rsidRPr="00AF1814">
        <w:t xml:space="preserve"> and renal cell carcinoma. </w:t>
      </w:r>
      <w:r w:rsidR="00286784" w:rsidRPr="00AF1814">
        <w:t>The c</w:t>
      </w:r>
      <w:r w:rsidRPr="00AF1814">
        <w:t xml:space="preserve">ombination of </w:t>
      </w:r>
      <w:r w:rsidR="00EB18DD" w:rsidRPr="00AF1814">
        <w:t xml:space="preserve">radiotherapy </w:t>
      </w:r>
      <w:r w:rsidRPr="00AF1814">
        <w:t xml:space="preserve">and immunotherapy may trigger systemic effects by eliciting significant responses in nonirradiated secondary tumors outside the </w:t>
      </w:r>
      <w:r w:rsidR="00EB18DD" w:rsidRPr="00AF1814">
        <w:t>radiotherapy</w:t>
      </w:r>
      <w:r w:rsidRPr="00AF1814">
        <w:t xml:space="preserve"> field, known as abscopal effect and therefore enhance clinical efficacy</w:t>
      </w:r>
      <w:r w:rsidR="00522C32" w:rsidRPr="00AF1814">
        <w:t>.</w:t>
      </w:r>
      <w:r w:rsidRPr="00AF1814">
        <w:t xml:space="preserve"> </w:t>
      </w:r>
    </w:p>
    <w:p w14:paraId="5750FF49" w14:textId="77777777" w:rsidR="00FA74AC" w:rsidRPr="00AF1814" w:rsidRDefault="00DA3174" w:rsidP="00FA74AC">
      <w:pPr>
        <w:pStyle w:val="BodyText"/>
      </w:pPr>
      <w:r w:rsidRPr="00AF1814">
        <w:t xml:space="preserve">Bevacizumab, a vascular endothelial growth factor inhibitor, incorporated with chemotherapy increased overall survival and response rates as compared to chemotherapy in </w:t>
      </w:r>
      <w:r w:rsidR="00BC0FFC" w:rsidRPr="00AF1814">
        <w:t>participants</w:t>
      </w:r>
      <w:r w:rsidRPr="00AF1814">
        <w:t xml:space="preserve"> with advanced cervical cancer</w:t>
      </w:r>
      <w:r w:rsidR="00522C32" w:rsidRPr="00AF1814">
        <w:t>.</w:t>
      </w:r>
      <w:r w:rsidRPr="00AF1814">
        <w:t xml:space="preserve"> </w:t>
      </w:r>
    </w:p>
    <w:p w14:paraId="595E6F75" w14:textId="24AD3EDF" w:rsidR="00E71DAA" w:rsidRPr="00AF1814" w:rsidRDefault="00DA3174" w:rsidP="00E71DAA">
      <w:pPr>
        <w:pStyle w:val="List1withbullet"/>
        <w:numPr>
          <w:ilvl w:val="0"/>
          <w:numId w:val="0"/>
        </w:numPr>
      </w:pPr>
      <w:r w:rsidRPr="00AF1814">
        <w:t xml:space="preserve">The safety and </w:t>
      </w:r>
      <w:r w:rsidR="00500752" w:rsidRPr="00AF1814">
        <w:t xml:space="preserve">preliminary </w:t>
      </w:r>
      <w:r w:rsidRPr="00AF1814">
        <w:t xml:space="preserve">efficacy data together with mechanism of action support the investigation of the safety and tolerability of bintrafusp alfa in combination with chemotherapy with or without bevacizumab in patients with </w:t>
      </w:r>
      <w:r w:rsidR="002E092A">
        <w:t>recurrent, persistent</w:t>
      </w:r>
      <w:r w:rsidR="008D7C7A">
        <w:t>,</w:t>
      </w:r>
      <w:r w:rsidR="002E092A">
        <w:t xml:space="preserve"> or</w:t>
      </w:r>
      <w:r w:rsidR="004715A2">
        <w:t xml:space="preserve"> </w:t>
      </w:r>
      <w:r w:rsidRPr="00AF1814">
        <w:t xml:space="preserve">metastatic cervical cancer or with chemoradiation followed by bintrafusp alfa </w:t>
      </w:r>
      <w:r w:rsidR="00DF255D" w:rsidRPr="00AF1814">
        <w:t>in patients with locally advanced cervical cancer</w:t>
      </w:r>
      <w:r w:rsidRPr="00AF1814">
        <w:t xml:space="preserve">. </w:t>
      </w:r>
    </w:p>
    <w:p w14:paraId="2B0CEB0C" w14:textId="77777777" w:rsidR="000661C0" w:rsidRPr="00AF1814" w:rsidRDefault="00DA3174" w:rsidP="00B512C3">
      <w:pPr>
        <w:pStyle w:val="BodyText"/>
        <w:keepNext/>
        <w:rPr>
          <w:b/>
        </w:rPr>
      </w:pPr>
      <w:r w:rsidRPr="00AF1814">
        <w:rPr>
          <w:b/>
        </w:rPr>
        <w:lastRenderedPageBreak/>
        <w:t>Objectives and Endpoints:</w:t>
      </w:r>
      <w:bookmarkStart w:id="18" w:name="_Toc506469786"/>
      <w:bookmarkEnd w:id="18"/>
    </w:p>
    <w:p w14:paraId="29A20413" w14:textId="77777777" w:rsidR="00D4439A" w:rsidRPr="00AF1814" w:rsidRDefault="00D4439A" w:rsidP="00D4439A">
      <w:pPr>
        <w:pStyle w:val="BodyText"/>
        <w:spacing w:before="60"/>
        <w:rPr>
          <w:b/>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681"/>
      </w:tblGrid>
      <w:tr w:rsidR="002108B2" w:rsidRPr="00AF1814" w14:paraId="35F77A8E" w14:textId="77777777" w:rsidTr="008E4B3E">
        <w:trPr>
          <w:tblHeader/>
        </w:trPr>
        <w:tc>
          <w:tcPr>
            <w:tcW w:w="2498" w:type="pct"/>
            <w:shd w:val="clear" w:color="auto" w:fill="auto"/>
          </w:tcPr>
          <w:p w14:paraId="47832924" w14:textId="77777777" w:rsidR="00BC7164" w:rsidRPr="00AF1814" w:rsidRDefault="00DA3174" w:rsidP="008E4B3E">
            <w:pPr>
              <w:pStyle w:val="Tableheading"/>
              <w:keepNext w:val="0"/>
              <w:keepLines w:val="0"/>
              <w:widowControl w:val="0"/>
              <w:rPr>
                <w:rFonts w:eastAsia="Calibri"/>
              </w:rPr>
            </w:pPr>
            <w:r w:rsidRPr="00AF1814">
              <w:rPr>
                <w:rFonts w:eastAsia="Calibri" w:cs="Arial"/>
                <w:szCs w:val="18"/>
              </w:rPr>
              <w:t>Objectives</w:t>
            </w:r>
          </w:p>
        </w:tc>
        <w:tc>
          <w:tcPr>
            <w:tcW w:w="2502" w:type="pct"/>
            <w:shd w:val="clear" w:color="auto" w:fill="auto"/>
          </w:tcPr>
          <w:p w14:paraId="0DCE148F" w14:textId="77777777" w:rsidR="00BC7164" w:rsidRPr="00AF1814" w:rsidRDefault="00DA3174" w:rsidP="008E4B3E">
            <w:pPr>
              <w:pStyle w:val="Tableheading"/>
              <w:keepNext w:val="0"/>
              <w:keepLines w:val="0"/>
              <w:widowControl w:val="0"/>
              <w:rPr>
                <w:rFonts w:eastAsia="Calibri"/>
              </w:rPr>
            </w:pPr>
            <w:r w:rsidRPr="00AF1814">
              <w:rPr>
                <w:rFonts w:eastAsia="Calibri" w:cs="Arial"/>
                <w:szCs w:val="18"/>
              </w:rPr>
              <w:t>Endpoints</w:t>
            </w:r>
          </w:p>
        </w:tc>
      </w:tr>
      <w:tr w:rsidR="002108B2" w:rsidRPr="00AF1814" w14:paraId="21D84DA0" w14:textId="77777777" w:rsidTr="008E4B3E">
        <w:trPr>
          <w:tblHeader/>
        </w:trPr>
        <w:tc>
          <w:tcPr>
            <w:tcW w:w="5000" w:type="pct"/>
            <w:gridSpan w:val="2"/>
            <w:shd w:val="clear" w:color="auto" w:fill="D9D9D9" w:themeFill="background1" w:themeFillShade="D9"/>
          </w:tcPr>
          <w:p w14:paraId="722573CC" w14:textId="77777777" w:rsidR="00BC7164" w:rsidRPr="00AF1814" w:rsidRDefault="00DA3174" w:rsidP="008E4B3E">
            <w:pPr>
              <w:pStyle w:val="Tabletext"/>
              <w:keepLines w:val="0"/>
              <w:widowControl w:val="0"/>
              <w:rPr>
                <w:b/>
                <w:lang w:val="en-GB"/>
              </w:rPr>
            </w:pPr>
            <w:r w:rsidRPr="00AF1814">
              <w:rPr>
                <w:rFonts w:eastAsia="Calibri"/>
                <w:b/>
              </w:rPr>
              <w:t>Primary</w:t>
            </w:r>
          </w:p>
        </w:tc>
      </w:tr>
      <w:tr w:rsidR="002108B2" w:rsidRPr="00AF1814" w14:paraId="192D92A8" w14:textId="77777777" w:rsidTr="008E4B3E">
        <w:trPr>
          <w:tblHeader/>
        </w:trPr>
        <w:tc>
          <w:tcPr>
            <w:tcW w:w="2498" w:type="pct"/>
          </w:tcPr>
          <w:p w14:paraId="2706778C" w14:textId="2551BA85" w:rsidR="002E092A" w:rsidRDefault="00DA3174" w:rsidP="002E092A">
            <w:pPr>
              <w:pStyle w:val="Tabletext"/>
              <w:keepLines w:val="0"/>
              <w:widowControl w:val="0"/>
            </w:pPr>
            <w:r w:rsidRPr="00AF1814">
              <w:t xml:space="preserve">To evaluate the safety and tolerability of bintrafusp alfa in combination with </w:t>
            </w:r>
          </w:p>
          <w:p w14:paraId="2BA4DC8F" w14:textId="38993D51" w:rsidR="002E092A" w:rsidRDefault="00DA3174" w:rsidP="002E092A">
            <w:pPr>
              <w:pStyle w:val="Tabletext"/>
              <w:keepLines w:val="0"/>
              <w:widowControl w:val="0"/>
            </w:pPr>
            <w:r w:rsidRPr="00AF1814">
              <w:t>(1) chemotherapy with or without bevacizumab in participants with</w:t>
            </w:r>
            <w:r w:rsidR="002E092A">
              <w:t xml:space="preserve"> recurrent, persistent</w:t>
            </w:r>
            <w:r w:rsidR="008D7C7A">
              <w:t>,</w:t>
            </w:r>
            <w:r w:rsidR="002E092A">
              <w:t xml:space="preserve"> or</w:t>
            </w:r>
            <w:r w:rsidRPr="00AF1814">
              <w:t xml:space="preserve"> metastatic cervical cancer or </w:t>
            </w:r>
          </w:p>
          <w:p w14:paraId="0226B7FD" w14:textId="4B6D3B0F" w:rsidR="00BC7164" w:rsidRPr="00AF1814" w:rsidRDefault="00DA3174" w:rsidP="002E092A">
            <w:pPr>
              <w:pStyle w:val="Tabletext"/>
              <w:keepLines w:val="0"/>
              <w:widowControl w:val="0"/>
            </w:pPr>
            <w:r w:rsidRPr="00AF1814">
              <w:t xml:space="preserve">(2) platinum therapy </w:t>
            </w:r>
            <w:r w:rsidR="003F5C01">
              <w:t xml:space="preserve">and definitive </w:t>
            </w:r>
            <w:r w:rsidRPr="00AF1814">
              <w:t>radiation in participants with locally advanced cervical cancer</w:t>
            </w:r>
          </w:p>
        </w:tc>
        <w:tc>
          <w:tcPr>
            <w:tcW w:w="2502" w:type="pct"/>
          </w:tcPr>
          <w:p w14:paraId="226D159E" w14:textId="77777777" w:rsidR="00BC7164" w:rsidRPr="00AF1814" w:rsidRDefault="00DA3174" w:rsidP="008E4B3E">
            <w:pPr>
              <w:pStyle w:val="Tablelist"/>
              <w:keepLines w:val="0"/>
              <w:widowControl w:val="0"/>
            </w:pPr>
            <w:r w:rsidRPr="00AF1814">
              <w:t>Occurrence of DLTs</w:t>
            </w:r>
          </w:p>
          <w:p w14:paraId="4DE3046C" w14:textId="77777777" w:rsidR="00BC7164" w:rsidRPr="00AF1814" w:rsidRDefault="00DA3174" w:rsidP="008E4B3E">
            <w:pPr>
              <w:pStyle w:val="Tablelist"/>
              <w:keepLines w:val="0"/>
              <w:widowControl w:val="0"/>
            </w:pPr>
            <w:r w:rsidRPr="00AF1814">
              <w:t>AEs</w:t>
            </w:r>
          </w:p>
        </w:tc>
      </w:tr>
      <w:tr w:rsidR="002108B2" w:rsidRPr="00AF1814" w14:paraId="6F46E84D" w14:textId="77777777" w:rsidTr="008E4B3E">
        <w:trPr>
          <w:tblHeader/>
        </w:trPr>
        <w:tc>
          <w:tcPr>
            <w:tcW w:w="5000" w:type="pct"/>
            <w:gridSpan w:val="2"/>
            <w:shd w:val="clear" w:color="auto" w:fill="D9D9D9" w:themeFill="background1" w:themeFillShade="D9"/>
          </w:tcPr>
          <w:p w14:paraId="045FEE55" w14:textId="77777777" w:rsidR="00BC7164" w:rsidRPr="00AF1814" w:rsidRDefault="00DA3174" w:rsidP="008E4B3E">
            <w:pPr>
              <w:pStyle w:val="Tabletext"/>
              <w:keepLines w:val="0"/>
              <w:widowControl w:val="0"/>
              <w:rPr>
                <w:b/>
                <w:lang w:val="en-GB"/>
              </w:rPr>
            </w:pPr>
            <w:r w:rsidRPr="00AF1814">
              <w:rPr>
                <w:rFonts w:eastAsia="Calibri"/>
                <w:b/>
              </w:rPr>
              <w:t>Secondary</w:t>
            </w:r>
          </w:p>
        </w:tc>
      </w:tr>
      <w:tr w:rsidR="002108B2" w:rsidRPr="00AF1814" w14:paraId="2D1ADB96" w14:textId="77777777" w:rsidTr="008E4B3E">
        <w:trPr>
          <w:tblHeader/>
        </w:trPr>
        <w:tc>
          <w:tcPr>
            <w:tcW w:w="2498" w:type="pct"/>
          </w:tcPr>
          <w:p w14:paraId="7CB760BE" w14:textId="387F97E0" w:rsidR="002E092A" w:rsidRDefault="00DA3174" w:rsidP="00B02C83">
            <w:pPr>
              <w:pStyle w:val="Tabletext"/>
              <w:keepLines w:val="0"/>
              <w:widowControl w:val="0"/>
            </w:pPr>
            <w:r w:rsidRPr="00AF1814">
              <w:t xml:space="preserve">To evaluate the safety and tolerability of bintrafusp alfa in combination with </w:t>
            </w:r>
          </w:p>
          <w:p w14:paraId="1FAC9C8A" w14:textId="69D2182D" w:rsidR="002E092A" w:rsidRDefault="00DA3174" w:rsidP="00B02C83">
            <w:pPr>
              <w:pStyle w:val="Tabletext"/>
              <w:keepLines w:val="0"/>
              <w:widowControl w:val="0"/>
            </w:pPr>
            <w:r w:rsidRPr="00AF1814">
              <w:t xml:space="preserve">(1) chemotherapy with or without bevacizumab in Japanese participants with </w:t>
            </w:r>
            <w:r w:rsidR="002E092A">
              <w:t>recurrent, persist</w:t>
            </w:r>
            <w:r w:rsidR="0048637B">
              <w:t>e</w:t>
            </w:r>
            <w:r w:rsidR="002E092A">
              <w:t>nt</w:t>
            </w:r>
            <w:r w:rsidR="008D7C7A">
              <w:t>,</w:t>
            </w:r>
            <w:r w:rsidR="002E092A">
              <w:t xml:space="preserve"> or </w:t>
            </w:r>
            <w:r w:rsidRPr="00AF1814">
              <w:t xml:space="preserve">metastatic cervical cancer or </w:t>
            </w:r>
          </w:p>
          <w:p w14:paraId="0E4ABF5F" w14:textId="11F235A8" w:rsidR="00B02C83" w:rsidRPr="00AF1814" w:rsidRDefault="00DA3174" w:rsidP="00B02C83">
            <w:pPr>
              <w:pStyle w:val="Tabletext"/>
              <w:keepLines w:val="0"/>
              <w:widowControl w:val="0"/>
            </w:pPr>
            <w:r w:rsidRPr="00AF1814">
              <w:t xml:space="preserve">(2) platinum therapy </w:t>
            </w:r>
            <w:r w:rsidR="003F5C01">
              <w:t>and definitive</w:t>
            </w:r>
            <w:r w:rsidRPr="00AF1814">
              <w:t xml:space="preserve"> radiation in Japanese participants with locally advanced cervical cancer</w:t>
            </w:r>
          </w:p>
        </w:tc>
        <w:tc>
          <w:tcPr>
            <w:tcW w:w="2502" w:type="pct"/>
          </w:tcPr>
          <w:p w14:paraId="649C5A7A" w14:textId="77777777" w:rsidR="00B02C83" w:rsidRPr="00AF1814" w:rsidRDefault="00DA3174" w:rsidP="00B02C83">
            <w:pPr>
              <w:pStyle w:val="Tablelist"/>
              <w:keepLines w:val="0"/>
              <w:widowControl w:val="0"/>
            </w:pPr>
            <w:r w:rsidRPr="00AF1814">
              <w:t>Occurrence of DLTs</w:t>
            </w:r>
          </w:p>
          <w:p w14:paraId="5D47F8A6" w14:textId="77777777" w:rsidR="00B02C83" w:rsidRPr="00AF1814" w:rsidRDefault="00DA3174" w:rsidP="00B02C83">
            <w:pPr>
              <w:pStyle w:val="Tablelist"/>
              <w:keepLines w:val="0"/>
              <w:widowControl w:val="0"/>
            </w:pPr>
            <w:r w:rsidRPr="00AF1814">
              <w:t>AEs</w:t>
            </w:r>
          </w:p>
        </w:tc>
      </w:tr>
      <w:tr w:rsidR="002108B2" w:rsidRPr="00AF1814" w14:paraId="1C45055D" w14:textId="77777777" w:rsidTr="008E4B3E">
        <w:trPr>
          <w:tblHeader/>
        </w:trPr>
        <w:tc>
          <w:tcPr>
            <w:tcW w:w="2498" w:type="pct"/>
          </w:tcPr>
          <w:p w14:paraId="7A66D6D1" w14:textId="14013A3D" w:rsidR="00BC7164" w:rsidRPr="00AF1814" w:rsidRDefault="00DA3174" w:rsidP="008E4B3E">
            <w:pPr>
              <w:pStyle w:val="Tabletext"/>
              <w:keepLines w:val="0"/>
              <w:widowControl w:val="0"/>
              <w:rPr>
                <w:rFonts w:ascii="Times New Roman" w:eastAsia="MS Mincho" w:hAnsi="Times New Roman"/>
                <w:sz w:val="24"/>
                <w:szCs w:val="24"/>
                <w:lang w:eastAsia="ja-JP" w:bidi="he-IL"/>
              </w:rPr>
            </w:pPr>
            <w:r w:rsidRPr="00AF1814">
              <w:t xml:space="preserve">To characterize PK profile of bintrafusp alfa </w:t>
            </w:r>
          </w:p>
        </w:tc>
        <w:tc>
          <w:tcPr>
            <w:tcW w:w="2502" w:type="pct"/>
          </w:tcPr>
          <w:p w14:paraId="564BFB26" w14:textId="77777777" w:rsidR="00BC7164" w:rsidRPr="00AF1814" w:rsidRDefault="00DA3174" w:rsidP="008E4B3E">
            <w:pPr>
              <w:pStyle w:val="Tablelist"/>
              <w:keepLines w:val="0"/>
              <w:widowControl w:val="0"/>
            </w:pPr>
            <w:r w:rsidRPr="00AF1814">
              <w:t>PK profile of bintrafusp alfa in terms of C</w:t>
            </w:r>
            <w:r w:rsidRPr="00AF1814">
              <w:rPr>
                <w:vertAlign w:val="subscript"/>
              </w:rPr>
              <w:t>eoi</w:t>
            </w:r>
            <w:r w:rsidRPr="00AF1814">
              <w:t xml:space="preserve"> and C</w:t>
            </w:r>
            <w:r w:rsidRPr="00AF1814">
              <w:rPr>
                <w:vertAlign w:val="subscript"/>
              </w:rPr>
              <w:t xml:space="preserve">trough </w:t>
            </w:r>
            <w:r w:rsidRPr="00AF1814">
              <w:rPr>
                <w:rFonts w:cs="Arial"/>
                <w:szCs w:val="18"/>
                <w:lang w:eastAsia="pt-BR"/>
              </w:rPr>
              <w:t>for all participants</w:t>
            </w:r>
            <w:r w:rsidRPr="00AF1814">
              <w:t xml:space="preserve"> throughout the treatment period</w:t>
            </w:r>
          </w:p>
          <w:p w14:paraId="3BEEB7F2" w14:textId="77777777" w:rsidR="00BC7164" w:rsidRPr="00AF1814" w:rsidRDefault="00DA3174" w:rsidP="008E4B3E">
            <w:pPr>
              <w:pStyle w:val="Tablelist"/>
              <w:keepLines w:val="0"/>
              <w:widowControl w:val="0"/>
              <w:rPr>
                <w:rFonts w:eastAsia="MS Mincho"/>
              </w:rPr>
            </w:pPr>
            <w:r w:rsidRPr="00AF1814">
              <w:t>PK profile of bintrafusp alfa in terms of AUC</w:t>
            </w:r>
            <w:r w:rsidRPr="00AF1814">
              <w:rPr>
                <w:vertAlign w:val="subscript"/>
              </w:rPr>
              <w:t>0-t</w:t>
            </w:r>
            <w:r w:rsidRPr="00AF1814">
              <w:t xml:space="preserve">, </w:t>
            </w:r>
          </w:p>
          <w:p w14:paraId="5013A245" w14:textId="77777777" w:rsidR="00BC7164" w:rsidRPr="00AF1814" w:rsidRDefault="00DA3174" w:rsidP="008E4B3E">
            <w:pPr>
              <w:pStyle w:val="Tablelist"/>
              <w:keepLines w:val="0"/>
              <w:widowControl w:val="0"/>
              <w:numPr>
                <w:ilvl w:val="0"/>
                <w:numId w:val="0"/>
              </w:numPr>
              <w:ind w:left="284"/>
              <w:rPr>
                <w:rFonts w:eastAsia="MS Mincho"/>
              </w:rPr>
            </w:pPr>
            <w:r w:rsidRPr="00AF1814">
              <w:rPr>
                <w:rFonts w:cs="Arial"/>
                <w:szCs w:val="18"/>
              </w:rPr>
              <w:t>AUC</w:t>
            </w:r>
            <w:r w:rsidRPr="00AF1814">
              <w:rPr>
                <w:rFonts w:cs="Arial"/>
                <w:szCs w:val="18"/>
                <w:vertAlign w:val="subscript"/>
              </w:rPr>
              <w:t>0-∞</w:t>
            </w:r>
            <w:r w:rsidRPr="00AF1814">
              <w:rPr>
                <w:rFonts w:cs="Arial"/>
                <w:szCs w:val="18"/>
              </w:rPr>
              <w:t>, C</w:t>
            </w:r>
            <w:r w:rsidRPr="00AF1814">
              <w:rPr>
                <w:rFonts w:cs="Arial"/>
                <w:szCs w:val="18"/>
                <w:vertAlign w:val="subscript"/>
              </w:rPr>
              <w:t>max</w:t>
            </w:r>
            <w:r w:rsidRPr="00AF1814">
              <w:rPr>
                <w:rFonts w:cs="Arial"/>
                <w:szCs w:val="18"/>
              </w:rPr>
              <w:t>, t</w:t>
            </w:r>
            <w:r w:rsidRPr="00AF1814">
              <w:rPr>
                <w:rFonts w:cs="Arial"/>
                <w:szCs w:val="18"/>
                <w:vertAlign w:val="subscript"/>
              </w:rPr>
              <w:t>max</w:t>
            </w:r>
            <w:r w:rsidRPr="00AF1814">
              <w:rPr>
                <w:rFonts w:cs="Arial"/>
                <w:szCs w:val="18"/>
              </w:rPr>
              <w:t>, and t</w:t>
            </w:r>
            <w:r w:rsidRPr="00AF1814">
              <w:rPr>
                <w:rFonts w:cs="Arial"/>
                <w:szCs w:val="18"/>
                <w:vertAlign w:val="subscript"/>
              </w:rPr>
              <w:t>½</w:t>
            </w:r>
            <w:r w:rsidRPr="00AF1814">
              <w:rPr>
                <w:rFonts w:cs="Arial"/>
                <w:szCs w:val="18"/>
              </w:rPr>
              <w:t xml:space="preserve"> in </w:t>
            </w:r>
            <w:r w:rsidR="000616B1" w:rsidRPr="00AF1814">
              <w:rPr>
                <w:rFonts w:cs="Arial"/>
                <w:szCs w:val="18"/>
              </w:rPr>
              <w:t>C</w:t>
            </w:r>
            <w:r w:rsidRPr="00AF1814">
              <w:rPr>
                <w:rFonts w:cs="Arial"/>
                <w:szCs w:val="18"/>
              </w:rPr>
              <w:t>ycle 1</w:t>
            </w:r>
          </w:p>
        </w:tc>
      </w:tr>
      <w:tr w:rsidR="002108B2" w:rsidRPr="00AF1814" w14:paraId="3D348321" w14:textId="77777777" w:rsidTr="008E4B3E">
        <w:trPr>
          <w:tblHeader/>
        </w:trPr>
        <w:tc>
          <w:tcPr>
            <w:tcW w:w="2498" w:type="pct"/>
          </w:tcPr>
          <w:p w14:paraId="1EEB8187" w14:textId="12E5D60E" w:rsidR="00BC7164" w:rsidRPr="00AF1814" w:rsidRDefault="00DA3174" w:rsidP="008E4B3E">
            <w:pPr>
              <w:pStyle w:val="Tabletext"/>
              <w:keepLines w:val="0"/>
              <w:widowControl w:val="0"/>
              <w:rPr>
                <w:rFonts w:ascii="Times New Roman" w:eastAsia="MS Mincho" w:hAnsi="Times New Roman"/>
                <w:sz w:val="24"/>
                <w:szCs w:val="24"/>
                <w:lang w:eastAsia="ja-JP" w:bidi="he-IL"/>
              </w:rPr>
            </w:pPr>
            <w:r w:rsidRPr="00AF1814">
              <w:t xml:space="preserve">To evaluate the immunogenicity of bintrafusp alfa </w:t>
            </w:r>
          </w:p>
        </w:tc>
        <w:tc>
          <w:tcPr>
            <w:tcW w:w="2502" w:type="pct"/>
          </w:tcPr>
          <w:p w14:paraId="4BD4C91F" w14:textId="77777777" w:rsidR="00BC7164" w:rsidRPr="00AF1814" w:rsidRDefault="00DA3174" w:rsidP="00D46A4B">
            <w:pPr>
              <w:pStyle w:val="Tablelist"/>
              <w:keepLines w:val="0"/>
              <w:widowControl w:val="0"/>
            </w:pPr>
            <w:r w:rsidRPr="00AF1814">
              <w:t>Immunogenicity of bintrafusp alfa, as measured by ADA assay, from Day 1 predose through the last Safety Follow-up Visit</w:t>
            </w:r>
          </w:p>
        </w:tc>
      </w:tr>
      <w:tr w:rsidR="002108B2" w:rsidRPr="00AF1814" w14:paraId="216A16B6" w14:textId="77777777" w:rsidTr="00BC01F8">
        <w:trPr>
          <w:trHeight w:val="535"/>
          <w:tblHeader/>
        </w:trPr>
        <w:tc>
          <w:tcPr>
            <w:tcW w:w="5000" w:type="pct"/>
            <w:gridSpan w:val="2"/>
          </w:tcPr>
          <w:p w14:paraId="22974CCD" w14:textId="77777777" w:rsidR="00BC7164" w:rsidRPr="00AF1814" w:rsidRDefault="00DA3174" w:rsidP="008E4B3E">
            <w:pPr>
              <w:pStyle w:val="Tablefootnote"/>
              <w:keepLines w:val="0"/>
              <w:widowControl w:val="0"/>
            </w:pPr>
            <w:r w:rsidRPr="00AF1814">
              <w:t xml:space="preserve">ADA=antidrug antibody, AE=adverse event, </w:t>
            </w:r>
            <w:r w:rsidRPr="00AF1814">
              <w:rPr>
                <w:lang w:val="en-GB"/>
              </w:rPr>
              <w:t>AUC</w:t>
            </w:r>
            <w:r w:rsidRPr="00AF1814">
              <w:rPr>
                <w:vertAlign w:val="subscript"/>
                <w:lang w:val="en-GB"/>
              </w:rPr>
              <w:t>0-t</w:t>
            </w:r>
            <w:r w:rsidRPr="00AF1814">
              <w:rPr>
                <w:lang w:val="en-GB"/>
              </w:rPr>
              <w:t>=area under the concentration-time curve (AUC) from time zero (= dosing time) to the last sampling time (t</w:t>
            </w:r>
            <w:r w:rsidRPr="00AF1814">
              <w:rPr>
                <w:vertAlign w:val="subscript"/>
                <w:lang w:val="en-GB"/>
              </w:rPr>
              <w:t>last</w:t>
            </w:r>
            <w:r w:rsidRPr="00AF1814">
              <w:rPr>
                <w:lang w:val="en-GB"/>
              </w:rPr>
              <w:t>) at which the concentration is at or above the lower limit of quantification calculated using the mixed log-linear trapezoidal rule (linear up, log down), AUC</w:t>
            </w:r>
            <w:r w:rsidRPr="00AF1814">
              <w:rPr>
                <w:vertAlign w:val="subscript"/>
                <w:lang w:val="en-GB"/>
              </w:rPr>
              <w:t>0-∞</w:t>
            </w:r>
            <w:r w:rsidRPr="00AF1814">
              <w:rPr>
                <w:lang w:val="en-GB"/>
              </w:rPr>
              <w:t>=AUC from time zero (dosing time) extrapolated to infinity, based on the predicted value for the concentration at t</w:t>
            </w:r>
            <w:r w:rsidRPr="00AF1814">
              <w:rPr>
                <w:vertAlign w:val="subscript"/>
                <w:lang w:val="en-GB"/>
              </w:rPr>
              <w:t>last</w:t>
            </w:r>
            <w:r w:rsidRPr="00AF1814">
              <w:rPr>
                <w:lang w:val="en-GB"/>
              </w:rPr>
              <w:t>, as estimated using the linear regression from λz determination, AUC</w:t>
            </w:r>
            <w:r w:rsidRPr="00AF1814">
              <w:rPr>
                <w:vertAlign w:val="subscript"/>
                <w:lang w:val="en-GB"/>
              </w:rPr>
              <w:t>0-∞</w:t>
            </w:r>
            <w:r w:rsidRPr="00AF1814">
              <w:rPr>
                <w:lang w:val="en-GB"/>
              </w:rPr>
              <w:t>=AUC</w:t>
            </w:r>
            <w:r w:rsidRPr="00AF1814">
              <w:rPr>
                <w:vertAlign w:val="subscript"/>
                <w:lang w:val="en-GB"/>
              </w:rPr>
              <w:t>0-t </w:t>
            </w:r>
            <w:r w:rsidRPr="00AF1814">
              <w:rPr>
                <w:lang w:val="en-GB"/>
              </w:rPr>
              <w:t>+ C</w:t>
            </w:r>
            <w:r w:rsidRPr="00AF1814">
              <w:rPr>
                <w:vertAlign w:val="subscript"/>
                <w:lang w:val="en-GB"/>
              </w:rPr>
              <w:t xml:space="preserve">last </w:t>
            </w:r>
            <w:r w:rsidRPr="00AF1814">
              <w:rPr>
                <w:lang w:val="en-GB"/>
              </w:rPr>
              <w:t>pred/ λz,</w:t>
            </w:r>
            <w:r w:rsidRPr="00AF1814">
              <w:t>C</w:t>
            </w:r>
            <w:r w:rsidRPr="00AF1814">
              <w:rPr>
                <w:vertAlign w:val="subscript"/>
              </w:rPr>
              <w:t>eoi</w:t>
            </w:r>
            <w:r w:rsidRPr="00AF1814">
              <w:t xml:space="preserve">=concentration immediately at the end of infusion, </w:t>
            </w:r>
            <w:r w:rsidRPr="00AF1814">
              <w:rPr>
                <w:lang w:val="en-GB"/>
              </w:rPr>
              <w:t>C</w:t>
            </w:r>
            <w:r w:rsidRPr="00AF1814">
              <w:rPr>
                <w:vertAlign w:val="subscript"/>
                <w:lang w:val="en-GB"/>
              </w:rPr>
              <w:t>max</w:t>
            </w:r>
            <w:r w:rsidRPr="00AF1814">
              <w:rPr>
                <w:lang w:val="en-GB"/>
              </w:rPr>
              <w:t xml:space="preserve">=maximum serum concentration observed postdose, </w:t>
            </w:r>
            <w:r w:rsidRPr="00AF1814">
              <w:t>C</w:t>
            </w:r>
            <w:r w:rsidRPr="00AF1814">
              <w:rPr>
                <w:vertAlign w:val="subscript"/>
              </w:rPr>
              <w:t>trough</w:t>
            </w:r>
            <w:r w:rsidRPr="00AF1814">
              <w:t>=concentration immediately before next dosing, DLT=dose</w:t>
            </w:r>
            <w:r w:rsidRPr="00AF1814">
              <w:noBreakHyphen/>
              <w:t>limiting toxicity, PK=pharmacokinetic, q3w=ever</w:t>
            </w:r>
            <w:r w:rsidR="00FB3735" w:rsidRPr="00AF1814">
              <w:t>y</w:t>
            </w:r>
            <w:r w:rsidRPr="00AF1814">
              <w:t xml:space="preserve"> 3 weeks, </w:t>
            </w:r>
            <w:r w:rsidRPr="00AF1814">
              <w:rPr>
                <w:lang w:val="en-GB"/>
              </w:rPr>
              <w:t>t</w:t>
            </w:r>
            <w:r w:rsidRPr="00AF1814">
              <w:rPr>
                <w:vertAlign w:val="subscript"/>
                <w:lang w:val="en-GB"/>
              </w:rPr>
              <w:t>max</w:t>
            </w:r>
            <w:r w:rsidRPr="00AF1814">
              <w:rPr>
                <w:lang w:val="en-GB"/>
              </w:rPr>
              <w:t>=time at which the C</w:t>
            </w:r>
            <w:r w:rsidRPr="00AF1814">
              <w:rPr>
                <w:vertAlign w:val="subscript"/>
                <w:lang w:val="en-GB"/>
              </w:rPr>
              <w:t>max</w:t>
            </w:r>
            <w:r w:rsidRPr="00AF1814">
              <w:rPr>
                <w:lang w:val="en-GB"/>
              </w:rPr>
              <w:t xml:space="preserve"> occurs</w:t>
            </w:r>
            <w:r w:rsidR="000B3832" w:rsidRPr="00AF1814">
              <w:rPr>
                <w:lang w:val="en-GB"/>
              </w:rPr>
              <w:t>,</w:t>
            </w:r>
            <w:r w:rsidRPr="00AF1814">
              <w:rPr>
                <w:lang w:val="en-GB"/>
              </w:rPr>
              <w:t xml:space="preserve"> t</w:t>
            </w:r>
            <w:r w:rsidRPr="00AF1814">
              <w:rPr>
                <w:vertAlign w:val="subscript"/>
                <w:lang w:val="en-GB"/>
              </w:rPr>
              <w:t>½</w:t>
            </w:r>
            <w:r w:rsidRPr="00AF1814">
              <w:rPr>
                <w:lang w:val="en-GB"/>
              </w:rPr>
              <w:t>=elimination half-life determined as 0.693/ λz, λz=terminal first order (elimination) rate constant.</w:t>
            </w:r>
          </w:p>
        </w:tc>
      </w:tr>
    </w:tbl>
    <w:p w14:paraId="3F7676F5" w14:textId="77777777" w:rsidR="004F480D" w:rsidRDefault="004F480D" w:rsidP="00F40300">
      <w:pPr>
        <w:pStyle w:val="BodyText"/>
        <w:spacing w:before="120" w:after="120"/>
        <w:rPr>
          <w:b/>
        </w:rPr>
      </w:pPr>
    </w:p>
    <w:p w14:paraId="636FAE20" w14:textId="2C97326E" w:rsidR="00BC01F8" w:rsidRPr="00AF1814" w:rsidRDefault="00DA3174" w:rsidP="00F40300">
      <w:pPr>
        <w:pStyle w:val="BodyText"/>
        <w:spacing w:before="120" w:after="120"/>
        <w:rPr>
          <w:b/>
        </w:rPr>
      </w:pPr>
      <w:r w:rsidRPr="00AF1814">
        <w:rPr>
          <w:b/>
        </w:rPr>
        <w:t xml:space="preserve">Overall Design: </w:t>
      </w:r>
    </w:p>
    <w:p w14:paraId="4E77F371" w14:textId="4DFFC4E8" w:rsidR="00291444" w:rsidRPr="00AF1814" w:rsidRDefault="00DA3174" w:rsidP="00BC01F8">
      <w:pPr>
        <w:pStyle w:val="BodyText"/>
      </w:pPr>
      <w:r w:rsidRPr="00AF1814">
        <w:t xml:space="preserve">This study will be conducted with Cohort 1 </w:t>
      </w:r>
      <w:r w:rsidR="00775BE8" w:rsidRPr="00AF1814">
        <w:t>(</w:t>
      </w:r>
      <w:r w:rsidR="009F1F49" w:rsidRPr="00AF1814">
        <w:t>C</w:t>
      </w:r>
      <w:r w:rsidR="00775BE8" w:rsidRPr="00AF1814">
        <w:t xml:space="preserve">ohort 1A and </w:t>
      </w:r>
      <w:r w:rsidR="009F1F49" w:rsidRPr="00AF1814">
        <w:t>C</w:t>
      </w:r>
      <w:r w:rsidR="00775BE8" w:rsidRPr="00AF1814">
        <w:t xml:space="preserve">ohort 1B) </w:t>
      </w:r>
      <w:r w:rsidRPr="00AF1814">
        <w:t xml:space="preserve">and </w:t>
      </w:r>
      <w:r w:rsidR="0048637B">
        <w:t xml:space="preserve">Cohort </w:t>
      </w:r>
      <w:r w:rsidRPr="00AF1814">
        <w:t>2 in parallel.</w:t>
      </w:r>
    </w:p>
    <w:p w14:paraId="6AC30C84" w14:textId="77777777" w:rsidR="00B97CFE" w:rsidRPr="00AF1814" w:rsidRDefault="00DA3174" w:rsidP="00BC01F8">
      <w:pPr>
        <w:pStyle w:val="BodyText"/>
      </w:pPr>
      <w:r w:rsidRPr="00AF1814">
        <w:t>The allocation of participants to Cohort 1A or Cohort 1B will be based on Investigator decision and also other factors including but not limited to study inclusion/exclusion criteria and local standard of care.</w:t>
      </w:r>
      <w:r w:rsidR="001A74DA" w:rsidRPr="00AF1814">
        <w:t xml:space="preserve"> </w:t>
      </w:r>
    </w:p>
    <w:p w14:paraId="57C41552" w14:textId="77777777" w:rsidR="00BC01F8" w:rsidRPr="00AF1814" w:rsidRDefault="00DA3174" w:rsidP="002E092A">
      <w:pPr>
        <w:pStyle w:val="BodyText"/>
        <w:keepNext/>
        <w:rPr>
          <w:b/>
          <w:u w:val="single"/>
        </w:rPr>
      </w:pPr>
      <w:r w:rsidRPr="00AF1814">
        <w:rPr>
          <w:b/>
          <w:u w:val="single"/>
        </w:rPr>
        <w:t>Cohort 1</w:t>
      </w:r>
    </w:p>
    <w:p w14:paraId="1872BDD0" w14:textId="77777777" w:rsidR="00BC01F8" w:rsidRPr="00AF1814" w:rsidRDefault="00DA3174" w:rsidP="00BC01F8">
      <w:pPr>
        <w:pStyle w:val="BodyText"/>
      </w:pPr>
      <w:r w:rsidRPr="00AF1814">
        <w:t xml:space="preserve">Participants must have primary Stage IVB, recurrent or persistent squamous cell carcinoma, adenosquamous carcinoma, or adenocarcinoma of the cervix not amenable to curative treatment with surgery and/or radiation therapy and not have been treated with systemic chemotherapy. </w:t>
      </w:r>
    </w:p>
    <w:p w14:paraId="04E891EF" w14:textId="7B4C488B" w:rsidR="00BC01F8" w:rsidRPr="00AF1814" w:rsidRDefault="00DA3174" w:rsidP="001C4B56">
      <w:pPr>
        <w:pStyle w:val="List1withbullet"/>
        <w:ind w:left="540"/>
      </w:pPr>
      <w:r w:rsidRPr="00AF1814">
        <w:lastRenderedPageBreak/>
        <w:t xml:space="preserve">Cohort 1A: 8 participants will be treated with bintrafusp alfa (2400 mg </w:t>
      </w:r>
      <w:r w:rsidR="00B67675" w:rsidRPr="00AF1814">
        <w:t>every 3 weeks</w:t>
      </w:r>
      <w:r w:rsidRPr="00AF1814">
        <w:t xml:space="preserve">) + cisplatin or carboplatin + paclitaxel + bevacizumab. </w:t>
      </w:r>
      <w:bookmarkStart w:id="19" w:name="_Hlk37591904"/>
      <w:r w:rsidR="001A56E4" w:rsidRPr="00AF1814">
        <w:t>Selection of cisplatin or carboplatin is at the Investigator discretion</w:t>
      </w:r>
      <w:bookmarkEnd w:id="19"/>
      <w:r w:rsidR="001A56E4" w:rsidRPr="00AF1814">
        <w:t>.</w:t>
      </w:r>
    </w:p>
    <w:p w14:paraId="6933283B" w14:textId="25DCB31A" w:rsidR="00C90F90" w:rsidRPr="00AF1814" w:rsidRDefault="00DA3174" w:rsidP="00C90F90">
      <w:pPr>
        <w:pStyle w:val="List1withbullet"/>
        <w:ind w:left="540"/>
      </w:pPr>
      <w:r w:rsidRPr="00AF1814">
        <w:t xml:space="preserve">Cohort 1B: 8 participants will be treated with bintrafusp alfa (2400 mg </w:t>
      </w:r>
      <w:r w:rsidR="00B67675" w:rsidRPr="00AF1814">
        <w:t>every 3 weeks</w:t>
      </w:r>
      <w:r w:rsidRPr="00AF1814">
        <w:t>) + cisplatin or carboplatin + paclitaxel.</w:t>
      </w:r>
      <w:r w:rsidR="004B1229" w:rsidRPr="00AF1814">
        <w:t xml:space="preserve"> </w:t>
      </w:r>
      <w:r w:rsidR="009F0C27" w:rsidRPr="00AF1814">
        <w:t>Selection of cisplatin or carboplatin is at the Investigator discretion</w:t>
      </w:r>
      <w:r w:rsidR="009F0C27">
        <w:t>.</w:t>
      </w:r>
    </w:p>
    <w:p w14:paraId="6A9B584A" w14:textId="2C93F3B2" w:rsidR="00C90F90" w:rsidRPr="00AF1814" w:rsidRDefault="00DA3174" w:rsidP="000D5EF3">
      <w:pPr>
        <w:pStyle w:val="List1withoutbullet"/>
        <w:ind w:left="0"/>
      </w:pPr>
      <w:r w:rsidRPr="00AF1814">
        <w:t>If the first 8 participants of each subcohort separately include fewer than 3 participants from Japan, the Sponsor may elect to continue enrollment to include 3 participants from Japan</w:t>
      </w:r>
      <w:r w:rsidR="0051658F" w:rsidRPr="00AF1814">
        <w:t xml:space="preserve"> to evaluate the safety of this combination in Japanese participants</w:t>
      </w:r>
      <w:r w:rsidRPr="00AF1814">
        <w:t xml:space="preserve">. If the first 8 participants of each subcohort separately include fewer than 3 participants from </w:t>
      </w:r>
      <w:r w:rsidR="0067264C" w:rsidRPr="00AF1814">
        <w:t>Europe</w:t>
      </w:r>
      <w:r w:rsidRPr="00AF1814">
        <w:t xml:space="preserve"> or the </w:t>
      </w:r>
      <w:r w:rsidR="0067264C" w:rsidRPr="00AF1814">
        <w:t>United States</w:t>
      </w:r>
      <w:r w:rsidRPr="00AF1814">
        <w:t xml:space="preserve">, enrollment may continue in </w:t>
      </w:r>
      <w:r w:rsidR="0067264C" w:rsidRPr="00AF1814">
        <w:t>Europe</w:t>
      </w:r>
      <w:r w:rsidRPr="00AF1814">
        <w:t xml:space="preserve"> and </w:t>
      </w:r>
      <w:r w:rsidR="000A673F" w:rsidRPr="00AF1814">
        <w:t xml:space="preserve">the </w:t>
      </w:r>
      <w:r w:rsidR="0067264C" w:rsidRPr="00AF1814">
        <w:t>United States</w:t>
      </w:r>
      <w:r w:rsidRPr="00AF1814">
        <w:t xml:space="preserve"> to include at least 3 participants from any of these countries.</w:t>
      </w:r>
    </w:p>
    <w:p w14:paraId="64970E8F" w14:textId="77777777" w:rsidR="00BC01F8" w:rsidRPr="00AF1814" w:rsidRDefault="00DA3174" w:rsidP="002420B7">
      <w:pPr>
        <w:pStyle w:val="BodyText"/>
        <w:keepNext/>
        <w:widowControl w:val="0"/>
        <w:rPr>
          <w:b/>
          <w:u w:val="single"/>
        </w:rPr>
      </w:pPr>
      <w:r w:rsidRPr="00AF1814">
        <w:rPr>
          <w:b/>
          <w:u w:val="single"/>
        </w:rPr>
        <w:t xml:space="preserve">Cohort 2: </w:t>
      </w:r>
    </w:p>
    <w:p w14:paraId="12167193" w14:textId="42F8C077" w:rsidR="00536270" w:rsidRPr="00AF1814" w:rsidRDefault="00DA3174" w:rsidP="00BC01F8">
      <w:pPr>
        <w:pStyle w:val="BodyText"/>
      </w:pPr>
      <w:r w:rsidRPr="00AF1814">
        <w:t xml:space="preserve">Participants with locally advanced cervical cancer will be treated with bintrafusp alfa (2400 mg </w:t>
      </w:r>
      <w:r w:rsidR="00B67675" w:rsidRPr="00AF1814">
        <w:t>every 3 weeks</w:t>
      </w:r>
      <w:r w:rsidRPr="00AF1814">
        <w:t xml:space="preserve">) combined with </w:t>
      </w:r>
      <w:r w:rsidR="002D5CE2">
        <w:t xml:space="preserve">definitive </w:t>
      </w:r>
      <w:r w:rsidRPr="00AF1814">
        <w:t xml:space="preserve">radiation and radiation-sensitizing platinum therapy (cisplatin) during cCRT, followed by maintenance with bintrafusp alfa monotherapy (2400 mg </w:t>
      </w:r>
      <w:r w:rsidR="00B67675" w:rsidRPr="00AF1814">
        <w:t>every 3 weeks</w:t>
      </w:r>
      <w:r w:rsidRPr="00AF1814">
        <w:t xml:space="preserve">). </w:t>
      </w:r>
    </w:p>
    <w:p w14:paraId="020FBDEB" w14:textId="6F7099F5" w:rsidR="00BC01F8" w:rsidRPr="00AF1814" w:rsidRDefault="00DA3174" w:rsidP="00BC01F8">
      <w:pPr>
        <w:pStyle w:val="BodyText"/>
      </w:pPr>
      <w:r w:rsidRPr="00AF1814">
        <w:t xml:space="preserve">If the first 8 participants include fewer than 3 participants from Japan, enrollment </w:t>
      </w:r>
      <w:r w:rsidR="00C90F90" w:rsidRPr="00AF1814">
        <w:t xml:space="preserve">may </w:t>
      </w:r>
      <w:r w:rsidRPr="00AF1814">
        <w:t>continue in Japan to include at least 3 participants from Japan</w:t>
      </w:r>
      <w:r w:rsidR="00E82D69" w:rsidRPr="00AF1814">
        <w:t xml:space="preserve"> to evaluate the safety of this combination in Japanese participants</w:t>
      </w:r>
      <w:r w:rsidRPr="00AF1814">
        <w:t>.</w:t>
      </w:r>
      <w:r w:rsidR="00C90F90" w:rsidRPr="00AF1814">
        <w:t xml:space="preserve"> If the first 8 participants of this cohort include fewer than 3 participants from </w:t>
      </w:r>
      <w:r w:rsidR="007D4CCC" w:rsidRPr="00AF1814">
        <w:t>Europe</w:t>
      </w:r>
      <w:r w:rsidR="00C90F90" w:rsidRPr="00AF1814">
        <w:t xml:space="preserve"> or the </w:t>
      </w:r>
      <w:r w:rsidR="007D4CCC" w:rsidRPr="00AF1814">
        <w:t>United States</w:t>
      </w:r>
      <w:r w:rsidR="00C90F90" w:rsidRPr="00AF1814">
        <w:t>, enrollment may continue in E</w:t>
      </w:r>
      <w:r w:rsidR="007D4CCC" w:rsidRPr="00AF1814">
        <w:t>urope</w:t>
      </w:r>
      <w:r w:rsidR="00C90F90" w:rsidRPr="00AF1814">
        <w:t xml:space="preserve"> and </w:t>
      </w:r>
      <w:r w:rsidR="000A673F" w:rsidRPr="00AF1814">
        <w:t xml:space="preserve">the </w:t>
      </w:r>
      <w:r w:rsidR="007D4CCC" w:rsidRPr="00AF1814">
        <w:t>United States</w:t>
      </w:r>
      <w:r w:rsidR="00C90F90" w:rsidRPr="00AF1814">
        <w:t xml:space="preserve"> to include at least 3 participants from any of these countries.</w:t>
      </w:r>
    </w:p>
    <w:p w14:paraId="30F5859D" w14:textId="77777777" w:rsidR="00525278" w:rsidRPr="00AF1814" w:rsidRDefault="00DA3174" w:rsidP="00525278">
      <w:pPr>
        <w:pStyle w:val="BodyText"/>
      </w:pPr>
      <w:r w:rsidRPr="00AF1814">
        <w:rPr>
          <w:b/>
        </w:rPr>
        <w:t xml:space="preserve">Disclosure Statement: </w:t>
      </w:r>
      <w:r w:rsidRPr="00AF1814">
        <w:t xml:space="preserve">This is a non-randomized, non-blinded study </w:t>
      </w:r>
      <w:r w:rsidR="008F283E" w:rsidRPr="00AF1814">
        <w:t>conducted with Cohorts 1 (Cohort 1A and Cohort 1B) and 2</w:t>
      </w:r>
      <w:r w:rsidRPr="00AF1814">
        <w:t>.</w:t>
      </w:r>
    </w:p>
    <w:p w14:paraId="56139614" w14:textId="77777777" w:rsidR="00F40300" w:rsidRPr="00AF1814" w:rsidRDefault="00DA3174" w:rsidP="00525278">
      <w:pPr>
        <w:pStyle w:val="BodyText"/>
        <w:rPr>
          <w:b/>
        </w:rPr>
      </w:pPr>
      <w:r w:rsidRPr="00AF1814">
        <w:rPr>
          <w:b/>
        </w:rPr>
        <w:t xml:space="preserve">Number of Arms: </w:t>
      </w:r>
      <w:r w:rsidR="00D03DF1" w:rsidRPr="00AF1814">
        <w:t>3 cohorts</w:t>
      </w:r>
      <w:r w:rsidR="00CA6839" w:rsidRPr="00AF1814">
        <w:t xml:space="preserve"> (1A, 1B</w:t>
      </w:r>
      <w:r w:rsidR="005322D7" w:rsidRPr="00AF1814">
        <w:t>,</w:t>
      </w:r>
      <w:r w:rsidR="00CA6839" w:rsidRPr="00AF1814">
        <w:t xml:space="preserve"> and 2)</w:t>
      </w:r>
    </w:p>
    <w:p w14:paraId="48715708" w14:textId="77777777" w:rsidR="00F40300" w:rsidRPr="00AF1814" w:rsidRDefault="00DA3174" w:rsidP="00525278">
      <w:pPr>
        <w:pStyle w:val="BodyText"/>
        <w:rPr>
          <w:b/>
        </w:rPr>
      </w:pPr>
      <w:r w:rsidRPr="00AF1814">
        <w:rPr>
          <w:b/>
        </w:rPr>
        <w:t xml:space="preserve">Blinding: </w:t>
      </w:r>
      <w:r w:rsidRPr="00AF1814">
        <w:t>No blinding</w:t>
      </w:r>
    </w:p>
    <w:p w14:paraId="3F24989C" w14:textId="77777777" w:rsidR="00D03DF1" w:rsidRPr="00AF1814" w:rsidRDefault="00DA3174" w:rsidP="00BA43ED">
      <w:pPr>
        <w:pStyle w:val="BodyText"/>
        <w:rPr>
          <w:b/>
        </w:rPr>
      </w:pPr>
      <w:bookmarkStart w:id="20" w:name="_Hlk42540838"/>
      <w:r w:rsidRPr="00AF1814">
        <w:rPr>
          <w:b/>
        </w:rPr>
        <w:t>Number of Participants:</w:t>
      </w:r>
    </w:p>
    <w:p w14:paraId="4F886DD1" w14:textId="0B3AAF85" w:rsidR="00F01D94" w:rsidRDefault="00DA3174" w:rsidP="00D03DF1">
      <w:pPr>
        <w:pStyle w:val="BodyText"/>
      </w:pPr>
      <w:r w:rsidRPr="00AF1814">
        <w:t>In total, approximately</w:t>
      </w:r>
      <w:r w:rsidR="00B26731" w:rsidRPr="00AF1814">
        <w:t xml:space="preserve"> </w:t>
      </w:r>
      <w:r w:rsidRPr="00AF1814">
        <w:t>24 participants will be enrolled in this study.</w:t>
      </w:r>
      <w:r w:rsidR="005C72C6">
        <w:t xml:space="preserve"> </w:t>
      </w:r>
      <w:r w:rsidRPr="00AF1814">
        <w:t>For each of the cohorts (1A, 1B</w:t>
      </w:r>
      <w:r w:rsidR="005322D7" w:rsidRPr="00AF1814">
        <w:t>,</w:t>
      </w:r>
      <w:r w:rsidRPr="00AF1814">
        <w:t xml:space="preserve"> and 2), </w:t>
      </w:r>
      <w:r w:rsidR="00630509" w:rsidRPr="00AF1814">
        <w:t xml:space="preserve">at least </w:t>
      </w:r>
      <w:r w:rsidRPr="00AF1814">
        <w:t xml:space="preserve">8 participants will be enrolled to evaluate the safety of each combination treatment. </w:t>
      </w:r>
    </w:p>
    <w:p w14:paraId="5865B6EC" w14:textId="401D0507" w:rsidR="008E4B3E" w:rsidRPr="00AF1814" w:rsidRDefault="00DA3174" w:rsidP="00D03DF1">
      <w:pPr>
        <w:pStyle w:val="BodyText"/>
      </w:pPr>
      <w:r w:rsidRPr="00AF1814">
        <w:t xml:space="preserve">The </w:t>
      </w:r>
      <w:r w:rsidR="0053684B" w:rsidRPr="00AF1814">
        <w:t>Safety Monitoring Committee (</w:t>
      </w:r>
      <w:r w:rsidRPr="00AF1814">
        <w:t>SMC</w:t>
      </w:r>
      <w:r w:rsidR="0053684B" w:rsidRPr="00AF1814">
        <w:t>)</w:t>
      </w:r>
      <w:r w:rsidRPr="00AF1814">
        <w:t xml:space="preserve"> will evaluate the safety in each cohort separately after the</w:t>
      </w:r>
      <w:r w:rsidRPr="00AF1814">
        <w:rPr>
          <w:vertAlign w:val="superscript"/>
        </w:rPr>
        <w:t xml:space="preserve"> </w:t>
      </w:r>
      <w:r w:rsidR="00F01D94">
        <w:t>3</w:t>
      </w:r>
      <w:r w:rsidR="00F01D94" w:rsidRPr="00F01D94">
        <w:rPr>
          <w:vertAlign w:val="superscript"/>
        </w:rPr>
        <w:t>rd</w:t>
      </w:r>
      <w:r w:rsidR="00F01D94">
        <w:t xml:space="preserve"> and after the </w:t>
      </w:r>
      <w:r w:rsidR="00B53CFD" w:rsidRPr="00AF1814">
        <w:t>8</w:t>
      </w:r>
      <w:r w:rsidR="00B53CFD" w:rsidRPr="00AF1814">
        <w:rPr>
          <w:vertAlign w:val="superscript"/>
        </w:rPr>
        <w:t>th</w:t>
      </w:r>
      <w:r w:rsidRPr="00AF1814">
        <w:t xml:space="preserve"> </w:t>
      </w:r>
      <w:r w:rsidR="003B4894" w:rsidRPr="00AF1814">
        <w:t xml:space="preserve">evaluable </w:t>
      </w:r>
      <w:r w:rsidRPr="00AF1814">
        <w:t>participant completes the respective</w:t>
      </w:r>
      <w:r w:rsidR="0053684B" w:rsidRPr="00AF1814">
        <w:t xml:space="preserve"> dose</w:t>
      </w:r>
      <w:r w:rsidR="0053684B" w:rsidRPr="00AF1814">
        <w:noBreakHyphen/>
        <w:t>limiting toxicity</w:t>
      </w:r>
      <w:r w:rsidRPr="00AF1814">
        <w:t xml:space="preserve"> </w:t>
      </w:r>
      <w:r w:rsidR="0053684B" w:rsidRPr="00AF1814">
        <w:t>(</w:t>
      </w:r>
      <w:r w:rsidRPr="00AF1814">
        <w:t>DLT</w:t>
      </w:r>
      <w:r w:rsidR="0053684B" w:rsidRPr="00AF1814">
        <w:t>)</w:t>
      </w:r>
      <w:r w:rsidRPr="00AF1814">
        <w:t xml:space="preserve"> period. </w:t>
      </w:r>
      <w:r w:rsidR="00EA524A" w:rsidRPr="00AF1814">
        <w:t xml:space="preserve">In the case more participants are included and complete the DLT period as per enrollment, all the participants will continue to be evaluated by the SMC, if required. </w:t>
      </w:r>
      <w:r w:rsidRPr="00AF1814">
        <w:t xml:space="preserve">In addition, </w:t>
      </w:r>
      <w:r w:rsidR="00286784" w:rsidRPr="00AF1814">
        <w:t xml:space="preserve">the </w:t>
      </w:r>
      <w:r w:rsidRPr="00AF1814">
        <w:t xml:space="preserve">SMC will evaluate the safety from all participants as needed. </w:t>
      </w:r>
    </w:p>
    <w:p w14:paraId="51277172" w14:textId="61AA5188" w:rsidR="00D03DF1" w:rsidRPr="00AF1814" w:rsidRDefault="00DA3174" w:rsidP="00D03DF1">
      <w:pPr>
        <w:pStyle w:val="BodyText"/>
      </w:pPr>
      <w:r w:rsidRPr="00AF1814">
        <w:lastRenderedPageBreak/>
        <w:t xml:space="preserve">During the </w:t>
      </w:r>
      <w:r w:rsidR="006A7072" w:rsidRPr="00AF1814">
        <w:t xml:space="preserve">DLT </w:t>
      </w:r>
      <w:r w:rsidRPr="00AF1814">
        <w:t xml:space="preserve">observation period, in the event a participant discontinues for reasons other than </w:t>
      </w:r>
      <w:r w:rsidR="00922578" w:rsidRPr="00AF1814">
        <w:t>adverse events (AE)</w:t>
      </w:r>
      <w:r w:rsidR="009C67FC">
        <w:t xml:space="preserve"> or is otherwise non-evaluable</w:t>
      </w:r>
      <w:r w:rsidRPr="00AF1814">
        <w:t xml:space="preserve">, the Sponsor </w:t>
      </w:r>
      <w:r w:rsidR="00C5422C" w:rsidRPr="00AF1814">
        <w:t xml:space="preserve">may </w:t>
      </w:r>
      <w:r w:rsidRPr="00AF1814">
        <w:t xml:space="preserve">elect to </w:t>
      </w:r>
      <w:r w:rsidR="00C5422C" w:rsidRPr="00AF1814">
        <w:t>add</w:t>
      </w:r>
      <w:r w:rsidR="00AD3D55" w:rsidRPr="00AF1814">
        <w:t xml:space="preserve"> </w:t>
      </w:r>
      <w:r w:rsidR="0048637B">
        <w:t xml:space="preserve">an </w:t>
      </w:r>
      <w:r w:rsidR="00AD3D55" w:rsidRPr="00AF1814">
        <w:t>additional</w:t>
      </w:r>
      <w:r w:rsidR="00A46547" w:rsidRPr="00AF1814">
        <w:t xml:space="preserve"> </w:t>
      </w:r>
      <w:r w:rsidRPr="00AF1814">
        <w:t>participant.</w:t>
      </w:r>
    </w:p>
    <w:p w14:paraId="713809F6" w14:textId="77777777" w:rsidR="00283BF6" w:rsidRPr="00AF1814" w:rsidRDefault="00DA3174" w:rsidP="0051658F">
      <w:pPr>
        <w:pStyle w:val="BodyText"/>
        <w:keepNext/>
        <w:rPr>
          <w:b/>
        </w:rPr>
      </w:pPr>
      <w:bookmarkStart w:id="21" w:name="_Toc506469788"/>
      <w:bookmarkEnd w:id="21"/>
      <w:r w:rsidRPr="00AF1814">
        <w:rPr>
          <w:b/>
        </w:rPr>
        <w:t xml:space="preserve">Study Intervention Groups and Duration: </w:t>
      </w:r>
    </w:p>
    <w:bookmarkEnd w:id="20"/>
    <w:p w14:paraId="0DE3239F" w14:textId="77777777" w:rsidR="00283BF6" w:rsidRPr="00AF1814" w:rsidRDefault="00DA3174" w:rsidP="00283BF6">
      <w:pPr>
        <w:pStyle w:val="BodyText"/>
      </w:pPr>
      <w:r w:rsidRPr="00AF1814">
        <w:t>The study includes:</w:t>
      </w:r>
    </w:p>
    <w:p w14:paraId="5DDA4AF9" w14:textId="77777777" w:rsidR="00283BF6" w:rsidRPr="00AF1814" w:rsidRDefault="00DA3174" w:rsidP="00283BF6">
      <w:pPr>
        <w:pStyle w:val="List1withbullet"/>
      </w:pPr>
      <w:r w:rsidRPr="00AF1814">
        <w:t>Up to 28</w:t>
      </w:r>
      <w:r w:rsidRPr="00AF1814">
        <w:noBreakHyphen/>
        <w:t xml:space="preserve">day Screening period. </w:t>
      </w:r>
    </w:p>
    <w:p w14:paraId="1A7B25D9" w14:textId="77777777" w:rsidR="00283BF6" w:rsidRPr="00AF1814" w:rsidRDefault="00DA3174" w:rsidP="00F15279">
      <w:pPr>
        <w:pStyle w:val="List1withbullet"/>
      </w:pPr>
      <w:r w:rsidRPr="00AF1814">
        <w:t xml:space="preserve">The DLT observation period of 4 weeks from the </w:t>
      </w:r>
      <w:r w:rsidR="00BB73A4" w:rsidRPr="00AF1814">
        <w:t>Week 1, Day 1 (</w:t>
      </w:r>
      <w:r w:rsidRPr="00AF1814">
        <w:t>W1D1</w:t>
      </w:r>
      <w:r w:rsidR="00BB73A4" w:rsidRPr="00AF1814">
        <w:t>)</w:t>
      </w:r>
      <w:r w:rsidRPr="00AF1814">
        <w:t xml:space="preserve"> visit for </w:t>
      </w:r>
      <w:r w:rsidR="002C1396" w:rsidRPr="00AF1814">
        <w:t xml:space="preserve">all </w:t>
      </w:r>
      <w:r w:rsidRPr="00AF1814">
        <w:t>cohorts.</w:t>
      </w:r>
    </w:p>
    <w:p w14:paraId="0167C52F" w14:textId="77777777" w:rsidR="00283BF6" w:rsidRPr="00AF1814" w:rsidRDefault="00DA3174" w:rsidP="00F15279">
      <w:pPr>
        <w:pStyle w:val="List1withbullet"/>
      </w:pPr>
      <w:r w:rsidRPr="00AF1814">
        <w:t xml:space="preserve">Treatment until </w:t>
      </w:r>
      <w:r w:rsidR="0053684B" w:rsidRPr="00AF1814">
        <w:t>progressive disease (</w:t>
      </w:r>
      <w:r w:rsidR="00D12575" w:rsidRPr="00AF1814">
        <w:t>PD</w:t>
      </w:r>
      <w:r w:rsidR="0053684B" w:rsidRPr="00AF1814">
        <w:t>)</w:t>
      </w:r>
      <w:r w:rsidR="00D12575" w:rsidRPr="00AF1814">
        <w:t xml:space="preserve"> by </w:t>
      </w:r>
      <w:r w:rsidR="00FA33FA" w:rsidRPr="00AF1814">
        <w:t>Response Evaluation Criteria in Solid Tumors Version 1.1</w:t>
      </w:r>
      <w:r w:rsidR="00D12575" w:rsidRPr="00AF1814">
        <w:t xml:space="preserve"> and subsequent confirmation</w:t>
      </w:r>
      <w:r w:rsidRPr="00AF1814">
        <w:t xml:space="preserve"> (at the next imaging visit at least 28 days after the detection of PD) unacceptable toxicity, study withdrawal, or death. </w:t>
      </w:r>
    </w:p>
    <w:p w14:paraId="05045D44" w14:textId="77777777" w:rsidR="00283BF6" w:rsidRPr="00AF1814" w:rsidRDefault="00DA3174" w:rsidP="00F15279">
      <w:pPr>
        <w:pStyle w:val="List1withbullet"/>
      </w:pPr>
      <w:r w:rsidRPr="00AF1814">
        <w:t xml:space="preserve">In case of PD, treatment may continue if the participant’s </w:t>
      </w:r>
      <w:r w:rsidR="00CB2ED3" w:rsidRPr="00AF1814">
        <w:t>Eastern Cooperative Oncology Group P</w:t>
      </w:r>
      <w:r w:rsidRPr="00AF1814">
        <w:t xml:space="preserve">erformance </w:t>
      </w:r>
      <w:r w:rsidR="00CB2ED3" w:rsidRPr="00AF1814">
        <w:t>S</w:t>
      </w:r>
      <w:r w:rsidRPr="00AF1814">
        <w:t xml:space="preserve">tatus has remained at least stable, </w:t>
      </w:r>
      <w:r w:rsidR="00680CE0" w:rsidRPr="00AF1814">
        <w:t xml:space="preserve">and if </w:t>
      </w:r>
      <w:r w:rsidRPr="00AF1814">
        <w:t>in the opinion of the Investigator, the participant will benefit from continued treatment, and if other criteria are fulfilled as outlined in the protocol.</w:t>
      </w:r>
    </w:p>
    <w:p w14:paraId="137AAE3B" w14:textId="77777777" w:rsidR="00283BF6" w:rsidRPr="00AF1814" w:rsidRDefault="00DA3174" w:rsidP="00F15279">
      <w:pPr>
        <w:pStyle w:val="List1withbullet"/>
      </w:pPr>
      <w:r w:rsidRPr="00AF1814">
        <w:t xml:space="preserve">Cohort 1 participants will continue chemotherapy until </w:t>
      </w:r>
      <w:r w:rsidR="00FA33FA" w:rsidRPr="00AF1814">
        <w:t>complete response (</w:t>
      </w:r>
      <w:r w:rsidRPr="00AF1814">
        <w:t>CR</w:t>
      </w:r>
      <w:r w:rsidR="00FA33FA" w:rsidRPr="00AF1814">
        <w:t>)</w:t>
      </w:r>
      <w:r w:rsidRPr="00AF1814">
        <w:t xml:space="preserve"> </w:t>
      </w:r>
      <w:r w:rsidR="005D53BD" w:rsidRPr="00AF1814">
        <w:t xml:space="preserve">(as clinically indicated) </w:t>
      </w:r>
      <w:r w:rsidRPr="00AF1814">
        <w:t xml:space="preserve">and/or unacceptable toxicity due to chemotherapy, after which, bintrafusp alfa </w:t>
      </w:r>
      <w:r w:rsidR="00BB73A4" w:rsidRPr="00AF1814">
        <w:t>±</w:t>
      </w:r>
      <w:r w:rsidRPr="00AF1814">
        <w:t xml:space="preserve"> bevacizumab </w:t>
      </w:r>
      <w:r w:rsidR="00E15C06" w:rsidRPr="00AF1814">
        <w:t xml:space="preserve">(depending on cohort) </w:t>
      </w:r>
      <w:r w:rsidRPr="00AF1814">
        <w:t>may be continued until 2</w:t>
      </w:r>
      <w:r w:rsidR="00BB73A4" w:rsidRPr="00AF1814">
        <w:t> </w:t>
      </w:r>
      <w:r w:rsidRPr="00AF1814">
        <w:t>years or unacceptable toxicity as indicated for bintrafusp alfa and/or bevacizumab.</w:t>
      </w:r>
      <w:r w:rsidR="00D4439A" w:rsidRPr="00AF1814">
        <w:t xml:space="preserve"> </w:t>
      </w:r>
      <w:r w:rsidRPr="00AF1814">
        <w:t xml:space="preserve">If the Investigator believes that a participant may benefit from treatment beyond </w:t>
      </w:r>
      <w:r w:rsidR="00BB73A4" w:rsidRPr="00AF1814">
        <w:t>2 years</w:t>
      </w:r>
      <w:r w:rsidRPr="00AF1814">
        <w:t xml:space="preserve">, it may be permissible to continue treatment after discussion with the Medical Monitor and the Sponsor’s Medical Responsible. </w:t>
      </w:r>
    </w:p>
    <w:p w14:paraId="647AD911" w14:textId="77777777" w:rsidR="00283BF6" w:rsidRPr="00AF1814" w:rsidRDefault="00DA3174" w:rsidP="00F15279">
      <w:pPr>
        <w:pStyle w:val="List1withbullet"/>
      </w:pPr>
      <w:r w:rsidRPr="00AF1814">
        <w:t>Cohort 2 participants should continue maintenance treatment</w:t>
      </w:r>
      <w:r w:rsidR="00E15C06" w:rsidRPr="00AF1814">
        <w:t xml:space="preserve"> (bintrafusp alfa)</w:t>
      </w:r>
      <w:r w:rsidRPr="00AF1814">
        <w:t xml:space="preserve"> for a maximum of </w:t>
      </w:r>
      <w:r w:rsidR="00BB73A4" w:rsidRPr="00AF1814">
        <w:t>2 years</w:t>
      </w:r>
      <w:r w:rsidRPr="00AF1814">
        <w:t xml:space="preserve"> (at the discretion of the Investigator). If the Investigator believes that a participant may benefit from treatment beyond </w:t>
      </w:r>
      <w:r w:rsidR="00BB73A4" w:rsidRPr="00AF1814">
        <w:t>2 years</w:t>
      </w:r>
      <w:r w:rsidRPr="00AF1814">
        <w:t>, it may be permissible to continue treatment after discussion with the Medical Monitor and the Sponsor’s Medical Responsible.</w:t>
      </w:r>
    </w:p>
    <w:p w14:paraId="57E6549F" w14:textId="656C2C40" w:rsidR="00BB73A4" w:rsidRPr="00AF1814" w:rsidRDefault="00DA3174" w:rsidP="00F15279">
      <w:pPr>
        <w:pStyle w:val="List1withbullet"/>
      </w:pPr>
      <w:r w:rsidRPr="00AF1814">
        <w:t>All participants should continue treatment until confirmed disease progression or any other discontinuation criterion is met (e.g., unacceptable toxicity, withdrawal of consent).</w:t>
      </w:r>
    </w:p>
    <w:p w14:paraId="3A4935F2" w14:textId="77777777" w:rsidR="00283BF6" w:rsidRPr="00AF1814" w:rsidRDefault="00DA3174" w:rsidP="008F435E">
      <w:pPr>
        <w:pStyle w:val="List1withbullet"/>
      </w:pPr>
      <w:r w:rsidRPr="00AF1814">
        <w:t xml:space="preserve">Safety </w:t>
      </w:r>
      <w:r w:rsidR="00ED0086" w:rsidRPr="00AF1814">
        <w:t>F</w:t>
      </w:r>
      <w:r w:rsidRPr="00AF1814">
        <w:t>ollow</w:t>
      </w:r>
      <w:r w:rsidRPr="00AF1814">
        <w:noBreakHyphen/>
        <w:t xml:space="preserve">up </w:t>
      </w:r>
      <w:r w:rsidR="00A16155" w:rsidRPr="00AF1814">
        <w:t>Visit</w:t>
      </w:r>
      <w:r w:rsidR="00012A25" w:rsidRPr="00AF1814">
        <w:t>s</w:t>
      </w:r>
      <w:r w:rsidR="00A16155" w:rsidRPr="00AF1814">
        <w:t xml:space="preserve"> </w:t>
      </w:r>
      <w:r w:rsidR="00012A25" w:rsidRPr="00AF1814">
        <w:t>are</w:t>
      </w:r>
      <w:r w:rsidR="003E10FF" w:rsidRPr="00AF1814">
        <w:t xml:space="preserve"> at 28 days </w:t>
      </w:r>
      <w:r w:rsidR="00C45661" w:rsidRPr="00AF1814">
        <w:t xml:space="preserve">(± 5 days) </w:t>
      </w:r>
      <w:r w:rsidR="003E10FF" w:rsidRPr="00AF1814">
        <w:t xml:space="preserve">and </w:t>
      </w:r>
      <w:r w:rsidRPr="00AF1814">
        <w:t xml:space="preserve">12 weeks </w:t>
      </w:r>
      <w:r w:rsidR="00C45661" w:rsidRPr="00AF1814">
        <w:t xml:space="preserve">(± 2 weeks) </w:t>
      </w:r>
      <w:r w:rsidRPr="00AF1814">
        <w:t>after the last dose of study intervention</w:t>
      </w:r>
      <w:r w:rsidR="007A2DCA" w:rsidRPr="00AF1814">
        <w:t xml:space="preserve"> </w:t>
      </w:r>
      <w:r w:rsidR="008F435E" w:rsidRPr="00AF1814">
        <w:t>according to the Schedule of Activities</w:t>
      </w:r>
      <w:r w:rsidRPr="00AF1814">
        <w:t>.</w:t>
      </w:r>
    </w:p>
    <w:p w14:paraId="25A76B1E" w14:textId="77777777" w:rsidR="00283BF6" w:rsidRPr="00AF1814" w:rsidRDefault="00DA3174" w:rsidP="008F435E">
      <w:pPr>
        <w:pStyle w:val="List1withbullet"/>
      </w:pPr>
      <w:r w:rsidRPr="00AF1814">
        <w:t>Long</w:t>
      </w:r>
      <w:r w:rsidRPr="00AF1814">
        <w:noBreakHyphen/>
        <w:t xml:space="preserve">term </w:t>
      </w:r>
      <w:r w:rsidR="00ED0086" w:rsidRPr="00AF1814">
        <w:t>F</w:t>
      </w:r>
      <w:r w:rsidRPr="00AF1814">
        <w:t xml:space="preserve">ollow-up should be performed every 12 weeks </w:t>
      </w:r>
      <w:r w:rsidR="00C45661" w:rsidRPr="00AF1814">
        <w:t xml:space="preserve">(± 2 weeks) </w:t>
      </w:r>
      <w:r w:rsidRPr="00AF1814">
        <w:t>after the Safety Follow</w:t>
      </w:r>
      <w:r w:rsidR="008D556F" w:rsidRPr="00AF1814">
        <w:noBreakHyphen/>
      </w:r>
      <w:r w:rsidRPr="00AF1814">
        <w:t>up.</w:t>
      </w:r>
    </w:p>
    <w:p w14:paraId="22C52E73" w14:textId="77777777" w:rsidR="00283BF6" w:rsidRPr="00AF1814" w:rsidRDefault="00DA3174" w:rsidP="008F435E">
      <w:pPr>
        <w:pStyle w:val="List1withbullet"/>
      </w:pPr>
      <w:r w:rsidRPr="00AF1814">
        <w:t xml:space="preserve">Survival Follow-up will continue until the end of study. After </w:t>
      </w:r>
      <w:r w:rsidR="006A6DD2" w:rsidRPr="00AF1814">
        <w:t>the</w:t>
      </w:r>
      <w:r w:rsidR="00F5693D" w:rsidRPr="00AF1814">
        <w:t xml:space="preserve"> </w:t>
      </w:r>
      <w:r w:rsidRPr="00AF1814">
        <w:t>stipulated end of study, Survival Follow-up may continue until the last participant has died or at the discretion of the Sponsor.</w:t>
      </w:r>
    </w:p>
    <w:p w14:paraId="0193AF5F" w14:textId="77777777" w:rsidR="00283BF6" w:rsidRPr="00AF1814" w:rsidRDefault="00DA3174" w:rsidP="00775BB4">
      <w:pPr>
        <w:pStyle w:val="BodyText"/>
        <w:keepNext/>
        <w:rPr>
          <w:b/>
        </w:rPr>
      </w:pPr>
      <w:bookmarkStart w:id="22" w:name="_Toc506469790"/>
      <w:bookmarkEnd w:id="22"/>
      <w:r w:rsidRPr="00AF1814">
        <w:rPr>
          <w:b/>
        </w:rPr>
        <w:lastRenderedPageBreak/>
        <w:t xml:space="preserve">Involvement of Special Committee(s): </w:t>
      </w:r>
      <w:r w:rsidRPr="00AF1814">
        <w:t>Yes</w:t>
      </w:r>
    </w:p>
    <w:p w14:paraId="19BB8ED4" w14:textId="429F8921" w:rsidR="00283BF6" w:rsidRPr="00AF1814" w:rsidRDefault="00DA3174" w:rsidP="00283BF6">
      <w:pPr>
        <w:pStyle w:val="BodyText"/>
      </w:pPr>
      <w:r w:rsidRPr="00AF1814">
        <w:t>The SMC will evaluate the safety (including DLTs) and other available data</w:t>
      </w:r>
      <w:r w:rsidR="00EB3C5F">
        <w:t xml:space="preserve">. </w:t>
      </w:r>
      <w:r w:rsidRPr="00AF1814">
        <w:t>The specific working procedures will be described in an SMC charter.</w:t>
      </w:r>
    </w:p>
    <w:p w14:paraId="4B632126" w14:textId="77777777" w:rsidR="00ED17A5" w:rsidRPr="00AF1814" w:rsidRDefault="00DA3174" w:rsidP="003612F3">
      <w:pPr>
        <w:pStyle w:val="Heading2"/>
      </w:pPr>
      <w:bookmarkStart w:id="23" w:name="_Toc44601640"/>
      <w:r w:rsidRPr="00AF1814">
        <w:t>Schema</w:t>
      </w:r>
      <w:bookmarkEnd w:id="23"/>
    </w:p>
    <w:p w14:paraId="60644D1E" w14:textId="5C91631A" w:rsidR="00145055" w:rsidRDefault="00DA3174" w:rsidP="005C72C6">
      <w:pPr>
        <w:pStyle w:val="Caption"/>
        <w:widowControl w:val="0"/>
        <w:ind w:left="2019" w:hanging="2019"/>
      </w:pPr>
      <w:bookmarkStart w:id="24" w:name="_Ref31708874"/>
      <w:bookmarkStart w:id="25" w:name="_Toc44601761"/>
      <w:r w:rsidRPr="00AF1814">
        <w:t xml:space="preserve">Figure </w:t>
      </w:r>
      <w:r w:rsidRPr="00AF1814">
        <w:fldChar w:fldCharType="begin"/>
      </w:r>
      <w:r w:rsidRPr="00AF1814">
        <w:instrText xml:space="preserve"> SEQ Figure \* ARABIC </w:instrText>
      </w:r>
      <w:r w:rsidRPr="00AF1814">
        <w:fldChar w:fldCharType="separate"/>
      </w:r>
      <w:r w:rsidR="00C548C3">
        <w:rPr>
          <w:noProof/>
        </w:rPr>
        <w:t>1</w:t>
      </w:r>
      <w:r w:rsidRPr="00AF1814">
        <w:fldChar w:fldCharType="end"/>
      </w:r>
      <w:bookmarkEnd w:id="24"/>
      <w:r w:rsidRPr="00AF1814">
        <w:tab/>
        <w:t>Study Schema</w:t>
      </w:r>
      <w:bookmarkEnd w:id="25"/>
    </w:p>
    <w:p w14:paraId="5093B7C8" w14:textId="5A60F44A" w:rsidR="0041298F" w:rsidRPr="0041298F" w:rsidRDefault="0041298F" w:rsidP="0041298F">
      <w:pPr>
        <w:pStyle w:val="BodyText"/>
      </w:pPr>
      <w:r>
        <w:rPr>
          <w:noProof/>
        </w:rPr>
        <w:drawing>
          <wp:inline distT="0" distB="0" distL="0" distR="0" wp14:anchorId="5488A7D4" wp14:editId="1E0EAFBE">
            <wp:extent cx="594487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4870" cy="2143125"/>
                    </a:xfrm>
                    <a:prstGeom prst="rect">
                      <a:avLst/>
                    </a:prstGeom>
                  </pic:spPr>
                </pic:pic>
              </a:graphicData>
            </a:graphic>
          </wp:inline>
        </w:drawing>
      </w:r>
    </w:p>
    <w:p w14:paraId="60BCE4B3" w14:textId="77777777" w:rsidR="00151BD7" w:rsidRPr="00AF1814" w:rsidRDefault="00DA3174" w:rsidP="001822E5">
      <w:pPr>
        <w:pStyle w:val="Tablefootnote"/>
        <w:keepNext/>
        <w:widowControl w:val="0"/>
        <w:jc w:val="both"/>
        <w:rPr>
          <w:vertAlign w:val="superscript"/>
        </w:rPr>
      </w:pPr>
      <w:r w:rsidRPr="00AF1814">
        <w:t>1L=</w:t>
      </w:r>
      <w:r w:rsidR="000A673F" w:rsidRPr="00AF1814">
        <w:t>f</w:t>
      </w:r>
      <w:r w:rsidRPr="00AF1814">
        <w:t>irst-line, cCRT= concomitant chemoradiation therapy, DLT=dose-limiting toxicity, PK=pharmacokinetics, q3w=every 3 weeks.</w:t>
      </w:r>
      <w:r w:rsidRPr="00AF1814">
        <w:rPr>
          <w:vertAlign w:val="superscript"/>
        </w:rPr>
        <w:t xml:space="preserve"> </w:t>
      </w:r>
    </w:p>
    <w:p w14:paraId="499E9C84" w14:textId="4D471E99" w:rsidR="0051658F" w:rsidRPr="00AF1814" w:rsidRDefault="00DA3174" w:rsidP="001822E5">
      <w:pPr>
        <w:pStyle w:val="Tablefootnote"/>
        <w:keepNext/>
        <w:widowControl w:val="0"/>
        <w:jc w:val="both"/>
      </w:pPr>
      <w:r w:rsidRPr="00AF1814">
        <w:rPr>
          <w:vertAlign w:val="superscript"/>
        </w:rPr>
        <w:t>a</w:t>
      </w:r>
      <w:r w:rsidR="00E529E6" w:rsidRPr="00AF1814">
        <w:rPr>
          <w:vertAlign w:val="superscript"/>
        </w:rPr>
        <w:t xml:space="preserve"> </w:t>
      </w:r>
      <w:r w:rsidR="001A74DA" w:rsidRPr="00AF1814">
        <w:t xml:space="preserve">For Cohort 1A and Cohort </w:t>
      </w:r>
      <w:r w:rsidRPr="00AF1814">
        <w:t>1B</w:t>
      </w:r>
      <w:r w:rsidR="001A74DA" w:rsidRPr="00AF1814">
        <w:t xml:space="preserve">, </w:t>
      </w:r>
      <w:r w:rsidR="005D2A24" w:rsidRPr="00AF1814">
        <w:t>i</w:t>
      </w:r>
      <w:r w:rsidRPr="00AF1814">
        <w:t>f the first 8 participants of each subcohort separately include fewer than 3</w:t>
      </w:r>
      <w:r w:rsidR="00536270" w:rsidRPr="00AF1814">
        <w:t> </w:t>
      </w:r>
      <w:r w:rsidRPr="00AF1814">
        <w:t xml:space="preserve">participants from Japan, the Sponsor may elect to continue enrollment to include 3 participants from Japan to evaluate the safety of this combination in Japanese participants. If the first 8 participants of each subcohort separately include fewer than 3 participants from Europe or the United States, enrollment may continue in Europe and </w:t>
      </w:r>
      <w:r w:rsidR="000A673F" w:rsidRPr="00AF1814">
        <w:t xml:space="preserve">the </w:t>
      </w:r>
      <w:r w:rsidRPr="00AF1814">
        <w:t>United States to include at least 3 participants from any of these countries.</w:t>
      </w:r>
    </w:p>
    <w:p w14:paraId="64E74699" w14:textId="5857C63F" w:rsidR="00330C95" w:rsidRPr="00AF1814" w:rsidRDefault="00DA3174" w:rsidP="001822E5">
      <w:pPr>
        <w:pStyle w:val="Tablefootnote"/>
        <w:keepNext/>
        <w:widowControl w:val="0"/>
        <w:jc w:val="both"/>
        <w:sectPr w:rsidR="00330C95" w:rsidRPr="00AF1814" w:rsidSect="006A7B0E">
          <w:headerReference w:type="default" r:id="rId12"/>
          <w:footerReference w:type="default" r:id="rId13"/>
          <w:endnotePr>
            <w:numFmt w:val="decimal"/>
          </w:endnotePr>
          <w:pgSz w:w="12242" w:h="15842" w:code="1"/>
          <w:pgMar w:top="1440" w:right="1440" w:bottom="1440" w:left="1440" w:header="720" w:footer="720" w:gutter="0"/>
          <w:cols w:space="720"/>
          <w:docGrid w:linePitch="326"/>
        </w:sectPr>
      </w:pPr>
      <w:r w:rsidRPr="00AF1814">
        <w:rPr>
          <w:vertAlign w:val="superscript"/>
        </w:rPr>
        <w:t>b</w:t>
      </w:r>
      <w:r w:rsidRPr="00AF1814">
        <w:t xml:space="preserve"> </w:t>
      </w:r>
      <w:r w:rsidR="007C7D22" w:rsidRPr="00AF1814">
        <w:t xml:space="preserve">For Cohort </w:t>
      </w:r>
      <w:r w:rsidR="00536270" w:rsidRPr="00AF1814">
        <w:t>2</w:t>
      </w:r>
      <w:r w:rsidR="007C7D22" w:rsidRPr="00AF1814">
        <w:t xml:space="preserve">, </w:t>
      </w:r>
      <w:r w:rsidR="005D2A24" w:rsidRPr="00AF1814">
        <w:t xml:space="preserve">if the first 8 participants include fewer than 3 participants from Japan, enrollment may continue in Japan to include at least 3 participants from Japan to evaluate the safety of this combination in Japanese participants. If the first 8 participants of this cohort include fewer than 3 participants from Europe or the United States, enrollment may continue in Europe and </w:t>
      </w:r>
      <w:r w:rsidR="000A673F" w:rsidRPr="00AF1814">
        <w:t xml:space="preserve">the </w:t>
      </w:r>
      <w:r w:rsidR="005D2A24" w:rsidRPr="00AF1814">
        <w:t xml:space="preserve">United States to include at least 3 participants from any of these countries. </w:t>
      </w:r>
      <w:bookmarkStart w:id="26" w:name="_Ref29303053"/>
    </w:p>
    <w:p w14:paraId="178C42D6" w14:textId="77777777" w:rsidR="006B7EF4" w:rsidRPr="00AF1814" w:rsidRDefault="00DA3174" w:rsidP="002018A0">
      <w:pPr>
        <w:pStyle w:val="Heading2"/>
        <w:keepNext w:val="0"/>
        <w:keepLines w:val="0"/>
        <w:widowControl w:val="0"/>
      </w:pPr>
      <w:bookmarkStart w:id="27" w:name="_Ref33108756"/>
      <w:bookmarkStart w:id="28" w:name="_Ref33108761"/>
      <w:bookmarkStart w:id="29" w:name="_Ref33183938"/>
      <w:bookmarkStart w:id="30" w:name="_Ref33184189"/>
      <w:bookmarkStart w:id="31" w:name="_Toc44601641"/>
      <w:r w:rsidRPr="00AF1814">
        <w:lastRenderedPageBreak/>
        <w:t>Schedule of Activities</w:t>
      </w:r>
      <w:bookmarkEnd w:id="26"/>
      <w:bookmarkEnd w:id="27"/>
      <w:bookmarkEnd w:id="28"/>
      <w:bookmarkEnd w:id="29"/>
      <w:bookmarkEnd w:id="30"/>
      <w:bookmarkEnd w:id="31"/>
    </w:p>
    <w:p w14:paraId="7AECCAC1" w14:textId="77777777" w:rsidR="00D124BD" w:rsidRPr="00AF1814" w:rsidRDefault="00DA3174" w:rsidP="002018A0">
      <w:pPr>
        <w:pStyle w:val="Heading3"/>
        <w:keepNext w:val="0"/>
        <w:keepLines w:val="0"/>
        <w:widowControl w:val="0"/>
      </w:pPr>
      <w:bookmarkStart w:id="32" w:name="_Toc44601642"/>
      <w:r w:rsidRPr="00AF1814">
        <w:t>Schedule of Activities for Cohort 1</w:t>
      </w:r>
      <w:bookmarkEnd w:id="32"/>
    </w:p>
    <w:p w14:paraId="692B4519" w14:textId="728A86FF" w:rsidR="00330C95" w:rsidRPr="000B11E5" w:rsidRDefault="00DA3174" w:rsidP="002018A0">
      <w:pPr>
        <w:pStyle w:val="BodyText"/>
        <w:widowControl w:val="0"/>
      </w:pPr>
      <w:r w:rsidRPr="00AF1814">
        <w:t>For Cohort 1</w:t>
      </w:r>
      <w:r w:rsidR="00CA6839" w:rsidRPr="00AF1814">
        <w:t xml:space="preserve"> </w:t>
      </w:r>
      <w:r w:rsidR="00CA6839" w:rsidRPr="00AF1814">
        <w:rPr>
          <w:bCs/>
        </w:rPr>
        <w:t>(Cohort 1A and</w:t>
      </w:r>
      <w:r w:rsidR="00CA6839" w:rsidRPr="00AF1814">
        <w:t xml:space="preserve"> Cohort 1B)</w:t>
      </w:r>
      <w:r w:rsidRPr="00AF1814">
        <w:t xml:space="preserve">, Schedule of </w:t>
      </w:r>
      <w:r w:rsidR="00B6596F">
        <w:t>A</w:t>
      </w:r>
      <w:r w:rsidRPr="00AF1814">
        <w:t>ctivit</w:t>
      </w:r>
      <w:r w:rsidR="009C5AC9" w:rsidRPr="00AF1814">
        <w:t>ies</w:t>
      </w:r>
      <w:r w:rsidRPr="00AF1814">
        <w:t xml:space="preserve"> are provided </w:t>
      </w:r>
      <w:r w:rsidRPr="000B11E5">
        <w:t>in</w:t>
      </w:r>
      <w:r w:rsidR="001C16A4" w:rsidRPr="000B11E5">
        <w:t xml:space="preserve"> </w:t>
      </w:r>
      <w:r w:rsidRPr="000B11E5">
        <w:fldChar w:fldCharType="begin"/>
      </w:r>
      <w:r w:rsidRPr="000B11E5">
        <w:instrText xml:space="preserve"> REF _Ref31790274 \h </w:instrText>
      </w:r>
      <w:r w:rsidR="00AF1814" w:rsidRPr="000B11E5">
        <w:instrText xml:space="preserve"> \* MERGEFORMAT </w:instrText>
      </w:r>
      <w:r w:rsidRPr="000B11E5">
        <w:fldChar w:fldCharType="separate"/>
      </w:r>
      <w:r w:rsidR="00C548C3" w:rsidRPr="000B11E5">
        <w:t xml:space="preserve">Table </w:t>
      </w:r>
      <w:r w:rsidR="00C548C3" w:rsidRPr="000B11E5">
        <w:rPr>
          <w:noProof/>
        </w:rPr>
        <w:t>1</w:t>
      </w:r>
      <w:r w:rsidRPr="000B11E5">
        <w:fldChar w:fldCharType="end"/>
      </w:r>
      <w:r w:rsidR="001C16A4" w:rsidRPr="000B11E5">
        <w:t xml:space="preserve"> (S</w:t>
      </w:r>
      <w:r w:rsidRPr="000B11E5">
        <w:t>chedule of Activities for Cohort 1</w:t>
      </w:r>
      <w:r w:rsidR="001C16A4" w:rsidRPr="000B11E5">
        <w:t xml:space="preserve">) and </w:t>
      </w:r>
      <w:r w:rsidRPr="000B11E5">
        <w:fldChar w:fldCharType="begin"/>
      </w:r>
      <w:r w:rsidRPr="000B11E5">
        <w:instrText xml:space="preserve"> REF _Ref32231920 \h </w:instrText>
      </w:r>
      <w:r w:rsidR="00AF1814" w:rsidRPr="000B11E5">
        <w:instrText xml:space="preserve"> \* MERGEFORMAT </w:instrText>
      </w:r>
      <w:r w:rsidRPr="000B11E5">
        <w:fldChar w:fldCharType="separate"/>
      </w:r>
      <w:r w:rsidR="00C548C3" w:rsidRPr="000B11E5">
        <w:t>Table</w:t>
      </w:r>
      <w:r w:rsidR="004F480D" w:rsidRPr="000B11E5">
        <w:t> </w:t>
      </w:r>
      <w:r w:rsidR="00C548C3" w:rsidRPr="000B11E5">
        <w:rPr>
          <w:noProof/>
        </w:rPr>
        <w:t>2</w:t>
      </w:r>
      <w:r w:rsidRPr="000B11E5">
        <w:fldChar w:fldCharType="end"/>
      </w:r>
      <w:r w:rsidR="001C16A4" w:rsidRPr="000B11E5">
        <w:t xml:space="preserve"> (</w:t>
      </w:r>
      <w:r w:rsidRPr="000B11E5">
        <w:t>Schedule of Activities for PK and ADA Sampling in Cohort 1</w:t>
      </w:r>
      <w:r w:rsidR="001C16A4" w:rsidRPr="000B11E5">
        <w:t>).</w:t>
      </w:r>
    </w:p>
    <w:p w14:paraId="3C06BB01" w14:textId="0D0705A6" w:rsidR="00D124BD" w:rsidRPr="000B11E5" w:rsidRDefault="00DA3174" w:rsidP="002018A0">
      <w:pPr>
        <w:pStyle w:val="Caption"/>
        <w:keepNext w:val="0"/>
        <w:keepLines w:val="0"/>
        <w:widowControl w:val="0"/>
      </w:pPr>
      <w:bookmarkStart w:id="33" w:name="_Ref31790274"/>
      <w:bookmarkStart w:id="34" w:name="_Toc44601745"/>
      <w:r w:rsidRPr="000B11E5">
        <w:t xml:space="preserve">Table </w:t>
      </w:r>
      <w:r w:rsidR="0093258F" w:rsidRPr="000B11E5">
        <w:fldChar w:fldCharType="begin"/>
      </w:r>
      <w:r w:rsidR="0093258F" w:rsidRPr="000B11E5">
        <w:instrText xml:space="preserve"> SEQ Table \* ARABIC </w:instrText>
      </w:r>
      <w:r w:rsidR="0093258F" w:rsidRPr="000B11E5">
        <w:fldChar w:fldCharType="separate"/>
      </w:r>
      <w:r w:rsidR="00C548C3" w:rsidRPr="000B11E5">
        <w:rPr>
          <w:noProof/>
        </w:rPr>
        <w:t>1</w:t>
      </w:r>
      <w:r w:rsidR="0093258F" w:rsidRPr="000B11E5">
        <w:fldChar w:fldCharType="end"/>
      </w:r>
      <w:bookmarkEnd w:id="33"/>
      <w:r w:rsidRPr="000B11E5">
        <w:tab/>
        <w:t>Schedule of Activities for Cohort 1</w:t>
      </w:r>
      <w:bookmarkEnd w:id="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273"/>
        <w:gridCol w:w="993"/>
        <w:gridCol w:w="425"/>
        <w:gridCol w:w="567"/>
        <w:gridCol w:w="427"/>
        <w:gridCol w:w="541"/>
        <w:gridCol w:w="629"/>
        <w:gridCol w:w="725"/>
        <w:gridCol w:w="943"/>
        <w:gridCol w:w="992"/>
        <w:gridCol w:w="992"/>
        <w:gridCol w:w="1269"/>
        <w:gridCol w:w="3176"/>
      </w:tblGrid>
      <w:tr w:rsidR="002108B2" w:rsidRPr="000B11E5" w14:paraId="6344C9BF" w14:textId="77777777" w:rsidTr="00536270">
        <w:trPr>
          <w:cantSplit/>
          <w:trHeight w:val="770"/>
          <w:tblHeader/>
          <w:jc w:val="center"/>
        </w:trPr>
        <w:tc>
          <w:tcPr>
            <w:tcW w:w="491" w:type="pct"/>
            <w:vMerge w:val="restart"/>
            <w:tcBorders>
              <w:top w:val="single" w:sz="4" w:space="0" w:color="auto"/>
              <w:left w:val="single" w:sz="4" w:space="0" w:color="auto"/>
              <w:right w:val="single" w:sz="4" w:space="0" w:color="auto"/>
            </w:tcBorders>
            <w:vAlign w:val="center"/>
            <w:hideMark/>
          </w:tcPr>
          <w:p w14:paraId="6940F6EB" w14:textId="77777777" w:rsidR="00D124BD" w:rsidRPr="000B11E5" w:rsidRDefault="00D124BD" w:rsidP="002018A0">
            <w:pPr>
              <w:widowControl w:val="0"/>
              <w:spacing w:before="80" w:after="80"/>
              <w:jc w:val="center"/>
              <w:rPr>
                <w:rFonts w:ascii="Arial" w:hAnsi="Arial"/>
                <w:b/>
                <w:sz w:val="18"/>
              </w:rPr>
            </w:pPr>
            <w:bookmarkStart w:id="35" w:name="_Hlk527533064"/>
          </w:p>
          <w:p w14:paraId="7C4D823D" w14:textId="77777777" w:rsidR="00D124BD" w:rsidRPr="000B11E5" w:rsidRDefault="00DA3174" w:rsidP="002018A0">
            <w:pPr>
              <w:widowControl w:val="0"/>
              <w:spacing w:before="80" w:after="80"/>
              <w:jc w:val="center"/>
              <w:rPr>
                <w:rFonts w:ascii="Arial" w:hAnsi="Arial"/>
                <w:b/>
                <w:sz w:val="18"/>
              </w:rPr>
            </w:pPr>
            <w:r w:rsidRPr="000B11E5">
              <w:rPr>
                <w:rFonts w:ascii="Arial" w:hAnsi="Arial" w:cs="Arial"/>
                <w:b/>
                <w:sz w:val="18"/>
                <w:szCs w:val="18"/>
              </w:rPr>
              <w:t>Assessments &amp; Procedures</w:t>
            </w:r>
          </w:p>
        </w:tc>
        <w:tc>
          <w:tcPr>
            <w:tcW w:w="383" w:type="pct"/>
            <w:vMerge w:val="restart"/>
            <w:tcBorders>
              <w:top w:val="single" w:sz="4" w:space="0" w:color="auto"/>
              <w:left w:val="single" w:sz="4" w:space="0" w:color="auto"/>
              <w:right w:val="single" w:sz="4" w:space="0" w:color="auto"/>
            </w:tcBorders>
            <w:vAlign w:val="center"/>
            <w:hideMark/>
          </w:tcPr>
          <w:p w14:paraId="448A5B71" w14:textId="77777777" w:rsidR="00D124BD" w:rsidRPr="000B11E5" w:rsidRDefault="00D124BD" w:rsidP="002018A0">
            <w:pPr>
              <w:widowControl w:val="0"/>
              <w:spacing w:before="80" w:after="80"/>
              <w:jc w:val="center"/>
              <w:rPr>
                <w:rFonts w:ascii="Arial" w:hAnsi="Arial"/>
                <w:b/>
                <w:sz w:val="18"/>
              </w:rPr>
            </w:pPr>
          </w:p>
          <w:p w14:paraId="0AE2CC81"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Screening</w:t>
            </w:r>
            <w:r w:rsidRPr="000B11E5">
              <w:rPr>
                <w:rFonts w:ascii="Arial" w:hAnsi="Arial"/>
                <w:b/>
                <w:sz w:val="18"/>
              </w:rPr>
              <w:br/>
              <w:t>Day -</w:t>
            </w:r>
            <w:r w:rsidRPr="000B11E5">
              <w:rPr>
                <w:rFonts w:ascii="Arial" w:hAnsi="Arial" w:cs="Arial"/>
                <w:b/>
                <w:sz w:val="18"/>
              </w:rPr>
              <w:t>28 to W1D1</w:t>
            </w:r>
          </w:p>
        </w:tc>
        <w:tc>
          <w:tcPr>
            <w:tcW w:w="1279" w:type="pct"/>
            <w:gridSpan w:val="6"/>
            <w:tcBorders>
              <w:top w:val="single" w:sz="4" w:space="0" w:color="auto"/>
              <w:left w:val="single" w:sz="4" w:space="0" w:color="auto"/>
              <w:right w:val="single" w:sz="4" w:space="0" w:color="auto"/>
            </w:tcBorders>
            <w:vAlign w:val="center"/>
            <w:hideMark/>
          </w:tcPr>
          <w:p w14:paraId="39CC2B28"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Intervention Period</w:t>
            </w:r>
          </w:p>
          <w:p w14:paraId="68A08382"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 3 days)</w:t>
            </w:r>
          </w:p>
        </w:tc>
        <w:tc>
          <w:tcPr>
            <w:tcW w:w="364" w:type="pct"/>
            <w:tcBorders>
              <w:top w:val="single" w:sz="4" w:space="0" w:color="auto"/>
              <w:left w:val="single" w:sz="4" w:space="0" w:color="auto"/>
              <w:right w:val="single" w:sz="4" w:space="0" w:color="auto"/>
            </w:tcBorders>
            <w:vAlign w:val="center"/>
          </w:tcPr>
          <w:p w14:paraId="70E1F43B"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EoT Visit</w:t>
            </w:r>
          </w:p>
        </w:tc>
        <w:tc>
          <w:tcPr>
            <w:tcW w:w="766" w:type="pct"/>
            <w:gridSpan w:val="2"/>
            <w:tcBorders>
              <w:top w:val="single" w:sz="4" w:space="0" w:color="auto"/>
              <w:left w:val="single" w:sz="4" w:space="0" w:color="auto"/>
              <w:right w:val="single" w:sz="4" w:space="0" w:color="auto"/>
            </w:tcBorders>
            <w:vAlign w:val="center"/>
          </w:tcPr>
          <w:p w14:paraId="27636BC1" w14:textId="77777777" w:rsidR="00D124BD" w:rsidRPr="000B11E5" w:rsidRDefault="00DA3174" w:rsidP="002018A0">
            <w:pPr>
              <w:widowControl w:val="0"/>
              <w:spacing w:before="80" w:after="80"/>
              <w:jc w:val="center"/>
              <w:rPr>
                <w:rFonts w:ascii="Arial" w:hAnsi="Arial"/>
                <w:b/>
                <w:sz w:val="18"/>
              </w:rPr>
            </w:pPr>
            <w:r w:rsidRPr="000B11E5">
              <w:rPr>
                <w:rFonts w:ascii="Arial" w:hAnsi="Arial" w:cs="Arial"/>
                <w:b/>
                <w:sz w:val="18"/>
              </w:rPr>
              <w:t xml:space="preserve">Safety Follow-up </w:t>
            </w:r>
            <w:r w:rsidRPr="000B11E5">
              <w:rPr>
                <w:rFonts w:ascii="Arial" w:hAnsi="Arial"/>
                <w:b/>
                <w:sz w:val="18"/>
              </w:rPr>
              <w:br/>
            </w:r>
            <w:r w:rsidRPr="000B11E5">
              <w:rPr>
                <w:rFonts w:ascii="Arial" w:hAnsi="Arial" w:cs="Arial"/>
                <w:b/>
                <w:sz w:val="18"/>
              </w:rPr>
              <w:t>Visit</w:t>
            </w:r>
          </w:p>
        </w:tc>
        <w:tc>
          <w:tcPr>
            <w:tcW w:w="490" w:type="pct"/>
            <w:tcBorders>
              <w:top w:val="single" w:sz="4" w:space="0" w:color="auto"/>
              <w:left w:val="single" w:sz="4" w:space="0" w:color="auto"/>
              <w:right w:val="single" w:sz="4" w:space="0" w:color="auto"/>
            </w:tcBorders>
            <w:vAlign w:val="center"/>
          </w:tcPr>
          <w:p w14:paraId="2C298961" w14:textId="77777777" w:rsidR="00D124BD" w:rsidRPr="000B11E5" w:rsidRDefault="00DA3174" w:rsidP="002018A0">
            <w:pPr>
              <w:widowControl w:val="0"/>
              <w:spacing w:before="80" w:after="80"/>
              <w:jc w:val="center"/>
              <w:rPr>
                <w:rFonts w:ascii="Arial" w:hAnsi="Arial"/>
                <w:b/>
                <w:sz w:val="18"/>
              </w:rPr>
            </w:pPr>
            <w:r w:rsidRPr="000B11E5">
              <w:rPr>
                <w:rFonts w:ascii="Arial" w:hAnsi="Arial" w:cs="Arial"/>
                <w:b/>
                <w:sz w:val="18"/>
              </w:rPr>
              <w:t>Long-term Follow-up</w:t>
            </w:r>
          </w:p>
        </w:tc>
        <w:tc>
          <w:tcPr>
            <w:tcW w:w="1226" w:type="pct"/>
            <w:tcBorders>
              <w:top w:val="single" w:sz="4" w:space="0" w:color="auto"/>
              <w:left w:val="single" w:sz="4" w:space="0" w:color="auto"/>
              <w:right w:val="single" w:sz="4" w:space="0" w:color="auto"/>
            </w:tcBorders>
            <w:vAlign w:val="center"/>
          </w:tcPr>
          <w:p w14:paraId="508825E7"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Notes</w:t>
            </w:r>
          </w:p>
          <w:p w14:paraId="1222FCB1" w14:textId="77777777" w:rsidR="00D124BD" w:rsidRPr="000B11E5" w:rsidRDefault="00D124BD" w:rsidP="002018A0">
            <w:pPr>
              <w:widowControl w:val="0"/>
              <w:spacing w:before="80" w:after="80"/>
              <w:jc w:val="center"/>
              <w:rPr>
                <w:rFonts w:ascii="Arial" w:hAnsi="Arial"/>
                <w:b/>
                <w:sz w:val="18"/>
              </w:rPr>
            </w:pPr>
          </w:p>
        </w:tc>
      </w:tr>
      <w:tr w:rsidR="002108B2" w:rsidRPr="000B11E5" w14:paraId="3F268B85" w14:textId="77777777" w:rsidTr="00536270">
        <w:trPr>
          <w:cantSplit/>
          <w:trHeight w:val="680"/>
          <w:tblHeader/>
          <w:jc w:val="center"/>
        </w:trPr>
        <w:tc>
          <w:tcPr>
            <w:tcW w:w="491" w:type="pct"/>
            <w:vMerge/>
            <w:tcBorders>
              <w:left w:val="single" w:sz="4" w:space="0" w:color="auto"/>
              <w:right w:val="single" w:sz="4" w:space="0" w:color="auto"/>
            </w:tcBorders>
            <w:vAlign w:val="center"/>
          </w:tcPr>
          <w:p w14:paraId="60FC8E1C" w14:textId="77777777" w:rsidR="00D124BD" w:rsidRPr="000B11E5" w:rsidRDefault="00D124BD" w:rsidP="002018A0">
            <w:pPr>
              <w:widowControl w:val="0"/>
              <w:spacing w:before="80" w:after="80"/>
              <w:jc w:val="center"/>
              <w:rPr>
                <w:rFonts w:ascii="Arial" w:hAnsi="Arial"/>
                <w:b/>
                <w:sz w:val="18"/>
              </w:rPr>
            </w:pPr>
          </w:p>
        </w:tc>
        <w:tc>
          <w:tcPr>
            <w:tcW w:w="383" w:type="pct"/>
            <w:vMerge/>
            <w:tcBorders>
              <w:left w:val="single" w:sz="4" w:space="0" w:color="auto"/>
              <w:right w:val="single" w:sz="4" w:space="0" w:color="auto"/>
            </w:tcBorders>
            <w:vAlign w:val="center"/>
          </w:tcPr>
          <w:p w14:paraId="53E4AD53" w14:textId="77777777" w:rsidR="00D124BD" w:rsidRPr="000B11E5" w:rsidRDefault="00D124BD" w:rsidP="002018A0">
            <w:pPr>
              <w:widowControl w:val="0"/>
              <w:spacing w:before="80" w:after="80"/>
              <w:jc w:val="center"/>
              <w:rPr>
                <w:rFonts w:ascii="Arial" w:hAnsi="Arial"/>
                <w:b/>
                <w:sz w:val="18"/>
              </w:rPr>
            </w:pPr>
          </w:p>
        </w:tc>
        <w:tc>
          <w:tcPr>
            <w:tcW w:w="164" w:type="pct"/>
            <w:tcBorders>
              <w:top w:val="single" w:sz="4" w:space="0" w:color="auto"/>
              <w:left w:val="single" w:sz="4" w:space="0" w:color="auto"/>
              <w:right w:val="single" w:sz="4" w:space="0" w:color="auto"/>
            </w:tcBorders>
            <w:vAlign w:val="center"/>
          </w:tcPr>
          <w:p w14:paraId="06DA2B3D"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V1</w:t>
            </w:r>
            <w:r w:rsidR="00B31675" w:rsidRPr="000B11E5">
              <w:rPr>
                <w:rFonts w:ascii="Arial" w:hAnsi="Arial"/>
                <w:b/>
                <w:sz w:val="18"/>
              </w:rPr>
              <w:t>*</w:t>
            </w:r>
          </w:p>
        </w:tc>
        <w:tc>
          <w:tcPr>
            <w:tcW w:w="219" w:type="pct"/>
            <w:tcBorders>
              <w:top w:val="single" w:sz="4" w:space="0" w:color="auto"/>
              <w:left w:val="single" w:sz="4" w:space="0" w:color="auto"/>
              <w:right w:val="single" w:sz="4" w:space="0" w:color="auto"/>
            </w:tcBorders>
            <w:vAlign w:val="center"/>
          </w:tcPr>
          <w:p w14:paraId="7AB96DB7"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V</w:t>
            </w:r>
            <w:r w:rsidR="006B5A4A" w:rsidRPr="000B11E5">
              <w:rPr>
                <w:rFonts w:ascii="Arial" w:hAnsi="Arial"/>
                <w:b/>
                <w:sz w:val="18"/>
              </w:rPr>
              <w:t>4</w:t>
            </w:r>
            <w:r w:rsidR="00B31675" w:rsidRPr="000B11E5">
              <w:rPr>
                <w:rFonts w:ascii="Arial" w:hAnsi="Arial"/>
                <w:b/>
                <w:sz w:val="18"/>
              </w:rPr>
              <w:t>*</w:t>
            </w:r>
          </w:p>
        </w:tc>
        <w:tc>
          <w:tcPr>
            <w:tcW w:w="165" w:type="pct"/>
            <w:tcBorders>
              <w:top w:val="single" w:sz="4" w:space="0" w:color="auto"/>
              <w:left w:val="single" w:sz="4" w:space="0" w:color="auto"/>
              <w:right w:val="single" w:sz="4" w:space="0" w:color="auto"/>
            </w:tcBorders>
            <w:vAlign w:val="center"/>
          </w:tcPr>
          <w:p w14:paraId="36B30C47"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V</w:t>
            </w:r>
            <w:r w:rsidR="006B5A4A" w:rsidRPr="000B11E5">
              <w:rPr>
                <w:rFonts w:ascii="Arial" w:hAnsi="Arial"/>
                <w:b/>
                <w:sz w:val="18"/>
              </w:rPr>
              <w:t>5</w:t>
            </w:r>
          </w:p>
        </w:tc>
        <w:tc>
          <w:tcPr>
            <w:tcW w:w="209" w:type="pct"/>
            <w:tcBorders>
              <w:top w:val="single" w:sz="4" w:space="0" w:color="auto"/>
              <w:left w:val="single" w:sz="4" w:space="0" w:color="auto"/>
              <w:right w:val="single" w:sz="4" w:space="0" w:color="auto"/>
            </w:tcBorders>
            <w:vAlign w:val="center"/>
          </w:tcPr>
          <w:p w14:paraId="0DEAD0F2"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V</w:t>
            </w:r>
            <w:r w:rsidR="006B5A4A" w:rsidRPr="000B11E5">
              <w:rPr>
                <w:rFonts w:ascii="Arial" w:hAnsi="Arial"/>
                <w:b/>
                <w:sz w:val="18"/>
              </w:rPr>
              <w:t>6</w:t>
            </w:r>
          </w:p>
        </w:tc>
        <w:tc>
          <w:tcPr>
            <w:tcW w:w="243" w:type="pct"/>
            <w:tcBorders>
              <w:top w:val="single" w:sz="4" w:space="0" w:color="auto"/>
              <w:left w:val="single" w:sz="4" w:space="0" w:color="auto"/>
              <w:right w:val="single" w:sz="4" w:space="0" w:color="auto"/>
            </w:tcBorders>
            <w:vAlign w:val="center"/>
          </w:tcPr>
          <w:p w14:paraId="045E7C87"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V7</w:t>
            </w:r>
          </w:p>
        </w:tc>
        <w:tc>
          <w:tcPr>
            <w:tcW w:w="280" w:type="pct"/>
            <w:vMerge w:val="restart"/>
            <w:tcBorders>
              <w:top w:val="single" w:sz="4" w:space="0" w:color="auto"/>
              <w:left w:val="single" w:sz="4" w:space="0" w:color="auto"/>
              <w:right w:val="single" w:sz="4" w:space="0" w:color="auto"/>
            </w:tcBorders>
            <w:vAlign w:val="center"/>
          </w:tcPr>
          <w:p w14:paraId="37DC0BC1"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 xml:space="preserve">Until </w:t>
            </w:r>
          </w:p>
          <w:p w14:paraId="0FBBB43F"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EoT</w:t>
            </w:r>
          </w:p>
        </w:tc>
        <w:tc>
          <w:tcPr>
            <w:tcW w:w="364" w:type="pct"/>
            <w:vMerge w:val="restart"/>
            <w:tcBorders>
              <w:top w:val="single" w:sz="4" w:space="0" w:color="auto"/>
              <w:left w:val="single" w:sz="4" w:space="0" w:color="auto"/>
              <w:right w:val="single" w:sz="4" w:space="0" w:color="auto"/>
            </w:tcBorders>
            <w:vAlign w:val="center"/>
          </w:tcPr>
          <w:p w14:paraId="2EFE9327"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On the Day of or Within 7 Days of Decision</w:t>
            </w:r>
          </w:p>
        </w:tc>
        <w:tc>
          <w:tcPr>
            <w:tcW w:w="383" w:type="pct"/>
            <w:vMerge w:val="restart"/>
            <w:tcBorders>
              <w:left w:val="single" w:sz="4" w:space="0" w:color="auto"/>
              <w:right w:val="single" w:sz="4" w:space="0" w:color="auto"/>
            </w:tcBorders>
            <w:vAlign w:val="center"/>
          </w:tcPr>
          <w:p w14:paraId="776016D5"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 xml:space="preserve">28 Days </w:t>
            </w:r>
            <w:r w:rsidRPr="000B11E5">
              <w:rPr>
                <w:rFonts w:ascii="Arial" w:hAnsi="Arial"/>
                <w:b/>
                <w:sz w:val="18"/>
              </w:rPr>
              <w:br/>
              <w:t xml:space="preserve">(± 5 days) </w:t>
            </w:r>
            <w:r w:rsidR="00EC5160" w:rsidRPr="000B11E5">
              <w:rPr>
                <w:rFonts w:ascii="Arial" w:hAnsi="Arial"/>
                <w:b/>
                <w:sz w:val="18"/>
              </w:rPr>
              <w:t>A</w:t>
            </w:r>
            <w:r w:rsidRPr="000B11E5">
              <w:rPr>
                <w:rFonts w:ascii="Arial" w:hAnsi="Arial"/>
                <w:b/>
                <w:sz w:val="18"/>
              </w:rPr>
              <w:t>fter Last Treatment</w:t>
            </w:r>
          </w:p>
        </w:tc>
        <w:tc>
          <w:tcPr>
            <w:tcW w:w="383" w:type="pct"/>
            <w:vMerge w:val="restart"/>
            <w:tcBorders>
              <w:left w:val="single" w:sz="4" w:space="0" w:color="auto"/>
              <w:right w:val="single" w:sz="4" w:space="0" w:color="auto"/>
            </w:tcBorders>
            <w:vAlign w:val="center"/>
          </w:tcPr>
          <w:p w14:paraId="3C58D726" w14:textId="77777777" w:rsidR="00D124BD" w:rsidRPr="000B11E5" w:rsidRDefault="00DA3174" w:rsidP="002018A0">
            <w:pPr>
              <w:widowControl w:val="0"/>
              <w:spacing w:before="80" w:after="80"/>
              <w:jc w:val="center"/>
              <w:rPr>
                <w:rFonts w:ascii="Arial" w:hAnsi="Arial"/>
                <w:b/>
                <w:sz w:val="18"/>
              </w:rPr>
            </w:pPr>
            <w:bookmarkStart w:id="36" w:name="_Hlk525027940"/>
            <w:r w:rsidRPr="000B11E5">
              <w:rPr>
                <w:rFonts w:ascii="Arial" w:hAnsi="Arial" w:cs="Arial"/>
                <w:b/>
                <w:sz w:val="18"/>
              </w:rPr>
              <w:t xml:space="preserve">12 Weeks </w:t>
            </w:r>
            <w:r w:rsidRPr="000B11E5">
              <w:rPr>
                <w:rFonts w:ascii="Arial" w:hAnsi="Arial"/>
                <w:b/>
                <w:sz w:val="18"/>
              </w:rPr>
              <w:br/>
            </w:r>
            <w:r w:rsidRPr="000B11E5">
              <w:rPr>
                <w:rFonts w:ascii="Arial" w:hAnsi="Arial" w:cs="Arial"/>
                <w:b/>
                <w:sz w:val="18"/>
              </w:rPr>
              <w:t xml:space="preserve">(± 2 weeks) </w:t>
            </w:r>
            <w:r w:rsidR="00EC5160" w:rsidRPr="000B11E5">
              <w:rPr>
                <w:rFonts w:ascii="Arial" w:hAnsi="Arial" w:cs="Arial"/>
                <w:b/>
                <w:sz w:val="18"/>
              </w:rPr>
              <w:t>A</w:t>
            </w:r>
            <w:r w:rsidRPr="000B11E5">
              <w:rPr>
                <w:rFonts w:ascii="Arial" w:hAnsi="Arial" w:cs="Arial"/>
                <w:b/>
                <w:sz w:val="18"/>
              </w:rPr>
              <w:t>fter Last Treatment</w:t>
            </w:r>
            <w:bookmarkEnd w:id="36"/>
          </w:p>
        </w:tc>
        <w:tc>
          <w:tcPr>
            <w:tcW w:w="490" w:type="pct"/>
            <w:vMerge w:val="restart"/>
            <w:tcBorders>
              <w:left w:val="single" w:sz="4" w:space="0" w:color="auto"/>
              <w:right w:val="single" w:sz="4" w:space="0" w:color="auto"/>
            </w:tcBorders>
            <w:vAlign w:val="center"/>
          </w:tcPr>
          <w:p w14:paraId="3742AAB1" w14:textId="77777777" w:rsidR="00D124BD" w:rsidRPr="000B11E5" w:rsidRDefault="00DA3174" w:rsidP="002018A0">
            <w:pPr>
              <w:widowControl w:val="0"/>
              <w:spacing w:before="80" w:after="80"/>
              <w:jc w:val="center"/>
              <w:rPr>
                <w:rFonts w:ascii="Arial" w:hAnsi="Arial"/>
                <w:b/>
                <w:sz w:val="18"/>
              </w:rPr>
            </w:pPr>
            <w:r w:rsidRPr="000B11E5">
              <w:rPr>
                <w:rFonts w:ascii="Arial" w:hAnsi="Arial" w:cs="Arial"/>
                <w:b/>
                <w:sz w:val="18"/>
              </w:rPr>
              <w:t xml:space="preserve">Every </w:t>
            </w:r>
            <w:r w:rsidRPr="000B11E5">
              <w:rPr>
                <w:rFonts w:ascii="Arial" w:hAnsi="Arial"/>
                <w:b/>
                <w:sz w:val="18"/>
              </w:rPr>
              <w:br/>
            </w:r>
            <w:r w:rsidRPr="000B11E5">
              <w:rPr>
                <w:rFonts w:ascii="Arial" w:hAnsi="Arial" w:cs="Arial"/>
                <w:b/>
                <w:sz w:val="18"/>
              </w:rPr>
              <w:t xml:space="preserve">12 </w:t>
            </w:r>
            <w:r w:rsidR="00EC5160" w:rsidRPr="000B11E5">
              <w:rPr>
                <w:rFonts w:ascii="Arial" w:hAnsi="Arial" w:cs="Arial"/>
                <w:b/>
                <w:sz w:val="18"/>
              </w:rPr>
              <w:t>W</w:t>
            </w:r>
            <w:r w:rsidRPr="000B11E5">
              <w:rPr>
                <w:rFonts w:ascii="Arial" w:hAnsi="Arial" w:cs="Arial"/>
                <w:b/>
                <w:sz w:val="18"/>
              </w:rPr>
              <w:t>eeks</w:t>
            </w:r>
            <w:r w:rsidRPr="000B11E5">
              <w:rPr>
                <w:rFonts w:ascii="Arial" w:hAnsi="Arial"/>
                <w:b/>
                <w:sz w:val="18"/>
              </w:rPr>
              <w:br/>
            </w:r>
            <w:r w:rsidRPr="000B11E5">
              <w:rPr>
                <w:rFonts w:ascii="Arial" w:hAnsi="Arial" w:cs="Arial"/>
                <w:b/>
                <w:sz w:val="18"/>
              </w:rPr>
              <w:t xml:space="preserve">(± 2 </w:t>
            </w:r>
            <w:r w:rsidR="003E10FF" w:rsidRPr="000B11E5">
              <w:rPr>
                <w:rFonts w:ascii="Arial" w:hAnsi="Arial" w:cs="Arial"/>
                <w:b/>
                <w:sz w:val="18"/>
              </w:rPr>
              <w:t>w</w:t>
            </w:r>
            <w:r w:rsidRPr="000B11E5">
              <w:rPr>
                <w:rFonts w:ascii="Arial" w:hAnsi="Arial" w:cs="Arial"/>
                <w:b/>
                <w:sz w:val="18"/>
              </w:rPr>
              <w:t>eeks)</w:t>
            </w:r>
          </w:p>
        </w:tc>
        <w:tc>
          <w:tcPr>
            <w:tcW w:w="1226" w:type="pct"/>
            <w:vMerge w:val="restart"/>
            <w:tcBorders>
              <w:left w:val="single" w:sz="4" w:space="0" w:color="auto"/>
              <w:right w:val="single" w:sz="4" w:space="0" w:color="auto"/>
            </w:tcBorders>
            <w:vAlign w:val="center"/>
          </w:tcPr>
          <w:p w14:paraId="139B12A2" w14:textId="5EA87A5E" w:rsidR="00D124BD" w:rsidRPr="000B11E5" w:rsidRDefault="00DA3174" w:rsidP="002018A0">
            <w:pPr>
              <w:widowControl w:val="0"/>
              <w:spacing w:before="40" w:after="40"/>
              <w:jc w:val="center"/>
              <w:rPr>
                <w:rFonts w:ascii="Arial" w:hAnsi="Arial" w:cs="Arial"/>
                <w:b/>
                <w:sz w:val="18"/>
                <w:szCs w:val="18"/>
              </w:rPr>
            </w:pPr>
            <w:r w:rsidRPr="000B11E5">
              <w:rPr>
                <w:rFonts w:ascii="Arial" w:hAnsi="Arial" w:cs="Arial"/>
                <w:b/>
                <w:sz w:val="18"/>
                <w:szCs w:val="18"/>
              </w:rPr>
              <w:t xml:space="preserve">*Schedule for PK </w:t>
            </w:r>
            <w:r w:rsidR="00EC5160" w:rsidRPr="000B11E5">
              <w:rPr>
                <w:rFonts w:ascii="Arial" w:hAnsi="Arial" w:cs="Arial"/>
                <w:b/>
                <w:sz w:val="18"/>
                <w:szCs w:val="18"/>
              </w:rPr>
              <w:t>S</w:t>
            </w:r>
            <w:r w:rsidRPr="000B11E5">
              <w:rPr>
                <w:rFonts w:ascii="Arial" w:hAnsi="Arial" w:cs="Arial"/>
                <w:b/>
                <w:sz w:val="18"/>
                <w:szCs w:val="18"/>
              </w:rPr>
              <w:t xml:space="preserve">amples is as </w:t>
            </w:r>
            <w:r w:rsidR="00EC5160" w:rsidRPr="000B11E5">
              <w:rPr>
                <w:rFonts w:ascii="Arial" w:hAnsi="Arial" w:cs="Arial"/>
                <w:b/>
                <w:sz w:val="18"/>
                <w:szCs w:val="18"/>
              </w:rPr>
              <w:t>S</w:t>
            </w:r>
            <w:r w:rsidRPr="000B11E5">
              <w:rPr>
                <w:rFonts w:ascii="Arial" w:hAnsi="Arial" w:cs="Arial"/>
                <w:b/>
                <w:sz w:val="18"/>
                <w:szCs w:val="18"/>
              </w:rPr>
              <w:t xml:space="preserve">pecified in </w:t>
            </w:r>
            <w:r w:rsidR="008E338B" w:rsidRPr="000B11E5">
              <w:rPr>
                <w:rFonts w:ascii="Arial" w:hAnsi="Arial" w:cs="Arial"/>
                <w:b/>
                <w:sz w:val="18"/>
                <w:szCs w:val="18"/>
              </w:rPr>
              <w:fldChar w:fldCharType="begin"/>
            </w:r>
            <w:r w:rsidR="008E338B" w:rsidRPr="000B11E5">
              <w:rPr>
                <w:rFonts w:ascii="Arial" w:hAnsi="Arial" w:cs="Arial"/>
                <w:b/>
                <w:sz w:val="18"/>
                <w:szCs w:val="18"/>
              </w:rPr>
              <w:instrText xml:space="preserve"> REF _Ref32231920 \h  \* MERGEFORMAT </w:instrText>
            </w:r>
            <w:r w:rsidR="008E338B" w:rsidRPr="000B11E5">
              <w:rPr>
                <w:rFonts w:ascii="Arial" w:hAnsi="Arial" w:cs="Arial"/>
                <w:b/>
                <w:sz w:val="18"/>
                <w:szCs w:val="18"/>
              </w:rPr>
            </w:r>
            <w:r w:rsidR="008E338B" w:rsidRPr="000B11E5">
              <w:rPr>
                <w:rFonts w:ascii="Arial" w:hAnsi="Arial" w:cs="Arial"/>
                <w:b/>
                <w:sz w:val="18"/>
                <w:szCs w:val="18"/>
              </w:rPr>
              <w:fldChar w:fldCharType="separate"/>
            </w:r>
            <w:r w:rsidR="00C548C3" w:rsidRPr="000B11E5">
              <w:rPr>
                <w:rFonts w:ascii="Arial" w:hAnsi="Arial" w:cs="Arial"/>
                <w:b/>
                <w:sz w:val="18"/>
                <w:szCs w:val="18"/>
              </w:rPr>
              <w:t xml:space="preserve">Table </w:t>
            </w:r>
            <w:r w:rsidR="00C548C3" w:rsidRPr="000B11E5">
              <w:rPr>
                <w:rFonts w:ascii="Arial" w:hAnsi="Arial" w:cs="Arial"/>
                <w:b/>
                <w:noProof/>
                <w:sz w:val="18"/>
                <w:szCs w:val="18"/>
              </w:rPr>
              <w:t>2</w:t>
            </w:r>
            <w:r w:rsidR="008E338B" w:rsidRPr="000B11E5">
              <w:rPr>
                <w:rFonts w:ascii="Arial" w:hAnsi="Arial" w:cs="Arial"/>
                <w:b/>
                <w:sz w:val="18"/>
                <w:szCs w:val="18"/>
              </w:rPr>
              <w:fldChar w:fldCharType="end"/>
            </w:r>
          </w:p>
        </w:tc>
      </w:tr>
      <w:tr w:rsidR="002108B2" w:rsidRPr="000B11E5" w14:paraId="73DA088E" w14:textId="77777777" w:rsidTr="00536270">
        <w:trPr>
          <w:cantSplit/>
          <w:trHeight w:val="381"/>
          <w:tblHeader/>
          <w:jc w:val="center"/>
        </w:trPr>
        <w:tc>
          <w:tcPr>
            <w:tcW w:w="491" w:type="pct"/>
            <w:vMerge/>
            <w:tcBorders>
              <w:left w:val="single" w:sz="4" w:space="0" w:color="auto"/>
              <w:right w:val="single" w:sz="4" w:space="0" w:color="auto"/>
            </w:tcBorders>
            <w:vAlign w:val="center"/>
            <w:hideMark/>
          </w:tcPr>
          <w:p w14:paraId="44C34FC6" w14:textId="77777777" w:rsidR="00D124BD" w:rsidRPr="000B11E5" w:rsidRDefault="00D124BD" w:rsidP="002018A0">
            <w:pPr>
              <w:widowControl w:val="0"/>
              <w:spacing w:before="40" w:after="40"/>
              <w:jc w:val="left"/>
              <w:rPr>
                <w:rFonts w:ascii="Arial" w:hAnsi="Arial"/>
                <w:sz w:val="18"/>
              </w:rPr>
            </w:pPr>
          </w:p>
        </w:tc>
        <w:tc>
          <w:tcPr>
            <w:tcW w:w="383" w:type="pct"/>
            <w:vMerge/>
            <w:tcBorders>
              <w:left w:val="single" w:sz="4" w:space="0" w:color="auto"/>
              <w:right w:val="single" w:sz="4" w:space="0" w:color="auto"/>
            </w:tcBorders>
            <w:vAlign w:val="center"/>
            <w:hideMark/>
          </w:tcPr>
          <w:p w14:paraId="13D82C55" w14:textId="77777777" w:rsidR="00D124BD" w:rsidRPr="000B11E5" w:rsidRDefault="00D124BD" w:rsidP="002018A0">
            <w:pPr>
              <w:widowControl w:val="0"/>
              <w:spacing w:before="40" w:after="40"/>
              <w:jc w:val="left"/>
              <w:rPr>
                <w:rFonts w:ascii="Arial" w:hAnsi="Arial"/>
                <w:sz w:val="18"/>
              </w:rPr>
            </w:pPr>
          </w:p>
        </w:tc>
        <w:tc>
          <w:tcPr>
            <w:tcW w:w="164" w:type="pct"/>
            <w:tcBorders>
              <w:top w:val="single" w:sz="4" w:space="0" w:color="auto"/>
              <w:left w:val="single" w:sz="4" w:space="0" w:color="auto"/>
              <w:bottom w:val="single" w:sz="4" w:space="0" w:color="auto"/>
              <w:right w:val="single" w:sz="4" w:space="0" w:color="auto"/>
            </w:tcBorders>
            <w:vAlign w:val="center"/>
            <w:hideMark/>
          </w:tcPr>
          <w:p w14:paraId="672984B4"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W1</w:t>
            </w:r>
          </w:p>
        </w:tc>
        <w:tc>
          <w:tcPr>
            <w:tcW w:w="219" w:type="pct"/>
            <w:tcBorders>
              <w:top w:val="single" w:sz="4" w:space="0" w:color="auto"/>
              <w:left w:val="single" w:sz="4" w:space="0" w:color="auto"/>
              <w:bottom w:val="single" w:sz="4" w:space="0" w:color="auto"/>
              <w:right w:val="single" w:sz="4" w:space="0" w:color="auto"/>
            </w:tcBorders>
            <w:vAlign w:val="center"/>
            <w:hideMark/>
          </w:tcPr>
          <w:p w14:paraId="3ED4E6B3"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W</w:t>
            </w:r>
            <w:r w:rsidR="00BB2D02" w:rsidRPr="000B11E5">
              <w:rPr>
                <w:rFonts w:ascii="Arial" w:hAnsi="Arial"/>
                <w:b/>
                <w:sz w:val="18"/>
              </w:rPr>
              <w:t>4</w:t>
            </w:r>
          </w:p>
        </w:tc>
        <w:tc>
          <w:tcPr>
            <w:tcW w:w="165" w:type="pct"/>
            <w:tcBorders>
              <w:top w:val="single" w:sz="4" w:space="0" w:color="auto"/>
              <w:left w:val="single" w:sz="4" w:space="0" w:color="auto"/>
              <w:bottom w:val="single" w:sz="4" w:space="0" w:color="auto"/>
              <w:right w:val="single" w:sz="4" w:space="0" w:color="auto"/>
            </w:tcBorders>
            <w:vAlign w:val="center"/>
          </w:tcPr>
          <w:p w14:paraId="08A33DCB"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W7</w:t>
            </w:r>
          </w:p>
        </w:tc>
        <w:tc>
          <w:tcPr>
            <w:tcW w:w="209" w:type="pct"/>
            <w:tcBorders>
              <w:top w:val="single" w:sz="4" w:space="0" w:color="auto"/>
              <w:left w:val="single" w:sz="4" w:space="0" w:color="auto"/>
              <w:bottom w:val="single" w:sz="4" w:space="0" w:color="auto"/>
              <w:right w:val="single" w:sz="4" w:space="0" w:color="auto"/>
            </w:tcBorders>
            <w:vAlign w:val="center"/>
          </w:tcPr>
          <w:p w14:paraId="79864346"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W10</w:t>
            </w:r>
          </w:p>
        </w:tc>
        <w:tc>
          <w:tcPr>
            <w:tcW w:w="243" w:type="pct"/>
            <w:tcBorders>
              <w:top w:val="single" w:sz="4" w:space="0" w:color="auto"/>
              <w:left w:val="single" w:sz="4" w:space="0" w:color="auto"/>
              <w:bottom w:val="single" w:sz="4" w:space="0" w:color="auto"/>
              <w:right w:val="single" w:sz="4" w:space="0" w:color="auto"/>
            </w:tcBorders>
            <w:vAlign w:val="center"/>
          </w:tcPr>
          <w:p w14:paraId="2ECFCCEA"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 xml:space="preserve">W13 </w:t>
            </w:r>
          </w:p>
        </w:tc>
        <w:tc>
          <w:tcPr>
            <w:tcW w:w="280" w:type="pct"/>
            <w:vMerge/>
            <w:tcBorders>
              <w:left w:val="single" w:sz="4" w:space="0" w:color="auto"/>
              <w:right w:val="single" w:sz="4" w:space="0" w:color="auto"/>
            </w:tcBorders>
            <w:vAlign w:val="center"/>
          </w:tcPr>
          <w:p w14:paraId="74F509D7" w14:textId="77777777" w:rsidR="00D124BD" w:rsidRPr="000B11E5" w:rsidRDefault="00D124BD" w:rsidP="002018A0">
            <w:pPr>
              <w:widowControl w:val="0"/>
              <w:spacing w:before="40" w:after="40"/>
              <w:jc w:val="left"/>
              <w:rPr>
                <w:rFonts w:ascii="Arial" w:hAnsi="Arial"/>
                <w:strike/>
                <w:sz w:val="18"/>
              </w:rPr>
            </w:pPr>
          </w:p>
        </w:tc>
        <w:tc>
          <w:tcPr>
            <w:tcW w:w="364" w:type="pct"/>
            <w:vMerge/>
            <w:tcBorders>
              <w:left w:val="single" w:sz="4" w:space="0" w:color="auto"/>
              <w:right w:val="single" w:sz="4" w:space="0" w:color="auto"/>
            </w:tcBorders>
            <w:vAlign w:val="center"/>
          </w:tcPr>
          <w:p w14:paraId="77877F54" w14:textId="77777777" w:rsidR="00D124BD" w:rsidRPr="000B11E5" w:rsidRDefault="00D124BD" w:rsidP="002018A0">
            <w:pPr>
              <w:widowControl w:val="0"/>
              <w:spacing w:before="40" w:after="40"/>
              <w:jc w:val="left"/>
              <w:rPr>
                <w:rFonts w:ascii="Arial" w:hAnsi="Arial"/>
                <w:strike/>
                <w:sz w:val="18"/>
              </w:rPr>
            </w:pPr>
          </w:p>
        </w:tc>
        <w:tc>
          <w:tcPr>
            <w:tcW w:w="383" w:type="pct"/>
            <w:vMerge/>
            <w:tcBorders>
              <w:left w:val="single" w:sz="4" w:space="0" w:color="auto"/>
              <w:right w:val="single" w:sz="4" w:space="0" w:color="auto"/>
            </w:tcBorders>
          </w:tcPr>
          <w:p w14:paraId="242CAE08" w14:textId="77777777" w:rsidR="00D124BD" w:rsidRPr="000B11E5" w:rsidRDefault="00D124BD" w:rsidP="002018A0">
            <w:pPr>
              <w:widowControl w:val="0"/>
              <w:spacing w:before="40" w:after="40"/>
              <w:jc w:val="left"/>
              <w:rPr>
                <w:rFonts w:ascii="Arial" w:hAnsi="Arial"/>
                <w:b/>
                <w:strike/>
                <w:sz w:val="18"/>
              </w:rPr>
            </w:pPr>
          </w:p>
        </w:tc>
        <w:tc>
          <w:tcPr>
            <w:tcW w:w="383" w:type="pct"/>
            <w:vMerge/>
            <w:tcBorders>
              <w:left w:val="single" w:sz="4" w:space="0" w:color="auto"/>
              <w:right w:val="single" w:sz="4" w:space="0" w:color="auto"/>
            </w:tcBorders>
          </w:tcPr>
          <w:p w14:paraId="611D2DC3" w14:textId="77777777" w:rsidR="00D124BD" w:rsidRPr="000B11E5" w:rsidRDefault="00D124BD" w:rsidP="002018A0">
            <w:pPr>
              <w:widowControl w:val="0"/>
              <w:spacing w:before="40" w:after="40"/>
              <w:jc w:val="left"/>
              <w:rPr>
                <w:rFonts w:ascii="Arial" w:hAnsi="Arial"/>
                <w:b/>
                <w:strike/>
                <w:sz w:val="18"/>
              </w:rPr>
            </w:pPr>
          </w:p>
        </w:tc>
        <w:tc>
          <w:tcPr>
            <w:tcW w:w="490" w:type="pct"/>
            <w:vMerge/>
            <w:tcBorders>
              <w:left w:val="single" w:sz="4" w:space="0" w:color="auto"/>
              <w:right w:val="single" w:sz="4" w:space="0" w:color="auto"/>
            </w:tcBorders>
          </w:tcPr>
          <w:p w14:paraId="37718F45" w14:textId="77777777" w:rsidR="00D124BD" w:rsidRPr="000B11E5" w:rsidRDefault="00D124BD" w:rsidP="002018A0">
            <w:pPr>
              <w:widowControl w:val="0"/>
              <w:spacing w:before="40" w:after="40"/>
              <w:jc w:val="left"/>
              <w:rPr>
                <w:rFonts w:ascii="Arial" w:hAnsi="Arial"/>
                <w:b/>
                <w:strike/>
                <w:sz w:val="18"/>
              </w:rPr>
            </w:pPr>
          </w:p>
        </w:tc>
        <w:tc>
          <w:tcPr>
            <w:tcW w:w="1226" w:type="pct"/>
            <w:vMerge/>
            <w:tcBorders>
              <w:left w:val="single" w:sz="4" w:space="0" w:color="auto"/>
              <w:right w:val="single" w:sz="4" w:space="0" w:color="auto"/>
            </w:tcBorders>
            <w:vAlign w:val="center"/>
          </w:tcPr>
          <w:p w14:paraId="1A922675" w14:textId="77777777" w:rsidR="00D124BD" w:rsidRPr="000B11E5" w:rsidRDefault="00D124BD" w:rsidP="002018A0">
            <w:pPr>
              <w:widowControl w:val="0"/>
              <w:spacing w:before="40" w:after="40"/>
              <w:jc w:val="left"/>
              <w:rPr>
                <w:rFonts w:ascii="Arial" w:hAnsi="Arial"/>
                <w:b/>
                <w:strike/>
                <w:sz w:val="18"/>
              </w:rPr>
            </w:pPr>
          </w:p>
        </w:tc>
      </w:tr>
      <w:tr w:rsidR="002108B2" w:rsidRPr="000B11E5" w14:paraId="6E345D1A" w14:textId="77777777" w:rsidTr="00536270">
        <w:trPr>
          <w:cantSplit/>
          <w:trHeight w:val="77"/>
          <w:tblHeader/>
          <w:jc w:val="center"/>
        </w:trPr>
        <w:tc>
          <w:tcPr>
            <w:tcW w:w="491" w:type="pct"/>
            <w:vMerge/>
            <w:tcBorders>
              <w:left w:val="single" w:sz="4" w:space="0" w:color="auto"/>
              <w:bottom w:val="single" w:sz="4" w:space="0" w:color="auto"/>
              <w:right w:val="single" w:sz="4" w:space="0" w:color="auto"/>
            </w:tcBorders>
            <w:vAlign w:val="center"/>
            <w:hideMark/>
          </w:tcPr>
          <w:p w14:paraId="0E871651" w14:textId="77777777" w:rsidR="00D124BD" w:rsidRPr="000B11E5" w:rsidRDefault="00D124BD" w:rsidP="002018A0">
            <w:pPr>
              <w:widowControl w:val="0"/>
              <w:spacing w:before="40" w:after="40"/>
              <w:jc w:val="left"/>
              <w:rPr>
                <w:rFonts w:ascii="Arial" w:hAnsi="Arial"/>
                <w:sz w:val="18"/>
              </w:rPr>
            </w:pPr>
          </w:p>
        </w:tc>
        <w:tc>
          <w:tcPr>
            <w:tcW w:w="383" w:type="pct"/>
            <w:vMerge/>
            <w:tcBorders>
              <w:left w:val="single" w:sz="4" w:space="0" w:color="auto"/>
              <w:bottom w:val="single" w:sz="4" w:space="0" w:color="auto"/>
              <w:right w:val="single" w:sz="4" w:space="0" w:color="auto"/>
            </w:tcBorders>
            <w:vAlign w:val="center"/>
            <w:hideMark/>
          </w:tcPr>
          <w:p w14:paraId="6F6FD619" w14:textId="77777777" w:rsidR="00D124BD" w:rsidRPr="000B11E5" w:rsidRDefault="00D124BD" w:rsidP="002018A0">
            <w:pPr>
              <w:widowControl w:val="0"/>
              <w:spacing w:before="40" w:after="40"/>
              <w:jc w:val="left"/>
              <w:rPr>
                <w:rFonts w:ascii="Arial" w:hAnsi="Arial"/>
                <w:sz w:val="18"/>
              </w:rPr>
            </w:pPr>
          </w:p>
        </w:tc>
        <w:tc>
          <w:tcPr>
            <w:tcW w:w="164" w:type="pct"/>
            <w:tcBorders>
              <w:top w:val="single" w:sz="4" w:space="0" w:color="auto"/>
              <w:left w:val="single" w:sz="4" w:space="0" w:color="auto"/>
              <w:bottom w:val="single" w:sz="4" w:space="0" w:color="auto"/>
              <w:right w:val="single" w:sz="4" w:space="0" w:color="auto"/>
            </w:tcBorders>
            <w:vAlign w:val="center"/>
            <w:hideMark/>
          </w:tcPr>
          <w:p w14:paraId="30757186"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D1</w:t>
            </w:r>
          </w:p>
        </w:tc>
        <w:tc>
          <w:tcPr>
            <w:tcW w:w="219" w:type="pct"/>
            <w:tcBorders>
              <w:top w:val="single" w:sz="4" w:space="0" w:color="auto"/>
              <w:left w:val="single" w:sz="4" w:space="0" w:color="auto"/>
              <w:bottom w:val="single" w:sz="4" w:space="0" w:color="auto"/>
              <w:right w:val="single" w:sz="4" w:space="0" w:color="auto"/>
            </w:tcBorders>
            <w:vAlign w:val="center"/>
            <w:hideMark/>
          </w:tcPr>
          <w:p w14:paraId="2490DFA6"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D2</w:t>
            </w:r>
            <w:r w:rsidR="00BB2D02" w:rsidRPr="000B11E5">
              <w:rPr>
                <w:rFonts w:ascii="Arial" w:hAnsi="Arial"/>
                <w:b/>
                <w:sz w:val="18"/>
              </w:rPr>
              <w:t>2</w:t>
            </w:r>
          </w:p>
        </w:tc>
        <w:tc>
          <w:tcPr>
            <w:tcW w:w="165" w:type="pct"/>
            <w:tcBorders>
              <w:top w:val="single" w:sz="4" w:space="0" w:color="auto"/>
              <w:left w:val="single" w:sz="4" w:space="0" w:color="auto"/>
              <w:bottom w:val="single" w:sz="4" w:space="0" w:color="auto"/>
              <w:right w:val="single" w:sz="4" w:space="0" w:color="auto"/>
            </w:tcBorders>
            <w:vAlign w:val="center"/>
          </w:tcPr>
          <w:p w14:paraId="64E09F18"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D43</w:t>
            </w:r>
          </w:p>
        </w:tc>
        <w:tc>
          <w:tcPr>
            <w:tcW w:w="209" w:type="pct"/>
            <w:tcBorders>
              <w:top w:val="single" w:sz="4" w:space="0" w:color="auto"/>
              <w:left w:val="single" w:sz="4" w:space="0" w:color="auto"/>
              <w:bottom w:val="single" w:sz="4" w:space="0" w:color="auto"/>
              <w:right w:val="single" w:sz="4" w:space="0" w:color="auto"/>
            </w:tcBorders>
            <w:vAlign w:val="center"/>
            <w:hideMark/>
          </w:tcPr>
          <w:p w14:paraId="184459FA"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D64</w:t>
            </w:r>
          </w:p>
        </w:tc>
        <w:tc>
          <w:tcPr>
            <w:tcW w:w="243" w:type="pct"/>
            <w:tcBorders>
              <w:top w:val="single" w:sz="4" w:space="0" w:color="auto"/>
              <w:left w:val="single" w:sz="4" w:space="0" w:color="auto"/>
              <w:bottom w:val="single" w:sz="4" w:space="0" w:color="auto"/>
              <w:right w:val="single" w:sz="4" w:space="0" w:color="auto"/>
            </w:tcBorders>
            <w:vAlign w:val="center"/>
            <w:hideMark/>
          </w:tcPr>
          <w:p w14:paraId="113C81C6" w14:textId="77777777" w:rsidR="00D124BD" w:rsidRPr="000B11E5" w:rsidRDefault="00DA3174" w:rsidP="002018A0">
            <w:pPr>
              <w:widowControl w:val="0"/>
              <w:spacing w:before="80" w:after="80"/>
              <w:jc w:val="center"/>
              <w:rPr>
                <w:rFonts w:ascii="Arial" w:hAnsi="Arial"/>
                <w:b/>
                <w:sz w:val="18"/>
              </w:rPr>
            </w:pPr>
            <w:r w:rsidRPr="000B11E5">
              <w:rPr>
                <w:rFonts w:ascii="Arial" w:hAnsi="Arial"/>
                <w:b/>
                <w:sz w:val="18"/>
              </w:rPr>
              <w:t>D85</w:t>
            </w:r>
          </w:p>
        </w:tc>
        <w:tc>
          <w:tcPr>
            <w:tcW w:w="280" w:type="pct"/>
            <w:vMerge/>
            <w:tcBorders>
              <w:left w:val="single" w:sz="4" w:space="0" w:color="auto"/>
              <w:bottom w:val="single" w:sz="4" w:space="0" w:color="auto"/>
              <w:right w:val="single" w:sz="4" w:space="0" w:color="auto"/>
            </w:tcBorders>
            <w:vAlign w:val="center"/>
            <w:hideMark/>
          </w:tcPr>
          <w:p w14:paraId="594B3403" w14:textId="77777777" w:rsidR="00D124BD" w:rsidRPr="000B11E5" w:rsidRDefault="00D124BD" w:rsidP="002018A0">
            <w:pPr>
              <w:widowControl w:val="0"/>
              <w:spacing w:before="40" w:after="40"/>
              <w:jc w:val="left"/>
              <w:rPr>
                <w:rFonts w:ascii="Arial" w:hAnsi="Arial"/>
                <w:strike/>
                <w:sz w:val="18"/>
              </w:rPr>
            </w:pPr>
          </w:p>
        </w:tc>
        <w:tc>
          <w:tcPr>
            <w:tcW w:w="364" w:type="pct"/>
            <w:vMerge/>
            <w:tcBorders>
              <w:left w:val="single" w:sz="4" w:space="0" w:color="auto"/>
              <w:bottom w:val="single" w:sz="4" w:space="0" w:color="auto"/>
              <w:right w:val="single" w:sz="4" w:space="0" w:color="auto"/>
            </w:tcBorders>
            <w:vAlign w:val="center"/>
          </w:tcPr>
          <w:p w14:paraId="351741F0" w14:textId="77777777" w:rsidR="00D124BD" w:rsidRPr="000B11E5" w:rsidRDefault="00D124BD" w:rsidP="002018A0">
            <w:pPr>
              <w:widowControl w:val="0"/>
              <w:spacing w:before="40" w:after="40"/>
              <w:jc w:val="left"/>
              <w:rPr>
                <w:rFonts w:ascii="Arial" w:hAnsi="Arial"/>
                <w:strike/>
                <w:sz w:val="18"/>
              </w:rPr>
            </w:pPr>
          </w:p>
        </w:tc>
        <w:tc>
          <w:tcPr>
            <w:tcW w:w="383" w:type="pct"/>
            <w:vMerge/>
            <w:tcBorders>
              <w:left w:val="single" w:sz="4" w:space="0" w:color="auto"/>
              <w:right w:val="single" w:sz="4" w:space="0" w:color="auto"/>
            </w:tcBorders>
          </w:tcPr>
          <w:p w14:paraId="58496EC6" w14:textId="77777777" w:rsidR="00D124BD" w:rsidRPr="000B11E5" w:rsidRDefault="00D124BD" w:rsidP="002018A0">
            <w:pPr>
              <w:widowControl w:val="0"/>
              <w:spacing w:before="40" w:after="40"/>
              <w:jc w:val="left"/>
              <w:rPr>
                <w:rFonts w:ascii="Arial" w:hAnsi="Arial"/>
                <w:sz w:val="18"/>
              </w:rPr>
            </w:pPr>
          </w:p>
        </w:tc>
        <w:tc>
          <w:tcPr>
            <w:tcW w:w="383" w:type="pct"/>
            <w:vMerge/>
            <w:tcBorders>
              <w:left w:val="single" w:sz="4" w:space="0" w:color="auto"/>
              <w:right w:val="single" w:sz="4" w:space="0" w:color="auto"/>
            </w:tcBorders>
          </w:tcPr>
          <w:p w14:paraId="142B92ED" w14:textId="77777777" w:rsidR="00D124BD" w:rsidRPr="000B11E5" w:rsidRDefault="00D124BD" w:rsidP="002018A0">
            <w:pPr>
              <w:widowControl w:val="0"/>
              <w:spacing w:before="40" w:after="40"/>
              <w:jc w:val="left"/>
              <w:rPr>
                <w:rFonts w:ascii="Arial" w:hAnsi="Arial"/>
                <w:sz w:val="18"/>
              </w:rPr>
            </w:pPr>
          </w:p>
        </w:tc>
        <w:tc>
          <w:tcPr>
            <w:tcW w:w="490" w:type="pct"/>
            <w:vMerge/>
            <w:tcBorders>
              <w:left w:val="single" w:sz="4" w:space="0" w:color="auto"/>
              <w:right w:val="single" w:sz="4" w:space="0" w:color="auto"/>
            </w:tcBorders>
          </w:tcPr>
          <w:p w14:paraId="66B03E46" w14:textId="77777777" w:rsidR="00D124BD" w:rsidRPr="000B11E5" w:rsidRDefault="00D124BD" w:rsidP="002018A0">
            <w:pPr>
              <w:widowControl w:val="0"/>
              <w:spacing w:before="40" w:after="40"/>
              <w:jc w:val="left"/>
              <w:rPr>
                <w:rFonts w:ascii="Arial" w:hAnsi="Arial"/>
                <w:sz w:val="18"/>
              </w:rPr>
            </w:pPr>
          </w:p>
        </w:tc>
        <w:tc>
          <w:tcPr>
            <w:tcW w:w="1226" w:type="pct"/>
            <w:vMerge/>
            <w:tcBorders>
              <w:left w:val="single" w:sz="4" w:space="0" w:color="auto"/>
              <w:right w:val="single" w:sz="4" w:space="0" w:color="auto"/>
            </w:tcBorders>
            <w:vAlign w:val="center"/>
          </w:tcPr>
          <w:p w14:paraId="1251FBC5" w14:textId="77777777" w:rsidR="00D124BD" w:rsidRPr="000B11E5" w:rsidRDefault="00D124BD" w:rsidP="002018A0">
            <w:pPr>
              <w:widowControl w:val="0"/>
              <w:spacing w:before="40" w:after="40"/>
              <w:jc w:val="left"/>
              <w:rPr>
                <w:rFonts w:ascii="Arial" w:hAnsi="Arial"/>
                <w:sz w:val="18"/>
              </w:rPr>
            </w:pPr>
          </w:p>
        </w:tc>
      </w:tr>
      <w:tr w:rsidR="002108B2" w:rsidRPr="000B11E5" w14:paraId="00D6F87A" w14:textId="77777777" w:rsidTr="00D124BD">
        <w:trPr>
          <w:cantSplit/>
          <w:trHeight w:val="335"/>
          <w:jc w:val="center"/>
        </w:trPr>
        <w:tc>
          <w:tcPr>
            <w:tcW w:w="5000" w:type="pct"/>
            <w:gridSpan w:val="13"/>
            <w:tcBorders>
              <w:top w:val="single" w:sz="4" w:space="0" w:color="auto"/>
              <w:left w:val="single" w:sz="4" w:space="0" w:color="auto"/>
              <w:bottom w:val="single" w:sz="4" w:space="0" w:color="auto"/>
              <w:right w:val="single" w:sz="4" w:space="0" w:color="auto"/>
            </w:tcBorders>
          </w:tcPr>
          <w:p w14:paraId="69E4928C" w14:textId="77777777" w:rsidR="00D124BD" w:rsidRPr="000B11E5" w:rsidRDefault="00DA3174" w:rsidP="002018A0">
            <w:pPr>
              <w:widowControl w:val="0"/>
              <w:spacing w:before="40" w:after="40"/>
              <w:jc w:val="center"/>
              <w:rPr>
                <w:rFonts w:ascii="Arial" w:hAnsi="Arial"/>
                <w:sz w:val="18"/>
              </w:rPr>
            </w:pPr>
            <w:r w:rsidRPr="000B11E5">
              <w:rPr>
                <w:rFonts w:ascii="Arial" w:hAnsi="Arial"/>
                <w:b/>
                <w:bCs/>
                <w:sz w:val="18"/>
              </w:rPr>
              <w:t>Administrative Procedures</w:t>
            </w:r>
          </w:p>
        </w:tc>
      </w:tr>
      <w:tr w:rsidR="002108B2" w:rsidRPr="000B11E5" w14:paraId="116DD90E" w14:textId="77777777" w:rsidTr="00536270">
        <w:trPr>
          <w:cantSplit/>
          <w:jc w:val="center"/>
        </w:trPr>
        <w:tc>
          <w:tcPr>
            <w:tcW w:w="491" w:type="pct"/>
            <w:tcBorders>
              <w:top w:val="single" w:sz="4" w:space="0" w:color="auto"/>
              <w:left w:val="single" w:sz="4" w:space="0" w:color="auto"/>
              <w:bottom w:val="single" w:sz="4" w:space="0" w:color="auto"/>
              <w:right w:val="single" w:sz="4" w:space="0" w:color="auto"/>
            </w:tcBorders>
            <w:vAlign w:val="center"/>
          </w:tcPr>
          <w:p w14:paraId="52071E36" w14:textId="77777777" w:rsidR="00D124BD" w:rsidRPr="000B11E5" w:rsidRDefault="00DA3174" w:rsidP="002018A0">
            <w:pPr>
              <w:widowControl w:val="0"/>
              <w:spacing w:before="40" w:after="40"/>
              <w:jc w:val="left"/>
              <w:rPr>
                <w:rFonts w:ascii="Arial" w:hAnsi="Arial"/>
                <w:b/>
                <w:bCs/>
                <w:sz w:val="18"/>
              </w:rPr>
            </w:pPr>
            <w:r w:rsidRPr="000B11E5">
              <w:rPr>
                <w:rFonts w:ascii="Arial" w:hAnsi="Arial"/>
                <w:sz w:val="18"/>
              </w:rPr>
              <w:t>Written informed consent</w:t>
            </w:r>
          </w:p>
        </w:tc>
        <w:tc>
          <w:tcPr>
            <w:tcW w:w="383" w:type="pct"/>
            <w:tcBorders>
              <w:top w:val="single" w:sz="4" w:space="0" w:color="auto"/>
              <w:left w:val="single" w:sz="4" w:space="0" w:color="auto"/>
              <w:bottom w:val="single" w:sz="4" w:space="0" w:color="auto"/>
              <w:right w:val="single" w:sz="4" w:space="0" w:color="auto"/>
            </w:tcBorders>
            <w:vAlign w:val="center"/>
          </w:tcPr>
          <w:p w14:paraId="761ED8CE" w14:textId="77777777" w:rsidR="00D124BD" w:rsidRPr="000B11E5" w:rsidRDefault="00DA3174" w:rsidP="002018A0">
            <w:pPr>
              <w:widowControl w:val="0"/>
              <w:spacing w:before="40" w:after="40"/>
              <w:jc w:val="center"/>
              <w:rPr>
                <w:rFonts w:ascii="Arial" w:hAnsi="Arial"/>
                <w:sz w:val="18"/>
              </w:rPr>
            </w:pPr>
            <w:r w:rsidRPr="000B11E5">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8703E51" w14:textId="77777777" w:rsidR="00D124BD" w:rsidRPr="000B11E5" w:rsidRDefault="00D124BD" w:rsidP="002018A0">
            <w:pPr>
              <w:widowControl w:val="0"/>
              <w:spacing w:before="40" w:after="40"/>
              <w:jc w:val="center"/>
              <w:rPr>
                <w:rFonts w:ascii="Arial" w:hAnsi="Arial"/>
                <w:sz w:val="18"/>
              </w:rPr>
            </w:pPr>
          </w:p>
        </w:tc>
        <w:tc>
          <w:tcPr>
            <w:tcW w:w="21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513570F" w14:textId="77777777" w:rsidR="00D124BD" w:rsidRPr="000B11E5" w:rsidRDefault="00D124BD" w:rsidP="002018A0">
            <w:pPr>
              <w:widowControl w:val="0"/>
              <w:spacing w:before="40" w:after="40"/>
              <w:jc w:val="center"/>
              <w:rPr>
                <w:rFonts w:ascii="Arial" w:hAnsi="Arial"/>
                <w:sz w:val="18"/>
              </w:rPr>
            </w:pPr>
          </w:p>
        </w:tc>
        <w:tc>
          <w:tcPr>
            <w:tcW w:w="1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FFA5AD" w14:textId="77777777" w:rsidR="00D124BD" w:rsidRPr="000B11E5" w:rsidRDefault="00D124BD" w:rsidP="002018A0">
            <w:pPr>
              <w:widowControl w:val="0"/>
              <w:spacing w:before="40" w:after="40"/>
              <w:jc w:val="center"/>
              <w:rPr>
                <w:rFonts w:ascii="Arial" w:hAnsi="Arial"/>
                <w:sz w:val="18"/>
              </w:rPr>
            </w:pPr>
          </w:p>
        </w:tc>
        <w:tc>
          <w:tcPr>
            <w:tcW w:w="2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83C5C5" w14:textId="77777777" w:rsidR="00D124BD" w:rsidRPr="000B11E5" w:rsidRDefault="00D124BD" w:rsidP="002018A0">
            <w:pPr>
              <w:widowControl w:val="0"/>
              <w:spacing w:before="40" w:after="40"/>
              <w:jc w:val="center"/>
              <w:rPr>
                <w:rFonts w:ascii="Arial" w:hAnsi="Arial"/>
                <w:sz w:val="18"/>
              </w:rPr>
            </w:pPr>
          </w:p>
        </w:tc>
        <w:tc>
          <w:tcPr>
            <w:tcW w:w="2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5471460" w14:textId="77777777" w:rsidR="00D124BD" w:rsidRPr="000B11E5" w:rsidRDefault="00D124BD" w:rsidP="002018A0">
            <w:pPr>
              <w:widowControl w:val="0"/>
              <w:spacing w:before="40" w:after="40"/>
              <w:jc w:val="center"/>
              <w:rPr>
                <w:rFonts w:ascii="Arial" w:hAnsi="Arial"/>
                <w:sz w:val="18"/>
              </w:rPr>
            </w:pPr>
          </w:p>
        </w:tc>
        <w:tc>
          <w:tcPr>
            <w:tcW w:w="28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2E55973" w14:textId="77777777" w:rsidR="00D124BD" w:rsidRPr="000B11E5" w:rsidRDefault="00D124BD" w:rsidP="002018A0">
            <w:pPr>
              <w:widowControl w:val="0"/>
              <w:spacing w:before="40" w:after="40"/>
              <w:jc w:val="center"/>
              <w:rPr>
                <w:rFonts w:ascii="Arial" w:hAnsi="Arial"/>
                <w:sz w:val="18"/>
              </w:rPr>
            </w:pP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3A581EC" w14:textId="77777777" w:rsidR="00D124BD" w:rsidRPr="000B11E5" w:rsidRDefault="00D124BD" w:rsidP="002018A0">
            <w:pPr>
              <w:widowControl w:val="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4F75F8D9" w14:textId="77777777" w:rsidR="00D124BD" w:rsidRPr="000B11E5" w:rsidRDefault="00D124BD" w:rsidP="002018A0">
            <w:pPr>
              <w:widowControl w:val="0"/>
              <w:spacing w:before="40" w:after="40"/>
              <w:jc w:val="left"/>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7BD88CEC" w14:textId="77777777" w:rsidR="00D124BD" w:rsidRPr="000B11E5" w:rsidRDefault="00D124BD" w:rsidP="002018A0">
            <w:pPr>
              <w:widowControl w:val="0"/>
              <w:spacing w:before="40" w:after="40"/>
              <w:jc w:val="left"/>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3DA32FBF" w14:textId="77777777" w:rsidR="006909FB" w:rsidRPr="000B11E5" w:rsidRDefault="006909FB" w:rsidP="002018A0">
            <w:pPr>
              <w:widowControl w:val="0"/>
              <w:rPr>
                <w:rFonts w:ascii="Arial" w:hAnsi="Arial"/>
                <w:sz w:val="18"/>
              </w:rPr>
            </w:pPr>
          </w:p>
        </w:tc>
        <w:tc>
          <w:tcPr>
            <w:tcW w:w="1226" w:type="pct"/>
            <w:tcBorders>
              <w:left w:val="single" w:sz="4" w:space="0" w:color="auto"/>
              <w:right w:val="single" w:sz="4" w:space="0" w:color="auto"/>
            </w:tcBorders>
            <w:shd w:val="clear" w:color="auto" w:fill="auto"/>
            <w:vAlign w:val="center"/>
          </w:tcPr>
          <w:p w14:paraId="386B8F86" w14:textId="2F08AA7D" w:rsidR="00D124BD" w:rsidRPr="000B11E5" w:rsidRDefault="00DA3174" w:rsidP="002018A0">
            <w:pPr>
              <w:widowControl w:val="0"/>
              <w:spacing w:before="40" w:after="40"/>
              <w:jc w:val="left"/>
              <w:rPr>
                <w:rFonts w:ascii="Arial" w:hAnsi="Arial"/>
                <w:sz w:val="18"/>
              </w:rPr>
            </w:pPr>
            <w:r w:rsidRPr="000B11E5">
              <w:rPr>
                <w:rFonts w:ascii="Arial" w:hAnsi="Arial"/>
                <w:sz w:val="18"/>
              </w:rPr>
              <w:t>Screening tests performed as part of routine care prior to informed consent signed will be accepted if they are within 28</w:t>
            </w:r>
            <w:r w:rsidR="005B6725" w:rsidRPr="000B11E5">
              <w:rPr>
                <w:rFonts w:ascii="Arial" w:hAnsi="Arial"/>
                <w:sz w:val="18"/>
              </w:rPr>
              <w:t>-</w:t>
            </w:r>
            <w:r w:rsidRPr="000B11E5">
              <w:rPr>
                <w:rFonts w:ascii="Arial" w:hAnsi="Arial"/>
                <w:sz w:val="18"/>
              </w:rPr>
              <w:t>day screening window</w:t>
            </w:r>
            <w:r w:rsidR="000F2972" w:rsidRPr="000B11E5">
              <w:rPr>
                <w:rFonts w:ascii="Arial" w:hAnsi="Arial"/>
                <w:sz w:val="18"/>
              </w:rPr>
              <w:t xml:space="preserve"> </w:t>
            </w:r>
            <w:r w:rsidR="000F2972" w:rsidRPr="000B11E5">
              <w:rPr>
                <w:rFonts w:ascii="Arial" w:hAnsi="Arial" w:cs="Arial"/>
                <w:sz w:val="18"/>
                <w:szCs w:val="18"/>
              </w:rPr>
              <w:t xml:space="preserve">(see Section </w:t>
            </w:r>
            <w:r w:rsidR="009D7F19" w:rsidRPr="000B11E5">
              <w:rPr>
                <w:rFonts w:ascii="Arial" w:hAnsi="Arial" w:cs="Arial"/>
                <w:sz w:val="18"/>
                <w:szCs w:val="18"/>
              </w:rPr>
              <w:fldChar w:fldCharType="begin"/>
            </w:r>
            <w:r w:rsidR="009D7F19" w:rsidRPr="000B11E5">
              <w:rPr>
                <w:rFonts w:ascii="Arial" w:hAnsi="Arial" w:cs="Arial"/>
                <w:sz w:val="18"/>
                <w:szCs w:val="18"/>
              </w:rPr>
              <w:instrText xml:space="preserve"> REF _Ref34080667 \r \h </w:instrText>
            </w:r>
            <w:r w:rsidR="00AF1814" w:rsidRPr="000B11E5">
              <w:rPr>
                <w:rFonts w:ascii="Arial" w:hAnsi="Arial" w:cs="Arial"/>
                <w:sz w:val="18"/>
                <w:szCs w:val="18"/>
              </w:rPr>
              <w:instrText xml:space="preserve"> \* MERGEFORMAT </w:instrText>
            </w:r>
            <w:r w:rsidR="009D7F19" w:rsidRPr="000B11E5">
              <w:rPr>
                <w:rFonts w:ascii="Arial" w:hAnsi="Arial" w:cs="Arial"/>
                <w:sz w:val="18"/>
                <w:szCs w:val="18"/>
              </w:rPr>
            </w:r>
            <w:r w:rsidR="009D7F19" w:rsidRPr="000B11E5">
              <w:rPr>
                <w:rFonts w:ascii="Arial" w:hAnsi="Arial" w:cs="Arial"/>
                <w:sz w:val="18"/>
                <w:szCs w:val="18"/>
              </w:rPr>
              <w:fldChar w:fldCharType="separate"/>
            </w:r>
            <w:r w:rsidR="00C548C3" w:rsidRPr="000B11E5">
              <w:rPr>
                <w:rFonts w:ascii="Arial" w:hAnsi="Arial" w:cs="Arial"/>
                <w:sz w:val="18"/>
                <w:szCs w:val="18"/>
              </w:rPr>
              <w:t>5.4</w:t>
            </w:r>
            <w:r w:rsidR="009D7F19" w:rsidRPr="000B11E5">
              <w:rPr>
                <w:rFonts w:ascii="Arial" w:hAnsi="Arial" w:cs="Arial"/>
                <w:sz w:val="18"/>
                <w:szCs w:val="18"/>
              </w:rPr>
              <w:fldChar w:fldCharType="end"/>
            </w:r>
            <w:r w:rsidR="000F2972" w:rsidRPr="000B11E5">
              <w:rPr>
                <w:rFonts w:ascii="Arial" w:hAnsi="Arial" w:cs="Arial"/>
                <w:sz w:val="18"/>
                <w:szCs w:val="18"/>
              </w:rPr>
              <w:t>)</w:t>
            </w:r>
            <w:r w:rsidRPr="000B11E5">
              <w:rPr>
                <w:rFonts w:ascii="Arial" w:hAnsi="Arial"/>
                <w:sz w:val="18"/>
              </w:rPr>
              <w:t>.</w:t>
            </w:r>
          </w:p>
        </w:tc>
      </w:tr>
      <w:tr w:rsidR="002108B2" w:rsidRPr="00AF1814" w14:paraId="59B49DBE" w14:textId="77777777" w:rsidTr="00536270">
        <w:trPr>
          <w:cantSplit/>
          <w:jc w:val="center"/>
        </w:trPr>
        <w:tc>
          <w:tcPr>
            <w:tcW w:w="491" w:type="pct"/>
            <w:tcBorders>
              <w:top w:val="single" w:sz="4" w:space="0" w:color="auto"/>
              <w:left w:val="single" w:sz="4" w:space="0" w:color="auto"/>
              <w:bottom w:val="single" w:sz="4" w:space="0" w:color="auto"/>
              <w:right w:val="single" w:sz="4" w:space="0" w:color="auto"/>
            </w:tcBorders>
            <w:vAlign w:val="center"/>
          </w:tcPr>
          <w:p w14:paraId="3E2CAB9A" w14:textId="77777777" w:rsidR="00D124BD" w:rsidRPr="00AF1814" w:rsidRDefault="00DA3174" w:rsidP="00D124BD">
            <w:pPr>
              <w:keepLines/>
              <w:widowControl w:val="0"/>
              <w:spacing w:before="40" w:after="40"/>
              <w:jc w:val="left"/>
              <w:rPr>
                <w:rFonts w:ascii="Arial" w:hAnsi="Arial"/>
                <w:b/>
                <w:bCs/>
                <w:sz w:val="18"/>
              </w:rPr>
            </w:pPr>
            <w:r w:rsidRPr="00AF1814">
              <w:rPr>
                <w:rFonts w:ascii="Arial" w:hAnsi="Arial"/>
                <w:sz w:val="18"/>
              </w:rPr>
              <w:t xml:space="preserve">Inclusion/ </w:t>
            </w:r>
            <w:r w:rsidR="00EC5160" w:rsidRPr="00AF1814">
              <w:rPr>
                <w:rFonts w:ascii="Arial" w:hAnsi="Arial"/>
                <w:sz w:val="18"/>
              </w:rPr>
              <w:t>e</w:t>
            </w:r>
            <w:r w:rsidRPr="00AF1814">
              <w:rPr>
                <w:rFonts w:ascii="Arial" w:hAnsi="Arial"/>
                <w:sz w:val="18"/>
              </w:rPr>
              <w:t xml:space="preserve">xclusion/ </w:t>
            </w:r>
            <w:r w:rsidR="00EC5160" w:rsidRPr="00AF1814">
              <w:rPr>
                <w:rFonts w:ascii="Arial" w:hAnsi="Arial"/>
                <w:sz w:val="18"/>
              </w:rPr>
              <w:t>e</w:t>
            </w:r>
            <w:r w:rsidRPr="00AF1814">
              <w:rPr>
                <w:rFonts w:ascii="Arial" w:hAnsi="Arial"/>
                <w:sz w:val="18"/>
              </w:rPr>
              <w:t>nrollment (if eligible)</w:t>
            </w:r>
          </w:p>
        </w:tc>
        <w:tc>
          <w:tcPr>
            <w:tcW w:w="383" w:type="pct"/>
            <w:tcBorders>
              <w:top w:val="single" w:sz="4" w:space="0" w:color="auto"/>
              <w:left w:val="single" w:sz="4" w:space="0" w:color="auto"/>
              <w:bottom w:val="single" w:sz="4" w:space="0" w:color="auto"/>
              <w:right w:val="single" w:sz="4" w:space="0" w:color="auto"/>
            </w:tcBorders>
            <w:vAlign w:val="center"/>
          </w:tcPr>
          <w:p w14:paraId="52C011A7"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14:paraId="2D722449"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21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EE6DE96" w14:textId="77777777" w:rsidR="00D124BD" w:rsidRPr="00AF1814" w:rsidRDefault="00D124BD" w:rsidP="00D124BD">
            <w:pPr>
              <w:keepLines/>
              <w:widowControl w:val="0"/>
              <w:spacing w:before="40" w:after="40"/>
              <w:jc w:val="center"/>
              <w:rPr>
                <w:rFonts w:ascii="Arial" w:hAnsi="Arial"/>
                <w:sz w:val="18"/>
              </w:rPr>
            </w:pPr>
          </w:p>
        </w:tc>
        <w:tc>
          <w:tcPr>
            <w:tcW w:w="1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9F5E0B5" w14:textId="77777777" w:rsidR="00D124BD" w:rsidRPr="00AF1814" w:rsidRDefault="00D124BD" w:rsidP="00D124BD">
            <w:pPr>
              <w:keepLines/>
              <w:widowControl w:val="0"/>
              <w:spacing w:before="40" w:after="40"/>
              <w:jc w:val="center"/>
              <w:rPr>
                <w:rFonts w:ascii="Arial" w:hAnsi="Arial"/>
                <w:sz w:val="18"/>
              </w:rPr>
            </w:pPr>
          </w:p>
        </w:tc>
        <w:tc>
          <w:tcPr>
            <w:tcW w:w="2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BA4CC7" w14:textId="77777777" w:rsidR="00D124BD" w:rsidRPr="00AF1814" w:rsidRDefault="00D124BD" w:rsidP="00D124BD">
            <w:pPr>
              <w:keepLines/>
              <w:widowControl w:val="0"/>
              <w:spacing w:before="40" w:after="40"/>
              <w:jc w:val="center"/>
              <w:rPr>
                <w:rFonts w:ascii="Arial" w:hAnsi="Arial"/>
                <w:sz w:val="18"/>
              </w:rPr>
            </w:pPr>
          </w:p>
        </w:tc>
        <w:tc>
          <w:tcPr>
            <w:tcW w:w="2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206402" w14:textId="77777777" w:rsidR="00D124BD" w:rsidRPr="00AF1814" w:rsidRDefault="00D124BD" w:rsidP="00D124BD">
            <w:pPr>
              <w:keepLines/>
              <w:widowControl w:val="0"/>
              <w:spacing w:before="40" w:after="40"/>
              <w:jc w:val="center"/>
              <w:rPr>
                <w:rFonts w:ascii="Arial" w:hAnsi="Arial"/>
                <w:sz w:val="18"/>
              </w:rPr>
            </w:pPr>
          </w:p>
        </w:tc>
        <w:tc>
          <w:tcPr>
            <w:tcW w:w="28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A961FD" w14:textId="77777777" w:rsidR="00D124BD" w:rsidRPr="00AF1814" w:rsidRDefault="00D124BD" w:rsidP="00D124BD">
            <w:pPr>
              <w:keepLines/>
              <w:widowControl w:val="0"/>
              <w:spacing w:before="40" w:after="40"/>
              <w:jc w:val="center"/>
              <w:rPr>
                <w:rFonts w:ascii="Arial" w:hAnsi="Arial"/>
                <w:sz w:val="18"/>
              </w:rPr>
            </w:pP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2108C5" w14:textId="77777777" w:rsidR="00D124BD" w:rsidRPr="00AF1814" w:rsidRDefault="00D124BD" w:rsidP="00D124BD">
            <w:pPr>
              <w:keepLines/>
              <w:widowControl w:val="0"/>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6A5A2995" w14:textId="77777777" w:rsidR="00D124BD" w:rsidRPr="00AF1814" w:rsidRDefault="00D124BD" w:rsidP="00D124BD">
            <w:pPr>
              <w:keepLines/>
              <w:widowControl w:val="0"/>
              <w:spacing w:before="40" w:after="40"/>
              <w:jc w:val="left"/>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1FFA25ED" w14:textId="77777777" w:rsidR="00D124BD" w:rsidRPr="00AF1814" w:rsidRDefault="00D124BD" w:rsidP="00D124BD">
            <w:pPr>
              <w:keepLines/>
              <w:widowControl w:val="0"/>
              <w:spacing w:before="40" w:after="40"/>
              <w:jc w:val="left"/>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5A8DC50B" w14:textId="77777777" w:rsidR="006909FB" w:rsidRPr="00AF1814" w:rsidRDefault="006909FB" w:rsidP="006909FB">
            <w:pPr>
              <w:rPr>
                <w:rFonts w:ascii="Arial" w:hAnsi="Arial"/>
                <w:sz w:val="18"/>
              </w:rPr>
            </w:pPr>
          </w:p>
        </w:tc>
        <w:tc>
          <w:tcPr>
            <w:tcW w:w="1226" w:type="pct"/>
            <w:tcBorders>
              <w:left w:val="single" w:sz="4" w:space="0" w:color="auto"/>
              <w:right w:val="single" w:sz="4" w:space="0" w:color="auto"/>
            </w:tcBorders>
            <w:shd w:val="clear" w:color="auto" w:fill="BFBFBF" w:themeFill="background1" w:themeFillShade="BF"/>
            <w:vAlign w:val="center"/>
          </w:tcPr>
          <w:p w14:paraId="0BCD2FEF" w14:textId="77777777" w:rsidR="00D124BD" w:rsidRPr="00AF1814" w:rsidRDefault="00D124BD" w:rsidP="00D124BD">
            <w:pPr>
              <w:keepLines/>
              <w:widowControl w:val="0"/>
              <w:spacing w:before="40" w:after="40"/>
              <w:jc w:val="left"/>
              <w:rPr>
                <w:rFonts w:ascii="Arial" w:hAnsi="Arial"/>
                <w:sz w:val="18"/>
              </w:rPr>
            </w:pPr>
          </w:p>
        </w:tc>
      </w:tr>
      <w:tr w:rsidR="002108B2" w:rsidRPr="00AF1814" w14:paraId="5A5CE736" w14:textId="77777777" w:rsidTr="00536270">
        <w:trPr>
          <w:cantSplit/>
          <w:jc w:val="center"/>
        </w:trPr>
        <w:tc>
          <w:tcPr>
            <w:tcW w:w="491" w:type="pct"/>
            <w:tcBorders>
              <w:top w:val="single" w:sz="4" w:space="0" w:color="auto"/>
              <w:left w:val="single" w:sz="4" w:space="0" w:color="auto"/>
              <w:bottom w:val="single" w:sz="4" w:space="0" w:color="auto"/>
              <w:right w:val="single" w:sz="4" w:space="0" w:color="auto"/>
            </w:tcBorders>
            <w:vAlign w:val="center"/>
          </w:tcPr>
          <w:p w14:paraId="01146B87" w14:textId="77777777" w:rsidR="00D124BD" w:rsidRPr="00AF1814" w:rsidRDefault="00DA3174" w:rsidP="00D124BD">
            <w:pPr>
              <w:keepLines/>
              <w:widowControl w:val="0"/>
              <w:spacing w:before="40" w:after="40"/>
              <w:jc w:val="left"/>
              <w:rPr>
                <w:rFonts w:ascii="Arial" w:hAnsi="Arial"/>
                <w:b/>
                <w:bCs/>
                <w:sz w:val="18"/>
              </w:rPr>
            </w:pPr>
            <w:r w:rsidRPr="00AF1814">
              <w:rPr>
                <w:rFonts w:ascii="Arial" w:hAnsi="Arial"/>
                <w:sz w:val="18"/>
              </w:rPr>
              <w:t>Demographic data</w:t>
            </w:r>
          </w:p>
        </w:tc>
        <w:tc>
          <w:tcPr>
            <w:tcW w:w="383" w:type="pct"/>
            <w:tcBorders>
              <w:top w:val="single" w:sz="4" w:space="0" w:color="auto"/>
              <w:left w:val="single" w:sz="4" w:space="0" w:color="auto"/>
              <w:bottom w:val="single" w:sz="4" w:space="0" w:color="auto"/>
              <w:right w:val="single" w:sz="4" w:space="0" w:color="auto"/>
            </w:tcBorders>
            <w:vAlign w:val="center"/>
          </w:tcPr>
          <w:p w14:paraId="076DC3EF"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02498C" w14:textId="77777777" w:rsidR="00D124BD" w:rsidRPr="00AF1814" w:rsidRDefault="00D124BD" w:rsidP="00D124BD">
            <w:pPr>
              <w:keepLines/>
              <w:widowControl w:val="0"/>
              <w:spacing w:before="40" w:after="40"/>
              <w:jc w:val="center"/>
              <w:rPr>
                <w:rFonts w:ascii="Arial" w:hAnsi="Arial"/>
                <w:sz w:val="18"/>
              </w:rPr>
            </w:pPr>
          </w:p>
        </w:tc>
        <w:tc>
          <w:tcPr>
            <w:tcW w:w="21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7CC34CD" w14:textId="77777777" w:rsidR="00D124BD" w:rsidRPr="00AF1814" w:rsidRDefault="00D124BD" w:rsidP="00D124BD">
            <w:pPr>
              <w:keepLines/>
              <w:widowControl w:val="0"/>
              <w:spacing w:before="40" w:after="40"/>
              <w:jc w:val="center"/>
              <w:rPr>
                <w:rFonts w:ascii="Arial" w:hAnsi="Arial"/>
                <w:sz w:val="18"/>
              </w:rPr>
            </w:pPr>
          </w:p>
        </w:tc>
        <w:tc>
          <w:tcPr>
            <w:tcW w:w="1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0124964" w14:textId="77777777" w:rsidR="00D124BD" w:rsidRPr="00AF1814" w:rsidRDefault="00D124BD" w:rsidP="00D124BD">
            <w:pPr>
              <w:keepLines/>
              <w:widowControl w:val="0"/>
              <w:spacing w:before="40" w:after="40"/>
              <w:jc w:val="center"/>
              <w:rPr>
                <w:rFonts w:ascii="Arial" w:hAnsi="Arial"/>
                <w:sz w:val="18"/>
              </w:rPr>
            </w:pPr>
          </w:p>
        </w:tc>
        <w:tc>
          <w:tcPr>
            <w:tcW w:w="2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8966A45" w14:textId="77777777" w:rsidR="00D124BD" w:rsidRPr="00AF1814" w:rsidRDefault="00D124BD" w:rsidP="00D124BD">
            <w:pPr>
              <w:keepLines/>
              <w:widowControl w:val="0"/>
              <w:spacing w:before="40" w:after="40"/>
              <w:jc w:val="center"/>
              <w:rPr>
                <w:rFonts w:ascii="Arial" w:hAnsi="Arial"/>
                <w:sz w:val="18"/>
              </w:rPr>
            </w:pPr>
          </w:p>
        </w:tc>
        <w:tc>
          <w:tcPr>
            <w:tcW w:w="2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778845" w14:textId="77777777" w:rsidR="00D124BD" w:rsidRPr="00AF1814" w:rsidRDefault="00D124BD" w:rsidP="00D124BD">
            <w:pPr>
              <w:keepLines/>
              <w:widowControl w:val="0"/>
              <w:spacing w:before="40" w:after="40"/>
              <w:jc w:val="center"/>
              <w:rPr>
                <w:rFonts w:ascii="Arial" w:hAnsi="Arial"/>
                <w:sz w:val="18"/>
              </w:rPr>
            </w:pPr>
          </w:p>
        </w:tc>
        <w:tc>
          <w:tcPr>
            <w:tcW w:w="28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B3A98A" w14:textId="77777777" w:rsidR="00D124BD" w:rsidRPr="00AF1814" w:rsidRDefault="00D124BD" w:rsidP="00D124BD">
            <w:pPr>
              <w:keepLines/>
              <w:widowControl w:val="0"/>
              <w:spacing w:before="40" w:after="40"/>
              <w:jc w:val="center"/>
              <w:rPr>
                <w:rFonts w:ascii="Arial" w:hAnsi="Arial"/>
                <w:sz w:val="18"/>
              </w:rPr>
            </w:pP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07BF13F" w14:textId="77777777" w:rsidR="00D124BD" w:rsidRPr="00AF1814" w:rsidRDefault="00D124BD" w:rsidP="00D124BD">
            <w:pPr>
              <w:keepLines/>
              <w:widowControl w:val="0"/>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2DE2B6C2" w14:textId="77777777" w:rsidR="00D124BD" w:rsidRPr="00AF1814" w:rsidRDefault="00D124BD" w:rsidP="00D124BD">
            <w:pPr>
              <w:keepLines/>
              <w:widowControl w:val="0"/>
              <w:spacing w:before="40" w:after="40"/>
              <w:jc w:val="left"/>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6D8A0525" w14:textId="77777777" w:rsidR="00D124BD" w:rsidRPr="00AF1814" w:rsidRDefault="00D124BD" w:rsidP="00D124BD">
            <w:pPr>
              <w:keepLines/>
              <w:widowControl w:val="0"/>
              <w:spacing w:before="40" w:after="40"/>
              <w:jc w:val="left"/>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62F44B85" w14:textId="77777777" w:rsidR="006909FB" w:rsidRPr="00AF1814" w:rsidRDefault="006909FB" w:rsidP="006909FB">
            <w:pPr>
              <w:rPr>
                <w:rFonts w:ascii="Arial" w:hAnsi="Arial"/>
                <w:sz w:val="18"/>
              </w:rPr>
            </w:pPr>
          </w:p>
        </w:tc>
        <w:tc>
          <w:tcPr>
            <w:tcW w:w="1226" w:type="pct"/>
            <w:tcBorders>
              <w:left w:val="single" w:sz="4" w:space="0" w:color="auto"/>
              <w:right w:val="single" w:sz="4" w:space="0" w:color="auto"/>
            </w:tcBorders>
            <w:shd w:val="clear" w:color="auto" w:fill="BFBFBF" w:themeFill="background1" w:themeFillShade="BF"/>
            <w:vAlign w:val="center"/>
          </w:tcPr>
          <w:p w14:paraId="51022547" w14:textId="77777777" w:rsidR="00D124BD" w:rsidRPr="00AF1814" w:rsidRDefault="00D124BD" w:rsidP="00D124BD">
            <w:pPr>
              <w:keepLines/>
              <w:widowControl w:val="0"/>
              <w:spacing w:before="40" w:after="40"/>
              <w:jc w:val="left"/>
              <w:rPr>
                <w:rFonts w:ascii="Arial" w:hAnsi="Arial"/>
                <w:sz w:val="18"/>
              </w:rPr>
            </w:pPr>
          </w:p>
        </w:tc>
      </w:tr>
      <w:tr w:rsidR="002108B2" w:rsidRPr="00AF1814" w14:paraId="36EB6A62" w14:textId="77777777" w:rsidTr="00536270">
        <w:trPr>
          <w:cantSplit/>
          <w:jc w:val="center"/>
        </w:trPr>
        <w:tc>
          <w:tcPr>
            <w:tcW w:w="491" w:type="pct"/>
            <w:tcBorders>
              <w:top w:val="single" w:sz="4" w:space="0" w:color="auto"/>
              <w:left w:val="single" w:sz="4" w:space="0" w:color="auto"/>
              <w:bottom w:val="single" w:sz="4" w:space="0" w:color="auto"/>
              <w:right w:val="single" w:sz="4" w:space="0" w:color="auto"/>
            </w:tcBorders>
            <w:vAlign w:val="center"/>
          </w:tcPr>
          <w:p w14:paraId="391EFB54" w14:textId="77777777" w:rsidR="00D124BD" w:rsidRPr="00AF1814" w:rsidRDefault="00DA3174" w:rsidP="00D124BD">
            <w:pPr>
              <w:keepLines/>
              <w:widowControl w:val="0"/>
              <w:spacing w:before="40" w:after="40"/>
              <w:jc w:val="left"/>
              <w:rPr>
                <w:rFonts w:ascii="Arial" w:hAnsi="Arial"/>
                <w:b/>
                <w:bCs/>
                <w:sz w:val="18"/>
              </w:rPr>
            </w:pPr>
            <w:r w:rsidRPr="00AF1814">
              <w:rPr>
                <w:rFonts w:ascii="Arial" w:hAnsi="Arial"/>
                <w:sz w:val="18"/>
              </w:rPr>
              <w:t xml:space="preserve">Medical history </w:t>
            </w:r>
          </w:p>
        </w:tc>
        <w:tc>
          <w:tcPr>
            <w:tcW w:w="383" w:type="pct"/>
            <w:tcBorders>
              <w:top w:val="single" w:sz="4" w:space="0" w:color="auto"/>
              <w:left w:val="single" w:sz="4" w:space="0" w:color="auto"/>
              <w:bottom w:val="single" w:sz="4" w:space="0" w:color="auto"/>
              <w:right w:val="single" w:sz="4" w:space="0" w:color="auto"/>
            </w:tcBorders>
            <w:vAlign w:val="center"/>
          </w:tcPr>
          <w:p w14:paraId="749C90E4"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56F70B1" w14:textId="77777777" w:rsidR="00D124BD" w:rsidRPr="00AF1814" w:rsidRDefault="00D124BD" w:rsidP="00D124BD">
            <w:pPr>
              <w:keepLines/>
              <w:widowControl w:val="0"/>
              <w:spacing w:before="40" w:after="40"/>
              <w:jc w:val="center"/>
              <w:rPr>
                <w:rFonts w:ascii="Arial" w:hAnsi="Arial"/>
                <w:sz w:val="18"/>
              </w:rPr>
            </w:pPr>
          </w:p>
        </w:tc>
        <w:tc>
          <w:tcPr>
            <w:tcW w:w="21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430581" w14:textId="77777777" w:rsidR="00D124BD" w:rsidRPr="00AF1814" w:rsidRDefault="00D124BD" w:rsidP="00D124BD">
            <w:pPr>
              <w:keepLines/>
              <w:widowControl w:val="0"/>
              <w:spacing w:before="40" w:after="40"/>
              <w:jc w:val="center"/>
              <w:rPr>
                <w:rFonts w:ascii="Arial" w:hAnsi="Arial"/>
                <w:sz w:val="18"/>
              </w:rPr>
            </w:pPr>
          </w:p>
        </w:tc>
        <w:tc>
          <w:tcPr>
            <w:tcW w:w="1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36D91E" w14:textId="77777777" w:rsidR="00D124BD" w:rsidRPr="00AF1814" w:rsidRDefault="00D124BD" w:rsidP="00D124BD">
            <w:pPr>
              <w:keepLines/>
              <w:widowControl w:val="0"/>
              <w:spacing w:before="40" w:after="40"/>
              <w:jc w:val="center"/>
              <w:rPr>
                <w:rFonts w:ascii="Arial" w:hAnsi="Arial"/>
                <w:sz w:val="18"/>
              </w:rPr>
            </w:pPr>
          </w:p>
        </w:tc>
        <w:tc>
          <w:tcPr>
            <w:tcW w:w="2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83410AA" w14:textId="77777777" w:rsidR="00D124BD" w:rsidRPr="00AF1814" w:rsidRDefault="00D124BD" w:rsidP="00D124BD">
            <w:pPr>
              <w:keepLines/>
              <w:widowControl w:val="0"/>
              <w:spacing w:before="40" w:after="40"/>
              <w:jc w:val="center"/>
              <w:rPr>
                <w:rFonts w:ascii="Arial" w:hAnsi="Arial"/>
                <w:sz w:val="18"/>
              </w:rPr>
            </w:pPr>
          </w:p>
        </w:tc>
        <w:tc>
          <w:tcPr>
            <w:tcW w:w="2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0702F83" w14:textId="77777777" w:rsidR="00D124BD" w:rsidRPr="00AF1814" w:rsidRDefault="00D124BD" w:rsidP="00D124BD">
            <w:pPr>
              <w:keepLines/>
              <w:widowControl w:val="0"/>
              <w:spacing w:before="40" w:after="40"/>
              <w:jc w:val="center"/>
              <w:rPr>
                <w:rFonts w:ascii="Arial" w:hAnsi="Arial"/>
                <w:sz w:val="18"/>
              </w:rPr>
            </w:pPr>
          </w:p>
        </w:tc>
        <w:tc>
          <w:tcPr>
            <w:tcW w:w="28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B81B1" w14:textId="77777777" w:rsidR="00D124BD" w:rsidRPr="00AF1814" w:rsidRDefault="00D124BD" w:rsidP="00D124BD">
            <w:pPr>
              <w:keepLines/>
              <w:widowControl w:val="0"/>
              <w:spacing w:before="40" w:after="40"/>
              <w:jc w:val="center"/>
              <w:rPr>
                <w:rFonts w:ascii="Arial" w:hAnsi="Arial"/>
                <w:sz w:val="18"/>
              </w:rPr>
            </w:pP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0B399F" w14:textId="77777777" w:rsidR="00D124BD" w:rsidRPr="00AF1814" w:rsidRDefault="00D124BD" w:rsidP="00D124BD">
            <w:pPr>
              <w:keepLines/>
              <w:widowControl w:val="0"/>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73AE45D3" w14:textId="77777777" w:rsidR="00D124BD" w:rsidRPr="00AF1814" w:rsidRDefault="00D124BD" w:rsidP="00D124BD">
            <w:pPr>
              <w:keepLines/>
              <w:widowControl w:val="0"/>
              <w:spacing w:before="40" w:after="40"/>
              <w:jc w:val="left"/>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7FB9B146" w14:textId="77777777" w:rsidR="00D124BD" w:rsidRPr="00AF1814" w:rsidRDefault="00D124BD" w:rsidP="00D124BD">
            <w:pPr>
              <w:keepLines/>
              <w:widowControl w:val="0"/>
              <w:spacing w:before="40" w:after="40"/>
              <w:jc w:val="left"/>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11D2D3ED" w14:textId="77777777" w:rsidR="006909FB" w:rsidRPr="00AF1814" w:rsidRDefault="006909FB" w:rsidP="006909FB">
            <w:pPr>
              <w:rPr>
                <w:rFonts w:ascii="Arial" w:hAnsi="Arial"/>
                <w:sz w:val="18"/>
              </w:rPr>
            </w:pPr>
          </w:p>
        </w:tc>
        <w:tc>
          <w:tcPr>
            <w:tcW w:w="1226" w:type="pct"/>
            <w:tcBorders>
              <w:left w:val="single" w:sz="4" w:space="0" w:color="auto"/>
              <w:right w:val="single" w:sz="4" w:space="0" w:color="auto"/>
            </w:tcBorders>
            <w:shd w:val="clear" w:color="auto" w:fill="BFBFBF" w:themeFill="background1" w:themeFillShade="BF"/>
            <w:vAlign w:val="center"/>
          </w:tcPr>
          <w:p w14:paraId="6018EA8F" w14:textId="77777777" w:rsidR="00D124BD" w:rsidRPr="00AF1814" w:rsidRDefault="00D124BD" w:rsidP="00D124BD">
            <w:pPr>
              <w:keepLines/>
              <w:widowControl w:val="0"/>
              <w:spacing w:before="40" w:after="40"/>
              <w:jc w:val="left"/>
              <w:rPr>
                <w:rFonts w:ascii="Arial" w:hAnsi="Arial"/>
                <w:sz w:val="18"/>
              </w:rPr>
            </w:pPr>
          </w:p>
        </w:tc>
      </w:tr>
      <w:tr w:rsidR="002108B2" w:rsidRPr="00AF1814" w14:paraId="5B3DAC14" w14:textId="77777777" w:rsidTr="00536270">
        <w:trPr>
          <w:cantSplit/>
          <w:jc w:val="center"/>
        </w:trPr>
        <w:tc>
          <w:tcPr>
            <w:tcW w:w="491" w:type="pct"/>
            <w:tcBorders>
              <w:top w:val="single" w:sz="4" w:space="0" w:color="auto"/>
              <w:left w:val="single" w:sz="4" w:space="0" w:color="auto"/>
              <w:bottom w:val="single" w:sz="4" w:space="0" w:color="auto"/>
              <w:right w:val="single" w:sz="4" w:space="0" w:color="auto"/>
            </w:tcBorders>
            <w:vAlign w:val="center"/>
          </w:tcPr>
          <w:p w14:paraId="005D03CD" w14:textId="440E1F37" w:rsidR="00D124BD" w:rsidRPr="00AF1814" w:rsidRDefault="00DA3174" w:rsidP="00890694">
            <w:pPr>
              <w:keepLines/>
              <w:widowControl w:val="0"/>
              <w:spacing w:before="40" w:after="40"/>
              <w:jc w:val="left"/>
              <w:rPr>
                <w:rFonts w:ascii="Arial" w:hAnsi="Arial"/>
                <w:sz w:val="18"/>
              </w:rPr>
            </w:pPr>
            <w:r w:rsidRPr="00AF1814">
              <w:rPr>
                <w:rFonts w:ascii="Arial" w:hAnsi="Arial"/>
                <w:sz w:val="18"/>
              </w:rPr>
              <w:lastRenderedPageBreak/>
              <w:t>Prior anti</w:t>
            </w:r>
            <w:r w:rsidR="00D77787">
              <w:rPr>
                <w:rFonts w:ascii="Arial" w:hAnsi="Arial"/>
                <w:sz w:val="18"/>
              </w:rPr>
              <w:noBreakHyphen/>
            </w:r>
            <w:r w:rsidRPr="00AF1814">
              <w:rPr>
                <w:rFonts w:ascii="Arial" w:hAnsi="Arial"/>
                <w:sz w:val="18"/>
              </w:rPr>
              <w:t>cancer drug/</w:t>
            </w:r>
            <w:r w:rsidR="00890694" w:rsidRPr="00AF1814">
              <w:t xml:space="preserve"> </w:t>
            </w:r>
            <w:r w:rsidR="00890694" w:rsidRPr="00AF1814">
              <w:br/>
            </w:r>
            <w:r w:rsidRPr="00AF1814">
              <w:rPr>
                <w:rFonts w:ascii="Arial" w:hAnsi="Arial"/>
                <w:sz w:val="18"/>
              </w:rPr>
              <w:t>radiotherapy/</w:t>
            </w:r>
            <w:r w:rsidR="00890694" w:rsidRPr="00AF1814">
              <w:t xml:space="preserve"> </w:t>
            </w:r>
            <w:r w:rsidR="00890694" w:rsidRPr="00AF1814">
              <w:br/>
            </w:r>
            <w:r w:rsidRPr="00AF1814">
              <w:rPr>
                <w:rFonts w:ascii="Arial" w:hAnsi="Arial"/>
                <w:sz w:val="18"/>
              </w:rPr>
              <w:t>procedures for Baseline visit</w:t>
            </w:r>
          </w:p>
        </w:tc>
        <w:tc>
          <w:tcPr>
            <w:tcW w:w="383" w:type="pct"/>
            <w:tcBorders>
              <w:top w:val="single" w:sz="4" w:space="0" w:color="auto"/>
              <w:left w:val="single" w:sz="4" w:space="0" w:color="auto"/>
              <w:bottom w:val="single" w:sz="4" w:space="0" w:color="auto"/>
              <w:right w:val="single" w:sz="4" w:space="0" w:color="auto"/>
            </w:tcBorders>
            <w:vAlign w:val="center"/>
          </w:tcPr>
          <w:p w14:paraId="0B678CEB"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95C4C1" w14:textId="77777777" w:rsidR="00D124BD" w:rsidRPr="00AF1814" w:rsidRDefault="00D124BD" w:rsidP="00D124BD">
            <w:pPr>
              <w:keepLines/>
              <w:widowControl w:val="0"/>
              <w:spacing w:before="40" w:after="40"/>
              <w:jc w:val="center"/>
              <w:rPr>
                <w:rFonts w:ascii="Arial" w:hAnsi="Arial"/>
                <w:sz w:val="18"/>
              </w:rPr>
            </w:pPr>
          </w:p>
        </w:tc>
        <w:tc>
          <w:tcPr>
            <w:tcW w:w="21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A9D680" w14:textId="77777777" w:rsidR="00D124BD" w:rsidRPr="00AF1814" w:rsidRDefault="00D124BD" w:rsidP="00D124BD">
            <w:pPr>
              <w:keepLines/>
              <w:widowControl w:val="0"/>
              <w:spacing w:before="40" w:after="40"/>
              <w:jc w:val="center"/>
              <w:rPr>
                <w:rFonts w:ascii="Arial" w:hAnsi="Arial"/>
                <w:sz w:val="18"/>
              </w:rPr>
            </w:pPr>
          </w:p>
        </w:tc>
        <w:tc>
          <w:tcPr>
            <w:tcW w:w="1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96D882" w14:textId="77777777" w:rsidR="00D124BD" w:rsidRPr="00AF1814" w:rsidRDefault="00D124BD" w:rsidP="00D124BD">
            <w:pPr>
              <w:keepLines/>
              <w:widowControl w:val="0"/>
              <w:spacing w:before="40" w:after="40"/>
              <w:jc w:val="center"/>
              <w:rPr>
                <w:rFonts w:ascii="Arial" w:hAnsi="Arial"/>
                <w:sz w:val="18"/>
              </w:rPr>
            </w:pPr>
          </w:p>
        </w:tc>
        <w:tc>
          <w:tcPr>
            <w:tcW w:w="2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FCD9F4" w14:textId="77777777" w:rsidR="00D124BD" w:rsidRPr="00AF1814" w:rsidRDefault="00D124BD" w:rsidP="00D124BD">
            <w:pPr>
              <w:keepLines/>
              <w:widowControl w:val="0"/>
              <w:spacing w:before="40" w:after="40"/>
              <w:jc w:val="center"/>
              <w:rPr>
                <w:rFonts w:ascii="Arial" w:hAnsi="Arial"/>
                <w:sz w:val="18"/>
              </w:rPr>
            </w:pPr>
          </w:p>
        </w:tc>
        <w:tc>
          <w:tcPr>
            <w:tcW w:w="2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4240AD" w14:textId="77777777" w:rsidR="00D124BD" w:rsidRPr="00AF1814" w:rsidRDefault="00D124BD" w:rsidP="00D124BD">
            <w:pPr>
              <w:keepLines/>
              <w:widowControl w:val="0"/>
              <w:spacing w:before="40" w:after="40"/>
              <w:jc w:val="center"/>
              <w:rPr>
                <w:rFonts w:ascii="Arial" w:hAnsi="Arial"/>
                <w:sz w:val="18"/>
              </w:rPr>
            </w:pPr>
          </w:p>
        </w:tc>
        <w:tc>
          <w:tcPr>
            <w:tcW w:w="28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0B8214A" w14:textId="77777777" w:rsidR="00D124BD" w:rsidRPr="00AF1814" w:rsidRDefault="00D124BD" w:rsidP="00D124BD">
            <w:pPr>
              <w:keepLines/>
              <w:widowControl w:val="0"/>
              <w:spacing w:before="40" w:after="40"/>
              <w:jc w:val="center"/>
              <w:rPr>
                <w:rFonts w:ascii="Arial" w:hAnsi="Arial"/>
                <w:sz w:val="18"/>
              </w:rPr>
            </w:pP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E1D1D9" w14:textId="77777777" w:rsidR="00D124BD" w:rsidRPr="00AF1814" w:rsidRDefault="00D124BD" w:rsidP="00D124BD">
            <w:pPr>
              <w:keepLines/>
              <w:widowControl w:val="0"/>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3C3C53FD" w14:textId="77777777" w:rsidR="00D124BD" w:rsidRPr="00AF1814" w:rsidRDefault="00D124BD" w:rsidP="00D124BD">
            <w:pPr>
              <w:keepLines/>
              <w:widowControl w:val="0"/>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716EE8CC" w14:textId="77777777" w:rsidR="00D124BD" w:rsidRPr="00AF1814" w:rsidRDefault="00D124BD" w:rsidP="00D124BD">
            <w:pPr>
              <w:keepLines/>
              <w:widowControl w:val="0"/>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46E5DCC9" w14:textId="77777777" w:rsidR="00D124BD" w:rsidRPr="00AF1814" w:rsidRDefault="00D124BD" w:rsidP="00D124BD">
            <w:pPr>
              <w:keepLines/>
              <w:widowControl w:val="0"/>
              <w:spacing w:before="40" w:after="40"/>
              <w:jc w:val="center"/>
              <w:rPr>
                <w:rFonts w:ascii="Arial" w:hAnsi="Arial"/>
                <w:sz w:val="18"/>
              </w:rPr>
            </w:pPr>
          </w:p>
        </w:tc>
        <w:tc>
          <w:tcPr>
            <w:tcW w:w="1226" w:type="pct"/>
            <w:tcBorders>
              <w:left w:val="single" w:sz="4" w:space="0" w:color="auto"/>
              <w:right w:val="single" w:sz="4" w:space="0" w:color="auto"/>
            </w:tcBorders>
            <w:shd w:val="clear" w:color="auto" w:fill="auto"/>
            <w:vAlign w:val="center"/>
          </w:tcPr>
          <w:p w14:paraId="7B53DC77" w14:textId="0ECECC42" w:rsidR="00D124BD" w:rsidRPr="00AF1814" w:rsidRDefault="00DA3174" w:rsidP="00D124BD">
            <w:pPr>
              <w:keepLines/>
              <w:widowControl w:val="0"/>
              <w:spacing w:before="40" w:after="40"/>
              <w:jc w:val="left"/>
              <w:rPr>
                <w:rFonts w:ascii="Arial" w:hAnsi="Arial"/>
                <w:sz w:val="18"/>
              </w:rPr>
            </w:pPr>
            <w:r w:rsidRPr="00AF1814">
              <w:rPr>
                <w:rFonts w:ascii="Arial" w:hAnsi="Arial"/>
                <w:sz w:val="18"/>
              </w:rPr>
              <w:t>Prior anti</w:t>
            </w:r>
            <w:r w:rsidR="00D77787">
              <w:rPr>
                <w:rFonts w:ascii="Arial" w:hAnsi="Arial"/>
                <w:sz w:val="18"/>
              </w:rPr>
              <w:noBreakHyphen/>
            </w:r>
            <w:r w:rsidRPr="00AF1814">
              <w:rPr>
                <w:rFonts w:ascii="Arial" w:hAnsi="Arial"/>
                <w:sz w:val="18"/>
              </w:rPr>
              <w:t>cancer procedures and therapies should at least include prior therapy, prior diagnosis of premalignant lesions and treatments, surgical resection and recurrence, and details on anti</w:t>
            </w:r>
            <w:r w:rsidR="00D77787">
              <w:rPr>
                <w:rFonts w:ascii="Arial" w:hAnsi="Arial"/>
                <w:sz w:val="18"/>
              </w:rPr>
              <w:noBreakHyphen/>
            </w:r>
            <w:r w:rsidRPr="00AF1814">
              <w:rPr>
                <w:rFonts w:ascii="Arial" w:hAnsi="Arial"/>
                <w:sz w:val="18"/>
              </w:rPr>
              <w:t>cancer treatments, treatment duration, and treatment responses.</w:t>
            </w:r>
          </w:p>
        </w:tc>
      </w:tr>
      <w:tr w:rsidR="002108B2" w:rsidRPr="00AF1814" w14:paraId="6B40EA9E" w14:textId="77777777" w:rsidTr="00536270">
        <w:trPr>
          <w:cantSplit/>
          <w:jc w:val="center"/>
        </w:trPr>
        <w:tc>
          <w:tcPr>
            <w:tcW w:w="491" w:type="pct"/>
            <w:tcBorders>
              <w:top w:val="single" w:sz="4" w:space="0" w:color="auto"/>
              <w:left w:val="single" w:sz="4" w:space="0" w:color="auto"/>
              <w:bottom w:val="single" w:sz="4" w:space="0" w:color="auto"/>
              <w:right w:val="single" w:sz="4" w:space="0" w:color="auto"/>
            </w:tcBorders>
            <w:vAlign w:val="center"/>
          </w:tcPr>
          <w:p w14:paraId="67FF5600" w14:textId="77777777" w:rsidR="00D124BD" w:rsidRPr="00AF1814" w:rsidRDefault="00DA3174" w:rsidP="00D124BD">
            <w:pPr>
              <w:keepLines/>
              <w:widowControl w:val="0"/>
              <w:spacing w:before="40" w:after="40"/>
              <w:jc w:val="left"/>
              <w:rPr>
                <w:rFonts w:ascii="Arial" w:hAnsi="Arial"/>
                <w:b/>
                <w:bCs/>
                <w:sz w:val="18"/>
              </w:rPr>
            </w:pPr>
            <w:r w:rsidRPr="00AF1814">
              <w:rPr>
                <w:rFonts w:ascii="Arial" w:hAnsi="Arial"/>
                <w:sz w:val="18"/>
              </w:rPr>
              <w:t>Documentation of concomitant medication and procedures</w:t>
            </w:r>
          </w:p>
        </w:tc>
        <w:tc>
          <w:tcPr>
            <w:tcW w:w="383" w:type="pct"/>
            <w:tcBorders>
              <w:top w:val="single" w:sz="4" w:space="0" w:color="auto"/>
              <w:left w:val="single" w:sz="4" w:space="0" w:color="auto"/>
              <w:bottom w:val="single" w:sz="4" w:space="0" w:color="auto"/>
              <w:right w:val="single" w:sz="4" w:space="0" w:color="auto"/>
            </w:tcBorders>
            <w:vAlign w:val="center"/>
          </w:tcPr>
          <w:p w14:paraId="49933CEE" w14:textId="77777777" w:rsidR="00D124BD" w:rsidRPr="00AF1814" w:rsidRDefault="00DA3174" w:rsidP="00D124BD">
            <w:pPr>
              <w:keepLines/>
              <w:widowControl w:val="0"/>
              <w:spacing w:before="40" w:after="40"/>
              <w:jc w:val="center"/>
              <w:rPr>
                <w:rFonts w:ascii="Arial" w:hAnsi="Arial"/>
                <w:b/>
                <w:bCs/>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vAlign w:val="center"/>
          </w:tcPr>
          <w:p w14:paraId="309544C3" w14:textId="77777777" w:rsidR="00D124BD" w:rsidRPr="00AF1814" w:rsidRDefault="00DA3174" w:rsidP="00D124BD">
            <w:pPr>
              <w:keepLines/>
              <w:widowControl w:val="0"/>
              <w:spacing w:before="40" w:after="40"/>
              <w:jc w:val="center"/>
              <w:rPr>
                <w:rFonts w:ascii="Arial" w:hAnsi="Arial"/>
                <w:b/>
                <w:bCs/>
                <w:sz w:val="18"/>
              </w:rPr>
            </w:pPr>
            <w:r w:rsidRPr="00AF1814">
              <w:rPr>
                <w:rFonts w:ascii="Arial" w:hAnsi="Arial"/>
                <w:sz w:val="18"/>
              </w:rPr>
              <w:t>X</w:t>
            </w:r>
          </w:p>
        </w:tc>
        <w:tc>
          <w:tcPr>
            <w:tcW w:w="219" w:type="pct"/>
            <w:tcBorders>
              <w:top w:val="single" w:sz="4" w:space="0" w:color="auto"/>
              <w:left w:val="single" w:sz="4" w:space="0" w:color="auto"/>
              <w:bottom w:val="single" w:sz="4" w:space="0" w:color="auto"/>
              <w:right w:val="single" w:sz="4" w:space="0" w:color="auto"/>
            </w:tcBorders>
            <w:vAlign w:val="center"/>
          </w:tcPr>
          <w:p w14:paraId="697BBF8F" w14:textId="77777777" w:rsidR="00D124BD" w:rsidRPr="00AF1814" w:rsidRDefault="00DA3174" w:rsidP="00D124BD">
            <w:pPr>
              <w:keepLines/>
              <w:widowControl w:val="0"/>
              <w:spacing w:before="40" w:after="40"/>
              <w:jc w:val="center"/>
              <w:rPr>
                <w:rFonts w:ascii="Arial" w:hAnsi="Arial"/>
                <w:b/>
                <w:bCs/>
                <w:sz w:val="18"/>
              </w:rPr>
            </w:pPr>
            <w:r w:rsidRPr="00AF1814">
              <w:rPr>
                <w:rFonts w:ascii="Arial" w:hAnsi="Arial"/>
                <w:sz w:val="18"/>
              </w:rPr>
              <w:t>X</w:t>
            </w:r>
          </w:p>
        </w:tc>
        <w:tc>
          <w:tcPr>
            <w:tcW w:w="165" w:type="pct"/>
            <w:tcBorders>
              <w:top w:val="single" w:sz="4" w:space="0" w:color="auto"/>
              <w:left w:val="single" w:sz="4" w:space="0" w:color="auto"/>
              <w:bottom w:val="single" w:sz="4" w:space="0" w:color="auto"/>
              <w:right w:val="single" w:sz="4" w:space="0" w:color="auto"/>
            </w:tcBorders>
            <w:vAlign w:val="center"/>
          </w:tcPr>
          <w:p w14:paraId="4B70BF2B" w14:textId="77777777" w:rsidR="00D124BD" w:rsidRPr="00AF1814" w:rsidRDefault="00DA3174" w:rsidP="00D124BD">
            <w:pPr>
              <w:keepLines/>
              <w:widowControl w:val="0"/>
              <w:spacing w:before="40" w:after="40"/>
              <w:jc w:val="center"/>
              <w:rPr>
                <w:rFonts w:ascii="Arial" w:hAnsi="Arial"/>
                <w:b/>
                <w:bCs/>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vAlign w:val="center"/>
          </w:tcPr>
          <w:p w14:paraId="3F62B5E1" w14:textId="77777777" w:rsidR="00D124BD" w:rsidRPr="00AF1814" w:rsidRDefault="00DA3174" w:rsidP="00D124BD">
            <w:pPr>
              <w:keepLines/>
              <w:widowControl w:val="0"/>
              <w:spacing w:before="40" w:after="40"/>
              <w:jc w:val="center"/>
              <w:rPr>
                <w:rFonts w:ascii="Arial" w:hAnsi="Arial"/>
                <w:b/>
                <w:bCs/>
                <w:sz w:val="18"/>
              </w:rPr>
            </w:pPr>
            <w:r w:rsidRPr="00AF1814">
              <w:rPr>
                <w:rFonts w:ascii="Arial" w:hAnsi="Arial"/>
                <w:sz w:val="18"/>
              </w:rPr>
              <w:t>X</w:t>
            </w:r>
          </w:p>
        </w:tc>
        <w:tc>
          <w:tcPr>
            <w:tcW w:w="243" w:type="pct"/>
            <w:tcBorders>
              <w:top w:val="single" w:sz="4" w:space="0" w:color="auto"/>
              <w:left w:val="single" w:sz="4" w:space="0" w:color="auto"/>
              <w:bottom w:val="single" w:sz="4" w:space="0" w:color="auto"/>
              <w:right w:val="single" w:sz="4" w:space="0" w:color="auto"/>
            </w:tcBorders>
            <w:vAlign w:val="center"/>
          </w:tcPr>
          <w:p w14:paraId="48E849BC" w14:textId="77777777" w:rsidR="00D124BD" w:rsidRPr="00AF1814" w:rsidRDefault="00DA3174" w:rsidP="00D124BD">
            <w:pPr>
              <w:keepLines/>
              <w:widowControl w:val="0"/>
              <w:spacing w:before="40" w:after="40"/>
              <w:jc w:val="center"/>
              <w:rPr>
                <w:rFonts w:ascii="Arial" w:hAnsi="Arial"/>
                <w:b/>
                <w:bCs/>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vAlign w:val="center"/>
          </w:tcPr>
          <w:p w14:paraId="126198B3" w14:textId="77777777" w:rsidR="00D124BD" w:rsidRPr="00AF1814" w:rsidRDefault="00DA3174" w:rsidP="00D124BD">
            <w:pPr>
              <w:keepLines/>
              <w:widowControl w:val="0"/>
              <w:spacing w:before="40" w:after="40"/>
              <w:jc w:val="center"/>
              <w:rPr>
                <w:rFonts w:ascii="Arial" w:hAnsi="Arial"/>
                <w:bCs/>
                <w:sz w:val="18"/>
              </w:rPr>
            </w:pPr>
            <w:r w:rsidRPr="00AF1814">
              <w:rPr>
                <w:rFonts w:ascii="Arial" w:hAnsi="Arial"/>
                <w:sz w:val="18"/>
              </w:rPr>
              <w:t>Every 3 weeks</w:t>
            </w: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452BD7FB" w14:textId="77777777" w:rsidR="00D124BD" w:rsidRPr="00AF1814" w:rsidRDefault="00DA3174" w:rsidP="00D124BD">
            <w:pPr>
              <w:keepLines/>
              <w:widowControl w:val="0"/>
              <w:spacing w:before="40" w:after="40"/>
              <w:jc w:val="center"/>
              <w:rPr>
                <w:rFonts w:ascii="Arial" w:hAnsi="Arial"/>
                <w:bCs/>
                <w:sz w:val="18"/>
              </w:rPr>
            </w:pPr>
            <w:r w:rsidRPr="00AF1814">
              <w:rPr>
                <w:rFonts w:ascii="Arial" w:hAnsi="Arial"/>
                <w:sz w:val="18"/>
              </w:rPr>
              <w:t>X</w:t>
            </w:r>
          </w:p>
        </w:tc>
        <w:tc>
          <w:tcPr>
            <w:tcW w:w="383" w:type="pct"/>
            <w:tcBorders>
              <w:left w:val="single" w:sz="4" w:space="0" w:color="auto"/>
              <w:right w:val="single" w:sz="4" w:space="0" w:color="auto"/>
            </w:tcBorders>
            <w:shd w:val="clear" w:color="auto" w:fill="auto"/>
            <w:vAlign w:val="center"/>
          </w:tcPr>
          <w:p w14:paraId="3E098091"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shd w:val="clear" w:color="auto" w:fill="auto"/>
            <w:vAlign w:val="center"/>
          </w:tcPr>
          <w:p w14:paraId="0D95FFFD" w14:textId="77777777" w:rsidR="00D124BD" w:rsidRPr="00AF1814" w:rsidRDefault="00DA3174" w:rsidP="00D124BD">
            <w:pPr>
              <w:keepLines/>
              <w:widowControl w:val="0"/>
              <w:spacing w:before="40" w:after="40"/>
              <w:jc w:val="center"/>
              <w:rPr>
                <w:rFonts w:ascii="Arial" w:hAnsi="Arial" w:cs="Arial"/>
                <w:sz w:val="18"/>
                <w:szCs w:val="18"/>
              </w:rPr>
            </w:pPr>
            <w:r w:rsidRPr="00AF1814">
              <w:rPr>
                <w:rFonts w:ascii="Arial" w:hAnsi="Arial" w:cs="Arial"/>
                <w:bCs/>
                <w:sz w:val="18"/>
                <w:szCs w:val="18"/>
              </w:rPr>
              <w:t>X</w:t>
            </w:r>
          </w:p>
        </w:tc>
        <w:tc>
          <w:tcPr>
            <w:tcW w:w="490" w:type="pct"/>
            <w:tcBorders>
              <w:left w:val="single" w:sz="4" w:space="0" w:color="auto"/>
              <w:right w:val="single" w:sz="4" w:space="0" w:color="auto"/>
            </w:tcBorders>
            <w:shd w:val="clear" w:color="auto" w:fill="auto"/>
            <w:vAlign w:val="center"/>
          </w:tcPr>
          <w:p w14:paraId="4E8A410F" w14:textId="77777777" w:rsidR="00D124BD" w:rsidRPr="00AF1814" w:rsidRDefault="00DA3174" w:rsidP="00D124BD">
            <w:pPr>
              <w:keepLines/>
              <w:widowControl w:val="0"/>
              <w:spacing w:before="40" w:after="40"/>
              <w:jc w:val="center"/>
              <w:rPr>
                <w:rFonts w:ascii="Arial" w:hAnsi="Arial" w:cs="Arial"/>
                <w:sz w:val="18"/>
                <w:szCs w:val="18"/>
              </w:rPr>
            </w:pPr>
            <w:r w:rsidRPr="00AF1814">
              <w:rPr>
                <w:rFonts w:ascii="Arial" w:hAnsi="Arial" w:cs="Arial"/>
                <w:bCs/>
                <w:sz w:val="18"/>
                <w:szCs w:val="18"/>
              </w:rPr>
              <w:t>X</w:t>
            </w:r>
          </w:p>
        </w:tc>
        <w:tc>
          <w:tcPr>
            <w:tcW w:w="1226" w:type="pct"/>
            <w:tcBorders>
              <w:left w:val="single" w:sz="4" w:space="0" w:color="auto"/>
              <w:right w:val="single" w:sz="4" w:space="0" w:color="auto"/>
            </w:tcBorders>
            <w:shd w:val="clear" w:color="auto" w:fill="auto"/>
          </w:tcPr>
          <w:p w14:paraId="28EEC679" w14:textId="77777777" w:rsidR="00D124BD" w:rsidRPr="00AF1814" w:rsidRDefault="00DA3174" w:rsidP="00D124BD">
            <w:pPr>
              <w:keepLines/>
              <w:widowControl w:val="0"/>
              <w:spacing w:before="40" w:after="40"/>
              <w:jc w:val="left"/>
              <w:rPr>
                <w:rFonts w:ascii="Arial" w:hAnsi="Arial" w:cs="Arial"/>
                <w:sz w:val="18"/>
                <w:szCs w:val="18"/>
              </w:rPr>
            </w:pPr>
            <w:r w:rsidRPr="00AF1814">
              <w:rPr>
                <w:rFonts w:ascii="Arial" w:hAnsi="Arial" w:cs="Arial"/>
                <w:bCs/>
                <w:sz w:val="18"/>
                <w:szCs w:val="18"/>
              </w:rPr>
              <w:t>The 12-week Safety Follow-up and Long-term Follow-up</w:t>
            </w:r>
            <w:r w:rsidRPr="00AF1814">
              <w:rPr>
                <w:rFonts w:ascii="Arial" w:hAnsi="Arial" w:cs="Arial"/>
                <w:sz w:val="18"/>
                <w:szCs w:val="18"/>
              </w:rPr>
              <w:t xml:space="preserve"> may </w:t>
            </w:r>
            <w:r w:rsidRPr="00AF1814">
              <w:rPr>
                <w:rFonts w:ascii="Arial" w:hAnsi="Arial" w:cs="Arial"/>
                <w:bCs/>
                <w:sz w:val="18"/>
                <w:szCs w:val="18"/>
              </w:rPr>
              <w:t>be conducted via telephone calls or patient chart reviews as necessary unless there is medical necessity requiring a clinical visit.</w:t>
            </w:r>
          </w:p>
        </w:tc>
      </w:tr>
      <w:tr w:rsidR="002108B2" w:rsidRPr="00AF1814" w14:paraId="20A246EC" w14:textId="77777777" w:rsidTr="00D124BD">
        <w:trPr>
          <w:cantSplit/>
          <w:jc w:val="center"/>
        </w:trPr>
        <w:tc>
          <w:tcPr>
            <w:tcW w:w="5000" w:type="pct"/>
            <w:gridSpan w:val="13"/>
            <w:tcBorders>
              <w:top w:val="single" w:sz="4" w:space="0" w:color="auto"/>
              <w:left w:val="single" w:sz="4" w:space="0" w:color="auto"/>
              <w:bottom w:val="single" w:sz="4" w:space="0" w:color="auto"/>
              <w:right w:val="single" w:sz="4" w:space="0" w:color="auto"/>
            </w:tcBorders>
            <w:vAlign w:val="center"/>
          </w:tcPr>
          <w:p w14:paraId="3475A75C"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b/>
                <w:bCs/>
                <w:sz w:val="18"/>
              </w:rPr>
              <w:t xml:space="preserve">Drug Administration </w:t>
            </w:r>
          </w:p>
        </w:tc>
      </w:tr>
      <w:tr w:rsidR="002108B2" w:rsidRPr="00AF1814" w14:paraId="11CEAC4D" w14:textId="77777777" w:rsidTr="00536270">
        <w:trPr>
          <w:cantSplit/>
          <w:jc w:val="center"/>
        </w:trPr>
        <w:tc>
          <w:tcPr>
            <w:tcW w:w="491" w:type="pct"/>
            <w:tcBorders>
              <w:top w:val="single" w:sz="4" w:space="0" w:color="auto"/>
              <w:left w:val="single" w:sz="4" w:space="0" w:color="auto"/>
              <w:bottom w:val="single" w:sz="4" w:space="0" w:color="auto"/>
              <w:right w:val="single" w:sz="4" w:space="0" w:color="auto"/>
            </w:tcBorders>
            <w:vAlign w:val="center"/>
          </w:tcPr>
          <w:p w14:paraId="0C877EB0" w14:textId="77777777" w:rsidR="00D124BD" w:rsidRPr="00AF1814" w:rsidRDefault="00DA3174" w:rsidP="00D124BD">
            <w:pPr>
              <w:keepLines/>
              <w:widowControl w:val="0"/>
              <w:spacing w:before="40" w:after="40"/>
              <w:jc w:val="left"/>
              <w:rPr>
                <w:rFonts w:ascii="Arial" w:hAnsi="Arial" w:cs="Arial"/>
                <w:sz w:val="18"/>
              </w:rPr>
            </w:pPr>
            <w:r w:rsidRPr="00AF1814">
              <w:rPr>
                <w:rFonts w:ascii="Arial" w:hAnsi="Arial" w:cs="Arial"/>
                <w:sz w:val="18"/>
              </w:rPr>
              <w:t xml:space="preserve">Bintrafusp alfa </w:t>
            </w:r>
          </w:p>
        </w:tc>
        <w:tc>
          <w:tcPr>
            <w:tcW w:w="38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513ED32" w14:textId="77777777" w:rsidR="00D124BD" w:rsidRPr="00AF1814" w:rsidRDefault="00D124BD" w:rsidP="00D124BD">
            <w:pPr>
              <w:keepLines/>
              <w:widowControl w:val="0"/>
              <w:spacing w:before="40" w:after="40"/>
              <w:jc w:val="center"/>
              <w:rPr>
                <w:rFonts w:ascii="Arial" w:hAnsi="Arial"/>
                <w:sz w:val="18"/>
              </w:rPr>
            </w:pPr>
          </w:p>
        </w:tc>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14:paraId="287F670A"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219" w:type="pct"/>
            <w:tcBorders>
              <w:top w:val="single" w:sz="4" w:space="0" w:color="auto"/>
              <w:left w:val="single" w:sz="4" w:space="0" w:color="auto"/>
              <w:bottom w:val="single" w:sz="4" w:space="0" w:color="auto"/>
              <w:right w:val="single" w:sz="4" w:space="0" w:color="auto"/>
            </w:tcBorders>
            <w:shd w:val="clear" w:color="auto" w:fill="auto"/>
            <w:vAlign w:val="center"/>
          </w:tcPr>
          <w:p w14:paraId="3AA0B63C"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427C0033"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shd w:val="clear" w:color="auto" w:fill="auto"/>
            <w:vAlign w:val="center"/>
          </w:tcPr>
          <w:p w14:paraId="2A208DA7"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3DE71370"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shd w:val="clear" w:color="auto" w:fill="auto"/>
            <w:vAlign w:val="center"/>
          </w:tcPr>
          <w:p w14:paraId="64E18C5F"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Every 3 weeks</w:t>
            </w: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BD30CCD" w14:textId="77777777" w:rsidR="00D124BD" w:rsidRPr="00AF1814" w:rsidRDefault="00D124BD" w:rsidP="00D124BD">
            <w:pPr>
              <w:keepLines/>
              <w:widowControl w:val="0"/>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2A9EEAB7" w14:textId="77777777" w:rsidR="00D124BD" w:rsidRPr="00AF1814" w:rsidRDefault="00D124BD" w:rsidP="00D124BD">
            <w:pPr>
              <w:keepLines/>
              <w:widowControl w:val="0"/>
              <w:spacing w:before="40" w:after="40"/>
              <w:jc w:val="left"/>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2D9F4AF2" w14:textId="77777777" w:rsidR="00D124BD" w:rsidRPr="00AF1814" w:rsidRDefault="00D124BD" w:rsidP="00D124BD">
            <w:pPr>
              <w:keepLines/>
              <w:widowControl w:val="0"/>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530ADEEF" w14:textId="77777777" w:rsidR="00D124BD" w:rsidRPr="00AF1814" w:rsidRDefault="00D124BD" w:rsidP="00D124BD">
            <w:pPr>
              <w:keepLines/>
              <w:widowControl w:val="0"/>
              <w:spacing w:before="40" w:after="40"/>
              <w:jc w:val="center"/>
              <w:rPr>
                <w:rFonts w:ascii="Arial" w:hAnsi="Arial"/>
                <w:sz w:val="18"/>
              </w:rPr>
            </w:pPr>
          </w:p>
        </w:tc>
        <w:tc>
          <w:tcPr>
            <w:tcW w:w="1226" w:type="pct"/>
            <w:tcBorders>
              <w:left w:val="single" w:sz="4" w:space="0" w:color="auto"/>
              <w:right w:val="single" w:sz="4" w:space="0" w:color="auto"/>
            </w:tcBorders>
            <w:shd w:val="clear" w:color="auto" w:fill="auto"/>
            <w:vAlign w:val="center"/>
          </w:tcPr>
          <w:p w14:paraId="6317596E" w14:textId="0EDB230E" w:rsidR="00D124BD" w:rsidRPr="00E44F28" w:rsidRDefault="00DA3174" w:rsidP="00D124BD">
            <w:pPr>
              <w:keepLines/>
              <w:widowControl w:val="0"/>
              <w:spacing w:before="40" w:after="40"/>
              <w:rPr>
                <w:rFonts w:ascii="Arial" w:hAnsi="Arial"/>
                <w:sz w:val="18"/>
              </w:rPr>
            </w:pPr>
            <w:r w:rsidRPr="00E44F28">
              <w:rPr>
                <w:rFonts w:ascii="Arial" w:hAnsi="Arial" w:cs="Arial"/>
                <w:sz w:val="18"/>
              </w:rPr>
              <w:t>See Section</w:t>
            </w:r>
            <w:r w:rsidR="009D7F19" w:rsidRPr="00E44F28">
              <w:rPr>
                <w:rFonts w:ascii="Arial" w:hAnsi="Arial" w:cs="Arial"/>
                <w:sz w:val="18"/>
              </w:rPr>
              <w:t xml:space="preserve"> </w:t>
            </w:r>
            <w:r w:rsidR="009D7F19" w:rsidRPr="00E44F28">
              <w:rPr>
                <w:rFonts w:ascii="Arial" w:hAnsi="Arial" w:cs="Arial"/>
                <w:sz w:val="18"/>
              </w:rPr>
              <w:fldChar w:fldCharType="begin"/>
            </w:r>
            <w:r w:rsidR="009D7F19" w:rsidRPr="00E44F28">
              <w:rPr>
                <w:rFonts w:ascii="Arial" w:hAnsi="Arial" w:cs="Arial"/>
                <w:sz w:val="18"/>
              </w:rPr>
              <w:instrText xml:space="preserve"> REF _Ref30403099 \w \h </w:instrText>
            </w:r>
            <w:r w:rsidR="00AF1814" w:rsidRPr="00E44F28">
              <w:rPr>
                <w:rFonts w:ascii="Arial" w:hAnsi="Arial" w:cs="Arial"/>
                <w:sz w:val="18"/>
              </w:rPr>
              <w:instrText xml:space="preserve"> \* MERGEFORMAT </w:instrText>
            </w:r>
            <w:r w:rsidR="009D7F19" w:rsidRPr="00E44F28">
              <w:rPr>
                <w:rFonts w:ascii="Arial" w:hAnsi="Arial" w:cs="Arial"/>
                <w:sz w:val="18"/>
              </w:rPr>
            </w:r>
            <w:r w:rsidR="009D7F19" w:rsidRPr="00E44F28">
              <w:rPr>
                <w:rFonts w:ascii="Arial" w:hAnsi="Arial" w:cs="Arial"/>
                <w:sz w:val="18"/>
              </w:rPr>
              <w:fldChar w:fldCharType="separate"/>
            </w:r>
            <w:r w:rsidR="00C548C3" w:rsidRPr="00E44F28">
              <w:rPr>
                <w:rFonts w:ascii="Arial" w:hAnsi="Arial" w:cs="Arial"/>
                <w:sz w:val="18"/>
              </w:rPr>
              <w:t>6</w:t>
            </w:r>
            <w:r w:rsidR="009D7F19" w:rsidRPr="00E44F28">
              <w:rPr>
                <w:rFonts w:ascii="Arial" w:hAnsi="Arial" w:cs="Arial"/>
                <w:sz w:val="18"/>
              </w:rPr>
              <w:fldChar w:fldCharType="end"/>
            </w:r>
            <w:r w:rsidRPr="00E44F28">
              <w:rPr>
                <w:rFonts w:ascii="Arial" w:hAnsi="Arial" w:cs="Arial"/>
                <w:sz w:val="18"/>
              </w:rPr>
              <w:t xml:space="preserve"> for dosing details</w:t>
            </w:r>
            <w:r w:rsidR="00CE06AB" w:rsidRPr="00E44F28">
              <w:rPr>
                <w:rFonts w:ascii="Arial" w:hAnsi="Arial" w:cs="Arial"/>
                <w:sz w:val="18"/>
              </w:rPr>
              <w:t xml:space="preserve"> and </w:t>
            </w:r>
            <w:r w:rsidR="00CE06AB" w:rsidRPr="00E44F28">
              <w:rPr>
                <w:rFonts w:ascii="Arial" w:hAnsi="Arial"/>
                <w:sz w:val="18"/>
              </w:rPr>
              <w:t>order of infusion</w:t>
            </w:r>
            <w:r w:rsidRPr="00E44F28">
              <w:rPr>
                <w:rFonts w:ascii="Arial" w:hAnsi="Arial" w:cs="Arial"/>
                <w:sz w:val="18"/>
              </w:rPr>
              <w:t xml:space="preserve">. </w:t>
            </w:r>
            <w:r w:rsidR="00C1122B" w:rsidRPr="00E44F28">
              <w:rPr>
                <w:rFonts w:ascii="Arial" w:hAnsi="Arial"/>
                <w:sz w:val="18"/>
              </w:rPr>
              <w:t xml:space="preserve">See Section </w:t>
            </w:r>
            <w:r w:rsidR="009D7F19" w:rsidRPr="00E44F28">
              <w:rPr>
                <w:rFonts w:ascii="Arial" w:hAnsi="Arial"/>
                <w:sz w:val="18"/>
              </w:rPr>
              <w:fldChar w:fldCharType="begin"/>
            </w:r>
            <w:r w:rsidR="009D7F19" w:rsidRPr="00E44F28">
              <w:rPr>
                <w:rFonts w:ascii="Arial" w:hAnsi="Arial"/>
                <w:sz w:val="18"/>
              </w:rPr>
              <w:instrText xml:space="preserve"> REF _Ref30403057 \w \h </w:instrText>
            </w:r>
            <w:r w:rsidR="00AF1814" w:rsidRPr="00E44F28">
              <w:rPr>
                <w:rFonts w:ascii="Arial" w:hAnsi="Arial"/>
                <w:sz w:val="18"/>
              </w:rPr>
              <w:instrText xml:space="preserve"> \* MERGEFORMAT </w:instrText>
            </w:r>
            <w:r w:rsidR="009D7F19" w:rsidRPr="00E44F28">
              <w:rPr>
                <w:rFonts w:ascii="Arial" w:hAnsi="Arial"/>
                <w:sz w:val="18"/>
              </w:rPr>
            </w:r>
            <w:r w:rsidR="009D7F19" w:rsidRPr="00E44F28">
              <w:rPr>
                <w:rFonts w:ascii="Arial" w:hAnsi="Arial"/>
                <w:sz w:val="18"/>
              </w:rPr>
              <w:fldChar w:fldCharType="separate"/>
            </w:r>
            <w:r w:rsidR="00C548C3" w:rsidRPr="00E44F28">
              <w:rPr>
                <w:rFonts w:ascii="Arial" w:hAnsi="Arial"/>
                <w:sz w:val="18"/>
              </w:rPr>
              <w:t>7</w:t>
            </w:r>
            <w:r w:rsidR="009D7F19" w:rsidRPr="00E44F28">
              <w:rPr>
                <w:rFonts w:ascii="Arial" w:hAnsi="Arial"/>
                <w:sz w:val="18"/>
              </w:rPr>
              <w:fldChar w:fldCharType="end"/>
            </w:r>
            <w:r w:rsidR="00C1122B" w:rsidRPr="00E44F28">
              <w:rPr>
                <w:rFonts w:ascii="Arial" w:hAnsi="Arial"/>
                <w:sz w:val="18"/>
              </w:rPr>
              <w:t xml:space="preserve"> for stopping study interventions.</w:t>
            </w:r>
          </w:p>
        </w:tc>
      </w:tr>
      <w:tr w:rsidR="002108B2" w:rsidRPr="00AF1814" w14:paraId="5305B1D4" w14:textId="77777777" w:rsidTr="00536270">
        <w:trPr>
          <w:cantSplit/>
          <w:jc w:val="center"/>
        </w:trPr>
        <w:tc>
          <w:tcPr>
            <w:tcW w:w="491" w:type="pct"/>
            <w:tcBorders>
              <w:top w:val="single" w:sz="4" w:space="0" w:color="auto"/>
              <w:left w:val="single" w:sz="4" w:space="0" w:color="auto"/>
              <w:bottom w:val="single" w:sz="4" w:space="0" w:color="auto"/>
              <w:right w:val="single" w:sz="4" w:space="0" w:color="auto"/>
            </w:tcBorders>
            <w:vAlign w:val="center"/>
          </w:tcPr>
          <w:p w14:paraId="40B4C98F" w14:textId="77777777" w:rsidR="004A0AC1" w:rsidRPr="00AF1814" w:rsidRDefault="00DA3174" w:rsidP="004A0AC1">
            <w:pPr>
              <w:keepLines/>
              <w:widowControl w:val="0"/>
              <w:spacing w:before="40" w:after="40"/>
              <w:jc w:val="left"/>
              <w:rPr>
                <w:rFonts w:ascii="Arial" w:hAnsi="Arial" w:cs="Arial"/>
                <w:sz w:val="18"/>
              </w:rPr>
            </w:pPr>
            <w:r w:rsidRPr="00AF1814">
              <w:rPr>
                <w:rFonts w:ascii="Arial" w:hAnsi="Arial" w:cs="Arial"/>
                <w:sz w:val="18"/>
              </w:rPr>
              <w:t xml:space="preserve">Cohort 1A: </w:t>
            </w:r>
          </w:p>
          <w:p w14:paraId="72A546A4" w14:textId="77777777" w:rsidR="00D124BD" w:rsidRPr="00AF1814" w:rsidRDefault="00DA3174" w:rsidP="00D124BD">
            <w:pPr>
              <w:keepLines/>
              <w:widowControl w:val="0"/>
              <w:spacing w:before="40" w:after="40"/>
              <w:jc w:val="left"/>
              <w:rPr>
                <w:rFonts w:ascii="Arial" w:hAnsi="Arial" w:cs="Arial"/>
                <w:sz w:val="18"/>
              </w:rPr>
            </w:pPr>
            <w:r w:rsidRPr="00AF1814">
              <w:rPr>
                <w:rFonts w:ascii="Arial" w:hAnsi="Arial" w:cs="Arial"/>
                <w:sz w:val="18"/>
              </w:rPr>
              <w:t>Cisplatin or carboplatin +</w:t>
            </w:r>
            <w:r w:rsidR="00382AEB" w:rsidRPr="00AF1814">
              <w:rPr>
                <w:rFonts w:ascii="Arial" w:hAnsi="Arial" w:cs="Arial"/>
                <w:sz w:val="18"/>
              </w:rPr>
              <w:t xml:space="preserve"> </w:t>
            </w:r>
            <w:r w:rsidRPr="00AF1814">
              <w:rPr>
                <w:rFonts w:ascii="Arial" w:hAnsi="Arial" w:cs="Arial"/>
                <w:sz w:val="18"/>
              </w:rPr>
              <w:t>paclitaxel</w:t>
            </w:r>
            <w:r w:rsidR="00382AEB" w:rsidRPr="00AF1814">
              <w:rPr>
                <w:rFonts w:ascii="Arial" w:hAnsi="Arial" w:cs="Arial"/>
                <w:sz w:val="18"/>
              </w:rPr>
              <w:t xml:space="preserve"> </w:t>
            </w:r>
            <w:r w:rsidRPr="00AF1814">
              <w:rPr>
                <w:rFonts w:ascii="Arial" w:hAnsi="Arial" w:cs="Arial"/>
                <w:sz w:val="18"/>
              </w:rPr>
              <w:t>+ bevacizumab</w:t>
            </w:r>
          </w:p>
        </w:tc>
        <w:tc>
          <w:tcPr>
            <w:tcW w:w="38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993FDA9" w14:textId="77777777" w:rsidR="00D124BD" w:rsidRPr="00AF1814" w:rsidRDefault="00D124BD" w:rsidP="00D124BD">
            <w:pPr>
              <w:keepLines/>
              <w:widowControl w:val="0"/>
              <w:spacing w:before="40" w:after="40"/>
              <w:jc w:val="center"/>
              <w:rPr>
                <w:rFonts w:ascii="Arial" w:hAnsi="Arial"/>
                <w:sz w:val="18"/>
              </w:rPr>
            </w:pPr>
          </w:p>
        </w:tc>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14:paraId="4D770E71"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219" w:type="pct"/>
            <w:tcBorders>
              <w:top w:val="single" w:sz="4" w:space="0" w:color="auto"/>
              <w:left w:val="single" w:sz="4" w:space="0" w:color="auto"/>
              <w:bottom w:val="single" w:sz="4" w:space="0" w:color="auto"/>
              <w:right w:val="single" w:sz="4" w:space="0" w:color="auto"/>
            </w:tcBorders>
            <w:shd w:val="clear" w:color="auto" w:fill="auto"/>
            <w:vAlign w:val="center"/>
          </w:tcPr>
          <w:p w14:paraId="6B71DAEB"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09E8495C"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shd w:val="clear" w:color="auto" w:fill="auto"/>
            <w:vAlign w:val="center"/>
          </w:tcPr>
          <w:p w14:paraId="2F52F5C3"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1CAAFB2E"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shd w:val="clear" w:color="auto" w:fill="auto"/>
            <w:vAlign w:val="center"/>
          </w:tcPr>
          <w:p w14:paraId="6672D62C" w14:textId="77777777" w:rsidR="00D124BD" w:rsidRPr="00AF1814" w:rsidRDefault="00DA3174" w:rsidP="00D124BD">
            <w:pPr>
              <w:keepLines/>
              <w:widowControl w:val="0"/>
              <w:spacing w:before="40" w:after="40"/>
              <w:jc w:val="center"/>
              <w:rPr>
                <w:rFonts w:ascii="Arial" w:hAnsi="Arial"/>
                <w:sz w:val="18"/>
              </w:rPr>
            </w:pPr>
            <w:r w:rsidRPr="00AF1814">
              <w:rPr>
                <w:rFonts w:ascii="Arial" w:hAnsi="Arial"/>
                <w:sz w:val="18"/>
              </w:rPr>
              <w:t>Every 3 weeks</w:t>
            </w: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E8F343E" w14:textId="77777777" w:rsidR="00D124BD" w:rsidRPr="00AF1814" w:rsidRDefault="00D124BD" w:rsidP="00D124BD">
            <w:pPr>
              <w:keepLines/>
              <w:widowControl w:val="0"/>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36D41BB2" w14:textId="77777777" w:rsidR="00D124BD" w:rsidRPr="00AF1814" w:rsidRDefault="00D124BD" w:rsidP="00D124BD">
            <w:pPr>
              <w:keepLines/>
              <w:widowControl w:val="0"/>
              <w:spacing w:before="40" w:after="40"/>
              <w:jc w:val="left"/>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02374818" w14:textId="77777777" w:rsidR="00D124BD" w:rsidRPr="00AF1814" w:rsidRDefault="00D124BD" w:rsidP="00D124BD">
            <w:pPr>
              <w:keepLines/>
              <w:widowControl w:val="0"/>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1DD57EB0" w14:textId="77777777" w:rsidR="00D124BD" w:rsidRPr="00AF1814" w:rsidRDefault="00D124BD" w:rsidP="00D124BD">
            <w:pPr>
              <w:keepLines/>
              <w:widowControl w:val="0"/>
              <w:spacing w:before="40" w:after="40"/>
              <w:jc w:val="center"/>
              <w:rPr>
                <w:rFonts w:ascii="Arial" w:hAnsi="Arial"/>
                <w:sz w:val="18"/>
              </w:rPr>
            </w:pPr>
          </w:p>
        </w:tc>
        <w:tc>
          <w:tcPr>
            <w:tcW w:w="1226" w:type="pct"/>
            <w:tcBorders>
              <w:left w:val="single" w:sz="4" w:space="0" w:color="auto"/>
              <w:right w:val="single" w:sz="4" w:space="0" w:color="auto"/>
            </w:tcBorders>
            <w:shd w:val="clear" w:color="auto" w:fill="auto"/>
            <w:vAlign w:val="center"/>
          </w:tcPr>
          <w:p w14:paraId="2269E1BC" w14:textId="386B711A" w:rsidR="00D124BD" w:rsidRPr="00E44F28" w:rsidRDefault="00DA3174" w:rsidP="00D124BD">
            <w:pPr>
              <w:keepLines/>
              <w:widowControl w:val="0"/>
              <w:spacing w:before="40" w:after="40"/>
              <w:jc w:val="left"/>
              <w:rPr>
                <w:rFonts w:ascii="Arial" w:hAnsi="Arial"/>
                <w:sz w:val="18"/>
              </w:rPr>
            </w:pPr>
            <w:r w:rsidRPr="00E44F28">
              <w:rPr>
                <w:rFonts w:ascii="Arial" w:hAnsi="Arial"/>
                <w:sz w:val="18"/>
              </w:rPr>
              <w:t>Cisplatin or carboplatin, paclitaxel</w:t>
            </w:r>
            <w:r w:rsidR="001822E5" w:rsidRPr="00E44F28">
              <w:rPr>
                <w:rFonts w:ascii="Arial" w:hAnsi="Arial"/>
                <w:sz w:val="18"/>
              </w:rPr>
              <w:t>,</w:t>
            </w:r>
            <w:r w:rsidRPr="00E44F28">
              <w:rPr>
                <w:rFonts w:ascii="Arial" w:hAnsi="Arial"/>
                <w:sz w:val="18"/>
              </w:rPr>
              <w:t xml:space="preserve"> and </w:t>
            </w:r>
            <w:r w:rsidRPr="00E44F28">
              <w:rPr>
                <w:rFonts w:ascii="Arial" w:hAnsi="Arial" w:cs="Arial"/>
                <w:sz w:val="18"/>
              </w:rPr>
              <w:t>bevacizumab</w:t>
            </w:r>
            <w:r w:rsidRPr="00E44F28">
              <w:rPr>
                <w:rFonts w:ascii="Arial" w:hAnsi="Arial"/>
                <w:sz w:val="18"/>
              </w:rPr>
              <w:t xml:space="preserve"> are administrated as indicated for standard of care treatment. </w:t>
            </w:r>
            <w:r w:rsidR="008D0D42" w:rsidRPr="00E44F28">
              <w:rPr>
                <w:rFonts w:ascii="Arial" w:hAnsi="Arial"/>
                <w:sz w:val="18"/>
              </w:rPr>
              <w:t xml:space="preserve">Premedication is </w:t>
            </w:r>
            <w:r w:rsidR="00C95151" w:rsidRPr="00E44F28">
              <w:rPr>
                <w:rFonts w:ascii="Arial" w:hAnsi="Arial"/>
                <w:sz w:val="18"/>
              </w:rPr>
              <w:t xml:space="preserve">required </w:t>
            </w:r>
            <w:r w:rsidR="008D0D42" w:rsidRPr="00E44F28">
              <w:rPr>
                <w:rFonts w:ascii="Arial" w:hAnsi="Arial"/>
                <w:sz w:val="18"/>
              </w:rPr>
              <w:t>for chemotherapy, s</w:t>
            </w:r>
            <w:r w:rsidRPr="00E44F28">
              <w:rPr>
                <w:rFonts w:ascii="Arial" w:hAnsi="Arial"/>
                <w:sz w:val="18"/>
              </w:rPr>
              <w:t xml:space="preserve">ee </w:t>
            </w:r>
            <w:r w:rsidR="00F1436E" w:rsidRPr="00E44F28">
              <w:rPr>
                <w:rFonts w:ascii="Arial" w:hAnsi="Arial"/>
                <w:sz w:val="18"/>
              </w:rPr>
              <w:t xml:space="preserve">Section </w:t>
            </w:r>
            <w:r w:rsidR="009D7F19" w:rsidRPr="00E44F28">
              <w:rPr>
                <w:rFonts w:ascii="Arial" w:hAnsi="Arial" w:cs="Arial"/>
                <w:sz w:val="18"/>
              </w:rPr>
              <w:fldChar w:fldCharType="begin"/>
            </w:r>
            <w:r w:rsidR="009D7F19" w:rsidRPr="00E44F28">
              <w:rPr>
                <w:rFonts w:ascii="Arial" w:hAnsi="Arial" w:cs="Arial"/>
                <w:sz w:val="18"/>
              </w:rPr>
              <w:instrText xml:space="preserve"> REF _Ref30403099 \w \h </w:instrText>
            </w:r>
            <w:r w:rsidR="00AF1814" w:rsidRPr="00E44F28">
              <w:rPr>
                <w:rFonts w:ascii="Arial" w:hAnsi="Arial" w:cs="Arial"/>
                <w:sz w:val="18"/>
              </w:rPr>
              <w:instrText xml:space="preserve"> \* MERGEFORMAT </w:instrText>
            </w:r>
            <w:r w:rsidR="009D7F19" w:rsidRPr="00E44F28">
              <w:rPr>
                <w:rFonts w:ascii="Arial" w:hAnsi="Arial" w:cs="Arial"/>
                <w:sz w:val="18"/>
              </w:rPr>
            </w:r>
            <w:r w:rsidR="009D7F19" w:rsidRPr="00E44F28">
              <w:rPr>
                <w:rFonts w:ascii="Arial" w:hAnsi="Arial" w:cs="Arial"/>
                <w:sz w:val="18"/>
              </w:rPr>
              <w:fldChar w:fldCharType="separate"/>
            </w:r>
            <w:r w:rsidR="00C548C3" w:rsidRPr="00E44F28">
              <w:rPr>
                <w:rFonts w:ascii="Arial" w:hAnsi="Arial" w:cs="Arial"/>
                <w:sz w:val="18"/>
              </w:rPr>
              <w:t>6</w:t>
            </w:r>
            <w:r w:rsidR="009D7F19" w:rsidRPr="00E44F28">
              <w:rPr>
                <w:rFonts w:ascii="Arial" w:hAnsi="Arial" w:cs="Arial"/>
                <w:sz w:val="18"/>
              </w:rPr>
              <w:fldChar w:fldCharType="end"/>
            </w:r>
            <w:r w:rsidR="009D7F19" w:rsidRPr="00E44F28">
              <w:rPr>
                <w:rFonts w:ascii="Arial" w:hAnsi="Arial" w:cs="Arial"/>
                <w:sz w:val="18"/>
              </w:rPr>
              <w:t xml:space="preserve"> </w:t>
            </w:r>
            <w:r w:rsidR="00F1436E" w:rsidRPr="00E44F28">
              <w:rPr>
                <w:rFonts w:ascii="Arial" w:hAnsi="Arial"/>
                <w:sz w:val="18"/>
              </w:rPr>
              <w:t xml:space="preserve">for premedication </w:t>
            </w:r>
            <w:r w:rsidR="00DC6808" w:rsidRPr="00E44F28">
              <w:rPr>
                <w:rFonts w:ascii="Arial" w:hAnsi="Arial"/>
                <w:sz w:val="18"/>
              </w:rPr>
              <w:t xml:space="preserve">and order of infusion </w:t>
            </w:r>
            <w:r w:rsidR="00F1436E" w:rsidRPr="00E44F28">
              <w:rPr>
                <w:rFonts w:ascii="Arial" w:hAnsi="Arial"/>
                <w:sz w:val="18"/>
              </w:rPr>
              <w:t xml:space="preserve">and </w:t>
            </w:r>
            <w:r w:rsidRPr="00E44F28">
              <w:rPr>
                <w:rFonts w:ascii="Arial" w:hAnsi="Arial"/>
                <w:sz w:val="18"/>
              </w:rPr>
              <w:t xml:space="preserve">Section </w:t>
            </w:r>
            <w:r w:rsidR="009D7F19" w:rsidRPr="00E44F28">
              <w:rPr>
                <w:rFonts w:ascii="Arial" w:hAnsi="Arial"/>
                <w:sz w:val="18"/>
              </w:rPr>
              <w:fldChar w:fldCharType="begin"/>
            </w:r>
            <w:r w:rsidR="009D7F19" w:rsidRPr="00E44F28">
              <w:rPr>
                <w:rFonts w:ascii="Arial" w:hAnsi="Arial"/>
                <w:sz w:val="18"/>
              </w:rPr>
              <w:instrText xml:space="preserve"> REF _Ref30403057 \w \h </w:instrText>
            </w:r>
            <w:r w:rsidR="00AF1814" w:rsidRPr="00E44F28">
              <w:rPr>
                <w:rFonts w:ascii="Arial" w:hAnsi="Arial"/>
                <w:sz w:val="18"/>
              </w:rPr>
              <w:instrText xml:space="preserve"> \* MERGEFORMAT </w:instrText>
            </w:r>
            <w:r w:rsidR="009D7F19" w:rsidRPr="00E44F28">
              <w:rPr>
                <w:rFonts w:ascii="Arial" w:hAnsi="Arial"/>
                <w:sz w:val="18"/>
              </w:rPr>
            </w:r>
            <w:r w:rsidR="009D7F19" w:rsidRPr="00E44F28">
              <w:rPr>
                <w:rFonts w:ascii="Arial" w:hAnsi="Arial"/>
                <w:sz w:val="18"/>
              </w:rPr>
              <w:fldChar w:fldCharType="separate"/>
            </w:r>
            <w:r w:rsidR="00C548C3" w:rsidRPr="00E44F28">
              <w:rPr>
                <w:rFonts w:ascii="Arial" w:hAnsi="Arial"/>
                <w:sz w:val="18"/>
              </w:rPr>
              <w:t>7</w:t>
            </w:r>
            <w:r w:rsidR="009D7F19" w:rsidRPr="00E44F28">
              <w:rPr>
                <w:rFonts w:ascii="Arial" w:hAnsi="Arial"/>
                <w:sz w:val="18"/>
              </w:rPr>
              <w:fldChar w:fldCharType="end"/>
            </w:r>
            <w:r w:rsidRPr="00E44F28">
              <w:rPr>
                <w:rFonts w:ascii="Arial" w:hAnsi="Arial"/>
                <w:sz w:val="18"/>
              </w:rPr>
              <w:t xml:space="preserve"> for stopping study interventions</w:t>
            </w:r>
            <w:r w:rsidR="00C95151" w:rsidRPr="00E44F28">
              <w:rPr>
                <w:rFonts w:ascii="Arial" w:hAnsi="Arial"/>
                <w:sz w:val="18"/>
              </w:rPr>
              <w:t>.</w:t>
            </w:r>
            <w:r w:rsidR="00F1436E" w:rsidRPr="00E44F28">
              <w:rPr>
                <w:rFonts w:ascii="Arial" w:hAnsi="Arial"/>
                <w:sz w:val="18"/>
              </w:rPr>
              <w:t xml:space="preserve"> </w:t>
            </w:r>
          </w:p>
        </w:tc>
      </w:tr>
      <w:tr w:rsidR="002108B2" w:rsidRPr="00AF1814" w14:paraId="4A15FE09" w14:textId="77777777" w:rsidTr="00536270">
        <w:trPr>
          <w:cantSplit/>
          <w:jc w:val="center"/>
        </w:trPr>
        <w:tc>
          <w:tcPr>
            <w:tcW w:w="491" w:type="pct"/>
            <w:tcBorders>
              <w:top w:val="single" w:sz="4" w:space="0" w:color="auto"/>
              <w:left w:val="single" w:sz="4" w:space="0" w:color="auto"/>
              <w:bottom w:val="single" w:sz="4" w:space="0" w:color="auto"/>
              <w:right w:val="single" w:sz="4" w:space="0" w:color="auto"/>
            </w:tcBorders>
            <w:vAlign w:val="center"/>
          </w:tcPr>
          <w:p w14:paraId="1C83E543" w14:textId="77777777" w:rsidR="004A0AC1" w:rsidRPr="00AF1814" w:rsidRDefault="00DA3174" w:rsidP="004A0AC1">
            <w:pPr>
              <w:keepLines/>
              <w:widowControl w:val="0"/>
              <w:spacing w:before="40" w:after="40"/>
              <w:jc w:val="left"/>
              <w:rPr>
                <w:rFonts w:ascii="Arial" w:hAnsi="Arial" w:cs="Arial"/>
                <w:sz w:val="18"/>
              </w:rPr>
            </w:pPr>
            <w:r w:rsidRPr="00AF1814">
              <w:rPr>
                <w:rFonts w:ascii="Arial" w:hAnsi="Arial" w:cs="Arial"/>
                <w:sz w:val="18"/>
              </w:rPr>
              <w:lastRenderedPageBreak/>
              <w:t xml:space="preserve">Cohort 1B: </w:t>
            </w:r>
          </w:p>
          <w:p w14:paraId="0AFF0D9D" w14:textId="77777777" w:rsidR="004A0AC1" w:rsidRPr="00AF1814" w:rsidRDefault="00DA3174" w:rsidP="004A0AC1">
            <w:pPr>
              <w:keepLines/>
              <w:widowControl w:val="0"/>
              <w:spacing w:before="40" w:after="40"/>
              <w:jc w:val="left"/>
              <w:rPr>
                <w:rFonts w:ascii="Arial" w:hAnsi="Arial" w:cs="Arial"/>
                <w:sz w:val="18"/>
              </w:rPr>
            </w:pPr>
            <w:r w:rsidRPr="00AF1814">
              <w:rPr>
                <w:rFonts w:ascii="Arial" w:hAnsi="Arial" w:cs="Arial"/>
                <w:sz w:val="18"/>
              </w:rPr>
              <w:t>Cisplatin or carboplatin +</w:t>
            </w:r>
            <w:r w:rsidR="00382AEB" w:rsidRPr="00AF1814">
              <w:rPr>
                <w:rFonts w:ascii="Arial" w:hAnsi="Arial" w:cs="Arial"/>
                <w:sz w:val="18"/>
              </w:rPr>
              <w:t xml:space="preserve"> </w:t>
            </w:r>
            <w:r w:rsidRPr="00AF1814">
              <w:rPr>
                <w:rFonts w:ascii="Arial" w:hAnsi="Arial" w:cs="Arial"/>
                <w:sz w:val="18"/>
              </w:rPr>
              <w:t>paclitaxel</w:t>
            </w:r>
          </w:p>
        </w:tc>
        <w:tc>
          <w:tcPr>
            <w:tcW w:w="38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5BA0471" w14:textId="77777777" w:rsidR="004A0AC1" w:rsidRPr="00AF1814" w:rsidRDefault="004A0AC1" w:rsidP="004A0AC1">
            <w:pPr>
              <w:keepLines/>
              <w:widowControl w:val="0"/>
              <w:spacing w:before="40" w:after="40"/>
              <w:jc w:val="center"/>
              <w:rPr>
                <w:rFonts w:ascii="Arial" w:hAnsi="Arial"/>
                <w:sz w:val="18"/>
              </w:rPr>
            </w:pPr>
          </w:p>
        </w:tc>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14:paraId="7C495D08" w14:textId="77777777" w:rsidR="004A0AC1" w:rsidRPr="00AF1814" w:rsidRDefault="00DA3174" w:rsidP="004A0AC1">
            <w:pPr>
              <w:keepLines/>
              <w:widowControl w:val="0"/>
              <w:spacing w:before="40" w:after="40"/>
              <w:jc w:val="center"/>
              <w:rPr>
                <w:rFonts w:ascii="Arial" w:hAnsi="Arial"/>
                <w:sz w:val="18"/>
              </w:rPr>
            </w:pPr>
            <w:r w:rsidRPr="00AF1814">
              <w:rPr>
                <w:rFonts w:ascii="Arial" w:hAnsi="Arial"/>
                <w:sz w:val="18"/>
              </w:rPr>
              <w:t>X</w:t>
            </w:r>
          </w:p>
        </w:tc>
        <w:tc>
          <w:tcPr>
            <w:tcW w:w="219" w:type="pct"/>
            <w:tcBorders>
              <w:top w:val="single" w:sz="4" w:space="0" w:color="auto"/>
              <w:left w:val="single" w:sz="4" w:space="0" w:color="auto"/>
              <w:bottom w:val="single" w:sz="4" w:space="0" w:color="auto"/>
              <w:right w:val="single" w:sz="4" w:space="0" w:color="auto"/>
            </w:tcBorders>
            <w:shd w:val="clear" w:color="auto" w:fill="auto"/>
            <w:vAlign w:val="center"/>
          </w:tcPr>
          <w:p w14:paraId="2582F105" w14:textId="77777777" w:rsidR="004A0AC1" w:rsidRPr="00AF1814" w:rsidRDefault="00DA3174" w:rsidP="004A0AC1">
            <w:pPr>
              <w:keepLines/>
              <w:widowControl w:val="0"/>
              <w:spacing w:before="40" w:after="40"/>
              <w:jc w:val="center"/>
              <w:rPr>
                <w:rFonts w:ascii="Arial" w:hAnsi="Arial"/>
                <w:sz w:val="18"/>
              </w:rPr>
            </w:pPr>
            <w:r w:rsidRPr="00AF1814">
              <w:rPr>
                <w:rFonts w:ascii="Arial" w:hAnsi="Arial"/>
                <w:sz w:val="18"/>
              </w:rPr>
              <w:t>X</w:t>
            </w:r>
          </w:p>
        </w:tc>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2B65230F" w14:textId="77777777" w:rsidR="004A0AC1" w:rsidRPr="00AF1814" w:rsidRDefault="00DA3174" w:rsidP="004A0AC1">
            <w:pPr>
              <w:keepLines/>
              <w:widowControl w:val="0"/>
              <w:spacing w:before="40" w:after="40"/>
              <w:jc w:val="center"/>
              <w:rPr>
                <w:rFonts w:ascii="Arial" w:hAnsi="Arial"/>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shd w:val="clear" w:color="auto" w:fill="auto"/>
            <w:vAlign w:val="center"/>
          </w:tcPr>
          <w:p w14:paraId="61FED2E9" w14:textId="77777777" w:rsidR="004A0AC1" w:rsidRPr="00AF1814" w:rsidRDefault="00DA3174" w:rsidP="004A0AC1">
            <w:pPr>
              <w:keepLines/>
              <w:widowControl w:val="0"/>
              <w:spacing w:before="40" w:after="40"/>
              <w:jc w:val="center"/>
              <w:rPr>
                <w:rFonts w:ascii="Arial" w:hAnsi="Arial"/>
                <w:sz w:val="18"/>
              </w:rPr>
            </w:pPr>
            <w:r w:rsidRPr="00AF1814">
              <w:rPr>
                <w:rFonts w:ascii="Arial" w:hAnsi="Arial"/>
                <w:sz w:val="18"/>
              </w:rPr>
              <w:t>X</w:t>
            </w: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07EE1408" w14:textId="77777777" w:rsidR="004A0AC1" w:rsidRPr="00AF1814" w:rsidRDefault="00DA3174" w:rsidP="004A0AC1">
            <w:pPr>
              <w:keepLines/>
              <w:widowControl w:val="0"/>
              <w:spacing w:before="40" w:after="40"/>
              <w:jc w:val="center"/>
              <w:rPr>
                <w:rFonts w:ascii="Arial" w:hAnsi="Arial"/>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shd w:val="clear" w:color="auto" w:fill="auto"/>
            <w:vAlign w:val="center"/>
          </w:tcPr>
          <w:p w14:paraId="53833326" w14:textId="77777777" w:rsidR="004A0AC1" w:rsidRPr="00AF1814" w:rsidRDefault="00DA3174" w:rsidP="004A0AC1">
            <w:pPr>
              <w:keepLines/>
              <w:widowControl w:val="0"/>
              <w:spacing w:before="40" w:after="40"/>
              <w:jc w:val="center"/>
              <w:rPr>
                <w:rFonts w:ascii="Arial" w:hAnsi="Arial"/>
                <w:sz w:val="18"/>
              </w:rPr>
            </w:pPr>
            <w:r w:rsidRPr="00AF1814">
              <w:rPr>
                <w:rFonts w:ascii="Arial" w:hAnsi="Arial"/>
                <w:sz w:val="18"/>
              </w:rPr>
              <w:t>Every 3 weeks</w:t>
            </w: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B4E1424" w14:textId="77777777" w:rsidR="004A0AC1" w:rsidRPr="00AF1814" w:rsidRDefault="004A0AC1" w:rsidP="004A0AC1">
            <w:pPr>
              <w:keepLines/>
              <w:widowControl w:val="0"/>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2D679307" w14:textId="77777777" w:rsidR="004A0AC1" w:rsidRPr="00AF1814" w:rsidRDefault="004A0AC1" w:rsidP="004A0AC1">
            <w:pPr>
              <w:keepLines/>
              <w:widowControl w:val="0"/>
              <w:spacing w:before="40" w:after="40"/>
              <w:jc w:val="left"/>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79804762" w14:textId="77777777" w:rsidR="004A0AC1" w:rsidRPr="00AF1814" w:rsidRDefault="004A0AC1" w:rsidP="004A0AC1">
            <w:pPr>
              <w:keepLines/>
              <w:widowControl w:val="0"/>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493F849F" w14:textId="77777777" w:rsidR="004A0AC1" w:rsidRPr="00AF1814" w:rsidRDefault="004A0AC1" w:rsidP="004A0AC1">
            <w:pPr>
              <w:keepLines/>
              <w:widowControl w:val="0"/>
              <w:spacing w:before="40" w:after="40"/>
              <w:jc w:val="center"/>
              <w:rPr>
                <w:rFonts w:ascii="Arial" w:hAnsi="Arial"/>
                <w:sz w:val="18"/>
              </w:rPr>
            </w:pPr>
          </w:p>
        </w:tc>
        <w:tc>
          <w:tcPr>
            <w:tcW w:w="1226" w:type="pct"/>
            <w:tcBorders>
              <w:left w:val="single" w:sz="4" w:space="0" w:color="auto"/>
              <w:right w:val="single" w:sz="4" w:space="0" w:color="auto"/>
            </w:tcBorders>
            <w:shd w:val="clear" w:color="auto" w:fill="auto"/>
            <w:vAlign w:val="center"/>
          </w:tcPr>
          <w:p w14:paraId="24CF91B8" w14:textId="7E674AAE" w:rsidR="004A0AC1" w:rsidRPr="00AF1814" w:rsidRDefault="00DA3174" w:rsidP="004A0AC1">
            <w:pPr>
              <w:keepLines/>
              <w:widowControl w:val="0"/>
              <w:spacing w:before="40" w:after="40"/>
              <w:jc w:val="left"/>
              <w:rPr>
                <w:rFonts w:ascii="Arial" w:hAnsi="Arial"/>
                <w:sz w:val="18"/>
              </w:rPr>
            </w:pPr>
            <w:r w:rsidRPr="00AF1814">
              <w:rPr>
                <w:rFonts w:ascii="Arial" w:hAnsi="Arial"/>
                <w:sz w:val="18"/>
              </w:rPr>
              <w:t xml:space="preserve">Cisplatin or carboplatin, plus paclitaxel are administrated as indicated for standard of care treatment. </w:t>
            </w:r>
            <w:r w:rsidR="00C95151" w:rsidRPr="00AF1814">
              <w:rPr>
                <w:rFonts w:ascii="Arial" w:hAnsi="Arial"/>
                <w:sz w:val="18"/>
              </w:rPr>
              <w:t xml:space="preserve">Premedication is required for </w:t>
            </w:r>
            <w:r w:rsidR="00C95151" w:rsidRPr="00E44F28">
              <w:rPr>
                <w:rFonts w:ascii="Arial" w:hAnsi="Arial"/>
                <w:sz w:val="18"/>
              </w:rPr>
              <w:t xml:space="preserve">chemotherapy, see Section </w:t>
            </w:r>
            <w:r w:rsidR="009D7F19" w:rsidRPr="00E44F28">
              <w:rPr>
                <w:rFonts w:ascii="Arial" w:hAnsi="Arial" w:cs="Arial"/>
                <w:sz w:val="18"/>
              </w:rPr>
              <w:fldChar w:fldCharType="begin"/>
            </w:r>
            <w:r w:rsidR="009D7F19" w:rsidRPr="00E44F28">
              <w:rPr>
                <w:rFonts w:ascii="Arial" w:hAnsi="Arial" w:cs="Arial"/>
                <w:sz w:val="18"/>
              </w:rPr>
              <w:instrText xml:space="preserve"> REF _Ref30403099 \w \h </w:instrText>
            </w:r>
            <w:r w:rsidR="00AF1814" w:rsidRPr="00E44F28">
              <w:rPr>
                <w:rFonts w:ascii="Arial" w:hAnsi="Arial" w:cs="Arial"/>
                <w:sz w:val="18"/>
              </w:rPr>
              <w:instrText xml:space="preserve"> \* MERGEFORMAT </w:instrText>
            </w:r>
            <w:r w:rsidR="009D7F19" w:rsidRPr="00E44F28">
              <w:rPr>
                <w:rFonts w:ascii="Arial" w:hAnsi="Arial" w:cs="Arial"/>
                <w:sz w:val="18"/>
              </w:rPr>
            </w:r>
            <w:r w:rsidR="009D7F19" w:rsidRPr="00E44F28">
              <w:rPr>
                <w:rFonts w:ascii="Arial" w:hAnsi="Arial" w:cs="Arial"/>
                <w:sz w:val="18"/>
              </w:rPr>
              <w:fldChar w:fldCharType="separate"/>
            </w:r>
            <w:r w:rsidR="00C548C3" w:rsidRPr="00E44F28">
              <w:rPr>
                <w:rFonts w:ascii="Arial" w:hAnsi="Arial" w:cs="Arial"/>
                <w:sz w:val="18"/>
              </w:rPr>
              <w:t>6</w:t>
            </w:r>
            <w:r w:rsidR="009D7F19" w:rsidRPr="00E44F28">
              <w:rPr>
                <w:rFonts w:ascii="Arial" w:hAnsi="Arial" w:cs="Arial"/>
                <w:sz w:val="18"/>
              </w:rPr>
              <w:fldChar w:fldCharType="end"/>
            </w:r>
            <w:r w:rsidR="00C95151" w:rsidRPr="00E44F28">
              <w:rPr>
                <w:rFonts w:ascii="Arial" w:hAnsi="Arial"/>
                <w:sz w:val="18"/>
              </w:rPr>
              <w:t xml:space="preserve"> for premedication </w:t>
            </w:r>
            <w:r w:rsidR="00CE06AB" w:rsidRPr="00E44F28">
              <w:rPr>
                <w:rFonts w:ascii="Arial" w:hAnsi="Arial"/>
                <w:sz w:val="18"/>
              </w:rPr>
              <w:t xml:space="preserve">and order of infusion </w:t>
            </w:r>
            <w:r w:rsidR="00C95151" w:rsidRPr="00E44F28">
              <w:rPr>
                <w:rFonts w:ascii="Arial" w:hAnsi="Arial"/>
                <w:sz w:val="18"/>
              </w:rPr>
              <w:t xml:space="preserve">and Section </w:t>
            </w:r>
            <w:r w:rsidR="009D7F19" w:rsidRPr="00E44F28">
              <w:rPr>
                <w:rFonts w:ascii="Arial" w:hAnsi="Arial"/>
                <w:sz w:val="18"/>
              </w:rPr>
              <w:fldChar w:fldCharType="begin"/>
            </w:r>
            <w:r w:rsidR="009D7F19" w:rsidRPr="00E44F28">
              <w:rPr>
                <w:rFonts w:ascii="Arial" w:hAnsi="Arial"/>
                <w:sz w:val="18"/>
              </w:rPr>
              <w:instrText xml:space="preserve"> REF _Ref30403057 \w \h </w:instrText>
            </w:r>
            <w:r w:rsidR="00AF1814" w:rsidRPr="00E44F28">
              <w:rPr>
                <w:rFonts w:ascii="Arial" w:hAnsi="Arial"/>
                <w:sz w:val="18"/>
              </w:rPr>
              <w:instrText xml:space="preserve"> \* MERGEFORMAT </w:instrText>
            </w:r>
            <w:r w:rsidR="009D7F19" w:rsidRPr="00E44F28">
              <w:rPr>
                <w:rFonts w:ascii="Arial" w:hAnsi="Arial"/>
                <w:sz w:val="18"/>
              </w:rPr>
            </w:r>
            <w:r w:rsidR="009D7F19" w:rsidRPr="00E44F28">
              <w:rPr>
                <w:rFonts w:ascii="Arial" w:hAnsi="Arial"/>
                <w:sz w:val="18"/>
              </w:rPr>
              <w:fldChar w:fldCharType="separate"/>
            </w:r>
            <w:r w:rsidR="00C548C3" w:rsidRPr="00E44F28">
              <w:rPr>
                <w:rFonts w:ascii="Arial" w:hAnsi="Arial"/>
                <w:sz w:val="18"/>
              </w:rPr>
              <w:t>7</w:t>
            </w:r>
            <w:r w:rsidR="009D7F19" w:rsidRPr="00E44F28">
              <w:rPr>
                <w:rFonts w:ascii="Arial" w:hAnsi="Arial"/>
                <w:sz w:val="18"/>
              </w:rPr>
              <w:fldChar w:fldCharType="end"/>
            </w:r>
            <w:r w:rsidR="00C95151" w:rsidRPr="00E44F28">
              <w:rPr>
                <w:rFonts w:ascii="Arial" w:hAnsi="Arial"/>
                <w:sz w:val="18"/>
              </w:rPr>
              <w:t xml:space="preserve"> for stopping study interventions.</w:t>
            </w:r>
          </w:p>
        </w:tc>
      </w:tr>
      <w:tr w:rsidR="002108B2" w:rsidRPr="00AF1814" w14:paraId="7337489E" w14:textId="77777777" w:rsidTr="00D124BD">
        <w:trPr>
          <w:cantSplit/>
          <w:tblHeader/>
          <w:jc w:val="center"/>
        </w:trPr>
        <w:tc>
          <w:tcPr>
            <w:tcW w:w="5000" w:type="pct"/>
            <w:gridSpan w:val="13"/>
            <w:tcBorders>
              <w:top w:val="single" w:sz="4" w:space="0" w:color="auto"/>
              <w:left w:val="single" w:sz="4" w:space="0" w:color="auto"/>
              <w:bottom w:val="single" w:sz="4" w:space="0" w:color="auto"/>
              <w:right w:val="single" w:sz="4" w:space="0" w:color="auto"/>
            </w:tcBorders>
            <w:vAlign w:val="center"/>
          </w:tcPr>
          <w:p w14:paraId="48BF6FF8" w14:textId="77777777" w:rsidR="00D124BD" w:rsidRPr="00AF1814" w:rsidRDefault="00DA3174" w:rsidP="00D124BD">
            <w:pPr>
              <w:keepNext/>
              <w:widowControl w:val="0"/>
              <w:spacing w:before="40" w:after="40"/>
              <w:jc w:val="center"/>
              <w:rPr>
                <w:rFonts w:ascii="Arial" w:hAnsi="Arial"/>
                <w:b/>
                <w:sz w:val="18"/>
              </w:rPr>
            </w:pPr>
            <w:r w:rsidRPr="00AF1814">
              <w:rPr>
                <w:rFonts w:ascii="Arial" w:hAnsi="Arial"/>
                <w:b/>
                <w:sz w:val="18"/>
              </w:rPr>
              <w:t>Safety Assessment</w:t>
            </w:r>
          </w:p>
        </w:tc>
      </w:tr>
      <w:tr w:rsidR="002108B2" w:rsidRPr="00AF1814" w14:paraId="75BDF14A"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2AE9D933" w14:textId="77777777" w:rsidR="00D124BD" w:rsidRPr="00AF1814" w:rsidRDefault="00DA3174" w:rsidP="00D124BD">
            <w:pPr>
              <w:keepLines/>
              <w:spacing w:before="40" w:after="40"/>
              <w:jc w:val="left"/>
              <w:rPr>
                <w:rFonts w:ascii="Arial" w:hAnsi="Arial"/>
                <w:b/>
                <w:bCs/>
                <w:sz w:val="18"/>
              </w:rPr>
            </w:pPr>
            <w:r w:rsidRPr="00AF1814">
              <w:rPr>
                <w:rFonts w:ascii="Arial" w:hAnsi="Arial"/>
                <w:sz w:val="18"/>
              </w:rPr>
              <w:t xml:space="preserve">Documentation of AEs </w:t>
            </w:r>
          </w:p>
        </w:tc>
        <w:tc>
          <w:tcPr>
            <w:tcW w:w="383" w:type="pct"/>
            <w:tcBorders>
              <w:top w:val="single" w:sz="4" w:space="0" w:color="auto"/>
              <w:left w:val="single" w:sz="4" w:space="0" w:color="auto"/>
              <w:bottom w:val="single" w:sz="4" w:space="0" w:color="auto"/>
              <w:right w:val="single" w:sz="4" w:space="0" w:color="auto"/>
            </w:tcBorders>
            <w:vAlign w:val="center"/>
          </w:tcPr>
          <w:p w14:paraId="683E407B"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vAlign w:val="center"/>
          </w:tcPr>
          <w:p w14:paraId="373CAF69"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19" w:type="pct"/>
            <w:tcBorders>
              <w:top w:val="single" w:sz="4" w:space="0" w:color="auto"/>
              <w:left w:val="single" w:sz="4" w:space="0" w:color="auto"/>
              <w:bottom w:val="single" w:sz="4" w:space="0" w:color="auto"/>
              <w:right w:val="single" w:sz="4" w:space="0" w:color="auto"/>
            </w:tcBorders>
            <w:vAlign w:val="center"/>
          </w:tcPr>
          <w:p w14:paraId="2E222B3C"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165" w:type="pct"/>
            <w:tcBorders>
              <w:top w:val="single" w:sz="4" w:space="0" w:color="auto"/>
              <w:left w:val="single" w:sz="4" w:space="0" w:color="auto"/>
              <w:bottom w:val="single" w:sz="4" w:space="0" w:color="auto"/>
              <w:right w:val="single" w:sz="4" w:space="0" w:color="auto"/>
            </w:tcBorders>
            <w:vAlign w:val="center"/>
          </w:tcPr>
          <w:p w14:paraId="6FE15956"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vAlign w:val="center"/>
          </w:tcPr>
          <w:p w14:paraId="332D2F74"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43" w:type="pct"/>
            <w:tcBorders>
              <w:top w:val="single" w:sz="4" w:space="0" w:color="auto"/>
              <w:left w:val="single" w:sz="4" w:space="0" w:color="auto"/>
              <w:bottom w:val="single" w:sz="4" w:space="0" w:color="auto"/>
              <w:right w:val="single" w:sz="4" w:space="0" w:color="auto"/>
            </w:tcBorders>
            <w:vAlign w:val="center"/>
          </w:tcPr>
          <w:p w14:paraId="67824EAE"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vAlign w:val="center"/>
          </w:tcPr>
          <w:p w14:paraId="0D114560"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Every 3 weeks</w:t>
            </w:r>
          </w:p>
        </w:tc>
        <w:tc>
          <w:tcPr>
            <w:tcW w:w="364" w:type="pct"/>
            <w:tcBorders>
              <w:top w:val="single" w:sz="4" w:space="0" w:color="auto"/>
              <w:left w:val="single" w:sz="4" w:space="0" w:color="auto"/>
              <w:bottom w:val="single" w:sz="4" w:space="0" w:color="auto"/>
              <w:right w:val="single" w:sz="4" w:space="0" w:color="auto"/>
            </w:tcBorders>
            <w:vAlign w:val="center"/>
          </w:tcPr>
          <w:p w14:paraId="6A9F3762"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383" w:type="pct"/>
            <w:tcBorders>
              <w:left w:val="single" w:sz="4" w:space="0" w:color="auto"/>
              <w:right w:val="single" w:sz="4" w:space="0" w:color="auto"/>
            </w:tcBorders>
            <w:vAlign w:val="center"/>
          </w:tcPr>
          <w:p w14:paraId="791C9DB0"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vAlign w:val="center"/>
          </w:tcPr>
          <w:p w14:paraId="59DA6923"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r w:rsidRPr="00AF1814">
              <w:rPr>
                <w:rFonts w:ascii="Arial" w:hAnsi="Arial"/>
                <w:sz w:val="18"/>
                <w:vertAlign w:val="superscript"/>
              </w:rPr>
              <w:t>a</w:t>
            </w:r>
          </w:p>
        </w:tc>
        <w:tc>
          <w:tcPr>
            <w:tcW w:w="490" w:type="pct"/>
            <w:tcBorders>
              <w:left w:val="single" w:sz="4" w:space="0" w:color="auto"/>
              <w:right w:val="single" w:sz="4" w:space="0" w:color="auto"/>
            </w:tcBorders>
            <w:vAlign w:val="center"/>
          </w:tcPr>
          <w:p w14:paraId="2B005BD4"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r w:rsidRPr="00AF1814">
              <w:rPr>
                <w:rFonts w:ascii="Arial" w:hAnsi="Arial"/>
                <w:sz w:val="18"/>
                <w:vertAlign w:val="superscript"/>
              </w:rPr>
              <w:t>a</w:t>
            </w:r>
          </w:p>
        </w:tc>
        <w:tc>
          <w:tcPr>
            <w:tcW w:w="1226" w:type="pct"/>
            <w:tcBorders>
              <w:left w:val="single" w:sz="4" w:space="0" w:color="auto"/>
              <w:right w:val="single" w:sz="4" w:space="0" w:color="auto"/>
            </w:tcBorders>
            <w:vAlign w:val="center"/>
          </w:tcPr>
          <w:p w14:paraId="47CF8E03" w14:textId="5F8FAC86" w:rsidR="00D124BD" w:rsidRPr="00AF1814" w:rsidRDefault="00DA3174" w:rsidP="00D124BD">
            <w:pPr>
              <w:keepLines/>
              <w:spacing w:before="40" w:after="40"/>
              <w:jc w:val="left"/>
              <w:rPr>
                <w:rFonts w:ascii="Arial" w:hAnsi="Arial" w:cs="Arial"/>
                <w:sz w:val="18"/>
                <w:szCs w:val="18"/>
              </w:rPr>
            </w:pPr>
            <w:r w:rsidRPr="00AF1814">
              <w:rPr>
                <w:rFonts w:ascii="Arial" w:hAnsi="Arial" w:cs="Arial"/>
                <w:sz w:val="18"/>
                <w:szCs w:val="18"/>
              </w:rPr>
              <w:t>See</w:t>
            </w:r>
            <w:r w:rsidR="00B62895" w:rsidRPr="00AF1814">
              <w:rPr>
                <w:rFonts w:ascii="Arial" w:hAnsi="Arial" w:cs="Arial"/>
                <w:sz w:val="18"/>
                <w:szCs w:val="18"/>
              </w:rPr>
              <w:t xml:space="preserve"> </w:t>
            </w:r>
            <w:hyperlink w:anchor="_Appendix_4_Adverse" w:history="1">
              <w:r w:rsidR="00B62895" w:rsidRPr="00AF1814">
                <w:rPr>
                  <w:rStyle w:val="Hyperlink"/>
                  <w:rFonts w:ascii="Arial" w:hAnsi="Arial" w:cs="Arial"/>
                  <w:sz w:val="18"/>
                  <w:szCs w:val="18"/>
                </w:rPr>
                <w:t>Appendix 4</w:t>
              </w:r>
            </w:hyperlink>
            <w:r w:rsidR="00B62895" w:rsidRPr="00AF1814">
              <w:rPr>
                <w:rFonts w:ascii="Arial" w:hAnsi="Arial" w:cs="Arial"/>
                <w:sz w:val="18"/>
                <w:szCs w:val="18"/>
              </w:rPr>
              <w:t xml:space="preserve"> for safety recording and reporting.</w:t>
            </w:r>
          </w:p>
          <w:p w14:paraId="0087D333" w14:textId="77777777" w:rsidR="00D124BD" w:rsidRPr="00AF1814" w:rsidRDefault="00DA3174" w:rsidP="00D124BD">
            <w:pPr>
              <w:keepLines/>
              <w:spacing w:before="40" w:after="40"/>
              <w:jc w:val="left"/>
              <w:rPr>
                <w:rFonts w:ascii="Arial" w:hAnsi="Arial" w:cs="Arial"/>
                <w:sz w:val="18"/>
                <w:szCs w:val="18"/>
              </w:rPr>
            </w:pPr>
            <w:r w:rsidRPr="00AF1814">
              <w:rPr>
                <w:rFonts w:ascii="Arial" w:hAnsi="Arial" w:cs="Arial"/>
                <w:sz w:val="18"/>
                <w:szCs w:val="18"/>
              </w:rPr>
              <w:t>a: The 12-week Safety Follow-up and Long-term Follow-up may be conducted via telephone calls or patient chart reviews as necessary unless there is medical necessity requiring a clinical visit.</w:t>
            </w:r>
          </w:p>
        </w:tc>
      </w:tr>
      <w:tr w:rsidR="002108B2" w:rsidRPr="00AF1814" w14:paraId="074FB728"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12DE92B5" w14:textId="77777777" w:rsidR="00D124BD" w:rsidRPr="00AF1814" w:rsidRDefault="00DA3174" w:rsidP="00D124BD">
            <w:pPr>
              <w:keepLines/>
              <w:spacing w:before="40" w:after="40"/>
              <w:jc w:val="left"/>
              <w:rPr>
                <w:rFonts w:ascii="Arial" w:hAnsi="Arial"/>
                <w:b/>
                <w:bCs/>
                <w:sz w:val="18"/>
              </w:rPr>
            </w:pPr>
            <w:r w:rsidRPr="00AF1814">
              <w:rPr>
                <w:rFonts w:ascii="Arial" w:hAnsi="Arial"/>
                <w:sz w:val="18"/>
              </w:rPr>
              <w:t>Physical examination</w:t>
            </w:r>
          </w:p>
        </w:tc>
        <w:tc>
          <w:tcPr>
            <w:tcW w:w="383" w:type="pct"/>
            <w:tcBorders>
              <w:top w:val="single" w:sz="4" w:space="0" w:color="auto"/>
              <w:left w:val="single" w:sz="4" w:space="0" w:color="auto"/>
              <w:bottom w:val="single" w:sz="4" w:space="0" w:color="auto"/>
              <w:right w:val="single" w:sz="4" w:space="0" w:color="auto"/>
            </w:tcBorders>
            <w:vAlign w:val="center"/>
          </w:tcPr>
          <w:p w14:paraId="7FAEDB47"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vAlign w:val="center"/>
          </w:tcPr>
          <w:p w14:paraId="721F3577"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19" w:type="pct"/>
            <w:tcBorders>
              <w:top w:val="single" w:sz="4" w:space="0" w:color="auto"/>
              <w:left w:val="single" w:sz="4" w:space="0" w:color="auto"/>
              <w:bottom w:val="single" w:sz="4" w:space="0" w:color="auto"/>
              <w:right w:val="single" w:sz="4" w:space="0" w:color="auto"/>
            </w:tcBorders>
            <w:vAlign w:val="center"/>
          </w:tcPr>
          <w:p w14:paraId="32530E0B"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165" w:type="pct"/>
            <w:tcBorders>
              <w:top w:val="single" w:sz="4" w:space="0" w:color="auto"/>
              <w:left w:val="single" w:sz="4" w:space="0" w:color="auto"/>
              <w:bottom w:val="single" w:sz="4" w:space="0" w:color="auto"/>
              <w:right w:val="single" w:sz="4" w:space="0" w:color="auto"/>
            </w:tcBorders>
            <w:vAlign w:val="center"/>
          </w:tcPr>
          <w:p w14:paraId="374E808E"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vAlign w:val="center"/>
          </w:tcPr>
          <w:p w14:paraId="59A6A924"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43" w:type="pct"/>
            <w:tcBorders>
              <w:top w:val="single" w:sz="4" w:space="0" w:color="auto"/>
              <w:left w:val="single" w:sz="4" w:space="0" w:color="auto"/>
              <w:bottom w:val="single" w:sz="4" w:space="0" w:color="auto"/>
              <w:right w:val="single" w:sz="4" w:space="0" w:color="auto"/>
            </w:tcBorders>
            <w:vAlign w:val="center"/>
          </w:tcPr>
          <w:p w14:paraId="69B3B6F2"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vAlign w:val="center"/>
          </w:tcPr>
          <w:p w14:paraId="2E7E5F32"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Every 3 weeks</w:t>
            </w:r>
          </w:p>
        </w:tc>
        <w:tc>
          <w:tcPr>
            <w:tcW w:w="364" w:type="pct"/>
            <w:tcBorders>
              <w:top w:val="single" w:sz="4" w:space="0" w:color="auto"/>
              <w:left w:val="single" w:sz="4" w:space="0" w:color="auto"/>
              <w:bottom w:val="single" w:sz="4" w:space="0" w:color="auto"/>
              <w:right w:val="single" w:sz="4" w:space="0" w:color="auto"/>
            </w:tcBorders>
            <w:vAlign w:val="center"/>
          </w:tcPr>
          <w:p w14:paraId="4116CF9D"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383" w:type="pct"/>
            <w:tcBorders>
              <w:left w:val="single" w:sz="4" w:space="0" w:color="auto"/>
              <w:right w:val="single" w:sz="4" w:space="0" w:color="auto"/>
            </w:tcBorders>
            <w:vAlign w:val="center"/>
          </w:tcPr>
          <w:p w14:paraId="23279AB2"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shd w:val="clear" w:color="auto" w:fill="BFBFBF" w:themeFill="background1" w:themeFillShade="BF"/>
            <w:vAlign w:val="center"/>
          </w:tcPr>
          <w:p w14:paraId="41665E47" w14:textId="77777777" w:rsidR="00D124BD" w:rsidRPr="00AF1814" w:rsidRDefault="00D124BD"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0F3BABCD" w14:textId="77777777" w:rsidR="00D124BD" w:rsidRPr="00AF1814" w:rsidRDefault="00D124BD" w:rsidP="00D124BD">
            <w:pPr>
              <w:keepLines/>
              <w:spacing w:before="40" w:after="40"/>
              <w:jc w:val="center"/>
              <w:rPr>
                <w:rFonts w:ascii="Arial" w:hAnsi="Arial"/>
                <w:sz w:val="18"/>
              </w:rPr>
            </w:pPr>
          </w:p>
        </w:tc>
        <w:tc>
          <w:tcPr>
            <w:tcW w:w="1226" w:type="pct"/>
            <w:tcBorders>
              <w:left w:val="single" w:sz="4" w:space="0" w:color="auto"/>
              <w:right w:val="single" w:sz="4" w:space="0" w:color="auto"/>
            </w:tcBorders>
            <w:vAlign w:val="center"/>
          </w:tcPr>
          <w:p w14:paraId="7F3AA16C" w14:textId="7D34A5BB" w:rsidR="00D124BD" w:rsidRPr="00E44F28" w:rsidRDefault="00DA3174" w:rsidP="00D124BD">
            <w:pPr>
              <w:keepLines/>
              <w:spacing w:before="40" w:after="40"/>
              <w:jc w:val="left"/>
              <w:rPr>
                <w:rFonts w:ascii="Arial" w:hAnsi="Arial"/>
                <w:sz w:val="18"/>
              </w:rPr>
            </w:pPr>
            <w:r w:rsidRPr="00E44F28">
              <w:rPr>
                <w:rFonts w:ascii="Arial" w:hAnsi="Arial"/>
                <w:sz w:val="18"/>
              </w:rPr>
              <w:t xml:space="preserve">Complete </w:t>
            </w:r>
            <w:r w:rsidR="00F538BA" w:rsidRPr="00E44F28">
              <w:rPr>
                <w:rFonts w:ascii="Arial" w:hAnsi="Arial"/>
                <w:sz w:val="18"/>
              </w:rPr>
              <w:t>physical examination</w:t>
            </w:r>
            <w:r w:rsidRPr="00E44F28">
              <w:rPr>
                <w:rFonts w:ascii="Arial" w:hAnsi="Arial"/>
                <w:sz w:val="18"/>
              </w:rPr>
              <w:t xml:space="preserve"> to be performed at Screening; subsequent focused examinations to be performed as described in Section </w:t>
            </w:r>
            <w:r w:rsidR="008121BE" w:rsidRPr="00E44F28">
              <w:rPr>
                <w:rFonts w:ascii="Arial" w:hAnsi="Arial"/>
                <w:sz w:val="18"/>
              </w:rPr>
              <w:fldChar w:fldCharType="begin"/>
            </w:r>
            <w:r w:rsidR="008121BE" w:rsidRPr="00E44F28">
              <w:rPr>
                <w:rFonts w:ascii="Arial" w:hAnsi="Arial"/>
                <w:sz w:val="18"/>
              </w:rPr>
              <w:instrText xml:space="preserve"> REF _Ref30403185 \r \h </w:instrText>
            </w:r>
            <w:r w:rsidR="00AF1814" w:rsidRPr="00E44F28">
              <w:rPr>
                <w:rFonts w:ascii="Arial" w:hAnsi="Arial"/>
                <w:sz w:val="18"/>
              </w:rPr>
              <w:instrText xml:space="preserve"> \* MERGEFORMAT </w:instrText>
            </w:r>
            <w:r w:rsidR="008121BE" w:rsidRPr="00E44F28">
              <w:rPr>
                <w:rFonts w:ascii="Arial" w:hAnsi="Arial"/>
                <w:sz w:val="18"/>
              </w:rPr>
            </w:r>
            <w:r w:rsidR="008121BE" w:rsidRPr="00E44F28">
              <w:rPr>
                <w:rFonts w:ascii="Arial" w:hAnsi="Arial"/>
                <w:sz w:val="18"/>
              </w:rPr>
              <w:fldChar w:fldCharType="separate"/>
            </w:r>
            <w:r w:rsidR="00C548C3" w:rsidRPr="00E44F28">
              <w:rPr>
                <w:rFonts w:ascii="Arial" w:hAnsi="Arial"/>
                <w:sz w:val="18"/>
              </w:rPr>
              <w:t>8.2.1</w:t>
            </w:r>
            <w:r w:rsidR="008121BE" w:rsidRPr="00E44F28">
              <w:rPr>
                <w:rFonts w:ascii="Arial" w:hAnsi="Arial"/>
                <w:sz w:val="18"/>
              </w:rPr>
              <w:fldChar w:fldCharType="end"/>
            </w:r>
            <w:r w:rsidRPr="00E44F28">
              <w:rPr>
                <w:rFonts w:ascii="Arial" w:hAnsi="Arial"/>
                <w:sz w:val="18"/>
              </w:rPr>
              <w:t>.</w:t>
            </w:r>
          </w:p>
        </w:tc>
      </w:tr>
      <w:tr w:rsidR="002108B2" w:rsidRPr="00AF1814" w14:paraId="19540E0F"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18322405" w14:textId="77777777" w:rsidR="00D124BD" w:rsidRPr="00AF1814" w:rsidRDefault="00DA3174" w:rsidP="00D124BD">
            <w:pPr>
              <w:keepLines/>
              <w:spacing w:before="40" w:after="40"/>
              <w:jc w:val="left"/>
              <w:rPr>
                <w:rFonts w:ascii="Arial" w:hAnsi="Arial"/>
                <w:b/>
                <w:bCs/>
                <w:sz w:val="18"/>
              </w:rPr>
            </w:pPr>
            <w:r w:rsidRPr="00AF1814">
              <w:rPr>
                <w:rFonts w:ascii="Arial" w:hAnsi="Arial"/>
                <w:sz w:val="18"/>
              </w:rPr>
              <w:t xml:space="preserve">Skin </w:t>
            </w:r>
            <w:r w:rsidR="00EC5160" w:rsidRPr="00AF1814">
              <w:rPr>
                <w:rFonts w:ascii="Arial" w:hAnsi="Arial"/>
                <w:sz w:val="18"/>
              </w:rPr>
              <w:t>a</w:t>
            </w:r>
            <w:r w:rsidRPr="00AF1814">
              <w:rPr>
                <w:rFonts w:ascii="Arial" w:hAnsi="Arial"/>
                <w:sz w:val="18"/>
              </w:rPr>
              <w:t>ssessment</w:t>
            </w:r>
          </w:p>
        </w:tc>
        <w:tc>
          <w:tcPr>
            <w:tcW w:w="383" w:type="pct"/>
            <w:tcBorders>
              <w:top w:val="single" w:sz="4" w:space="0" w:color="auto"/>
              <w:left w:val="single" w:sz="4" w:space="0" w:color="auto"/>
              <w:bottom w:val="single" w:sz="4" w:space="0" w:color="auto"/>
              <w:right w:val="single" w:sz="4" w:space="0" w:color="auto"/>
            </w:tcBorders>
            <w:vAlign w:val="center"/>
          </w:tcPr>
          <w:p w14:paraId="569C86EB"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F0BA90" w14:textId="77777777" w:rsidR="00D124BD" w:rsidRPr="00AF1814" w:rsidRDefault="00D124BD" w:rsidP="00D124BD">
            <w:pPr>
              <w:keepLines/>
              <w:spacing w:before="40" w:after="40"/>
              <w:jc w:val="center"/>
              <w:rPr>
                <w:rFonts w:ascii="Arial" w:hAnsi="Arial"/>
                <w:b/>
                <w:sz w:val="18"/>
              </w:rPr>
            </w:pPr>
          </w:p>
        </w:tc>
        <w:tc>
          <w:tcPr>
            <w:tcW w:w="21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732144F" w14:textId="77777777" w:rsidR="00D124BD" w:rsidRPr="00AF1814" w:rsidRDefault="00D124BD" w:rsidP="00D124BD">
            <w:pPr>
              <w:keepLines/>
              <w:spacing w:before="40" w:after="40"/>
              <w:jc w:val="center"/>
              <w:rPr>
                <w:rFonts w:ascii="Arial" w:hAnsi="Arial"/>
                <w:b/>
                <w:sz w:val="18"/>
              </w:rPr>
            </w:pPr>
          </w:p>
        </w:tc>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4741E70D"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49BB15" w14:textId="77777777" w:rsidR="00D124BD" w:rsidRPr="00AF1814" w:rsidRDefault="00D124BD" w:rsidP="00D124BD">
            <w:pPr>
              <w:keepLines/>
              <w:spacing w:before="40" w:after="40"/>
              <w:jc w:val="center"/>
              <w:rPr>
                <w:rFonts w:ascii="Arial" w:hAnsi="Arial"/>
                <w:b/>
                <w:sz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159AFAE9"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shd w:val="clear" w:color="auto" w:fill="auto"/>
            <w:vAlign w:val="center"/>
          </w:tcPr>
          <w:p w14:paraId="75986DCB"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Every 6 weeks</w:t>
            </w: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73B90AF1"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vAlign w:val="center"/>
          </w:tcPr>
          <w:p w14:paraId="1CE5A5AE"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shd w:val="clear" w:color="auto" w:fill="BFBFBF" w:themeFill="background1" w:themeFillShade="BF"/>
            <w:vAlign w:val="center"/>
          </w:tcPr>
          <w:p w14:paraId="3111CDDE" w14:textId="77777777" w:rsidR="00D124BD" w:rsidRPr="00AF1814" w:rsidRDefault="00D124BD"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13138655" w14:textId="77777777" w:rsidR="00D124BD" w:rsidRPr="00AF1814" w:rsidRDefault="00D124BD" w:rsidP="00D124BD">
            <w:pPr>
              <w:keepLines/>
              <w:spacing w:before="40" w:after="40"/>
              <w:jc w:val="center"/>
              <w:rPr>
                <w:rFonts w:ascii="Arial" w:hAnsi="Arial"/>
                <w:sz w:val="18"/>
              </w:rPr>
            </w:pPr>
          </w:p>
        </w:tc>
        <w:tc>
          <w:tcPr>
            <w:tcW w:w="1226" w:type="pct"/>
            <w:tcBorders>
              <w:left w:val="single" w:sz="4" w:space="0" w:color="auto"/>
              <w:right w:val="single" w:sz="4" w:space="0" w:color="auto"/>
            </w:tcBorders>
            <w:shd w:val="clear" w:color="auto" w:fill="auto"/>
            <w:vAlign w:val="center"/>
          </w:tcPr>
          <w:p w14:paraId="6F1525B2" w14:textId="589ED90B" w:rsidR="00D124BD" w:rsidRPr="00E44F28" w:rsidRDefault="00DA3174" w:rsidP="00D124BD">
            <w:pPr>
              <w:keepLines/>
              <w:spacing w:before="40" w:after="40"/>
              <w:jc w:val="left"/>
              <w:rPr>
                <w:rFonts w:ascii="Arial" w:hAnsi="Arial"/>
                <w:sz w:val="18"/>
              </w:rPr>
            </w:pPr>
            <w:r w:rsidRPr="00E44F28">
              <w:rPr>
                <w:rFonts w:ascii="Arial" w:hAnsi="Arial" w:cs="Arial"/>
                <w:sz w:val="18"/>
                <w:szCs w:val="18"/>
              </w:rPr>
              <w:t xml:space="preserve">See </w:t>
            </w:r>
            <w:r w:rsidR="00B62895" w:rsidRPr="00E44F28">
              <w:rPr>
                <w:rFonts w:ascii="Arial" w:hAnsi="Arial"/>
                <w:sz w:val="18"/>
              </w:rPr>
              <w:t xml:space="preserve">Section </w:t>
            </w:r>
            <w:r w:rsidR="008121BE" w:rsidRPr="00E44F28">
              <w:rPr>
                <w:rFonts w:ascii="Arial" w:hAnsi="Arial"/>
                <w:sz w:val="18"/>
              </w:rPr>
              <w:fldChar w:fldCharType="begin"/>
            </w:r>
            <w:r w:rsidR="008121BE" w:rsidRPr="00E44F28">
              <w:rPr>
                <w:rFonts w:ascii="Arial" w:hAnsi="Arial"/>
                <w:sz w:val="18"/>
              </w:rPr>
              <w:instrText xml:space="preserve"> REF _Ref13668751 \r \h </w:instrText>
            </w:r>
            <w:r w:rsidR="00AF1814" w:rsidRPr="00E44F28">
              <w:rPr>
                <w:rFonts w:ascii="Arial" w:hAnsi="Arial"/>
                <w:sz w:val="18"/>
              </w:rPr>
              <w:instrText xml:space="preserve"> \* MERGEFORMAT </w:instrText>
            </w:r>
            <w:r w:rsidR="008121BE" w:rsidRPr="00E44F28">
              <w:rPr>
                <w:rFonts w:ascii="Arial" w:hAnsi="Arial"/>
                <w:sz w:val="18"/>
              </w:rPr>
            </w:r>
            <w:r w:rsidR="008121BE" w:rsidRPr="00E44F28">
              <w:rPr>
                <w:rFonts w:ascii="Arial" w:hAnsi="Arial"/>
                <w:sz w:val="18"/>
              </w:rPr>
              <w:fldChar w:fldCharType="separate"/>
            </w:r>
            <w:r w:rsidR="00C548C3" w:rsidRPr="00E44F28">
              <w:rPr>
                <w:rFonts w:ascii="Arial" w:hAnsi="Arial"/>
                <w:sz w:val="18"/>
              </w:rPr>
              <w:t>8.3.6.3</w:t>
            </w:r>
            <w:r w:rsidR="008121BE" w:rsidRPr="00E44F28">
              <w:rPr>
                <w:rFonts w:ascii="Arial" w:hAnsi="Arial"/>
                <w:sz w:val="18"/>
              </w:rPr>
              <w:fldChar w:fldCharType="end"/>
            </w:r>
            <w:r w:rsidR="008121BE" w:rsidRPr="00E44F28">
              <w:rPr>
                <w:rFonts w:ascii="Arial" w:hAnsi="Arial"/>
                <w:sz w:val="18"/>
              </w:rPr>
              <w:t xml:space="preserve"> </w:t>
            </w:r>
            <w:r w:rsidR="00B62895" w:rsidRPr="00E44F28">
              <w:rPr>
                <w:rFonts w:ascii="Arial" w:hAnsi="Arial"/>
                <w:sz w:val="18"/>
              </w:rPr>
              <w:t>for skin assessment.</w:t>
            </w:r>
          </w:p>
        </w:tc>
      </w:tr>
      <w:tr w:rsidR="002108B2" w:rsidRPr="00AF1814" w14:paraId="3F93C391"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48AC1A9C" w14:textId="77777777" w:rsidR="00D124BD" w:rsidRPr="00AF1814" w:rsidRDefault="00DA3174" w:rsidP="00D124BD">
            <w:pPr>
              <w:keepLines/>
              <w:spacing w:before="40" w:after="40"/>
              <w:jc w:val="left"/>
              <w:rPr>
                <w:rFonts w:ascii="Arial" w:hAnsi="Arial"/>
                <w:b/>
                <w:bCs/>
                <w:sz w:val="18"/>
              </w:rPr>
            </w:pPr>
            <w:r w:rsidRPr="00AF1814">
              <w:rPr>
                <w:rFonts w:ascii="Arial" w:hAnsi="Arial"/>
                <w:sz w:val="18"/>
              </w:rPr>
              <w:t>Vital signs</w:t>
            </w:r>
          </w:p>
        </w:tc>
        <w:tc>
          <w:tcPr>
            <w:tcW w:w="383" w:type="pct"/>
            <w:tcBorders>
              <w:top w:val="single" w:sz="4" w:space="0" w:color="auto"/>
              <w:left w:val="single" w:sz="4" w:space="0" w:color="auto"/>
              <w:bottom w:val="single" w:sz="4" w:space="0" w:color="auto"/>
              <w:right w:val="single" w:sz="4" w:space="0" w:color="auto"/>
            </w:tcBorders>
            <w:vAlign w:val="center"/>
          </w:tcPr>
          <w:p w14:paraId="0D859F41"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vAlign w:val="center"/>
          </w:tcPr>
          <w:p w14:paraId="5A3B2627"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19" w:type="pct"/>
            <w:tcBorders>
              <w:top w:val="single" w:sz="4" w:space="0" w:color="auto"/>
              <w:left w:val="single" w:sz="4" w:space="0" w:color="auto"/>
              <w:bottom w:val="single" w:sz="4" w:space="0" w:color="auto"/>
              <w:right w:val="single" w:sz="4" w:space="0" w:color="auto"/>
            </w:tcBorders>
            <w:vAlign w:val="center"/>
          </w:tcPr>
          <w:p w14:paraId="2A338015"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165" w:type="pct"/>
            <w:tcBorders>
              <w:top w:val="single" w:sz="4" w:space="0" w:color="auto"/>
              <w:left w:val="single" w:sz="4" w:space="0" w:color="auto"/>
              <w:bottom w:val="single" w:sz="4" w:space="0" w:color="auto"/>
              <w:right w:val="single" w:sz="4" w:space="0" w:color="auto"/>
            </w:tcBorders>
            <w:vAlign w:val="center"/>
          </w:tcPr>
          <w:p w14:paraId="14C57E46"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vAlign w:val="center"/>
          </w:tcPr>
          <w:p w14:paraId="7789F255"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43" w:type="pct"/>
            <w:tcBorders>
              <w:top w:val="single" w:sz="4" w:space="0" w:color="auto"/>
              <w:left w:val="single" w:sz="4" w:space="0" w:color="auto"/>
              <w:bottom w:val="single" w:sz="4" w:space="0" w:color="auto"/>
              <w:right w:val="single" w:sz="4" w:space="0" w:color="auto"/>
            </w:tcBorders>
            <w:vAlign w:val="center"/>
          </w:tcPr>
          <w:p w14:paraId="02229BD9"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vAlign w:val="center"/>
          </w:tcPr>
          <w:p w14:paraId="04C175C7"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Every 3 weeks</w:t>
            </w:r>
          </w:p>
        </w:tc>
        <w:tc>
          <w:tcPr>
            <w:tcW w:w="364" w:type="pct"/>
            <w:tcBorders>
              <w:top w:val="single" w:sz="4" w:space="0" w:color="auto"/>
              <w:left w:val="single" w:sz="4" w:space="0" w:color="auto"/>
              <w:bottom w:val="single" w:sz="4" w:space="0" w:color="auto"/>
              <w:right w:val="single" w:sz="4" w:space="0" w:color="auto"/>
            </w:tcBorders>
            <w:vAlign w:val="center"/>
          </w:tcPr>
          <w:p w14:paraId="0CD011A4"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383" w:type="pct"/>
            <w:tcBorders>
              <w:left w:val="single" w:sz="4" w:space="0" w:color="auto"/>
              <w:right w:val="single" w:sz="4" w:space="0" w:color="auto"/>
            </w:tcBorders>
            <w:vAlign w:val="center"/>
          </w:tcPr>
          <w:p w14:paraId="2541697B"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shd w:val="clear" w:color="auto" w:fill="BFBFBF" w:themeFill="background1" w:themeFillShade="BF"/>
            <w:vAlign w:val="center"/>
          </w:tcPr>
          <w:p w14:paraId="59786502" w14:textId="77777777" w:rsidR="00D124BD" w:rsidRPr="00AF1814" w:rsidRDefault="00D124BD"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7AC7E20D" w14:textId="77777777" w:rsidR="00D124BD" w:rsidRPr="00AF1814" w:rsidRDefault="00D124BD" w:rsidP="00D124BD">
            <w:pPr>
              <w:keepLines/>
              <w:spacing w:before="40" w:after="40"/>
              <w:jc w:val="center"/>
              <w:rPr>
                <w:rFonts w:ascii="Arial" w:hAnsi="Arial"/>
                <w:sz w:val="18"/>
              </w:rPr>
            </w:pPr>
          </w:p>
        </w:tc>
        <w:tc>
          <w:tcPr>
            <w:tcW w:w="1226" w:type="pct"/>
            <w:tcBorders>
              <w:left w:val="single" w:sz="4" w:space="0" w:color="auto"/>
              <w:right w:val="single" w:sz="4" w:space="0" w:color="auto"/>
            </w:tcBorders>
            <w:vAlign w:val="center"/>
          </w:tcPr>
          <w:p w14:paraId="6138153E" w14:textId="582A080F" w:rsidR="00D124BD" w:rsidRPr="00E44F28" w:rsidRDefault="00DA3174" w:rsidP="00D124BD">
            <w:pPr>
              <w:keepLines/>
              <w:spacing w:before="40" w:after="40"/>
              <w:jc w:val="left"/>
              <w:rPr>
                <w:rFonts w:ascii="Arial" w:hAnsi="Arial"/>
                <w:sz w:val="18"/>
              </w:rPr>
            </w:pPr>
            <w:r w:rsidRPr="00E44F28">
              <w:rPr>
                <w:rFonts w:ascii="Arial" w:hAnsi="Arial"/>
                <w:sz w:val="18"/>
              </w:rPr>
              <w:t>Including weight and height (height at Screening only).</w:t>
            </w:r>
            <w:r w:rsidR="002C1674" w:rsidRPr="00E44F28">
              <w:rPr>
                <w:rFonts w:ascii="Arial" w:hAnsi="Arial"/>
                <w:sz w:val="18"/>
              </w:rPr>
              <w:t xml:space="preserve"> See Section </w:t>
            </w:r>
            <w:r w:rsidR="002C1674" w:rsidRPr="00E44F28">
              <w:rPr>
                <w:rFonts w:ascii="Arial" w:hAnsi="Arial"/>
                <w:sz w:val="18"/>
              </w:rPr>
              <w:fldChar w:fldCharType="begin"/>
            </w:r>
            <w:r w:rsidR="002C1674" w:rsidRPr="00E44F28">
              <w:rPr>
                <w:rFonts w:ascii="Arial" w:hAnsi="Arial"/>
                <w:sz w:val="18"/>
              </w:rPr>
              <w:instrText xml:space="preserve"> REF _Ref36564376 \w \h </w:instrText>
            </w:r>
            <w:r w:rsidR="00AF1814" w:rsidRPr="00E44F28">
              <w:rPr>
                <w:rFonts w:ascii="Arial" w:hAnsi="Arial"/>
                <w:sz w:val="18"/>
              </w:rPr>
              <w:instrText xml:space="preserve"> \* MERGEFORMAT </w:instrText>
            </w:r>
            <w:r w:rsidR="002C1674" w:rsidRPr="00E44F28">
              <w:rPr>
                <w:rFonts w:ascii="Arial" w:hAnsi="Arial"/>
                <w:sz w:val="18"/>
              </w:rPr>
            </w:r>
            <w:r w:rsidR="002C1674" w:rsidRPr="00E44F28">
              <w:rPr>
                <w:rFonts w:ascii="Arial" w:hAnsi="Arial"/>
                <w:sz w:val="18"/>
              </w:rPr>
              <w:fldChar w:fldCharType="separate"/>
            </w:r>
            <w:r w:rsidR="00C548C3" w:rsidRPr="00E44F28">
              <w:rPr>
                <w:rFonts w:ascii="Arial" w:hAnsi="Arial"/>
                <w:sz w:val="18"/>
              </w:rPr>
              <w:t>8.2.2</w:t>
            </w:r>
            <w:r w:rsidR="002C1674" w:rsidRPr="00E44F28">
              <w:rPr>
                <w:rFonts w:ascii="Arial" w:hAnsi="Arial"/>
                <w:sz w:val="18"/>
              </w:rPr>
              <w:fldChar w:fldCharType="end"/>
            </w:r>
            <w:r w:rsidR="002C1674" w:rsidRPr="00E44F28">
              <w:rPr>
                <w:rFonts w:ascii="Arial" w:hAnsi="Arial"/>
                <w:sz w:val="18"/>
              </w:rPr>
              <w:t>.</w:t>
            </w:r>
          </w:p>
        </w:tc>
      </w:tr>
      <w:tr w:rsidR="002108B2" w:rsidRPr="00AF1814" w14:paraId="08B7487C"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22C25590" w14:textId="77777777" w:rsidR="00D124BD" w:rsidRPr="00AF1814" w:rsidRDefault="00DA3174" w:rsidP="00D124BD">
            <w:pPr>
              <w:keepLines/>
              <w:spacing w:before="40" w:after="40"/>
              <w:jc w:val="left"/>
              <w:rPr>
                <w:rFonts w:ascii="Arial" w:hAnsi="Arial"/>
                <w:b/>
                <w:bCs/>
                <w:sz w:val="18"/>
              </w:rPr>
            </w:pPr>
            <w:r w:rsidRPr="00AF1814">
              <w:rPr>
                <w:rFonts w:ascii="Arial" w:hAnsi="Arial"/>
                <w:sz w:val="18"/>
              </w:rPr>
              <w:t>ECOG PS</w:t>
            </w:r>
          </w:p>
        </w:tc>
        <w:tc>
          <w:tcPr>
            <w:tcW w:w="383" w:type="pct"/>
            <w:tcBorders>
              <w:top w:val="single" w:sz="4" w:space="0" w:color="auto"/>
              <w:left w:val="single" w:sz="4" w:space="0" w:color="auto"/>
              <w:bottom w:val="single" w:sz="4" w:space="0" w:color="auto"/>
              <w:right w:val="single" w:sz="4" w:space="0" w:color="auto"/>
            </w:tcBorders>
            <w:vAlign w:val="center"/>
          </w:tcPr>
          <w:p w14:paraId="14593E85"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vAlign w:val="center"/>
          </w:tcPr>
          <w:p w14:paraId="3EC0398D"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19" w:type="pct"/>
            <w:tcBorders>
              <w:top w:val="single" w:sz="4" w:space="0" w:color="auto"/>
              <w:left w:val="single" w:sz="4" w:space="0" w:color="auto"/>
              <w:bottom w:val="single" w:sz="4" w:space="0" w:color="auto"/>
              <w:right w:val="single" w:sz="4" w:space="0" w:color="auto"/>
            </w:tcBorders>
            <w:vAlign w:val="center"/>
          </w:tcPr>
          <w:p w14:paraId="6F6CA9C4"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165" w:type="pct"/>
            <w:tcBorders>
              <w:top w:val="single" w:sz="4" w:space="0" w:color="auto"/>
              <w:left w:val="single" w:sz="4" w:space="0" w:color="auto"/>
              <w:bottom w:val="single" w:sz="4" w:space="0" w:color="auto"/>
              <w:right w:val="single" w:sz="4" w:space="0" w:color="auto"/>
            </w:tcBorders>
            <w:vAlign w:val="center"/>
          </w:tcPr>
          <w:p w14:paraId="36B9B259"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vAlign w:val="center"/>
          </w:tcPr>
          <w:p w14:paraId="0CFBDAC6"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43" w:type="pct"/>
            <w:tcBorders>
              <w:top w:val="single" w:sz="4" w:space="0" w:color="auto"/>
              <w:left w:val="single" w:sz="4" w:space="0" w:color="auto"/>
              <w:bottom w:val="single" w:sz="4" w:space="0" w:color="auto"/>
              <w:right w:val="single" w:sz="4" w:space="0" w:color="auto"/>
            </w:tcBorders>
            <w:vAlign w:val="center"/>
          </w:tcPr>
          <w:p w14:paraId="35049A9F"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vAlign w:val="center"/>
          </w:tcPr>
          <w:p w14:paraId="0CACA48D"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Every 3 weeks</w:t>
            </w:r>
          </w:p>
        </w:tc>
        <w:tc>
          <w:tcPr>
            <w:tcW w:w="364" w:type="pct"/>
            <w:tcBorders>
              <w:top w:val="single" w:sz="4" w:space="0" w:color="auto"/>
              <w:left w:val="single" w:sz="4" w:space="0" w:color="auto"/>
              <w:bottom w:val="single" w:sz="4" w:space="0" w:color="auto"/>
              <w:right w:val="single" w:sz="4" w:space="0" w:color="auto"/>
            </w:tcBorders>
            <w:vAlign w:val="center"/>
          </w:tcPr>
          <w:p w14:paraId="56316015"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383" w:type="pct"/>
            <w:tcBorders>
              <w:left w:val="single" w:sz="4" w:space="0" w:color="auto"/>
              <w:right w:val="single" w:sz="4" w:space="0" w:color="auto"/>
            </w:tcBorders>
            <w:vAlign w:val="center"/>
          </w:tcPr>
          <w:p w14:paraId="3F3FDB92"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shd w:val="clear" w:color="auto" w:fill="BFBFBF" w:themeFill="background1" w:themeFillShade="BF"/>
            <w:vAlign w:val="center"/>
          </w:tcPr>
          <w:p w14:paraId="0FD756FE" w14:textId="77777777" w:rsidR="00D124BD" w:rsidRPr="00AF1814" w:rsidRDefault="00D124BD"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533117C7" w14:textId="77777777" w:rsidR="00D124BD" w:rsidRPr="00AF1814" w:rsidRDefault="00D124BD" w:rsidP="00D124BD">
            <w:pPr>
              <w:keepLines/>
              <w:spacing w:before="40" w:after="40"/>
              <w:jc w:val="center"/>
              <w:rPr>
                <w:rFonts w:ascii="Arial" w:hAnsi="Arial"/>
                <w:sz w:val="18"/>
              </w:rPr>
            </w:pPr>
          </w:p>
        </w:tc>
        <w:tc>
          <w:tcPr>
            <w:tcW w:w="1226" w:type="pct"/>
            <w:tcBorders>
              <w:left w:val="single" w:sz="4" w:space="0" w:color="auto"/>
              <w:right w:val="single" w:sz="4" w:space="0" w:color="auto"/>
            </w:tcBorders>
            <w:shd w:val="clear" w:color="auto" w:fill="BFBFBF" w:themeFill="background1" w:themeFillShade="BF"/>
            <w:vAlign w:val="center"/>
          </w:tcPr>
          <w:p w14:paraId="1D6A0E67" w14:textId="77777777" w:rsidR="00D124BD" w:rsidRPr="00E44F28" w:rsidRDefault="00D124BD" w:rsidP="00D124BD">
            <w:pPr>
              <w:keepLines/>
              <w:spacing w:before="40" w:after="40"/>
              <w:jc w:val="left"/>
              <w:rPr>
                <w:rFonts w:ascii="Arial" w:hAnsi="Arial"/>
                <w:sz w:val="18"/>
              </w:rPr>
            </w:pPr>
          </w:p>
        </w:tc>
      </w:tr>
      <w:tr w:rsidR="002108B2" w:rsidRPr="00AF1814" w14:paraId="2FF694A9"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7A645FF6" w14:textId="77777777" w:rsidR="00D124BD" w:rsidRPr="00AF1814" w:rsidRDefault="00DA3174" w:rsidP="00D124BD">
            <w:pPr>
              <w:keepLines/>
              <w:spacing w:before="40" w:after="40"/>
              <w:jc w:val="left"/>
              <w:rPr>
                <w:rFonts w:ascii="Arial" w:hAnsi="Arial"/>
                <w:b/>
                <w:bCs/>
                <w:sz w:val="18"/>
              </w:rPr>
            </w:pPr>
            <w:r w:rsidRPr="00AF1814">
              <w:rPr>
                <w:rFonts w:ascii="Arial" w:hAnsi="Arial"/>
                <w:sz w:val="18"/>
              </w:rPr>
              <w:t>12-lead ECG</w:t>
            </w:r>
          </w:p>
        </w:tc>
        <w:tc>
          <w:tcPr>
            <w:tcW w:w="383" w:type="pct"/>
            <w:tcBorders>
              <w:top w:val="single" w:sz="4" w:space="0" w:color="auto"/>
              <w:left w:val="single" w:sz="4" w:space="0" w:color="auto"/>
              <w:bottom w:val="single" w:sz="4" w:space="0" w:color="auto"/>
              <w:right w:val="single" w:sz="4" w:space="0" w:color="auto"/>
            </w:tcBorders>
            <w:vAlign w:val="center"/>
          </w:tcPr>
          <w:p w14:paraId="77C252EE"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026" w:type="pct"/>
            <w:gridSpan w:val="8"/>
            <w:tcBorders>
              <w:top w:val="single" w:sz="4" w:space="0" w:color="auto"/>
              <w:left w:val="single" w:sz="4" w:space="0" w:color="auto"/>
              <w:bottom w:val="single" w:sz="4" w:space="0" w:color="auto"/>
              <w:right w:val="single" w:sz="4" w:space="0" w:color="auto"/>
            </w:tcBorders>
            <w:shd w:val="clear" w:color="auto" w:fill="auto"/>
            <w:vAlign w:val="center"/>
          </w:tcPr>
          <w:p w14:paraId="74F46A52"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12-lead ECG will be repeated if clinically indicated</w:t>
            </w:r>
          </w:p>
        </w:tc>
        <w:tc>
          <w:tcPr>
            <w:tcW w:w="383" w:type="pct"/>
            <w:tcBorders>
              <w:left w:val="single" w:sz="4" w:space="0" w:color="auto"/>
              <w:right w:val="single" w:sz="4" w:space="0" w:color="auto"/>
            </w:tcBorders>
            <w:shd w:val="clear" w:color="auto" w:fill="BFBFBF" w:themeFill="background1" w:themeFillShade="BF"/>
            <w:vAlign w:val="center"/>
          </w:tcPr>
          <w:p w14:paraId="5F9FC15A" w14:textId="77777777" w:rsidR="00D124BD" w:rsidRPr="00AF1814" w:rsidRDefault="00D124BD" w:rsidP="00D124BD">
            <w:pPr>
              <w:keepLines/>
              <w:spacing w:before="40" w:after="40"/>
              <w:jc w:val="left"/>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0EC97363" w14:textId="77777777" w:rsidR="00D124BD" w:rsidRPr="00AF1814" w:rsidRDefault="00D124BD" w:rsidP="00D124BD">
            <w:pPr>
              <w:keepLines/>
              <w:spacing w:before="40" w:after="40"/>
              <w:jc w:val="left"/>
              <w:rPr>
                <w:rFonts w:ascii="Arial" w:hAnsi="Arial"/>
                <w:sz w:val="18"/>
              </w:rPr>
            </w:pPr>
          </w:p>
        </w:tc>
        <w:tc>
          <w:tcPr>
            <w:tcW w:w="1226" w:type="pct"/>
            <w:tcBorders>
              <w:left w:val="single" w:sz="4" w:space="0" w:color="auto"/>
              <w:right w:val="single" w:sz="4" w:space="0" w:color="auto"/>
            </w:tcBorders>
            <w:shd w:val="clear" w:color="auto" w:fill="BFBFBF" w:themeFill="background1" w:themeFillShade="BF"/>
            <w:vAlign w:val="center"/>
          </w:tcPr>
          <w:p w14:paraId="615C60B3" w14:textId="77777777" w:rsidR="00D124BD" w:rsidRPr="00AF1814" w:rsidRDefault="00D124BD" w:rsidP="00D124BD">
            <w:pPr>
              <w:keepLines/>
              <w:spacing w:before="40" w:after="40"/>
              <w:jc w:val="left"/>
              <w:rPr>
                <w:rFonts w:ascii="Arial" w:hAnsi="Arial"/>
                <w:sz w:val="18"/>
              </w:rPr>
            </w:pPr>
          </w:p>
        </w:tc>
      </w:tr>
      <w:tr w:rsidR="002108B2" w:rsidRPr="00AF1814" w14:paraId="40A611CF" w14:textId="77777777" w:rsidTr="00D124BD">
        <w:trPr>
          <w:cantSplit/>
          <w:tblHeader/>
          <w:jc w:val="center"/>
        </w:trPr>
        <w:tc>
          <w:tcPr>
            <w:tcW w:w="5000" w:type="pct"/>
            <w:gridSpan w:val="13"/>
            <w:tcBorders>
              <w:top w:val="single" w:sz="4" w:space="0" w:color="auto"/>
              <w:left w:val="single" w:sz="4" w:space="0" w:color="auto"/>
              <w:bottom w:val="single" w:sz="4" w:space="0" w:color="auto"/>
              <w:right w:val="single" w:sz="4" w:space="0" w:color="auto"/>
            </w:tcBorders>
            <w:shd w:val="clear" w:color="auto" w:fill="FFFFFF" w:themeFill="background1"/>
          </w:tcPr>
          <w:p w14:paraId="21B1E4DF" w14:textId="77777777" w:rsidR="00D124BD" w:rsidRPr="00AF1814" w:rsidRDefault="00DA3174" w:rsidP="00D124BD">
            <w:pPr>
              <w:keepNext/>
              <w:widowControl w:val="0"/>
              <w:spacing w:before="40" w:after="40"/>
              <w:jc w:val="center"/>
              <w:rPr>
                <w:rFonts w:ascii="Arial" w:hAnsi="Arial"/>
                <w:sz w:val="18"/>
              </w:rPr>
            </w:pPr>
            <w:r w:rsidRPr="00AF1814">
              <w:rPr>
                <w:rFonts w:ascii="Arial" w:hAnsi="Arial"/>
                <w:b/>
                <w:bCs/>
                <w:sz w:val="18"/>
              </w:rPr>
              <w:lastRenderedPageBreak/>
              <w:t>Laboratory Assessments</w:t>
            </w:r>
          </w:p>
        </w:tc>
      </w:tr>
      <w:tr w:rsidR="002108B2" w:rsidRPr="00AF1814" w14:paraId="3079FE85"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3E060106" w14:textId="77777777" w:rsidR="00D124BD" w:rsidRPr="00AF1814" w:rsidRDefault="00DA3174" w:rsidP="00D124BD">
            <w:pPr>
              <w:keepLines/>
              <w:widowControl w:val="0"/>
              <w:spacing w:before="40" w:after="40"/>
              <w:jc w:val="left"/>
              <w:rPr>
                <w:rFonts w:ascii="Arial" w:hAnsi="Arial"/>
                <w:sz w:val="18"/>
              </w:rPr>
            </w:pPr>
            <w:r w:rsidRPr="00AF1814">
              <w:rPr>
                <w:rFonts w:ascii="Arial" w:hAnsi="Arial"/>
                <w:sz w:val="18"/>
              </w:rPr>
              <w:t>Virology serology</w:t>
            </w:r>
          </w:p>
          <w:p w14:paraId="07622052" w14:textId="77777777" w:rsidR="00D124BD" w:rsidRPr="00AF1814" w:rsidRDefault="00DA3174" w:rsidP="00D124BD">
            <w:pPr>
              <w:keepLines/>
              <w:widowControl w:val="0"/>
              <w:spacing w:before="40" w:after="40"/>
              <w:jc w:val="left"/>
              <w:rPr>
                <w:rFonts w:ascii="Arial" w:hAnsi="Arial"/>
                <w:sz w:val="18"/>
              </w:rPr>
            </w:pPr>
            <w:r w:rsidRPr="00AF1814">
              <w:rPr>
                <w:rFonts w:ascii="Arial" w:hAnsi="Arial"/>
                <w:sz w:val="18"/>
              </w:rPr>
              <w:t>(HIV)</w:t>
            </w:r>
          </w:p>
        </w:tc>
        <w:tc>
          <w:tcPr>
            <w:tcW w:w="2410" w:type="pct"/>
            <w:gridSpan w:val="9"/>
            <w:tcBorders>
              <w:top w:val="single" w:sz="4" w:space="0" w:color="auto"/>
              <w:left w:val="single" w:sz="4" w:space="0" w:color="auto"/>
              <w:bottom w:val="single" w:sz="4" w:space="0" w:color="auto"/>
              <w:right w:val="single" w:sz="4" w:space="0" w:color="auto"/>
            </w:tcBorders>
            <w:vAlign w:val="center"/>
          </w:tcPr>
          <w:p w14:paraId="5A7E94CC"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As clinically indicated in participants with a history of HIV infection</w:t>
            </w:r>
          </w:p>
        </w:tc>
        <w:tc>
          <w:tcPr>
            <w:tcW w:w="383" w:type="pct"/>
            <w:tcBorders>
              <w:left w:val="single" w:sz="4" w:space="0" w:color="auto"/>
              <w:right w:val="single" w:sz="4" w:space="0" w:color="auto"/>
            </w:tcBorders>
            <w:shd w:val="clear" w:color="auto" w:fill="BFBFBF" w:themeFill="background1" w:themeFillShade="BF"/>
          </w:tcPr>
          <w:p w14:paraId="451F39FD" w14:textId="77777777" w:rsidR="00D124BD" w:rsidRPr="00AF1814" w:rsidRDefault="00D124BD"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tcPr>
          <w:p w14:paraId="5A007D9E" w14:textId="77777777" w:rsidR="00D124BD" w:rsidRPr="00AF1814" w:rsidRDefault="00D124BD" w:rsidP="00D124BD">
            <w:pPr>
              <w:keepLines/>
              <w:spacing w:before="40" w:after="40"/>
              <w:jc w:val="center"/>
              <w:rPr>
                <w:rFonts w:ascii="Arial" w:hAnsi="Arial"/>
                <w:sz w:val="18"/>
              </w:rPr>
            </w:pPr>
          </w:p>
        </w:tc>
        <w:tc>
          <w:tcPr>
            <w:tcW w:w="1226" w:type="pct"/>
            <w:tcBorders>
              <w:left w:val="single" w:sz="4" w:space="0" w:color="auto"/>
              <w:right w:val="single" w:sz="4" w:space="0" w:color="auto"/>
            </w:tcBorders>
          </w:tcPr>
          <w:p w14:paraId="5FE00704" w14:textId="77777777" w:rsidR="00D124BD" w:rsidRPr="00AF1814" w:rsidRDefault="00DA3174" w:rsidP="00D124BD">
            <w:pPr>
              <w:keepLines/>
              <w:spacing w:before="40" w:after="40"/>
              <w:jc w:val="left"/>
              <w:rPr>
                <w:rFonts w:ascii="Arial" w:hAnsi="Arial"/>
                <w:sz w:val="18"/>
              </w:rPr>
            </w:pPr>
            <w:bookmarkStart w:id="37" w:name="_Hlk34845471"/>
            <w:r w:rsidRPr="00AF1814">
              <w:rPr>
                <w:rFonts w:ascii="Arial" w:hAnsi="Arial"/>
                <w:sz w:val="18"/>
              </w:rPr>
              <w:t>HIV testing is not mandatory. Previous data should be collected in medical history. If a test is performed at any point at Screening or while on study, a site must consent the participant for HIV testing as per local standard guidance.</w:t>
            </w:r>
            <w:bookmarkEnd w:id="37"/>
          </w:p>
        </w:tc>
      </w:tr>
      <w:tr w:rsidR="002108B2" w:rsidRPr="00AF1814" w14:paraId="261D825B"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5325F487" w14:textId="77777777" w:rsidR="00D124BD" w:rsidRPr="00AF1814" w:rsidRDefault="00DA3174" w:rsidP="00D124BD">
            <w:pPr>
              <w:keepLines/>
              <w:widowControl w:val="0"/>
              <w:spacing w:before="40" w:after="40"/>
              <w:jc w:val="left"/>
              <w:rPr>
                <w:rFonts w:ascii="Arial" w:hAnsi="Arial"/>
                <w:sz w:val="18"/>
              </w:rPr>
            </w:pPr>
            <w:r w:rsidRPr="00AF1814">
              <w:rPr>
                <w:rFonts w:ascii="Arial" w:hAnsi="Arial"/>
                <w:sz w:val="18"/>
              </w:rPr>
              <w:t>Viral serology</w:t>
            </w:r>
          </w:p>
          <w:p w14:paraId="7222D26E" w14:textId="77777777" w:rsidR="00D124BD" w:rsidRPr="00AF1814" w:rsidRDefault="00DA3174" w:rsidP="00D124BD">
            <w:pPr>
              <w:keepLines/>
              <w:spacing w:before="40" w:after="40"/>
              <w:jc w:val="left"/>
              <w:rPr>
                <w:rFonts w:ascii="Arial" w:hAnsi="Arial"/>
                <w:sz w:val="18"/>
              </w:rPr>
            </w:pPr>
            <w:r w:rsidRPr="00AF1814">
              <w:rPr>
                <w:rFonts w:ascii="Arial" w:hAnsi="Arial"/>
                <w:sz w:val="18"/>
              </w:rPr>
              <w:t>(HBV and HCV)</w:t>
            </w:r>
          </w:p>
        </w:tc>
        <w:tc>
          <w:tcPr>
            <w:tcW w:w="383" w:type="pct"/>
            <w:tcBorders>
              <w:top w:val="single" w:sz="4" w:space="0" w:color="auto"/>
              <w:left w:val="single" w:sz="4" w:space="0" w:color="auto"/>
              <w:bottom w:val="single" w:sz="4" w:space="0" w:color="auto"/>
              <w:right w:val="single" w:sz="4" w:space="0" w:color="auto"/>
            </w:tcBorders>
            <w:vAlign w:val="center"/>
          </w:tcPr>
          <w:p w14:paraId="3CEFBBAC"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026" w:type="pct"/>
            <w:gridSpan w:val="8"/>
            <w:tcBorders>
              <w:top w:val="single" w:sz="4" w:space="0" w:color="auto"/>
              <w:left w:val="single" w:sz="4" w:space="0" w:color="auto"/>
              <w:bottom w:val="single" w:sz="4" w:space="0" w:color="auto"/>
              <w:right w:val="single" w:sz="4" w:space="0" w:color="auto"/>
            </w:tcBorders>
            <w:vAlign w:val="center"/>
          </w:tcPr>
          <w:p w14:paraId="53FF9D1C"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As clinically indicated in participants with a history of HBV or HCV infection</w:t>
            </w:r>
          </w:p>
        </w:tc>
        <w:tc>
          <w:tcPr>
            <w:tcW w:w="383" w:type="pct"/>
            <w:tcBorders>
              <w:left w:val="single" w:sz="4" w:space="0" w:color="auto"/>
              <w:right w:val="single" w:sz="4" w:space="0" w:color="auto"/>
            </w:tcBorders>
            <w:shd w:val="clear" w:color="auto" w:fill="BFBFBF" w:themeFill="background1" w:themeFillShade="BF"/>
          </w:tcPr>
          <w:p w14:paraId="103B1D08" w14:textId="77777777" w:rsidR="00D124BD" w:rsidRPr="00AF1814" w:rsidRDefault="00D124BD"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tcPr>
          <w:p w14:paraId="46D577EC" w14:textId="77777777" w:rsidR="00D124BD" w:rsidRPr="00AF1814" w:rsidRDefault="00D124BD" w:rsidP="00D124BD">
            <w:pPr>
              <w:keepLines/>
              <w:spacing w:before="40" w:after="40"/>
              <w:jc w:val="center"/>
              <w:rPr>
                <w:rFonts w:ascii="Arial" w:hAnsi="Arial"/>
                <w:sz w:val="18"/>
              </w:rPr>
            </w:pPr>
          </w:p>
        </w:tc>
        <w:tc>
          <w:tcPr>
            <w:tcW w:w="1226" w:type="pct"/>
            <w:tcBorders>
              <w:left w:val="single" w:sz="4" w:space="0" w:color="auto"/>
              <w:right w:val="single" w:sz="4" w:space="0" w:color="auto"/>
            </w:tcBorders>
            <w:shd w:val="clear" w:color="auto" w:fill="BFBFBF" w:themeFill="background1" w:themeFillShade="BF"/>
          </w:tcPr>
          <w:p w14:paraId="06668589" w14:textId="77777777" w:rsidR="00D124BD" w:rsidRPr="00AF1814" w:rsidRDefault="00D124BD" w:rsidP="00D124BD">
            <w:pPr>
              <w:keepLines/>
              <w:spacing w:before="40" w:after="40"/>
              <w:jc w:val="left"/>
              <w:rPr>
                <w:rFonts w:ascii="Arial" w:hAnsi="Arial"/>
                <w:sz w:val="18"/>
              </w:rPr>
            </w:pPr>
          </w:p>
        </w:tc>
      </w:tr>
      <w:tr w:rsidR="002108B2" w:rsidRPr="00AF1814" w14:paraId="75407972"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551EAFA1" w14:textId="77777777" w:rsidR="00D124BD" w:rsidRPr="00AF1814" w:rsidRDefault="00DA3174" w:rsidP="00D124BD">
            <w:pPr>
              <w:keepLines/>
              <w:spacing w:before="40" w:after="40"/>
              <w:jc w:val="left"/>
              <w:rPr>
                <w:rFonts w:ascii="Arial" w:hAnsi="Arial"/>
                <w:sz w:val="18"/>
              </w:rPr>
            </w:pPr>
            <w:r w:rsidRPr="00AF1814">
              <w:rPr>
                <w:rFonts w:ascii="Arial" w:hAnsi="Arial"/>
                <w:sz w:val="18"/>
              </w:rPr>
              <w:t>Hematology</w:t>
            </w:r>
          </w:p>
        </w:tc>
        <w:tc>
          <w:tcPr>
            <w:tcW w:w="383" w:type="pct"/>
            <w:tcBorders>
              <w:top w:val="single" w:sz="4" w:space="0" w:color="auto"/>
              <w:left w:val="single" w:sz="4" w:space="0" w:color="auto"/>
              <w:bottom w:val="single" w:sz="4" w:space="0" w:color="auto"/>
              <w:right w:val="single" w:sz="4" w:space="0" w:color="auto"/>
            </w:tcBorders>
            <w:vAlign w:val="center"/>
          </w:tcPr>
          <w:p w14:paraId="154493C6"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vAlign w:val="center"/>
          </w:tcPr>
          <w:p w14:paraId="02E5D612"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Day1, 8 and15</w:t>
            </w:r>
          </w:p>
        </w:tc>
        <w:tc>
          <w:tcPr>
            <w:tcW w:w="219" w:type="pct"/>
            <w:tcBorders>
              <w:top w:val="single" w:sz="4" w:space="0" w:color="auto"/>
              <w:left w:val="single" w:sz="4" w:space="0" w:color="auto"/>
              <w:bottom w:val="single" w:sz="4" w:space="0" w:color="auto"/>
              <w:right w:val="single" w:sz="4" w:space="0" w:color="auto"/>
            </w:tcBorders>
            <w:vAlign w:val="center"/>
          </w:tcPr>
          <w:p w14:paraId="46521A6D"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165" w:type="pct"/>
            <w:tcBorders>
              <w:top w:val="single" w:sz="4" w:space="0" w:color="auto"/>
              <w:left w:val="single" w:sz="4" w:space="0" w:color="auto"/>
              <w:bottom w:val="single" w:sz="4" w:space="0" w:color="auto"/>
              <w:right w:val="single" w:sz="4" w:space="0" w:color="auto"/>
            </w:tcBorders>
            <w:vAlign w:val="center"/>
          </w:tcPr>
          <w:p w14:paraId="56CC8FAE"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vAlign w:val="center"/>
          </w:tcPr>
          <w:p w14:paraId="00B0ED04"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43" w:type="pct"/>
            <w:tcBorders>
              <w:top w:val="single" w:sz="4" w:space="0" w:color="auto"/>
              <w:left w:val="single" w:sz="4" w:space="0" w:color="auto"/>
              <w:bottom w:val="single" w:sz="4" w:space="0" w:color="auto"/>
              <w:right w:val="single" w:sz="4" w:space="0" w:color="auto"/>
            </w:tcBorders>
            <w:vAlign w:val="center"/>
          </w:tcPr>
          <w:p w14:paraId="1E816E06"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vAlign w:val="center"/>
          </w:tcPr>
          <w:p w14:paraId="66669F2A"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Every 3 weeks</w:t>
            </w:r>
          </w:p>
        </w:tc>
        <w:tc>
          <w:tcPr>
            <w:tcW w:w="364" w:type="pct"/>
            <w:tcBorders>
              <w:top w:val="single" w:sz="4" w:space="0" w:color="auto"/>
              <w:left w:val="single" w:sz="4" w:space="0" w:color="auto"/>
              <w:bottom w:val="single" w:sz="4" w:space="0" w:color="auto"/>
              <w:right w:val="single" w:sz="4" w:space="0" w:color="auto"/>
            </w:tcBorders>
            <w:vAlign w:val="center"/>
          </w:tcPr>
          <w:p w14:paraId="09F50270"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vAlign w:val="center"/>
          </w:tcPr>
          <w:p w14:paraId="176B3B56"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shd w:val="clear" w:color="auto" w:fill="BFBFBF" w:themeFill="background1" w:themeFillShade="BF"/>
            <w:vAlign w:val="center"/>
          </w:tcPr>
          <w:p w14:paraId="07D01203" w14:textId="77777777" w:rsidR="00D124BD" w:rsidRPr="00AF1814" w:rsidRDefault="00D124BD"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544FA04E" w14:textId="77777777" w:rsidR="00D124BD" w:rsidRPr="00AF1814" w:rsidRDefault="00D124BD" w:rsidP="00D124BD">
            <w:pPr>
              <w:keepLines/>
              <w:spacing w:before="40" w:after="40"/>
              <w:jc w:val="center"/>
              <w:rPr>
                <w:rFonts w:ascii="Arial" w:hAnsi="Arial"/>
                <w:sz w:val="18"/>
              </w:rPr>
            </w:pPr>
          </w:p>
        </w:tc>
        <w:tc>
          <w:tcPr>
            <w:tcW w:w="1226" w:type="pct"/>
            <w:tcBorders>
              <w:left w:val="single" w:sz="4" w:space="0" w:color="auto"/>
              <w:right w:val="single" w:sz="4" w:space="0" w:color="auto"/>
            </w:tcBorders>
            <w:vAlign w:val="center"/>
          </w:tcPr>
          <w:p w14:paraId="0DC5B86A" w14:textId="02BD57CB" w:rsidR="00D124BD" w:rsidRPr="00AF1814" w:rsidRDefault="00DA3174" w:rsidP="00D124BD">
            <w:pPr>
              <w:keepLines/>
              <w:spacing w:before="40" w:after="40"/>
              <w:jc w:val="left"/>
              <w:rPr>
                <w:rFonts w:ascii="Arial" w:hAnsi="Arial"/>
                <w:sz w:val="18"/>
              </w:rPr>
            </w:pPr>
            <w:r w:rsidRPr="00AF1814">
              <w:rPr>
                <w:rFonts w:ascii="Arial" w:hAnsi="Arial"/>
                <w:sz w:val="18"/>
              </w:rPr>
              <w:t xml:space="preserve">Hematology is listed in </w:t>
            </w:r>
            <w:hyperlink w:anchor="_Appendix_5_Clinical" w:history="1">
              <w:r w:rsidR="00B62895" w:rsidRPr="00AF1814">
                <w:rPr>
                  <w:rStyle w:val="Hyperlink"/>
                  <w:rFonts w:ascii="Arial" w:hAnsi="Arial"/>
                  <w:sz w:val="18"/>
                </w:rPr>
                <w:t xml:space="preserve">Appendix </w:t>
              </w:r>
              <w:r w:rsidR="00E50719" w:rsidRPr="00AF1814">
                <w:rPr>
                  <w:rStyle w:val="Hyperlink"/>
                  <w:rFonts w:ascii="Arial" w:hAnsi="Arial"/>
                  <w:sz w:val="18"/>
                </w:rPr>
                <w:t>5</w:t>
              </w:r>
            </w:hyperlink>
            <w:r w:rsidR="00B62895" w:rsidRPr="00AF1814">
              <w:rPr>
                <w:rFonts w:ascii="Arial" w:hAnsi="Arial"/>
                <w:sz w:val="18"/>
              </w:rPr>
              <w:t xml:space="preserve"> </w:t>
            </w:r>
            <w:r w:rsidR="009977EF" w:rsidRPr="00AF1814">
              <w:rPr>
                <w:rFonts w:ascii="Arial" w:hAnsi="Arial"/>
                <w:sz w:val="18"/>
              </w:rPr>
              <w:t>for</w:t>
            </w:r>
            <w:r w:rsidR="00B62895" w:rsidRPr="00AF1814">
              <w:rPr>
                <w:rFonts w:ascii="Arial" w:hAnsi="Arial"/>
                <w:sz w:val="18"/>
              </w:rPr>
              <w:t xml:space="preserve"> blood tests. </w:t>
            </w:r>
            <w:r w:rsidR="004A0AC1" w:rsidRPr="00AF1814">
              <w:rPr>
                <w:rFonts w:ascii="Arial" w:hAnsi="Arial"/>
                <w:sz w:val="18"/>
              </w:rPr>
              <w:t xml:space="preserve">Samples are drawn weekly during the first 4 weeks. Samples drawn on dosing days </w:t>
            </w:r>
            <w:r w:rsidR="00B62895" w:rsidRPr="00AF1814">
              <w:rPr>
                <w:rFonts w:ascii="Arial" w:hAnsi="Arial"/>
                <w:sz w:val="18"/>
              </w:rPr>
              <w:t xml:space="preserve">must also be drawn prior to dosing and results of selected laboratory tests (see </w:t>
            </w:r>
            <w:hyperlink w:anchor="_Appendix_5_Clinical" w:history="1">
              <w:r w:rsidR="00E50719" w:rsidRPr="00AF1814">
                <w:rPr>
                  <w:rStyle w:val="Hyperlink"/>
                  <w:rFonts w:ascii="Arial" w:hAnsi="Arial"/>
                  <w:sz w:val="18"/>
                </w:rPr>
                <w:t>Appendix 5</w:t>
              </w:r>
            </w:hyperlink>
            <w:r w:rsidR="00B62895" w:rsidRPr="00AF1814">
              <w:rPr>
                <w:rFonts w:ascii="Arial" w:hAnsi="Arial"/>
                <w:sz w:val="18"/>
              </w:rPr>
              <w:t>) must be reviewed within 3 days prior to dosing.</w:t>
            </w:r>
          </w:p>
        </w:tc>
      </w:tr>
      <w:tr w:rsidR="002108B2" w:rsidRPr="00AF1814" w14:paraId="13841A22"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457FFA6F" w14:textId="77777777" w:rsidR="00D124BD" w:rsidRPr="00AF1814" w:rsidRDefault="00DA3174" w:rsidP="00D124BD">
            <w:pPr>
              <w:keepLines/>
              <w:spacing w:before="40" w:after="40"/>
              <w:jc w:val="left"/>
              <w:rPr>
                <w:rFonts w:ascii="Arial" w:hAnsi="Arial"/>
                <w:sz w:val="18"/>
              </w:rPr>
            </w:pPr>
            <w:r w:rsidRPr="00AF1814">
              <w:rPr>
                <w:rFonts w:ascii="Arial" w:hAnsi="Arial"/>
                <w:sz w:val="18"/>
              </w:rPr>
              <w:t>Biochemistry</w:t>
            </w:r>
          </w:p>
        </w:tc>
        <w:tc>
          <w:tcPr>
            <w:tcW w:w="383" w:type="pct"/>
            <w:tcBorders>
              <w:top w:val="single" w:sz="4" w:space="0" w:color="auto"/>
              <w:left w:val="single" w:sz="4" w:space="0" w:color="auto"/>
              <w:bottom w:val="single" w:sz="4" w:space="0" w:color="auto"/>
              <w:right w:val="single" w:sz="4" w:space="0" w:color="auto"/>
            </w:tcBorders>
            <w:vAlign w:val="center"/>
          </w:tcPr>
          <w:p w14:paraId="59B73D14"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vAlign w:val="center"/>
          </w:tcPr>
          <w:p w14:paraId="65AF106A"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Day1, 8 and15</w:t>
            </w:r>
          </w:p>
        </w:tc>
        <w:tc>
          <w:tcPr>
            <w:tcW w:w="219" w:type="pct"/>
            <w:tcBorders>
              <w:top w:val="single" w:sz="4" w:space="0" w:color="auto"/>
              <w:left w:val="single" w:sz="4" w:space="0" w:color="auto"/>
              <w:bottom w:val="single" w:sz="4" w:space="0" w:color="auto"/>
              <w:right w:val="single" w:sz="4" w:space="0" w:color="auto"/>
            </w:tcBorders>
            <w:vAlign w:val="center"/>
          </w:tcPr>
          <w:p w14:paraId="08159EC8"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165" w:type="pct"/>
            <w:tcBorders>
              <w:top w:val="single" w:sz="4" w:space="0" w:color="auto"/>
              <w:left w:val="single" w:sz="4" w:space="0" w:color="auto"/>
              <w:bottom w:val="single" w:sz="4" w:space="0" w:color="auto"/>
              <w:right w:val="single" w:sz="4" w:space="0" w:color="auto"/>
            </w:tcBorders>
            <w:vAlign w:val="center"/>
          </w:tcPr>
          <w:p w14:paraId="40792431"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vAlign w:val="center"/>
          </w:tcPr>
          <w:p w14:paraId="026E34DC"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43" w:type="pct"/>
            <w:tcBorders>
              <w:top w:val="single" w:sz="4" w:space="0" w:color="auto"/>
              <w:left w:val="single" w:sz="4" w:space="0" w:color="auto"/>
              <w:bottom w:val="single" w:sz="4" w:space="0" w:color="auto"/>
              <w:right w:val="single" w:sz="4" w:space="0" w:color="auto"/>
            </w:tcBorders>
            <w:vAlign w:val="center"/>
          </w:tcPr>
          <w:p w14:paraId="58EE9338"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vAlign w:val="center"/>
          </w:tcPr>
          <w:p w14:paraId="5392A722"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Every 3 weeks</w:t>
            </w:r>
          </w:p>
        </w:tc>
        <w:tc>
          <w:tcPr>
            <w:tcW w:w="364" w:type="pct"/>
            <w:tcBorders>
              <w:top w:val="single" w:sz="4" w:space="0" w:color="auto"/>
              <w:left w:val="single" w:sz="4" w:space="0" w:color="auto"/>
              <w:bottom w:val="single" w:sz="4" w:space="0" w:color="auto"/>
              <w:right w:val="single" w:sz="4" w:space="0" w:color="auto"/>
            </w:tcBorders>
            <w:vAlign w:val="center"/>
          </w:tcPr>
          <w:p w14:paraId="3C22A163"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vAlign w:val="center"/>
          </w:tcPr>
          <w:p w14:paraId="17962B3C"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shd w:val="clear" w:color="auto" w:fill="BFBFBF" w:themeFill="background1" w:themeFillShade="BF"/>
            <w:vAlign w:val="center"/>
          </w:tcPr>
          <w:p w14:paraId="77054F38" w14:textId="77777777" w:rsidR="00D124BD" w:rsidRPr="00AF1814" w:rsidRDefault="00D124BD"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21BD20EA" w14:textId="77777777" w:rsidR="00D124BD" w:rsidRPr="00AF1814" w:rsidRDefault="00D124BD" w:rsidP="00D124BD">
            <w:pPr>
              <w:keepLines/>
              <w:spacing w:before="40" w:after="40"/>
              <w:jc w:val="center"/>
              <w:rPr>
                <w:rFonts w:ascii="Arial" w:hAnsi="Arial"/>
                <w:sz w:val="18"/>
              </w:rPr>
            </w:pPr>
          </w:p>
        </w:tc>
        <w:tc>
          <w:tcPr>
            <w:tcW w:w="1226" w:type="pct"/>
            <w:tcBorders>
              <w:left w:val="single" w:sz="4" w:space="0" w:color="auto"/>
              <w:right w:val="single" w:sz="4" w:space="0" w:color="auto"/>
            </w:tcBorders>
            <w:vAlign w:val="center"/>
          </w:tcPr>
          <w:p w14:paraId="6FA4775D" w14:textId="5552D3BF" w:rsidR="00D124BD" w:rsidRPr="00AF1814" w:rsidRDefault="00DA3174" w:rsidP="00D124BD">
            <w:pPr>
              <w:keepLines/>
              <w:spacing w:before="40" w:after="40"/>
              <w:jc w:val="left"/>
              <w:rPr>
                <w:rFonts w:ascii="Arial" w:hAnsi="Arial"/>
                <w:sz w:val="18"/>
              </w:rPr>
            </w:pPr>
            <w:r w:rsidRPr="00AF1814">
              <w:rPr>
                <w:rFonts w:ascii="Arial" w:hAnsi="Arial"/>
                <w:sz w:val="18"/>
              </w:rPr>
              <w:t xml:space="preserve">Biochemistry is listed in </w:t>
            </w:r>
            <w:hyperlink w:anchor="_Appendix_5_Clinical" w:history="1">
              <w:r w:rsidR="00E50719" w:rsidRPr="00AF1814">
                <w:rPr>
                  <w:rStyle w:val="Hyperlink"/>
                  <w:rFonts w:ascii="Arial" w:hAnsi="Arial"/>
                  <w:sz w:val="18"/>
                </w:rPr>
                <w:t>Appendix 5</w:t>
              </w:r>
            </w:hyperlink>
            <w:r w:rsidRPr="00AF1814">
              <w:rPr>
                <w:rFonts w:ascii="Arial" w:hAnsi="Arial"/>
                <w:sz w:val="18"/>
              </w:rPr>
              <w:t xml:space="preserve">. </w:t>
            </w:r>
            <w:r w:rsidR="004A0AC1" w:rsidRPr="00AF1814">
              <w:rPr>
                <w:rFonts w:ascii="Arial" w:hAnsi="Arial"/>
                <w:sz w:val="18"/>
              </w:rPr>
              <w:t xml:space="preserve">Samples are drawn weekly during the first 4 weeks. Samples </w:t>
            </w:r>
            <w:r w:rsidRPr="00AF1814">
              <w:rPr>
                <w:rFonts w:ascii="Arial" w:hAnsi="Arial"/>
                <w:sz w:val="18"/>
              </w:rPr>
              <w:t xml:space="preserve">must be drawn prior to dosing and results of selected laboratory tests (see </w:t>
            </w:r>
            <w:hyperlink w:anchor="_Appendix_6_Clinical" w:history="1">
              <w:hyperlink w:anchor="_Appendix_5_Clinical" w:history="1">
                <w:r w:rsidR="00E50719" w:rsidRPr="00AF1814">
                  <w:rPr>
                    <w:rStyle w:val="Hyperlink"/>
                    <w:rFonts w:ascii="Arial" w:hAnsi="Arial"/>
                    <w:sz w:val="18"/>
                  </w:rPr>
                  <w:t>Appendix 5</w:t>
                </w:r>
              </w:hyperlink>
              <w:r w:rsidRPr="00AF1814">
                <w:rPr>
                  <w:rStyle w:val="Hyperlink"/>
                  <w:rFonts w:ascii="Arial" w:hAnsi="Arial"/>
                  <w:color w:val="auto"/>
                  <w:sz w:val="18"/>
                </w:rPr>
                <w:t>)</w:t>
              </w:r>
            </w:hyperlink>
            <w:r w:rsidRPr="00AF1814">
              <w:rPr>
                <w:rFonts w:ascii="Arial" w:hAnsi="Arial"/>
                <w:sz w:val="18"/>
              </w:rPr>
              <w:t xml:space="preserve"> must be reviewed within 3 days prior to dosing.</w:t>
            </w:r>
          </w:p>
        </w:tc>
      </w:tr>
      <w:tr w:rsidR="002108B2" w:rsidRPr="00AF1814" w14:paraId="3DEE4BC5"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4DEB3AD4" w14:textId="77777777" w:rsidR="00051DFA" w:rsidRPr="00AF1814" w:rsidRDefault="00DA3174" w:rsidP="006C40E9">
            <w:pPr>
              <w:autoSpaceDE w:val="0"/>
              <w:autoSpaceDN w:val="0"/>
              <w:adjustRightInd w:val="0"/>
              <w:spacing w:before="0"/>
              <w:jc w:val="left"/>
              <w:rPr>
                <w:rFonts w:ascii="Arial" w:hAnsi="Arial"/>
                <w:sz w:val="18"/>
              </w:rPr>
            </w:pPr>
            <w:r w:rsidRPr="00AF1814">
              <w:rPr>
                <w:rFonts w:ascii="Arial" w:hAnsi="Arial" w:cs="Arial"/>
                <w:sz w:val="18"/>
                <w:szCs w:val="18"/>
                <w:lang w:val="de-DE" w:eastAsia="ja-JP"/>
              </w:rPr>
              <w:t xml:space="preserve">Coagulation </w:t>
            </w:r>
            <w:r w:rsidR="009977EF" w:rsidRPr="00AF1814">
              <w:rPr>
                <w:rFonts w:ascii="Arial" w:hAnsi="Arial" w:cs="Arial"/>
                <w:sz w:val="18"/>
                <w:szCs w:val="18"/>
                <w:lang w:val="de-DE" w:eastAsia="ja-JP"/>
              </w:rPr>
              <w:t>parameters</w:t>
            </w:r>
          </w:p>
        </w:tc>
        <w:tc>
          <w:tcPr>
            <w:tcW w:w="383" w:type="pct"/>
            <w:tcBorders>
              <w:top w:val="single" w:sz="4" w:space="0" w:color="auto"/>
              <w:left w:val="single" w:sz="4" w:space="0" w:color="auto"/>
              <w:bottom w:val="single" w:sz="4" w:space="0" w:color="auto"/>
              <w:right w:val="single" w:sz="4" w:space="0" w:color="auto"/>
            </w:tcBorders>
            <w:vAlign w:val="center"/>
          </w:tcPr>
          <w:p w14:paraId="543CC4DC" w14:textId="77777777" w:rsidR="00051DFA" w:rsidRPr="00AF1814" w:rsidRDefault="00DA3174" w:rsidP="00D124BD">
            <w:pPr>
              <w:keepLines/>
              <w:spacing w:before="40" w:after="40"/>
              <w:jc w:val="center"/>
              <w:rPr>
                <w:rFonts w:ascii="Arial" w:hAnsi="Arial"/>
                <w:sz w:val="18"/>
              </w:rPr>
            </w:pPr>
            <w:r w:rsidRPr="00AF1814">
              <w:rPr>
                <w:rFonts w:ascii="Arial" w:hAnsi="Arial"/>
                <w:sz w:val="18"/>
              </w:rPr>
              <w:t>X</w:t>
            </w:r>
          </w:p>
        </w:tc>
        <w:tc>
          <w:tcPr>
            <w:tcW w:w="2026" w:type="pct"/>
            <w:gridSpan w:val="8"/>
            <w:tcBorders>
              <w:top w:val="single" w:sz="4" w:space="0" w:color="auto"/>
              <w:left w:val="single" w:sz="4" w:space="0" w:color="auto"/>
              <w:bottom w:val="single" w:sz="4" w:space="0" w:color="auto"/>
              <w:right w:val="single" w:sz="4" w:space="0" w:color="auto"/>
            </w:tcBorders>
            <w:vAlign w:val="center"/>
          </w:tcPr>
          <w:p w14:paraId="3A5910B3" w14:textId="77777777" w:rsidR="00051DFA" w:rsidRPr="00AF1814" w:rsidRDefault="00DA3174" w:rsidP="00051DFA">
            <w:pPr>
              <w:keepLines/>
              <w:spacing w:before="40" w:after="40"/>
              <w:jc w:val="center"/>
              <w:rPr>
                <w:rFonts w:ascii="Arial" w:hAnsi="Arial"/>
                <w:sz w:val="18"/>
              </w:rPr>
            </w:pPr>
            <w:r w:rsidRPr="00AF1814">
              <w:rPr>
                <w:rFonts w:ascii="Arial" w:hAnsi="Arial"/>
                <w:sz w:val="18"/>
              </w:rPr>
              <w:t>As clinically indicated</w:t>
            </w:r>
          </w:p>
        </w:tc>
        <w:tc>
          <w:tcPr>
            <w:tcW w:w="383" w:type="pct"/>
            <w:tcBorders>
              <w:left w:val="single" w:sz="4" w:space="0" w:color="auto"/>
              <w:right w:val="single" w:sz="4" w:space="0" w:color="auto"/>
            </w:tcBorders>
            <w:shd w:val="clear" w:color="auto" w:fill="BFBFBF" w:themeFill="background1" w:themeFillShade="BF"/>
            <w:vAlign w:val="center"/>
          </w:tcPr>
          <w:p w14:paraId="05E288A2" w14:textId="77777777" w:rsidR="00051DFA" w:rsidRPr="00AF1814" w:rsidRDefault="00051DFA"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5EA06E04" w14:textId="77777777" w:rsidR="00051DFA" w:rsidRPr="00AF1814" w:rsidRDefault="00051DFA" w:rsidP="00D124BD">
            <w:pPr>
              <w:keepLines/>
              <w:spacing w:before="40" w:after="40"/>
              <w:jc w:val="center"/>
              <w:rPr>
                <w:rFonts w:ascii="Arial" w:hAnsi="Arial"/>
                <w:sz w:val="18"/>
              </w:rPr>
            </w:pPr>
          </w:p>
        </w:tc>
        <w:tc>
          <w:tcPr>
            <w:tcW w:w="1226" w:type="pct"/>
            <w:tcBorders>
              <w:left w:val="single" w:sz="4" w:space="0" w:color="auto"/>
              <w:right w:val="single" w:sz="4" w:space="0" w:color="auto"/>
            </w:tcBorders>
            <w:vAlign w:val="center"/>
          </w:tcPr>
          <w:p w14:paraId="4BA96E03" w14:textId="659239B3" w:rsidR="00051DFA" w:rsidRPr="00AF1814" w:rsidRDefault="00DA3174" w:rsidP="00D124BD">
            <w:pPr>
              <w:keepLines/>
              <w:spacing w:before="40" w:after="40"/>
              <w:jc w:val="left"/>
              <w:rPr>
                <w:rFonts w:ascii="Arial" w:hAnsi="Arial"/>
                <w:sz w:val="18"/>
              </w:rPr>
            </w:pPr>
            <w:r w:rsidRPr="00AF1814">
              <w:rPr>
                <w:rFonts w:ascii="Arial" w:hAnsi="Arial"/>
                <w:sz w:val="18"/>
              </w:rPr>
              <w:t>See</w:t>
            </w:r>
            <w:r w:rsidR="00E50719" w:rsidRPr="00AF1814">
              <w:rPr>
                <w:rFonts w:ascii="Arial" w:hAnsi="Arial"/>
                <w:sz w:val="18"/>
              </w:rPr>
              <w:t xml:space="preserve"> </w:t>
            </w:r>
            <w:hyperlink w:anchor="_Appendix_5_Clinical" w:history="1">
              <w:r w:rsidR="00E50719" w:rsidRPr="00AF1814">
                <w:rPr>
                  <w:rStyle w:val="Hyperlink"/>
                  <w:rFonts w:ascii="Arial" w:hAnsi="Arial"/>
                  <w:sz w:val="18"/>
                </w:rPr>
                <w:t>Appendix 5</w:t>
              </w:r>
            </w:hyperlink>
            <w:r w:rsidRPr="00AF1814">
              <w:rPr>
                <w:rFonts w:ascii="Arial" w:hAnsi="Arial"/>
                <w:sz w:val="18"/>
              </w:rPr>
              <w:t>.</w:t>
            </w:r>
          </w:p>
        </w:tc>
      </w:tr>
      <w:tr w:rsidR="002108B2" w:rsidRPr="00AF1814" w14:paraId="23F2C9B2"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79DDA6DE" w14:textId="77777777" w:rsidR="001E7A4C" w:rsidRPr="00AF1814" w:rsidRDefault="00DA3174" w:rsidP="00D124BD">
            <w:pPr>
              <w:keepLines/>
              <w:spacing w:before="40" w:after="40"/>
              <w:jc w:val="left"/>
              <w:rPr>
                <w:rFonts w:ascii="Arial" w:hAnsi="Arial"/>
                <w:sz w:val="18"/>
              </w:rPr>
            </w:pPr>
            <w:r w:rsidRPr="00AF1814">
              <w:rPr>
                <w:rFonts w:ascii="Arial" w:hAnsi="Arial"/>
                <w:sz w:val="18"/>
              </w:rPr>
              <w:lastRenderedPageBreak/>
              <w:t>Proteinuria</w:t>
            </w:r>
          </w:p>
        </w:tc>
        <w:tc>
          <w:tcPr>
            <w:tcW w:w="383" w:type="pct"/>
            <w:tcBorders>
              <w:top w:val="single" w:sz="4" w:space="0" w:color="auto"/>
              <w:left w:val="single" w:sz="4" w:space="0" w:color="auto"/>
              <w:bottom w:val="single" w:sz="4" w:space="0" w:color="auto"/>
              <w:right w:val="single" w:sz="4" w:space="0" w:color="auto"/>
            </w:tcBorders>
            <w:vAlign w:val="center"/>
          </w:tcPr>
          <w:p w14:paraId="47579ED7" w14:textId="77777777" w:rsidR="001E7A4C" w:rsidRPr="00AF1814" w:rsidRDefault="00DA3174" w:rsidP="00D124BD">
            <w:pPr>
              <w:keepLines/>
              <w:spacing w:before="40" w:after="40"/>
              <w:jc w:val="center"/>
              <w:rPr>
                <w:rFonts w:ascii="Arial" w:hAnsi="Arial"/>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vAlign w:val="center"/>
          </w:tcPr>
          <w:p w14:paraId="07757241" w14:textId="77777777" w:rsidR="001E7A4C" w:rsidRPr="00AF1814" w:rsidRDefault="00DA3174" w:rsidP="00D124BD">
            <w:pPr>
              <w:keepLines/>
              <w:spacing w:before="40" w:after="40"/>
              <w:jc w:val="center"/>
              <w:rPr>
                <w:rFonts w:ascii="Arial" w:hAnsi="Arial"/>
                <w:sz w:val="18"/>
              </w:rPr>
            </w:pPr>
            <w:r w:rsidRPr="00AF1814">
              <w:rPr>
                <w:rFonts w:ascii="Arial" w:hAnsi="Arial"/>
                <w:sz w:val="18"/>
              </w:rPr>
              <w:t>X</w:t>
            </w:r>
          </w:p>
        </w:tc>
        <w:tc>
          <w:tcPr>
            <w:tcW w:w="219" w:type="pct"/>
            <w:tcBorders>
              <w:top w:val="single" w:sz="4" w:space="0" w:color="auto"/>
              <w:left w:val="single" w:sz="4" w:space="0" w:color="auto"/>
              <w:bottom w:val="single" w:sz="4" w:space="0" w:color="auto"/>
              <w:right w:val="single" w:sz="4" w:space="0" w:color="auto"/>
            </w:tcBorders>
            <w:vAlign w:val="center"/>
          </w:tcPr>
          <w:p w14:paraId="3FACDA6A" w14:textId="77777777" w:rsidR="001E7A4C" w:rsidRPr="00AF1814" w:rsidRDefault="00DA3174" w:rsidP="00D124BD">
            <w:pPr>
              <w:keepLines/>
              <w:spacing w:before="40" w:after="40"/>
              <w:jc w:val="center"/>
              <w:rPr>
                <w:rFonts w:ascii="Arial" w:hAnsi="Arial"/>
                <w:sz w:val="18"/>
              </w:rPr>
            </w:pPr>
            <w:r w:rsidRPr="00AF1814">
              <w:rPr>
                <w:rFonts w:ascii="Arial" w:hAnsi="Arial"/>
                <w:sz w:val="18"/>
              </w:rPr>
              <w:t>X</w:t>
            </w:r>
          </w:p>
        </w:tc>
        <w:tc>
          <w:tcPr>
            <w:tcW w:w="165" w:type="pct"/>
            <w:tcBorders>
              <w:top w:val="single" w:sz="4" w:space="0" w:color="auto"/>
              <w:left w:val="single" w:sz="4" w:space="0" w:color="auto"/>
              <w:bottom w:val="single" w:sz="4" w:space="0" w:color="auto"/>
              <w:right w:val="single" w:sz="4" w:space="0" w:color="auto"/>
            </w:tcBorders>
            <w:vAlign w:val="center"/>
          </w:tcPr>
          <w:p w14:paraId="6543F430" w14:textId="77777777" w:rsidR="001E7A4C" w:rsidRPr="00AF1814" w:rsidRDefault="00DA3174" w:rsidP="00D124BD">
            <w:pPr>
              <w:keepLines/>
              <w:spacing w:before="40" w:after="40"/>
              <w:jc w:val="center"/>
              <w:rPr>
                <w:rFonts w:ascii="Arial" w:hAnsi="Arial"/>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vAlign w:val="center"/>
          </w:tcPr>
          <w:p w14:paraId="7AFBD3EA" w14:textId="77777777" w:rsidR="001E7A4C" w:rsidRPr="00AF1814" w:rsidRDefault="00DA3174" w:rsidP="00D124BD">
            <w:pPr>
              <w:keepLines/>
              <w:spacing w:before="40" w:after="40"/>
              <w:jc w:val="center"/>
              <w:rPr>
                <w:rFonts w:ascii="Arial" w:hAnsi="Arial"/>
                <w:sz w:val="18"/>
              </w:rPr>
            </w:pPr>
            <w:r w:rsidRPr="00AF1814">
              <w:rPr>
                <w:rFonts w:ascii="Arial" w:hAnsi="Arial"/>
                <w:sz w:val="18"/>
              </w:rPr>
              <w:t>X</w:t>
            </w:r>
          </w:p>
        </w:tc>
        <w:tc>
          <w:tcPr>
            <w:tcW w:w="243" w:type="pct"/>
            <w:tcBorders>
              <w:top w:val="single" w:sz="4" w:space="0" w:color="auto"/>
              <w:left w:val="single" w:sz="4" w:space="0" w:color="auto"/>
              <w:bottom w:val="single" w:sz="4" w:space="0" w:color="auto"/>
              <w:right w:val="single" w:sz="4" w:space="0" w:color="auto"/>
            </w:tcBorders>
            <w:vAlign w:val="center"/>
          </w:tcPr>
          <w:p w14:paraId="29FDA93A" w14:textId="77777777" w:rsidR="001E7A4C" w:rsidRPr="00AF1814" w:rsidRDefault="00DA3174" w:rsidP="00D124BD">
            <w:pPr>
              <w:keepLines/>
              <w:spacing w:before="40" w:after="40"/>
              <w:jc w:val="center"/>
              <w:rPr>
                <w:rFonts w:ascii="Arial" w:hAnsi="Arial"/>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vAlign w:val="center"/>
          </w:tcPr>
          <w:p w14:paraId="0351DB3C" w14:textId="77777777" w:rsidR="001E7A4C" w:rsidRPr="00AF1814" w:rsidRDefault="00DA3174" w:rsidP="00D124BD">
            <w:pPr>
              <w:keepLines/>
              <w:spacing w:before="40" w:after="40"/>
              <w:jc w:val="center"/>
              <w:rPr>
                <w:rFonts w:ascii="Arial" w:hAnsi="Arial"/>
                <w:sz w:val="18"/>
              </w:rPr>
            </w:pPr>
            <w:r w:rsidRPr="00AF1814">
              <w:rPr>
                <w:rFonts w:ascii="Arial" w:hAnsi="Arial"/>
                <w:sz w:val="18"/>
              </w:rPr>
              <w:t>Every 3 weeks</w:t>
            </w:r>
          </w:p>
        </w:tc>
        <w:tc>
          <w:tcPr>
            <w:tcW w:w="364" w:type="pct"/>
            <w:tcBorders>
              <w:top w:val="single" w:sz="4" w:space="0" w:color="auto"/>
              <w:left w:val="single" w:sz="4" w:space="0" w:color="auto"/>
              <w:bottom w:val="single" w:sz="4" w:space="0" w:color="auto"/>
              <w:right w:val="single" w:sz="4" w:space="0" w:color="auto"/>
            </w:tcBorders>
            <w:vAlign w:val="center"/>
          </w:tcPr>
          <w:p w14:paraId="76543302" w14:textId="77777777" w:rsidR="001E7A4C"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vAlign w:val="center"/>
          </w:tcPr>
          <w:p w14:paraId="1735C5FF" w14:textId="77777777" w:rsidR="001E7A4C"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shd w:val="clear" w:color="auto" w:fill="BFBFBF" w:themeFill="background1" w:themeFillShade="BF"/>
            <w:vAlign w:val="center"/>
          </w:tcPr>
          <w:p w14:paraId="04F99232" w14:textId="77777777" w:rsidR="001E7A4C" w:rsidRPr="00AF1814" w:rsidRDefault="001E7A4C"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756A315F" w14:textId="77777777" w:rsidR="001E7A4C" w:rsidRPr="00AF1814" w:rsidRDefault="001E7A4C" w:rsidP="00D124BD">
            <w:pPr>
              <w:keepLines/>
              <w:spacing w:before="40" w:after="40"/>
              <w:jc w:val="center"/>
              <w:rPr>
                <w:rFonts w:ascii="Arial" w:hAnsi="Arial"/>
                <w:sz w:val="18"/>
              </w:rPr>
            </w:pPr>
          </w:p>
        </w:tc>
        <w:tc>
          <w:tcPr>
            <w:tcW w:w="1226" w:type="pct"/>
            <w:tcBorders>
              <w:left w:val="single" w:sz="4" w:space="0" w:color="auto"/>
              <w:right w:val="single" w:sz="4" w:space="0" w:color="auto"/>
            </w:tcBorders>
            <w:vAlign w:val="center"/>
          </w:tcPr>
          <w:p w14:paraId="05F505F9" w14:textId="693782C4" w:rsidR="001E7A4C" w:rsidRPr="00AF1814" w:rsidRDefault="00DA3174" w:rsidP="00D124BD">
            <w:pPr>
              <w:keepLines/>
              <w:spacing w:before="40" w:after="40"/>
              <w:jc w:val="left"/>
              <w:rPr>
                <w:rFonts w:ascii="Arial" w:hAnsi="Arial"/>
                <w:sz w:val="18"/>
              </w:rPr>
            </w:pPr>
            <w:r w:rsidRPr="00AF1814">
              <w:rPr>
                <w:rFonts w:ascii="Arial" w:hAnsi="Arial"/>
                <w:sz w:val="18"/>
              </w:rPr>
              <w:t>Results must be reviewed within 3</w:t>
            </w:r>
            <w:r w:rsidR="00FC2F74" w:rsidRPr="00AF1814">
              <w:rPr>
                <w:rFonts w:ascii="Arial" w:hAnsi="Arial"/>
                <w:sz w:val="18"/>
              </w:rPr>
              <w:t> </w:t>
            </w:r>
            <w:r w:rsidRPr="00AF1814">
              <w:rPr>
                <w:rFonts w:ascii="Arial" w:hAnsi="Arial"/>
                <w:sz w:val="18"/>
              </w:rPr>
              <w:t>days prior to dosing</w:t>
            </w:r>
            <w:r w:rsidR="009827AB" w:rsidRPr="00AF1814">
              <w:rPr>
                <w:rFonts w:ascii="Arial" w:hAnsi="Arial"/>
                <w:sz w:val="18"/>
              </w:rPr>
              <w:t>.</w:t>
            </w:r>
            <w:r w:rsidR="006E04EA" w:rsidRPr="00AF1814">
              <w:t xml:space="preserve"> </w:t>
            </w:r>
            <w:r w:rsidR="006E04EA" w:rsidRPr="00AF1814">
              <w:rPr>
                <w:rFonts w:ascii="Arial" w:hAnsi="Arial"/>
                <w:sz w:val="18"/>
              </w:rPr>
              <w:t xml:space="preserve">All </w:t>
            </w:r>
            <w:r w:rsidR="00BC0FFC" w:rsidRPr="00AF1814">
              <w:rPr>
                <w:rFonts w:ascii="Arial" w:hAnsi="Arial"/>
                <w:sz w:val="18"/>
              </w:rPr>
              <w:t>participants</w:t>
            </w:r>
            <w:r w:rsidR="006E04EA" w:rsidRPr="00AF1814">
              <w:rPr>
                <w:rFonts w:ascii="Arial" w:hAnsi="Arial"/>
                <w:sz w:val="18"/>
              </w:rPr>
              <w:t xml:space="preserve"> with 2+ protein on dipstick urinalysis at </w:t>
            </w:r>
            <w:r w:rsidR="005B6725" w:rsidRPr="00AF1814">
              <w:rPr>
                <w:rFonts w:ascii="Arial" w:hAnsi="Arial"/>
                <w:sz w:val="18"/>
              </w:rPr>
              <w:t>B</w:t>
            </w:r>
            <w:r w:rsidR="006E04EA" w:rsidRPr="00AF1814">
              <w:rPr>
                <w:rFonts w:ascii="Arial" w:hAnsi="Arial"/>
                <w:sz w:val="18"/>
              </w:rPr>
              <w:t>aseline must undergo a 24-hour urine collection prior to enrollment (</w:t>
            </w:r>
            <w:r w:rsidR="00376B42" w:rsidRPr="00AF1814">
              <w:rPr>
                <w:rFonts w:ascii="Arial" w:hAnsi="Arial"/>
                <w:sz w:val="18"/>
              </w:rPr>
              <w:t>C</w:t>
            </w:r>
            <w:r w:rsidR="006E04EA" w:rsidRPr="00AF1814">
              <w:rPr>
                <w:rFonts w:ascii="Arial" w:hAnsi="Arial"/>
                <w:sz w:val="18"/>
              </w:rPr>
              <w:t xml:space="preserve">ohort 1A only, </w:t>
            </w:r>
            <w:r w:rsidR="00382AEB" w:rsidRPr="00E44F28">
              <w:rPr>
                <w:rFonts w:ascii="Arial" w:hAnsi="Arial"/>
                <w:sz w:val="18"/>
              </w:rPr>
              <w:t>s</w:t>
            </w:r>
            <w:r w:rsidR="006E04EA" w:rsidRPr="00E44F28">
              <w:rPr>
                <w:rFonts w:ascii="Arial" w:hAnsi="Arial"/>
                <w:sz w:val="18"/>
              </w:rPr>
              <w:t xml:space="preserve">ee Section </w:t>
            </w:r>
            <w:r w:rsidR="006E04EA" w:rsidRPr="00E44F28">
              <w:rPr>
                <w:rFonts w:ascii="Arial" w:hAnsi="Arial"/>
                <w:sz w:val="18"/>
              </w:rPr>
              <w:fldChar w:fldCharType="begin"/>
            </w:r>
            <w:r w:rsidR="006E04EA" w:rsidRPr="00E44F28">
              <w:rPr>
                <w:rFonts w:ascii="Arial" w:hAnsi="Arial"/>
                <w:sz w:val="18"/>
              </w:rPr>
              <w:instrText xml:space="preserve"> REF _Ref32398835 \r \h </w:instrText>
            </w:r>
            <w:r w:rsidR="00AF1814" w:rsidRPr="00E44F28">
              <w:rPr>
                <w:rFonts w:ascii="Arial" w:hAnsi="Arial"/>
                <w:sz w:val="18"/>
              </w:rPr>
              <w:instrText xml:space="preserve"> \* MERGEFORMAT </w:instrText>
            </w:r>
            <w:r w:rsidR="006E04EA" w:rsidRPr="00E44F28">
              <w:rPr>
                <w:rFonts w:ascii="Arial" w:hAnsi="Arial"/>
                <w:sz w:val="18"/>
              </w:rPr>
            </w:r>
            <w:r w:rsidR="006E04EA" w:rsidRPr="00E44F28">
              <w:rPr>
                <w:rFonts w:ascii="Arial" w:hAnsi="Arial"/>
                <w:sz w:val="18"/>
              </w:rPr>
              <w:fldChar w:fldCharType="separate"/>
            </w:r>
            <w:r w:rsidR="00C548C3" w:rsidRPr="00E44F28">
              <w:rPr>
                <w:rFonts w:ascii="Arial" w:hAnsi="Arial"/>
                <w:sz w:val="18"/>
              </w:rPr>
              <w:t>5.2</w:t>
            </w:r>
            <w:r w:rsidR="006E04EA" w:rsidRPr="00E44F28">
              <w:rPr>
                <w:rFonts w:ascii="Arial" w:hAnsi="Arial"/>
                <w:sz w:val="18"/>
              </w:rPr>
              <w:fldChar w:fldCharType="end"/>
            </w:r>
            <w:r w:rsidR="006E04EA" w:rsidRPr="00E44F28">
              <w:rPr>
                <w:rFonts w:ascii="Arial" w:hAnsi="Arial"/>
                <w:sz w:val="18"/>
              </w:rPr>
              <w:t>)</w:t>
            </w:r>
            <w:r w:rsidR="00920D8C" w:rsidRPr="00E44F28">
              <w:rPr>
                <w:rFonts w:ascii="Arial" w:hAnsi="Arial"/>
                <w:sz w:val="18"/>
              </w:rPr>
              <w:t>.</w:t>
            </w:r>
          </w:p>
        </w:tc>
      </w:tr>
      <w:tr w:rsidR="002108B2" w:rsidRPr="00AF1814" w14:paraId="1F179102"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343079E5" w14:textId="77777777" w:rsidR="00D124BD" w:rsidRPr="00AF1814" w:rsidRDefault="00DA3174" w:rsidP="00D124BD">
            <w:pPr>
              <w:keepLines/>
              <w:spacing w:before="40" w:after="40"/>
              <w:jc w:val="left"/>
              <w:rPr>
                <w:rFonts w:ascii="Arial" w:hAnsi="Arial"/>
                <w:sz w:val="18"/>
              </w:rPr>
            </w:pPr>
            <w:r w:rsidRPr="00AF1814">
              <w:rPr>
                <w:rFonts w:ascii="Arial" w:hAnsi="Arial"/>
                <w:sz w:val="18"/>
              </w:rPr>
              <w:t>Urinalysis</w:t>
            </w:r>
          </w:p>
        </w:tc>
        <w:tc>
          <w:tcPr>
            <w:tcW w:w="383" w:type="pct"/>
            <w:tcBorders>
              <w:top w:val="single" w:sz="4" w:space="0" w:color="auto"/>
              <w:left w:val="single" w:sz="4" w:space="0" w:color="auto"/>
              <w:bottom w:val="single" w:sz="4" w:space="0" w:color="auto"/>
              <w:right w:val="single" w:sz="4" w:space="0" w:color="auto"/>
            </w:tcBorders>
            <w:vAlign w:val="center"/>
          </w:tcPr>
          <w:p w14:paraId="42C123ED"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026" w:type="pct"/>
            <w:gridSpan w:val="8"/>
            <w:tcBorders>
              <w:top w:val="single" w:sz="4" w:space="0" w:color="auto"/>
              <w:left w:val="single" w:sz="4" w:space="0" w:color="auto"/>
              <w:bottom w:val="single" w:sz="4" w:space="0" w:color="auto"/>
              <w:right w:val="single" w:sz="4" w:space="0" w:color="auto"/>
            </w:tcBorders>
            <w:shd w:val="clear" w:color="auto" w:fill="auto"/>
            <w:vAlign w:val="center"/>
          </w:tcPr>
          <w:p w14:paraId="068C1DDB"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As clinically indicated</w:t>
            </w:r>
          </w:p>
          <w:p w14:paraId="48621D78" w14:textId="77777777" w:rsidR="00D124BD" w:rsidRPr="00AF1814" w:rsidRDefault="00D124BD" w:rsidP="00D124BD">
            <w:pPr>
              <w:keepLines/>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7711664C" w14:textId="77777777" w:rsidR="00D124BD" w:rsidRPr="00AF1814" w:rsidRDefault="00D124BD"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718E6C6A" w14:textId="77777777" w:rsidR="00D124BD" w:rsidRPr="00AF1814" w:rsidRDefault="00D124BD" w:rsidP="00D124BD">
            <w:pPr>
              <w:keepLines/>
              <w:spacing w:before="40" w:after="40"/>
              <w:jc w:val="center"/>
              <w:rPr>
                <w:rFonts w:ascii="Arial" w:hAnsi="Arial"/>
                <w:sz w:val="18"/>
              </w:rPr>
            </w:pPr>
          </w:p>
        </w:tc>
        <w:tc>
          <w:tcPr>
            <w:tcW w:w="1226" w:type="pct"/>
            <w:tcBorders>
              <w:left w:val="single" w:sz="4" w:space="0" w:color="auto"/>
              <w:right w:val="single" w:sz="4" w:space="0" w:color="auto"/>
            </w:tcBorders>
            <w:vAlign w:val="center"/>
          </w:tcPr>
          <w:p w14:paraId="7FE2139E" w14:textId="245DB1AD" w:rsidR="00D124BD" w:rsidRPr="00AF1814" w:rsidRDefault="00DA3174" w:rsidP="00FC2F74">
            <w:pPr>
              <w:autoSpaceDE w:val="0"/>
              <w:autoSpaceDN w:val="0"/>
              <w:adjustRightInd w:val="0"/>
              <w:spacing w:before="0"/>
              <w:jc w:val="left"/>
              <w:rPr>
                <w:rFonts w:ascii="Arial" w:hAnsi="Arial"/>
                <w:b/>
                <w:bCs/>
                <w:sz w:val="18"/>
              </w:rPr>
            </w:pPr>
            <w:r w:rsidRPr="00AF1814">
              <w:rPr>
                <w:rFonts w:ascii="Arial" w:hAnsi="Arial" w:cs="Arial"/>
                <w:sz w:val="18"/>
                <w:szCs w:val="18"/>
                <w:lang w:eastAsia="ja-JP"/>
              </w:rPr>
              <w:t>Routine</w:t>
            </w:r>
            <w:r w:rsidR="00FC2930" w:rsidRPr="00AF1814">
              <w:rPr>
                <w:rFonts w:ascii="Arial" w:hAnsi="Arial" w:cs="Arial"/>
                <w:sz w:val="18"/>
                <w:szCs w:val="18"/>
                <w:lang w:eastAsia="ja-JP"/>
              </w:rPr>
              <w:t xml:space="preserve"> </w:t>
            </w:r>
            <w:r w:rsidRPr="00AF1814">
              <w:rPr>
                <w:rFonts w:ascii="Arial" w:hAnsi="Arial" w:cs="Arial"/>
                <w:sz w:val="18"/>
                <w:szCs w:val="18"/>
                <w:lang w:eastAsia="ja-JP"/>
              </w:rPr>
              <w:t>urinalysis at the</w:t>
            </w:r>
            <w:r w:rsidR="00FC2F74" w:rsidRPr="00AF1814">
              <w:rPr>
                <w:rFonts w:ascii="Arial" w:hAnsi="Arial" w:cs="Arial"/>
                <w:sz w:val="18"/>
                <w:szCs w:val="18"/>
                <w:lang w:eastAsia="ja-JP"/>
              </w:rPr>
              <w:t xml:space="preserve"> </w:t>
            </w:r>
            <w:r w:rsidR="001822E5" w:rsidRPr="00AF1814">
              <w:rPr>
                <w:rFonts w:ascii="Arial" w:hAnsi="Arial" w:cs="Arial"/>
                <w:sz w:val="18"/>
                <w:szCs w:val="18"/>
                <w:lang w:eastAsia="ja-JP"/>
              </w:rPr>
              <w:t>Screening</w:t>
            </w:r>
            <w:r w:rsidRPr="00AF1814">
              <w:rPr>
                <w:rFonts w:ascii="Arial" w:hAnsi="Arial" w:cs="Arial"/>
                <w:sz w:val="18"/>
                <w:szCs w:val="18"/>
                <w:lang w:eastAsia="ja-JP"/>
              </w:rPr>
              <w:t xml:space="preserve"> visit. If the results abnormal, then a microscopic examination and/or culture should be performed as needed</w:t>
            </w:r>
            <w:r w:rsidR="003F12E2" w:rsidRPr="00AF1814">
              <w:rPr>
                <w:rFonts w:ascii="Arial" w:hAnsi="Arial" w:cs="Arial"/>
                <w:sz w:val="18"/>
                <w:szCs w:val="18"/>
                <w:lang w:eastAsia="ja-JP"/>
              </w:rPr>
              <w:t xml:space="preserve"> (</w:t>
            </w:r>
            <w:r w:rsidR="003F12E2" w:rsidRPr="00AF1814">
              <w:rPr>
                <w:rFonts w:ascii="Arial" w:hAnsi="Arial" w:cs="Arial"/>
                <w:sz w:val="18"/>
                <w:szCs w:val="18"/>
              </w:rPr>
              <w:t>s</w:t>
            </w:r>
            <w:r w:rsidR="003F12E2" w:rsidRPr="00AF1814">
              <w:rPr>
                <w:rFonts w:ascii="Arial" w:hAnsi="Arial"/>
                <w:sz w:val="18"/>
              </w:rPr>
              <w:t xml:space="preserve">ee </w:t>
            </w:r>
            <w:hyperlink w:anchor="_Appendix_5_Clinical" w:history="1">
              <w:r w:rsidR="003F12E2" w:rsidRPr="00AF1814">
                <w:rPr>
                  <w:rStyle w:val="Hyperlink"/>
                  <w:rFonts w:ascii="Arial" w:hAnsi="Arial"/>
                  <w:sz w:val="18"/>
                </w:rPr>
                <w:t>Appendix 5</w:t>
              </w:r>
            </w:hyperlink>
            <w:r w:rsidR="003F12E2" w:rsidRPr="00AF1814">
              <w:rPr>
                <w:rStyle w:val="Hyperlink"/>
                <w:rFonts w:ascii="Arial" w:hAnsi="Arial"/>
                <w:color w:val="auto"/>
                <w:sz w:val="18"/>
              </w:rPr>
              <w:t>)</w:t>
            </w:r>
            <w:r w:rsidRPr="00AF1814">
              <w:rPr>
                <w:rFonts w:ascii="Arial" w:hAnsi="Arial" w:cs="Arial"/>
                <w:sz w:val="18"/>
                <w:szCs w:val="18"/>
                <w:lang w:eastAsia="ja-JP"/>
              </w:rPr>
              <w:t>.</w:t>
            </w:r>
          </w:p>
        </w:tc>
      </w:tr>
      <w:tr w:rsidR="002108B2" w:rsidRPr="00AF1814" w14:paraId="54B110D5"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6622AFE6" w14:textId="77777777" w:rsidR="00C95151" w:rsidRPr="00AF1814" w:rsidRDefault="00DA3174" w:rsidP="00D124BD">
            <w:pPr>
              <w:keepLines/>
              <w:spacing w:before="40" w:after="40"/>
              <w:jc w:val="left"/>
              <w:rPr>
                <w:rFonts w:ascii="Arial" w:hAnsi="Arial"/>
                <w:sz w:val="18"/>
              </w:rPr>
            </w:pPr>
            <w:r w:rsidRPr="00AF1814">
              <w:rPr>
                <w:rFonts w:ascii="Arial" w:hAnsi="Arial"/>
                <w:sz w:val="18"/>
              </w:rPr>
              <w:t>β-</w:t>
            </w:r>
            <w:r w:rsidR="00EC5160" w:rsidRPr="00AF1814">
              <w:rPr>
                <w:rFonts w:ascii="Arial" w:hAnsi="Arial"/>
                <w:sz w:val="18"/>
              </w:rPr>
              <w:t>hCG</w:t>
            </w:r>
            <w:r w:rsidRPr="00AF1814">
              <w:rPr>
                <w:rFonts w:ascii="Arial" w:hAnsi="Arial"/>
                <w:sz w:val="18"/>
              </w:rPr>
              <w:t xml:space="preserve"> pregnancy test</w:t>
            </w:r>
          </w:p>
          <w:p w14:paraId="5BC2F0E8" w14:textId="77777777" w:rsidR="00D124BD" w:rsidRPr="00AF1814" w:rsidRDefault="00DA3174" w:rsidP="00C95151">
            <w:pPr>
              <w:keepLines/>
              <w:spacing w:before="40" w:after="40"/>
              <w:jc w:val="left"/>
              <w:rPr>
                <w:rFonts w:ascii="Arial" w:hAnsi="Arial"/>
                <w:sz w:val="18"/>
              </w:rPr>
            </w:pPr>
            <w:r w:rsidRPr="00AF1814">
              <w:rPr>
                <w:rFonts w:ascii="Arial" w:hAnsi="Arial"/>
                <w:sz w:val="18"/>
              </w:rPr>
              <w:t>(WOCBP only)</w:t>
            </w:r>
          </w:p>
        </w:tc>
        <w:tc>
          <w:tcPr>
            <w:tcW w:w="383" w:type="pct"/>
            <w:tcBorders>
              <w:top w:val="single" w:sz="4" w:space="0" w:color="auto"/>
              <w:left w:val="single" w:sz="4" w:space="0" w:color="auto"/>
              <w:bottom w:val="single" w:sz="4" w:space="0" w:color="auto"/>
              <w:right w:val="single" w:sz="4" w:space="0" w:color="auto"/>
            </w:tcBorders>
            <w:vAlign w:val="center"/>
          </w:tcPr>
          <w:p w14:paraId="60A0D2C4"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vAlign w:val="center"/>
          </w:tcPr>
          <w:p w14:paraId="14C284EB"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19" w:type="pct"/>
            <w:tcBorders>
              <w:top w:val="single" w:sz="4" w:space="0" w:color="auto"/>
              <w:left w:val="single" w:sz="4" w:space="0" w:color="auto"/>
              <w:bottom w:val="single" w:sz="4" w:space="0" w:color="auto"/>
              <w:right w:val="single" w:sz="4" w:space="0" w:color="auto"/>
            </w:tcBorders>
            <w:shd w:val="clear" w:color="auto" w:fill="auto"/>
            <w:vAlign w:val="center"/>
          </w:tcPr>
          <w:p w14:paraId="0571EB70"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7E61E6C6"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shd w:val="clear" w:color="auto" w:fill="auto"/>
            <w:vAlign w:val="center"/>
          </w:tcPr>
          <w:p w14:paraId="0CDF37E3"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43" w:type="pct"/>
            <w:tcBorders>
              <w:top w:val="single" w:sz="4" w:space="0" w:color="auto"/>
              <w:left w:val="single" w:sz="4" w:space="0" w:color="auto"/>
              <w:bottom w:val="single" w:sz="4" w:space="0" w:color="auto"/>
              <w:right w:val="single" w:sz="4" w:space="0" w:color="auto"/>
            </w:tcBorders>
            <w:vAlign w:val="center"/>
          </w:tcPr>
          <w:p w14:paraId="6A6FBFFA"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shd w:val="clear" w:color="auto" w:fill="auto"/>
            <w:vAlign w:val="center"/>
          </w:tcPr>
          <w:p w14:paraId="5C24C2B8"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Every 3 weeks</w:t>
            </w: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4EF213" w14:textId="77777777" w:rsidR="00D124BD" w:rsidRPr="00AF1814" w:rsidRDefault="00D124BD" w:rsidP="00D124BD">
            <w:pPr>
              <w:keepLines/>
              <w:spacing w:before="40" w:after="40"/>
              <w:jc w:val="left"/>
              <w:rPr>
                <w:rFonts w:ascii="Arial" w:hAnsi="Arial"/>
                <w:sz w:val="18"/>
              </w:rPr>
            </w:pPr>
          </w:p>
        </w:tc>
        <w:tc>
          <w:tcPr>
            <w:tcW w:w="383" w:type="pct"/>
            <w:tcBorders>
              <w:left w:val="single" w:sz="4" w:space="0" w:color="auto"/>
              <w:right w:val="single" w:sz="4" w:space="0" w:color="auto"/>
            </w:tcBorders>
            <w:vAlign w:val="center"/>
          </w:tcPr>
          <w:p w14:paraId="34A98597"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shd w:val="clear" w:color="auto" w:fill="auto"/>
            <w:vAlign w:val="center"/>
          </w:tcPr>
          <w:p w14:paraId="6676BEA8"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r w:rsidRPr="00AF1814">
              <w:rPr>
                <w:rFonts w:ascii="Arial" w:hAnsi="Arial"/>
                <w:sz w:val="18"/>
                <w:vertAlign w:val="superscript"/>
              </w:rPr>
              <w:t>b</w:t>
            </w:r>
          </w:p>
        </w:tc>
        <w:tc>
          <w:tcPr>
            <w:tcW w:w="490" w:type="pct"/>
            <w:tcBorders>
              <w:left w:val="single" w:sz="4" w:space="0" w:color="auto"/>
              <w:right w:val="single" w:sz="4" w:space="0" w:color="auto"/>
            </w:tcBorders>
            <w:shd w:val="clear" w:color="auto" w:fill="BFBFBF" w:themeFill="background1" w:themeFillShade="BF"/>
            <w:vAlign w:val="center"/>
          </w:tcPr>
          <w:p w14:paraId="747D13D6" w14:textId="77777777" w:rsidR="00D124BD" w:rsidRPr="00AF1814" w:rsidRDefault="00D124BD" w:rsidP="00D124BD">
            <w:pPr>
              <w:keepLines/>
              <w:spacing w:before="40" w:after="40"/>
              <w:jc w:val="center"/>
              <w:rPr>
                <w:rFonts w:ascii="Arial" w:hAnsi="Arial"/>
                <w:sz w:val="18"/>
              </w:rPr>
            </w:pPr>
          </w:p>
        </w:tc>
        <w:tc>
          <w:tcPr>
            <w:tcW w:w="1226" w:type="pct"/>
            <w:tcBorders>
              <w:left w:val="single" w:sz="4" w:space="0" w:color="auto"/>
              <w:right w:val="single" w:sz="4" w:space="0" w:color="auto"/>
            </w:tcBorders>
            <w:vAlign w:val="center"/>
          </w:tcPr>
          <w:p w14:paraId="7D6EECA7" w14:textId="77777777" w:rsidR="00FC2F74" w:rsidRPr="00AF1814" w:rsidRDefault="00DA3174" w:rsidP="00D124BD">
            <w:pPr>
              <w:keepLines/>
              <w:spacing w:before="40" w:after="40"/>
              <w:jc w:val="left"/>
              <w:rPr>
                <w:rFonts w:ascii="Arial" w:hAnsi="Arial"/>
                <w:sz w:val="18"/>
              </w:rPr>
            </w:pPr>
            <w:r w:rsidRPr="00AF1814">
              <w:rPr>
                <w:rFonts w:ascii="Arial" w:hAnsi="Arial" w:cs="Arial"/>
                <w:sz w:val="18"/>
              </w:rPr>
              <w:t>β</w:t>
            </w:r>
            <w:r w:rsidRPr="00AF1814">
              <w:rPr>
                <w:rFonts w:ascii="Arial" w:hAnsi="Arial"/>
                <w:sz w:val="18"/>
              </w:rPr>
              <w:t>-</w:t>
            </w:r>
            <w:r w:rsidR="00EC5160" w:rsidRPr="00AF1814">
              <w:rPr>
                <w:rFonts w:ascii="Arial" w:hAnsi="Arial"/>
                <w:sz w:val="18"/>
              </w:rPr>
              <w:t>hCG</w:t>
            </w:r>
            <w:r w:rsidRPr="00AF1814">
              <w:rPr>
                <w:rFonts w:ascii="Arial" w:hAnsi="Arial"/>
                <w:sz w:val="18"/>
              </w:rPr>
              <w:t xml:space="preserve"> should be determined at Screening and thereafter from a urine or serum sample. Results of the most recent pregnancy test should be available prior to dosing of study intervention. </w:t>
            </w:r>
          </w:p>
          <w:p w14:paraId="2379C2DF" w14:textId="77777777" w:rsidR="00D124BD" w:rsidRPr="00AF1814" w:rsidRDefault="00DA3174" w:rsidP="00D124BD">
            <w:pPr>
              <w:keepLines/>
              <w:spacing w:before="40" w:after="40"/>
              <w:jc w:val="left"/>
              <w:rPr>
                <w:rFonts w:ascii="Arial" w:hAnsi="Arial"/>
                <w:sz w:val="18"/>
              </w:rPr>
            </w:pPr>
            <w:r w:rsidRPr="00AF1814">
              <w:rPr>
                <w:rFonts w:ascii="Arial" w:hAnsi="Arial"/>
                <w:sz w:val="18"/>
              </w:rPr>
              <w:t>If a confirmation of a participant’s postmenopausal status is necessary, follicle-stimulating hormone and estradiol tests will be performed at Screening.</w:t>
            </w:r>
          </w:p>
          <w:p w14:paraId="1135B6C3" w14:textId="77777777" w:rsidR="00D124BD" w:rsidRPr="00AF1814" w:rsidRDefault="00DA3174" w:rsidP="00D124BD">
            <w:pPr>
              <w:keepLines/>
              <w:spacing w:before="40" w:after="40"/>
              <w:jc w:val="left"/>
              <w:rPr>
                <w:rFonts w:ascii="Arial" w:hAnsi="Arial"/>
                <w:b/>
                <w:bCs/>
                <w:sz w:val="18"/>
              </w:rPr>
            </w:pPr>
            <w:r w:rsidRPr="00AF1814">
              <w:rPr>
                <w:rFonts w:ascii="Arial" w:hAnsi="Arial"/>
                <w:sz w:val="18"/>
              </w:rPr>
              <w:t xml:space="preserve">b: </w:t>
            </w:r>
            <w:r w:rsidR="00904F9E" w:rsidRPr="00AF1814">
              <w:rPr>
                <w:rFonts w:ascii="Arial" w:hAnsi="Arial"/>
                <w:sz w:val="18"/>
              </w:rPr>
              <w:t>P</w:t>
            </w:r>
            <w:r w:rsidRPr="00AF1814">
              <w:rPr>
                <w:rFonts w:ascii="Arial" w:hAnsi="Arial"/>
                <w:sz w:val="18"/>
              </w:rPr>
              <w:t>articipants may go to local laboratory to perform pregnancy test. Clinical visit is not required.</w:t>
            </w:r>
          </w:p>
        </w:tc>
      </w:tr>
      <w:tr w:rsidR="002108B2" w:rsidRPr="00AF1814" w14:paraId="7363A471"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27DFABD9" w14:textId="77777777" w:rsidR="00D124BD" w:rsidRPr="00AF1814" w:rsidRDefault="00DA3174" w:rsidP="00D124BD">
            <w:pPr>
              <w:keepLines/>
              <w:spacing w:before="40" w:after="40"/>
              <w:jc w:val="left"/>
              <w:rPr>
                <w:rFonts w:ascii="Arial" w:hAnsi="Arial"/>
                <w:sz w:val="18"/>
              </w:rPr>
            </w:pPr>
            <w:r w:rsidRPr="00AF1814">
              <w:rPr>
                <w:rFonts w:ascii="Arial" w:hAnsi="Arial"/>
                <w:sz w:val="18"/>
              </w:rPr>
              <w:t>T4 and TSH</w:t>
            </w:r>
          </w:p>
        </w:tc>
        <w:tc>
          <w:tcPr>
            <w:tcW w:w="383" w:type="pct"/>
            <w:tcBorders>
              <w:top w:val="single" w:sz="4" w:space="0" w:color="auto"/>
              <w:left w:val="single" w:sz="4" w:space="0" w:color="auto"/>
              <w:bottom w:val="single" w:sz="4" w:space="0" w:color="auto"/>
              <w:right w:val="single" w:sz="4" w:space="0" w:color="auto"/>
            </w:tcBorders>
            <w:vAlign w:val="center"/>
          </w:tcPr>
          <w:p w14:paraId="4AD06FF5"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963F8D3" w14:textId="77777777" w:rsidR="00D124BD" w:rsidRPr="00AF1814" w:rsidRDefault="00D124BD" w:rsidP="00D124BD">
            <w:pPr>
              <w:keepLines/>
              <w:spacing w:before="40" w:after="40"/>
              <w:jc w:val="center"/>
              <w:rPr>
                <w:rFonts w:ascii="Arial" w:hAnsi="Arial"/>
                <w:b/>
                <w:sz w:val="18"/>
              </w:rPr>
            </w:pPr>
          </w:p>
        </w:tc>
        <w:tc>
          <w:tcPr>
            <w:tcW w:w="21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B4D82EE" w14:textId="77777777" w:rsidR="00D124BD" w:rsidRPr="00AF1814" w:rsidRDefault="00D124BD" w:rsidP="00D124BD">
            <w:pPr>
              <w:keepLines/>
              <w:spacing w:before="40" w:after="40"/>
              <w:jc w:val="center"/>
              <w:rPr>
                <w:rFonts w:ascii="Arial" w:hAnsi="Arial"/>
                <w:sz w:val="18"/>
              </w:rPr>
            </w:pPr>
          </w:p>
        </w:tc>
        <w:tc>
          <w:tcPr>
            <w:tcW w:w="165" w:type="pct"/>
            <w:tcBorders>
              <w:top w:val="single" w:sz="4" w:space="0" w:color="auto"/>
              <w:left w:val="single" w:sz="4" w:space="0" w:color="auto"/>
              <w:bottom w:val="single" w:sz="4" w:space="0" w:color="auto"/>
              <w:right w:val="single" w:sz="4" w:space="0" w:color="auto"/>
            </w:tcBorders>
            <w:shd w:val="clear" w:color="auto" w:fill="auto"/>
            <w:vAlign w:val="center"/>
          </w:tcPr>
          <w:p w14:paraId="77A4BADA"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5A12799" w14:textId="77777777" w:rsidR="00D124BD" w:rsidRPr="00AF1814" w:rsidRDefault="00D124BD" w:rsidP="00D124BD">
            <w:pPr>
              <w:keepLines/>
              <w:spacing w:before="40" w:after="40"/>
              <w:jc w:val="center"/>
              <w:rPr>
                <w:rFonts w:ascii="Arial" w:hAnsi="Arial"/>
                <w:sz w:val="18"/>
              </w:rPr>
            </w:pPr>
          </w:p>
        </w:tc>
        <w:tc>
          <w:tcPr>
            <w:tcW w:w="243" w:type="pct"/>
            <w:tcBorders>
              <w:top w:val="single" w:sz="4" w:space="0" w:color="auto"/>
              <w:left w:val="single" w:sz="4" w:space="0" w:color="auto"/>
              <w:bottom w:val="single" w:sz="4" w:space="0" w:color="auto"/>
              <w:right w:val="single" w:sz="4" w:space="0" w:color="auto"/>
            </w:tcBorders>
            <w:shd w:val="clear" w:color="auto" w:fill="auto"/>
            <w:vAlign w:val="center"/>
          </w:tcPr>
          <w:p w14:paraId="1278C95D"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280" w:type="pct"/>
            <w:tcBorders>
              <w:top w:val="single" w:sz="4" w:space="0" w:color="auto"/>
              <w:left w:val="single" w:sz="4" w:space="0" w:color="auto"/>
              <w:bottom w:val="single" w:sz="4" w:space="0" w:color="auto"/>
              <w:right w:val="single" w:sz="4" w:space="0" w:color="auto"/>
            </w:tcBorders>
            <w:shd w:val="clear" w:color="auto" w:fill="auto"/>
            <w:vAlign w:val="center"/>
          </w:tcPr>
          <w:p w14:paraId="3ED1B1C7"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Every 6 weeks</w:t>
            </w: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D9DF397" w14:textId="77777777" w:rsidR="00D124BD" w:rsidRPr="00AF1814" w:rsidRDefault="00D124BD" w:rsidP="00D124BD">
            <w:pPr>
              <w:keepLines/>
              <w:spacing w:before="40" w:after="40"/>
              <w:jc w:val="left"/>
              <w:rPr>
                <w:rFonts w:ascii="Arial" w:hAnsi="Arial"/>
                <w:sz w:val="18"/>
              </w:rPr>
            </w:pPr>
          </w:p>
        </w:tc>
        <w:tc>
          <w:tcPr>
            <w:tcW w:w="383" w:type="pct"/>
            <w:tcBorders>
              <w:left w:val="single" w:sz="4" w:space="0" w:color="auto"/>
              <w:right w:val="single" w:sz="4" w:space="0" w:color="auto"/>
            </w:tcBorders>
            <w:shd w:val="clear" w:color="auto" w:fill="auto"/>
            <w:vAlign w:val="center"/>
          </w:tcPr>
          <w:p w14:paraId="7F96A897"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shd w:val="clear" w:color="auto" w:fill="BFBFBF" w:themeFill="background1" w:themeFillShade="BF"/>
            <w:vAlign w:val="center"/>
          </w:tcPr>
          <w:p w14:paraId="51CEA6A9" w14:textId="77777777" w:rsidR="00D124BD" w:rsidRPr="00AF1814" w:rsidRDefault="00D124BD" w:rsidP="00D124BD">
            <w:pPr>
              <w:keepLines/>
              <w:spacing w:before="40" w:after="40"/>
              <w:jc w:val="left"/>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7FDC7A55" w14:textId="77777777" w:rsidR="00D124BD" w:rsidRPr="00AF1814" w:rsidRDefault="00D124BD" w:rsidP="00D124BD">
            <w:pPr>
              <w:keepLines/>
              <w:spacing w:before="40" w:after="40"/>
              <w:jc w:val="left"/>
              <w:rPr>
                <w:rFonts w:ascii="Arial" w:hAnsi="Arial"/>
                <w:sz w:val="18"/>
              </w:rPr>
            </w:pPr>
          </w:p>
        </w:tc>
        <w:tc>
          <w:tcPr>
            <w:tcW w:w="1226" w:type="pct"/>
            <w:tcBorders>
              <w:left w:val="single" w:sz="4" w:space="0" w:color="auto"/>
              <w:right w:val="single" w:sz="4" w:space="0" w:color="auto"/>
            </w:tcBorders>
            <w:shd w:val="clear" w:color="auto" w:fill="BFBFBF" w:themeFill="background1" w:themeFillShade="BF"/>
            <w:vAlign w:val="center"/>
          </w:tcPr>
          <w:p w14:paraId="484E0005" w14:textId="77777777" w:rsidR="00D124BD" w:rsidRPr="00AF1814" w:rsidRDefault="00D124BD" w:rsidP="00D124BD">
            <w:pPr>
              <w:keepLines/>
              <w:spacing w:before="40" w:after="40"/>
              <w:jc w:val="left"/>
              <w:rPr>
                <w:rFonts w:ascii="Arial" w:hAnsi="Arial"/>
                <w:sz w:val="18"/>
              </w:rPr>
            </w:pPr>
          </w:p>
        </w:tc>
      </w:tr>
      <w:tr w:rsidR="002108B2" w:rsidRPr="00AF1814" w14:paraId="23D82E03"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50A88114" w14:textId="77777777" w:rsidR="00D124BD" w:rsidRPr="00AF1814" w:rsidRDefault="00DA3174" w:rsidP="00D124BD">
            <w:pPr>
              <w:keepLines/>
              <w:spacing w:before="40" w:after="40"/>
              <w:jc w:val="left"/>
              <w:rPr>
                <w:rFonts w:ascii="Arial" w:hAnsi="Arial"/>
                <w:sz w:val="18"/>
              </w:rPr>
            </w:pPr>
            <w:r w:rsidRPr="00AF1814">
              <w:rPr>
                <w:rFonts w:ascii="Arial" w:hAnsi="Arial"/>
                <w:sz w:val="18"/>
              </w:rPr>
              <w:t xml:space="preserve">Survival </w:t>
            </w:r>
            <w:r w:rsidR="008F2C3B" w:rsidRPr="00AF1814">
              <w:rPr>
                <w:rFonts w:ascii="Arial" w:hAnsi="Arial"/>
                <w:sz w:val="18"/>
              </w:rPr>
              <w:t>F</w:t>
            </w:r>
            <w:r w:rsidRPr="00AF1814">
              <w:rPr>
                <w:rFonts w:ascii="Arial" w:hAnsi="Arial"/>
                <w:sz w:val="18"/>
              </w:rPr>
              <w:t>ollow</w:t>
            </w:r>
            <w:r w:rsidR="008F2C3B" w:rsidRPr="00AF1814">
              <w:rPr>
                <w:rFonts w:ascii="Arial" w:hAnsi="Arial"/>
                <w:sz w:val="18"/>
              </w:rPr>
              <w:noBreakHyphen/>
            </w:r>
            <w:r w:rsidRPr="00AF1814">
              <w:rPr>
                <w:rFonts w:ascii="Arial" w:hAnsi="Arial"/>
                <w:sz w:val="18"/>
              </w:rPr>
              <w:t>up</w:t>
            </w:r>
          </w:p>
        </w:tc>
        <w:tc>
          <w:tcPr>
            <w:tcW w:w="38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B6CCA2F" w14:textId="77777777" w:rsidR="00D124BD" w:rsidRPr="00AF1814" w:rsidRDefault="00D124BD" w:rsidP="00D124BD">
            <w:pPr>
              <w:keepLines/>
              <w:spacing w:before="40" w:after="40"/>
              <w:jc w:val="center"/>
              <w:rPr>
                <w:rFonts w:ascii="Arial" w:hAnsi="Arial"/>
                <w:sz w:val="18"/>
              </w:rPr>
            </w:pPr>
          </w:p>
        </w:tc>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9558D2" w14:textId="77777777" w:rsidR="00D124BD" w:rsidRPr="00AF1814" w:rsidRDefault="00D124BD" w:rsidP="00D124BD">
            <w:pPr>
              <w:keepLines/>
              <w:spacing w:before="40" w:after="40"/>
              <w:jc w:val="center"/>
              <w:rPr>
                <w:rFonts w:ascii="Arial" w:hAnsi="Arial"/>
                <w:b/>
                <w:sz w:val="18"/>
              </w:rPr>
            </w:pPr>
          </w:p>
        </w:tc>
        <w:tc>
          <w:tcPr>
            <w:tcW w:w="21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7D51EC" w14:textId="77777777" w:rsidR="00D124BD" w:rsidRPr="00AF1814" w:rsidRDefault="00D124BD" w:rsidP="00D124BD">
            <w:pPr>
              <w:keepLines/>
              <w:spacing w:before="40" w:after="40"/>
              <w:jc w:val="center"/>
              <w:rPr>
                <w:rFonts w:ascii="Arial" w:hAnsi="Arial"/>
                <w:sz w:val="18"/>
              </w:rPr>
            </w:pPr>
          </w:p>
        </w:tc>
        <w:tc>
          <w:tcPr>
            <w:tcW w:w="1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DBC9836" w14:textId="77777777" w:rsidR="00D124BD" w:rsidRPr="00AF1814" w:rsidRDefault="00D124BD" w:rsidP="00D124BD">
            <w:pPr>
              <w:keepLines/>
              <w:spacing w:before="40" w:after="40"/>
              <w:jc w:val="center"/>
              <w:rPr>
                <w:rFonts w:ascii="Arial" w:hAnsi="Arial"/>
                <w:sz w:val="18"/>
              </w:rPr>
            </w:pPr>
          </w:p>
        </w:tc>
        <w:tc>
          <w:tcPr>
            <w:tcW w:w="2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728226A" w14:textId="77777777" w:rsidR="00D124BD" w:rsidRPr="00AF1814" w:rsidRDefault="00D124BD" w:rsidP="00D124BD">
            <w:pPr>
              <w:keepLines/>
              <w:spacing w:before="40" w:after="40"/>
              <w:jc w:val="center"/>
              <w:rPr>
                <w:rFonts w:ascii="Arial" w:hAnsi="Arial"/>
                <w:sz w:val="18"/>
              </w:rPr>
            </w:pPr>
          </w:p>
        </w:tc>
        <w:tc>
          <w:tcPr>
            <w:tcW w:w="2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BD0B56" w14:textId="77777777" w:rsidR="00D124BD" w:rsidRPr="00AF1814" w:rsidRDefault="00D124BD" w:rsidP="00D124BD">
            <w:pPr>
              <w:keepLines/>
              <w:spacing w:before="40" w:after="40"/>
              <w:jc w:val="center"/>
              <w:rPr>
                <w:rFonts w:ascii="Arial" w:hAnsi="Arial"/>
                <w:sz w:val="18"/>
              </w:rPr>
            </w:pPr>
          </w:p>
        </w:tc>
        <w:tc>
          <w:tcPr>
            <w:tcW w:w="28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689905" w14:textId="77777777" w:rsidR="00D124BD" w:rsidRPr="00AF1814" w:rsidRDefault="00D124BD" w:rsidP="00D124BD">
            <w:pPr>
              <w:keepLines/>
              <w:spacing w:before="40" w:after="40"/>
              <w:jc w:val="center"/>
              <w:rPr>
                <w:rFonts w:ascii="Arial" w:hAnsi="Arial"/>
                <w:sz w:val="18"/>
              </w:rPr>
            </w:pP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BC2FFD3" w14:textId="77777777" w:rsidR="00D124BD" w:rsidRPr="00AF1814" w:rsidRDefault="00D124BD" w:rsidP="00D124BD">
            <w:pPr>
              <w:keepLines/>
              <w:spacing w:before="40" w:after="40"/>
              <w:jc w:val="left"/>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42DD2588" w14:textId="77777777" w:rsidR="00D124BD" w:rsidRPr="00AF1814" w:rsidRDefault="00D124BD" w:rsidP="00D124BD">
            <w:pPr>
              <w:keepLines/>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38F5B11E" w14:textId="77777777" w:rsidR="00D124BD" w:rsidRPr="00AF1814" w:rsidRDefault="00D124BD"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auto"/>
            <w:vAlign w:val="center"/>
          </w:tcPr>
          <w:p w14:paraId="44989627"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1226" w:type="pct"/>
            <w:tcBorders>
              <w:left w:val="single" w:sz="4" w:space="0" w:color="auto"/>
              <w:right w:val="single" w:sz="4" w:space="0" w:color="auto"/>
            </w:tcBorders>
            <w:shd w:val="clear" w:color="auto" w:fill="auto"/>
            <w:vAlign w:val="center"/>
          </w:tcPr>
          <w:p w14:paraId="2CC5303C" w14:textId="77777777" w:rsidR="00D124BD" w:rsidRPr="00AF1814" w:rsidRDefault="00DA3174" w:rsidP="00D124BD">
            <w:pPr>
              <w:keepLines/>
              <w:spacing w:before="40" w:after="40"/>
              <w:jc w:val="left"/>
              <w:rPr>
                <w:rFonts w:ascii="Arial" w:hAnsi="Arial"/>
                <w:sz w:val="18"/>
              </w:rPr>
            </w:pPr>
            <w:r w:rsidRPr="00AF1814">
              <w:rPr>
                <w:rFonts w:ascii="Arial" w:hAnsi="Arial"/>
                <w:sz w:val="18"/>
              </w:rPr>
              <w:t>Conducted via telephone calls unless there is medical necessity requiring a clinical visit.</w:t>
            </w:r>
          </w:p>
        </w:tc>
      </w:tr>
      <w:tr w:rsidR="002108B2" w:rsidRPr="00AF1814" w14:paraId="7713AC3F" w14:textId="77777777" w:rsidTr="00D124BD">
        <w:trPr>
          <w:cantSplit/>
          <w:tblHeader/>
          <w:jc w:val="center"/>
        </w:trPr>
        <w:tc>
          <w:tcPr>
            <w:tcW w:w="5000" w:type="pct"/>
            <w:gridSpan w:val="13"/>
            <w:tcBorders>
              <w:top w:val="single" w:sz="4" w:space="0" w:color="auto"/>
              <w:left w:val="single" w:sz="4" w:space="0" w:color="auto"/>
              <w:bottom w:val="single" w:sz="4" w:space="0" w:color="auto"/>
              <w:right w:val="single" w:sz="4" w:space="0" w:color="auto"/>
            </w:tcBorders>
            <w:vAlign w:val="center"/>
          </w:tcPr>
          <w:p w14:paraId="3769F61E" w14:textId="77777777" w:rsidR="00D124BD" w:rsidRPr="00AF1814" w:rsidRDefault="00DA3174" w:rsidP="00890694">
            <w:pPr>
              <w:keepNext/>
              <w:widowControl w:val="0"/>
              <w:spacing w:before="40" w:after="40"/>
              <w:jc w:val="center"/>
              <w:rPr>
                <w:rFonts w:ascii="Arial" w:hAnsi="Arial"/>
                <w:b/>
                <w:sz w:val="18"/>
                <w:vertAlign w:val="superscript"/>
              </w:rPr>
            </w:pPr>
            <w:r w:rsidRPr="00AF1814">
              <w:rPr>
                <w:rFonts w:ascii="Arial" w:hAnsi="Arial"/>
                <w:b/>
                <w:bCs/>
                <w:sz w:val="18"/>
              </w:rPr>
              <w:lastRenderedPageBreak/>
              <w:t>Tumor Assessments</w:t>
            </w:r>
          </w:p>
        </w:tc>
      </w:tr>
      <w:tr w:rsidR="002108B2" w:rsidRPr="00AF1814" w14:paraId="554705C9"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48C3D470" w14:textId="77777777" w:rsidR="00D124BD" w:rsidRPr="00AF1814" w:rsidRDefault="00DA3174" w:rsidP="00FC2F74">
            <w:pPr>
              <w:keepLines/>
              <w:spacing w:before="40" w:after="40"/>
              <w:jc w:val="left"/>
              <w:rPr>
                <w:rFonts w:ascii="Arial" w:hAnsi="Arial"/>
                <w:sz w:val="18"/>
              </w:rPr>
            </w:pPr>
            <w:r w:rsidRPr="00AF1814">
              <w:rPr>
                <w:rFonts w:ascii="Arial" w:hAnsi="Arial"/>
                <w:sz w:val="18"/>
              </w:rPr>
              <w:t>Imaging t</w:t>
            </w:r>
            <w:r w:rsidR="00C07E62" w:rsidRPr="00AF1814">
              <w:rPr>
                <w:rFonts w:ascii="Arial" w:hAnsi="Arial"/>
                <w:sz w:val="18"/>
              </w:rPr>
              <w:t>umor evaluation</w:t>
            </w:r>
            <w:r w:rsidR="00FC2F74" w:rsidRPr="00AF1814">
              <w:t xml:space="preserve"> </w:t>
            </w:r>
            <w:r w:rsidR="00FC2F74" w:rsidRPr="00AF1814">
              <w:br/>
            </w:r>
            <w:r w:rsidR="00C07E62" w:rsidRPr="00AF1814">
              <w:rPr>
                <w:rFonts w:ascii="Arial" w:hAnsi="Arial"/>
                <w:sz w:val="18"/>
              </w:rPr>
              <w:t>/staging (CT scan/MRI/</w:t>
            </w:r>
            <w:r w:rsidR="00FC2F74" w:rsidRPr="00AF1814">
              <w:br/>
            </w:r>
            <w:r w:rsidR="00FC2F74" w:rsidRPr="00AF1814">
              <w:rPr>
                <w:rFonts w:ascii="Arial" w:hAnsi="Arial"/>
                <w:sz w:val="18"/>
              </w:rPr>
              <w:t>o</w:t>
            </w:r>
            <w:r w:rsidR="00C07E62" w:rsidRPr="00AF1814">
              <w:rPr>
                <w:rFonts w:ascii="Arial" w:hAnsi="Arial"/>
                <w:sz w:val="18"/>
              </w:rPr>
              <w:t>ther established methods)</w:t>
            </w:r>
          </w:p>
        </w:tc>
        <w:tc>
          <w:tcPr>
            <w:tcW w:w="383" w:type="pct"/>
            <w:tcBorders>
              <w:top w:val="single" w:sz="4" w:space="0" w:color="auto"/>
              <w:left w:val="single" w:sz="4" w:space="0" w:color="auto"/>
              <w:bottom w:val="single" w:sz="4" w:space="0" w:color="auto"/>
              <w:right w:val="single" w:sz="4" w:space="0" w:color="auto"/>
            </w:tcBorders>
            <w:shd w:val="clear" w:color="auto" w:fill="auto"/>
            <w:vAlign w:val="center"/>
          </w:tcPr>
          <w:p w14:paraId="1BB9A7BA"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r w:rsidR="005B6725" w:rsidRPr="00AF1814">
              <w:rPr>
                <w:rFonts w:ascii="Arial" w:hAnsi="Arial"/>
                <w:sz w:val="18"/>
                <w:vertAlign w:val="superscript"/>
              </w:rPr>
              <w:t>c, d</w:t>
            </w:r>
          </w:p>
        </w:tc>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C6458A5" w14:textId="77777777" w:rsidR="00D124BD" w:rsidRPr="00AF1814" w:rsidRDefault="00D124BD" w:rsidP="00D124BD">
            <w:pPr>
              <w:keepLines/>
              <w:spacing w:before="40" w:after="40"/>
              <w:jc w:val="center"/>
              <w:rPr>
                <w:rFonts w:ascii="Arial" w:hAnsi="Arial"/>
                <w:b/>
                <w:sz w:val="18"/>
              </w:rPr>
            </w:pPr>
          </w:p>
        </w:tc>
        <w:tc>
          <w:tcPr>
            <w:tcW w:w="21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A9961E" w14:textId="77777777" w:rsidR="00D124BD" w:rsidRPr="00AF1814" w:rsidRDefault="00D124BD" w:rsidP="00D124BD">
            <w:pPr>
              <w:keepLines/>
              <w:spacing w:before="40" w:after="40"/>
              <w:jc w:val="center"/>
              <w:rPr>
                <w:rFonts w:ascii="Arial" w:hAnsi="Arial"/>
                <w:sz w:val="18"/>
              </w:rPr>
            </w:pPr>
          </w:p>
        </w:tc>
        <w:tc>
          <w:tcPr>
            <w:tcW w:w="1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F0F77B" w14:textId="77777777" w:rsidR="00D124BD" w:rsidRPr="00AF1814" w:rsidRDefault="00D124BD" w:rsidP="00D124BD">
            <w:pPr>
              <w:keepLines/>
              <w:spacing w:before="40" w:after="40"/>
              <w:jc w:val="center"/>
              <w:rPr>
                <w:rFonts w:ascii="Arial" w:hAnsi="Arial"/>
                <w:sz w:val="18"/>
              </w:rPr>
            </w:pPr>
          </w:p>
        </w:tc>
        <w:tc>
          <w:tcPr>
            <w:tcW w:w="2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5309D2" w14:textId="77777777" w:rsidR="00D124BD" w:rsidRPr="00AF1814" w:rsidRDefault="00D124BD" w:rsidP="00D124BD">
            <w:pPr>
              <w:keepLines/>
              <w:spacing w:before="40" w:after="40"/>
              <w:jc w:val="center"/>
              <w:rPr>
                <w:rFonts w:ascii="Arial" w:hAnsi="Arial"/>
                <w:sz w:val="18"/>
              </w:rPr>
            </w:pPr>
          </w:p>
        </w:tc>
        <w:tc>
          <w:tcPr>
            <w:tcW w:w="2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AC727D" w14:textId="77777777" w:rsidR="00D124BD" w:rsidRPr="00AF1814" w:rsidRDefault="00D124BD" w:rsidP="00D124BD">
            <w:pPr>
              <w:keepLines/>
              <w:spacing w:before="40" w:after="40"/>
              <w:jc w:val="center"/>
              <w:rPr>
                <w:rFonts w:ascii="Arial" w:hAnsi="Arial"/>
                <w:sz w:val="18"/>
              </w:rPr>
            </w:pPr>
          </w:p>
        </w:tc>
        <w:tc>
          <w:tcPr>
            <w:tcW w:w="280" w:type="pct"/>
            <w:tcBorders>
              <w:top w:val="single" w:sz="4" w:space="0" w:color="auto"/>
              <w:left w:val="single" w:sz="4" w:space="0" w:color="auto"/>
              <w:bottom w:val="single" w:sz="4" w:space="0" w:color="auto"/>
              <w:right w:val="single" w:sz="4" w:space="0" w:color="auto"/>
            </w:tcBorders>
            <w:shd w:val="clear" w:color="auto" w:fill="auto"/>
            <w:vAlign w:val="center"/>
          </w:tcPr>
          <w:p w14:paraId="01B0FDE8"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 xml:space="preserve">Every </w:t>
            </w:r>
            <w:r w:rsidR="009E4BEC" w:rsidRPr="00AF1814">
              <w:rPr>
                <w:rFonts w:ascii="Arial" w:hAnsi="Arial"/>
                <w:sz w:val="18"/>
              </w:rPr>
              <w:t>9</w:t>
            </w:r>
            <w:r w:rsidRPr="00AF1814">
              <w:rPr>
                <w:rFonts w:ascii="Arial" w:hAnsi="Arial"/>
                <w:sz w:val="18"/>
              </w:rPr>
              <w:t xml:space="preserve"> weeks</w:t>
            </w:r>
            <w:r w:rsidR="005B6725" w:rsidRPr="00AF1814">
              <w:rPr>
                <w:rFonts w:ascii="Arial" w:hAnsi="Arial"/>
                <w:sz w:val="18"/>
                <w:vertAlign w:val="superscript"/>
              </w:rPr>
              <w:t>e</w:t>
            </w:r>
            <w:r w:rsidRPr="00AF1814">
              <w:rPr>
                <w:rFonts w:ascii="Arial" w:hAnsi="Arial"/>
                <w:sz w:val="18"/>
              </w:rPr>
              <w:t xml:space="preserve"> up to 12 months, then every 12 weeks</w:t>
            </w: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E094E3F" w14:textId="77777777" w:rsidR="00D124BD" w:rsidRPr="00AF1814" w:rsidRDefault="00D124BD" w:rsidP="00D124BD">
            <w:pPr>
              <w:keepLines/>
              <w:spacing w:before="40" w:after="40"/>
              <w:jc w:val="left"/>
              <w:rPr>
                <w:rFonts w:ascii="Arial" w:hAnsi="Arial"/>
                <w:sz w:val="18"/>
              </w:rPr>
            </w:pPr>
          </w:p>
        </w:tc>
        <w:tc>
          <w:tcPr>
            <w:tcW w:w="1256" w:type="pct"/>
            <w:gridSpan w:val="3"/>
            <w:tcBorders>
              <w:left w:val="single" w:sz="4" w:space="0" w:color="auto"/>
              <w:right w:val="single" w:sz="4" w:space="0" w:color="auto"/>
            </w:tcBorders>
            <w:shd w:val="clear" w:color="auto" w:fill="auto"/>
            <w:vAlign w:val="center"/>
          </w:tcPr>
          <w:p w14:paraId="460BC418"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r w:rsidR="005B6725" w:rsidRPr="00AF1814">
              <w:rPr>
                <w:rFonts w:ascii="Arial" w:hAnsi="Arial"/>
                <w:sz w:val="18"/>
                <w:vertAlign w:val="superscript"/>
              </w:rPr>
              <w:t>f</w:t>
            </w:r>
          </w:p>
        </w:tc>
        <w:tc>
          <w:tcPr>
            <w:tcW w:w="1226" w:type="pct"/>
            <w:tcBorders>
              <w:left w:val="single" w:sz="4" w:space="0" w:color="auto"/>
              <w:right w:val="single" w:sz="4" w:space="0" w:color="auto"/>
            </w:tcBorders>
            <w:shd w:val="clear" w:color="auto" w:fill="auto"/>
            <w:vAlign w:val="center"/>
          </w:tcPr>
          <w:p w14:paraId="4C6EAB34" w14:textId="53F15897" w:rsidR="00D124BD" w:rsidRPr="00E44F28" w:rsidRDefault="00DA3174" w:rsidP="003F4412">
            <w:pPr>
              <w:autoSpaceDE w:val="0"/>
              <w:autoSpaceDN w:val="0"/>
              <w:adjustRightInd w:val="0"/>
              <w:spacing w:before="0"/>
              <w:jc w:val="left"/>
              <w:rPr>
                <w:rFonts w:ascii="Arial" w:hAnsi="Arial"/>
                <w:sz w:val="18"/>
              </w:rPr>
            </w:pPr>
            <w:r w:rsidRPr="00AF1814">
              <w:rPr>
                <w:rFonts w:ascii="Arial" w:hAnsi="Arial" w:cs="Arial"/>
                <w:color w:val="000000"/>
                <w:sz w:val="18"/>
                <w:szCs w:val="18"/>
                <w:lang w:eastAsia="ja-JP"/>
              </w:rPr>
              <w:t>Confirmation of CR</w:t>
            </w:r>
            <w:r w:rsidR="005D2A24" w:rsidRPr="00AF1814">
              <w:rPr>
                <w:rFonts w:ascii="Arial" w:hAnsi="Arial" w:cs="Arial"/>
                <w:color w:val="000000"/>
                <w:sz w:val="18"/>
                <w:szCs w:val="18"/>
                <w:lang w:eastAsia="ja-JP"/>
              </w:rPr>
              <w:t xml:space="preserve"> </w:t>
            </w:r>
            <w:r w:rsidRPr="00AF1814">
              <w:rPr>
                <w:rFonts w:ascii="Arial" w:hAnsi="Arial" w:cs="Arial"/>
                <w:color w:val="000000"/>
                <w:sz w:val="18"/>
                <w:szCs w:val="18"/>
                <w:lang w:eastAsia="ja-JP"/>
              </w:rPr>
              <w:t xml:space="preserve">and PD is required as </w:t>
            </w:r>
            <w:r w:rsidRPr="00E44F28">
              <w:rPr>
                <w:rFonts w:ascii="Arial" w:hAnsi="Arial" w:cs="Arial"/>
                <w:sz w:val="18"/>
                <w:szCs w:val="18"/>
                <w:lang w:eastAsia="ja-JP"/>
              </w:rPr>
              <w:t>described in Section</w:t>
            </w:r>
            <w:r w:rsidR="007448A5" w:rsidRPr="00E44F28">
              <w:rPr>
                <w:rFonts w:ascii="Arial" w:hAnsi="Arial" w:cs="Arial"/>
                <w:sz w:val="18"/>
                <w:szCs w:val="18"/>
                <w:lang w:eastAsia="ja-JP"/>
              </w:rPr>
              <w:t> </w:t>
            </w:r>
            <w:r w:rsidRPr="00E44F28">
              <w:rPr>
                <w:rFonts w:ascii="Arial" w:hAnsi="Arial"/>
                <w:sz w:val="18"/>
              </w:rPr>
              <w:fldChar w:fldCharType="begin"/>
            </w:r>
            <w:r w:rsidRPr="00E44F28">
              <w:rPr>
                <w:rFonts w:ascii="Arial" w:hAnsi="Arial"/>
                <w:sz w:val="18"/>
              </w:rPr>
              <w:instrText xml:space="preserve"> REF _Ref33102058 \w \h </w:instrText>
            </w:r>
            <w:r w:rsidR="00AF1814" w:rsidRPr="00E44F28">
              <w:rPr>
                <w:rFonts w:ascii="Arial" w:hAnsi="Arial"/>
                <w:sz w:val="18"/>
              </w:rPr>
              <w:instrText xml:space="preserve"> \* MERGEFORMAT </w:instrText>
            </w:r>
            <w:r w:rsidRPr="00E44F28">
              <w:rPr>
                <w:rFonts w:ascii="Arial" w:hAnsi="Arial"/>
                <w:sz w:val="18"/>
              </w:rPr>
            </w:r>
            <w:r w:rsidRPr="00E44F28">
              <w:rPr>
                <w:rFonts w:ascii="Arial" w:hAnsi="Arial"/>
                <w:sz w:val="18"/>
              </w:rPr>
              <w:fldChar w:fldCharType="separate"/>
            </w:r>
            <w:r w:rsidR="00C548C3" w:rsidRPr="00E44F28">
              <w:rPr>
                <w:rFonts w:ascii="Arial" w:hAnsi="Arial"/>
                <w:sz w:val="18"/>
              </w:rPr>
              <w:t>8.1</w:t>
            </w:r>
            <w:r w:rsidRPr="00E44F28">
              <w:rPr>
                <w:rFonts w:ascii="Arial" w:hAnsi="Arial"/>
                <w:sz w:val="18"/>
              </w:rPr>
              <w:fldChar w:fldCharType="end"/>
            </w:r>
            <w:r w:rsidRPr="00E44F28">
              <w:rPr>
                <w:rFonts w:ascii="Arial" w:hAnsi="Arial"/>
                <w:sz w:val="18"/>
              </w:rPr>
              <w:t>.</w:t>
            </w:r>
          </w:p>
          <w:p w14:paraId="4CAAC59A" w14:textId="7943CC58" w:rsidR="00A80DE2" w:rsidRPr="00E44F28" w:rsidRDefault="00DA3174">
            <w:pPr>
              <w:autoSpaceDE w:val="0"/>
              <w:autoSpaceDN w:val="0"/>
              <w:adjustRightInd w:val="0"/>
              <w:spacing w:before="0"/>
              <w:jc w:val="left"/>
            </w:pPr>
            <w:r w:rsidRPr="00E44F28">
              <w:rPr>
                <w:rFonts w:ascii="Arial" w:hAnsi="Arial" w:cs="Arial"/>
                <w:sz w:val="18"/>
                <w:szCs w:val="18"/>
                <w:lang w:eastAsia="ja-JP"/>
              </w:rPr>
              <w:t>Confirmation of PR is required as described in Section </w:t>
            </w:r>
            <w:r w:rsidRPr="00E44F28">
              <w:rPr>
                <w:rFonts w:ascii="Arial" w:hAnsi="Arial"/>
                <w:sz w:val="18"/>
              </w:rPr>
              <w:fldChar w:fldCharType="begin"/>
            </w:r>
            <w:r w:rsidRPr="00E44F28">
              <w:rPr>
                <w:rFonts w:ascii="Arial" w:hAnsi="Arial"/>
                <w:sz w:val="18"/>
              </w:rPr>
              <w:instrText xml:space="preserve"> REF _Ref33102058 \w \h </w:instrText>
            </w:r>
            <w:r w:rsidR="00AF1814" w:rsidRPr="00E44F28">
              <w:rPr>
                <w:rFonts w:ascii="Arial" w:hAnsi="Arial"/>
                <w:sz w:val="18"/>
              </w:rPr>
              <w:instrText xml:space="preserve"> \* MERGEFORMAT </w:instrText>
            </w:r>
            <w:r w:rsidRPr="00E44F28">
              <w:rPr>
                <w:rFonts w:ascii="Arial" w:hAnsi="Arial"/>
                <w:sz w:val="18"/>
              </w:rPr>
            </w:r>
            <w:r w:rsidRPr="00E44F28">
              <w:rPr>
                <w:rFonts w:ascii="Arial" w:hAnsi="Arial"/>
                <w:sz w:val="18"/>
              </w:rPr>
              <w:fldChar w:fldCharType="separate"/>
            </w:r>
            <w:r w:rsidR="00C548C3" w:rsidRPr="00E44F28">
              <w:rPr>
                <w:rFonts w:ascii="Arial" w:hAnsi="Arial"/>
                <w:sz w:val="18"/>
              </w:rPr>
              <w:t>8.1</w:t>
            </w:r>
            <w:r w:rsidRPr="00E44F28">
              <w:rPr>
                <w:rFonts w:ascii="Arial" w:hAnsi="Arial"/>
                <w:sz w:val="18"/>
              </w:rPr>
              <w:fldChar w:fldCharType="end"/>
            </w:r>
            <w:r w:rsidRPr="00E44F28">
              <w:rPr>
                <w:rFonts w:ascii="Arial" w:hAnsi="Arial"/>
                <w:sz w:val="18"/>
              </w:rPr>
              <w:t xml:space="preserve">. for subjects with measurable disease at </w:t>
            </w:r>
            <w:r w:rsidR="00FE0B5A" w:rsidRPr="00E44F28">
              <w:rPr>
                <w:rFonts w:ascii="Arial" w:hAnsi="Arial"/>
                <w:sz w:val="18"/>
              </w:rPr>
              <w:t>B</w:t>
            </w:r>
            <w:r w:rsidRPr="00E44F28">
              <w:rPr>
                <w:rFonts w:ascii="Arial" w:hAnsi="Arial"/>
                <w:sz w:val="18"/>
              </w:rPr>
              <w:t>aseline</w:t>
            </w:r>
            <w:r w:rsidR="00920D8C" w:rsidRPr="00E44F28">
              <w:rPr>
                <w:rFonts w:ascii="Arial" w:hAnsi="Arial"/>
                <w:sz w:val="18"/>
              </w:rPr>
              <w:t>.</w:t>
            </w:r>
          </w:p>
          <w:p w14:paraId="4E6B8B5F" w14:textId="77777777" w:rsidR="00C95151" w:rsidRPr="00E44F28" w:rsidRDefault="00DA3174" w:rsidP="00C95151">
            <w:pPr>
              <w:keepLines/>
              <w:spacing w:before="40" w:after="40"/>
              <w:jc w:val="left"/>
              <w:rPr>
                <w:rFonts w:ascii="Arial" w:hAnsi="Arial"/>
                <w:sz w:val="18"/>
              </w:rPr>
            </w:pPr>
            <w:r w:rsidRPr="00E44F28">
              <w:rPr>
                <w:rFonts w:ascii="Arial" w:hAnsi="Arial"/>
                <w:sz w:val="18"/>
              </w:rPr>
              <w:t xml:space="preserve">c: A brain CT/MRI scan should be performed if clinically indicated at </w:t>
            </w:r>
            <w:r w:rsidR="00FE0B5A" w:rsidRPr="00E44F28">
              <w:rPr>
                <w:rFonts w:ascii="Arial" w:hAnsi="Arial"/>
                <w:sz w:val="18"/>
              </w:rPr>
              <w:t>B</w:t>
            </w:r>
            <w:r w:rsidRPr="00E44F28">
              <w:rPr>
                <w:rFonts w:ascii="Arial" w:hAnsi="Arial"/>
                <w:sz w:val="18"/>
              </w:rPr>
              <w:t xml:space="preserve">aseline or by subsequent development of new specific symptoms. </w:t>
            </w:r>
          </w:p>
          <w:p w14:paraId="0ECEA0F8" w14:textId="4AA5B2BC" w:rsidR="009827AB" w:rsidRPr="00AF1814" w:rsidRDefault="00DA3174" w:rsidP="009827AB">
            <w:pPr>
              <w:pStyle w:val="TableText0"/>
              <w:rPr>
                <w:rFonts w:ascii="Arial" w:hAnsi="Arial" w:cs="Arial"/>
                <w:sz w:val="18"/>
                <w:szCs w:val="18"/>
                <w:lang w:val="en-US"/>
              </w:rPr>
            </w:pPr>
            <w:r w:rsidRPr="00E44F28">
              <w:rPr>
                <w:rFonts w:ascii="Arial" w:hAnsi="Arial" w:cs="Arial"/>
                <w:sz w:val="18"/>
                <w:szCs w:val="18"/>
                <w:lang w:val="en-US"/>
              </w:rPr>
              <w:t>d: Scans performed as per standard of care prior to signing of ICF may be used if they meet imaging requirement as outlined in Section</w:t>
            </w:r>
            <w:r w:rsidR="001C16A4" w:rsidRPr="00E44F28">
              <w:rPr>
                <w:rFonts w:ascii="Arial" w:hAnsi="Arial" w:cs="Arial"/>
                <w:sz w:val="18"/>
                <w:szCs w:val="18"/>
                <w:lang w:val="en-US"/>
              </w:rPr>
              <w:t> </w:t>
            </w:r>
            <w:r w:rsidR="001963BE" w:rsidRPr="00E44F28">
              <w:rPr>
                <w:rFonts w:ascii="Arial" w:hAnsi="Arial"/>
                <w:sz w:val="18"/>
              </w:rPr>
              <w:fldChar w:fldCharType="begin"/>
            </w:r>
            <w:r w:rsidR="001963BE" w:rsidRPr="00E44F28">
              <w:rPr>
                <w:rFonts w:ascii="Arial" w:hAnsi="Arial"/>
                <w:sz w:val="18"/>
                <w:lang w:val="en-US"/>
              </w:rPr>
              <w:instrText xml:space="preserve"> REF _Ref33102058 \w \h </w:instrText>
            </w:r>
            <w:r w:rsidR="00AF1814" w:rsidRPr="00AB7A74">
              <w:rPr>
                <w:rFonts w:ascii="Arial" w:hAnsi="Arial"/>
                <w:sz w:val="18"/>
                <w:lang w:val="en-US"/>
              </w:rPr>
              <w:instrText xml:space="preserve"> \* MERGEFORMAT </w:instrText>
            </w:r>
            <w:r w:rsidR="001963BE" w:rsidRPr="00E44F28">
              <w:rPr>
                <w:rFonts w:ascii="Arial" w:hAnsi="Arial"/>
                <w:sz w:val="18"/>
              </w:rPr>
            </w:r>
            <w:r w:rsidR="001963BE" w:rsidRPr="00E44F28">
              <w:rPr>
                <w:rFonts w:ascii="Arial" w:hAnsi="Arial"/>
                <w:sz w:val="18"/>
              </w:rPr>
              <w:fldChar w:fldCharType="separate"/>
            </w:r>
            <w:r w:rsidR="00C548C3" w:rsidRPr="00E44F28">
              <w:rPr>
                <w:rFonts w:ascii="Arial" w:hAnsi="Arial"/>
                <w:sz w:val="18"/>
                <w:lang w:val="en-US"/>
              </w:rPr>
              <w:t>8.1</w:t>
            </w:r>
            <w:r w:rsidR="001963BE" w:rsidRPr="00E44F28">
              <w:rPr>
                <w:rFonts w:ascii="Arial" w:hAnsi="Arial"/>
                <w:sz w:val="18"/>
              </w:rPr>
              <w:fldChar w:fldCharType="end"/>
            </w:r>
            <w:r w:rsidR="009C044F" w:rsidRPr="00E44F28">
              <w:rPr>
                <w:rFonts w:ascii="Arial" w:hAnsi="Arial"/>
                <w:sz w:val="18"/>
                <w:lang w:val="en-US"/>
              </w:rPr>
              <w:t xml:space="preserve">, </w:t>
            </w:r>
            <w:r w:rsidR="0088578E" w:rsidRPr="00E44F28">
              <w:rPr>
                <w:rFonts w:ascii="Arial" w:hAnsi="Arial"/>
                <w:sz w:val="18"/>
                <w:lang w:val="en-US"/>
              </w:rPr>
              <w:t xml:space="preserve">are consistent </w:t>
            </w:r>
            <w:r w:rsidR="0088578E" w:rsidRPr="00AF1814">
              <w:rPr>
                <w:rFonts w:ascii="Arial" w:hAnsi="Arial"/>
                <w:sz w:val="18"/>
                <w:lang w:val="en-US"/>
              </w:rPr>
              <w:t>with the Imaging Guidelines</w:t>
            </w:r>
            <w:r w:rsidRPr="00AF1814">
              <w:rPr>
                <w:rFonts w:ascii="Arial" w:hAnsi="Arial" w:cs="Arial"/>
                <w:sz w:val="18"/>
                <w:szCs w:val="18"/>
                <w:lang w:val="en-US"/>
              </w:rPr>
              <w:t xml:space="preserve">, and </w:t>
            </w:r>
            <w:r w:rsidR="001B25C1" w:rsidRPr="00AF1814">
              <w:rPr>
                <w:rFonts w:ascii="Arial" w:hAnsi="Arial" w:cs="Arial"/>
                <w:sz w:val="18"/>
                <w:szCs w:val="18"/>
                <w:lang w:val="en-US"/>
              </w:rPr>
              <w:t>were performed</w:t>
            </w:r>
            <w:r w:rsidRPr="00AF1814">
              <w:rPr>
                <w:rFonts w:ascii="Arial" w:hAnsi="Arial" w:cs="Arial"/>
                <w:sz w:val="18"/>
                <w:szCs w:val="18"/>
                <w:lang w:val="en-US"/>
              </w:rPr>
              <w:t xml:space="preserve"> within 28 days of planned W1D1</w:t>
            </w:r>
            <w:r w:rsidR="00920D8C" w:rsidRPr="00AF1814">
              <w:rPr>
                <w:rFonts w:ascii="Arial" w:hAnsi="Arial" w:cs="Arial"/>
                <w:sz w:val="18"/>
                <w:szCs w:val="18"/>
                <w:lang w:val="en-US"/>
              </w:rPr>
              <w:t>.</w:t>
            </w:r>
          </w:p>
          <w:p w14:paraId="2801FB53" w14:textId="77777777" w:rsidR="009E4BEC" w:rsidRPr="00AF1814" w:rsidRDefault="00DA3174" w:rsidP="00C95151">
            <w:pPr>
              <w:keepLines/>
              <w:spacing w:before="40" w:after="40"/>
              <w:jc w:val="left"/>
              <w:rPr>
                <w:rFonts w:ascii="Arial" w:hAnsi="Arial"/>
                <w:sz w:val="18"/>
              </w:rPr>
            </w:pPr>
            <w:r w:rsidRPr="00AF1814">
              <w:rPr>
                <w:rFonts w:ascii="Arial" w:hAnsi="Arial"/>
                <w:sz w:val="18"/>
              </w:rPr>
              <w:t>e</w:t>
            </w:r>
            <w:r w:rsidR="00B62895" w:rsidRPr="00AF1814">
              <w:rPr>
                <w:rFonts w:ascii="Arial" w:hAnsi="Arial"/>
                <w:sz w:val="18"/>
              </w:rPr>
              <w:t xml:space="preserve">: </w:t>
            </w:r>
            <w:r w:rsidR="00222C22" w:rsidRPr="00AF1814">
              <w:rPr>
                <w:rFonts w:ascii="Arial" w:hAnsi="Arial"/>
                <w:sz w:val="18"/>
              </w:rPr>
              <w:t>S</w:t>
            </w:r>
            <w:r w:rsidR="00B62895" w:rsidRPr="00AF1814">
              <w:rPr>
                <w:rFonts w:ascii="Arial" w:hAnsi="Arial"/>
                <w:sz w:val="18"/>
              </w:rPr>
              <w:t xml:space="preserve">can should be performed when                               any of the study intervention is discontinued.   </w:t>
            </w:r>
          </w:p>
          <w:p w14:paraId="6F135F97" w14:textId="77777777" w:rsidR="00D124BD" w:rsidRPr="00AF1814" w:rsidRDefault="00DA3174" w:rsidP="00B15526">
            <w:pPr>
              <w:keepLines/>
              <w:spacing w:before="40" w:after="40"/>
              <w:jc w:val="left"/>
              <w:rPr>
                <w:rFonts w:ascii="Arial" w:hAnsi="Arial"/>
                <w:sz w:val="18"/>
              </w:rPr>
            </w:pPr>
            <w:r w:rsidRPr="00AF1814">
              <w:rPr>
                <w:rFonts w:ascii="Arial" w:hAnsi="Arial"/>
                <w:sz w:val="18"/>
              </w:rPr>
              <w:t xml:space="preserve">f: For </w:t>
            </w:r>
            <w:r w:rsidR="00BC0FFC" w:rsidRPr="00AF1814">
              <w:rPr>
                <w:rFonts w:ascii="Arial" w:hAnsi="Arial"/>
                <w:sz w:val="18"/>
              </w:rPr>
              <w:t xml:space="preserve">participants </w:t>
            </w:r>
            <w:r w:rsidRPr="00AF1814">
              <w:rPr>
                <w:rFonts w:ascii="Arial" w:hAnsi="Arial"/>
                <w:sz w:val="18"/>
              </w:rPr>
              <w:t xml:space="preserve">discontinuing treatment due to reason other than PD, perform tumor evaluation every </w:t>
            </w:r>
            <w:r w:rsidR="00317FCA" w:rsidRPr="00AF1814">
              <w:rPr>
                <w:rFonts w:ascii="Arial" w:hAnsi="Arial"/>
                <w:sz w:val="18"/>
              </w:rPr>
              <w:t>9</w:t>
            </w:r>
            <w:r w:rsidRPr="00AF1814">
              <w:rPr>
                <w:rFonts w:ascii="Arial" w:hAnsi="Arial"/>
                <w:sz w:val="18"/>
              </w:rPr>
              <w:t xml:space="preserve"> weeks from W1D1 until 12 months (e.g.</w:t>
            </w:r>
            <w:r w:rsidR="00EC5160" w:rsidRPr="00AF1814">
              <w:rPr>
                <w:rFonts w:ascii="Arial" w:hAnsi="Arial"/>
                <w:sz w:val="18"/>
              </w:rPr>
              <w:t>,</w:t>
            </w:r>
            <w:r w:rsidRPr="00AF1814">
              <w:rPr>
                <w:rFonts w:ascii="Arial" w:hAnsi="Arial"/>
                <w:sz w:val="18"/>
              </w:rPr>
              <w:t xml:space="preserve"> W49), then every 12 weeks until confirmed PD or study discontinuation.</w:t>
            </w:r>
          </w:p>
        </w:tc>
      </w:tr>
      <w:tr w:rsidR="002108B2" w:rsidRPr="00AF1814" w14:paraId="3A9653B8"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20B5D972" w14:textId="2E7EC789" w:rsidR="00D124BD" w:rsidRPr="00AF1814" w:rsidRDefault="00DA3174" w:rsidP="00D124BD">
            <w:pPr>
              <w:keepLines/>
              <w:spacing w:before="40" w:after="40"/>
              <w:jc w:val="left"/>
              <w:rPr>
                <w:rFonts w:ascii="Arial" w:hAnsi="Arial"/>
                <w:sz w:val="18"/>
              </w:rPr>
            </w:pPr>
            <w:r w:rsidRPr="00AF1814">
              <w:rPr>
                <w:rFonts w:ascii="Arial" w:hAnsi="Arial"/>
                <w:sz w:val="18"/>
              </w:rPr>
              <w:t>Subsequent anti</w:t>
            </w:r>
            <w:r w:rsidR="00D77787">
              <w:rPr>
                <w:rFonts w:ascii="Arial" w:hAnsi="Arial"/>
                <w:sz w:val="18"/>
              </w:rPr>
              <w:noBreakHyphen/>
            </w:r>
            <w:r w:rsidRPr="00AF1814">
              <w:rPr>
                <w:rFonts w:ascii="Arial" w:hAnsi="Arial"/>
                <w:sz w:val="18"/>
              </w:rPr>
              <w:t>cancer therapy (any line)</w:t>
            </w:r>
          </w:p>
        </w:tc>
        <w:tc>
          <w:tcPr>
            <w:tcW w:w="38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63B3B1" w14:textId="77777777" w:rsidR="00D124BD" w:rsidRPr="00AF1814" w:rsidRDefault="00D124BD" w:rsidP="00D124BD">
            <w:pPr>
              <w:keepLines/>
              <w:spacing w:before="40" w:after="40"/>
              <w:jc w:val="center"/>
              <w:rPr>
                <w:rFonts w:ascii="Arial" w:hAnsi="Arial"/>
                <w:sz w:val="18"/>
              </w:rPr>
            </w:pPr>
          </w:p>
        </w:tc>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F17FDE" w14:textId="77777777" w:rsidR="00D124BD" w:rsidRPr="00AF1814" w:rsidRDefault="00D124BD" w:rsidP="00D124BD">
            <w:pPr>
              <w:keepLines/>
              <w:spacing w:before="40" w:after="40"/>
              <w:jc w:val="center"/>
              <w:rPr>
                <w:rFonts w:ascii="Arial" w:hAnsi="Arial"/>
                <w:b/>
                <w:sz w:val="18"/>
              </w:rPr>
            </w:pPr>
          </w:p>
        </w:tc>
        <w:tc>
          <w:tcPr>
            <w:tcW w:w="21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C33725" w14:textId="77777777" w:rsidR="00D124BD" w:rsidRPr="00AF1814" w:rsidRDefault="00D124BD" w:rsidP="00D124BD">
            <w:pPr>
              <w:keepLines/>
              <w:spacing w:before="40" w:after="40"/>
              <w:jc w:val="center"/>
              <w:rPr>
                <w:rFonts w:ascii="Arial" w:hAnsi="Arial"/>
                <w:sz w:val="18"/>
              </w:rPr>
            </w:pPr>
          </w:p>
        </w:tc>
        <w:tc>
          <w:tcPr>
            <w:tcW w:w="1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5277BEE" w14:textId="77777777" w:rsidR="00D124BD" w:rsidRPr="00AF1814" w:rsidRDefault="00D124BD" w:rsidP="00D124BD">
            <w:pPr>
              <w:keepLines/>
              <w:spacing w:before="40" w:after="40"/>
              <w:jc w:val="center"/>
              <w:rPr>
                <w:rFonts w:ascii="Arial" w:hAnsi="Arial"/>
                <w:sz w:val="18"/>
              </w:rPr>
            </w:pPr>
          </w:p>
        </w:tc>
        <w:tc>
          <w:tcPr>
            <w:tcW w:w="2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6CA2C1B" w14:textId="77777777" w:rsidR="00D124BD" w:rsidRPr="00AF1814" w:rsidRDefault="00D124BD" w:rsidP="00D124BD">
            <w:pPr>
              <w:keepLines/>
              <w:spacing w:before="40" w:after="40"/>
              <w:jc w:val="center"/>
              <w:rPr>
                <w:rFonts w:ascii="Arial" w:hAnsi="Arial"/>
                <w:sz w:val="18"/>
              </w:rPr>
            </w:pPr>
          </w:p>
        </w:tc>
        <w:tc>
          <w:tcPr>
            <w:tcW w:w="2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50AEF0F" w14:textId="77777777" w:rsidR="00D124BD" w:rsidRPr="00AF1814" w:rsidRDefault="00D124BD" w:rsidP="00D124BD">
            <w:pPr>
              <w:keepLines/>
              <w:spacing w:before="40" w:after="40"/>
              <w:jc w:val="center"/>
              <w:rPr>
                <w:rFonts w:ascii="Arial" w:hAnsi="Arial"/>
                <w:sz w:val="18"/>
              </w:rPr>
            </w:pPr>
          </w:p>
        </w:tc>
        <w:tc>
          <w:tcPr>
            <w:tcW w:w="28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81F7FA" w14:textId="77777777" w:rsidR="00D124BD" w:rsidRPr="00AF1814" w:rsidRDefault="00D124BD" w:rsidP="00D124BD">
            <w:pPr>
              <w:keepLines/>
              <w:spacing w:before="40" w:after="40"/>
              <w:jc w:val="center"/>
              <w:rPr>
                <w:rFonts w:ascii="Arial" w:hAnsi="Arial"/>
                <w:sz w:val="18"/>
              </w:rPr>
            </w:pP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131061" w14:textId="77777777" w:rsidR="00D124BD" w:rsidRPr="00AF1814" w:rsidRDefault="00D124BD" w:rsidP="00D124BD">
            <w:pPr>
              <w:keepLines/>
              <w:spacing w:before="40" w:after="40"/>
              <w:jc w:val="left"/>
              <w:rPr>
                <w:rFonts w:ascii="Arial" w:hAnsi="Arial"/>
                <w:sz w:val="18"/>
              </w:rPr>
            </w:pPr>
          </w:p>
        </w:tc>
        <w:tc>
          <w:tcPr>
            <w:tcW w:w="383" w:type="pct"/>
            <w:tcBorders>
              <w:left w:val="single" w:sz="4" w:space="0" w:color="auto"/>
              <w:right w:val="single" w:sz="4" w:space="0" w:color="auto"/>
            </w:tcBorders>
            <w:shd w:val="clear" w:color="auto" w:fill="auto"/>
            <w:vAlign w:val="center"/>
          </w:tcPr>
          <w:p w14:paraId="1E683BEC"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shd w:val="clear" w:color="auto" w:fill="auto"/>
            <w:vAlign w:val="center"/>
          </w:tcPr>
          <w:p w14:paraId="1FCF88AE"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490" w:type="pct"/>
            <w:tcBorders>
              <w:left w:val="single" w:sz="4" w:space="0" w:color="auto"/>
              <w:right w:val="single" w:sz="4" w:space="0" w:color="auto"/>
            </w:tcBorders>
            <w:shd w:val="clear" w:color="auto" w:fill="auto"/>
            <w:vAlign w:val="center"/>
          </w:tcPr>
          <w:p w14:paraId="77BB3AAC"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1226" w:type="pct"/>
            <w:tcBorders>
              <w:left w:val="single" w:sz="4" w:space="0" w:color="auto"/>
              <w:right w:val="single" w:sz="4" w:space="0" w:color="auto"/>
            </w:tcBorders>
            <w:shd w:val="clear" w:color="auto" w:fill="BFBFBF" w:themeFill="background1" w:themeFillShade="BF"/>
            <w:vAlign w:val="center"/>
          </w:tcPr>
          <w:p w14:paraId="64C6D2EA" w14:textId="77777777" w:rsidR="00D124BD" w:rsidRPr="00AF1814" w:rsidRDefault="00D124BD" w:rsidP="00D124BD">
            <w:pPr>
              <w:keepLines/>
              <w:spacing w:before="40" w:after="40"/>
              <w:jc w:val="left"/>
              <w:rPr>
                <w:rFonts w:ascii="Arial" w:hAnsi="Arial"/>
                <w:sz w:val="18"/>
              </w:rPr>
            </w:pPr>
          </w:p>
        </w:tc>
      </w:tr>
      <w:tr w:rsidR="002108B2" w:rsidRPr="00AF1814" w14:paraId="5F01AB34" w14:textId="77777777" w:rsidTr="00D124BD">
        <w:trPr>
          <w:cantSplit/>
          <w:tblHeader/>
          <w:jc w:val="center"/>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vAlign w:val="center"/>
          </w:tcPr>
          <w:p w14:paraId="34168539" w14:textId="77777777" w:rsidR="00D124BD" w:rsidRPr="00AF1814" w:rsidRDefault="00DA3174" w:rsidP="00FC2F74">
            <w:pPr>
              <w:keepNext/>
              <w:widowControl w:val="0"/>
              <w:spacing w:before="40" w:after="40"/>
              <w:jc w:val="center"/>
              <w:rPr>
                <w:rFonts w:ascii="Arial" w:hAnsi="Arial"/>
                <w:b/>
                <w:sz w:val="18"/>
              </w:rPr>
            </w:pPr>
            <w:r w:rsidRPr="00AF1814">
              <w:rPr>
                <w:rFonts w:ascii="Arial" w:hAnsi="Arial"/>
                <w:b/>
                <w:bCs/>
                <w:sz w:val="18"/>
              </w:rPr>
              <w:lastRenderedPageBreak/>
              <w:t>PK, ADA and Biomarker</w:t>
            </w:r>
          </w:p>
        </w:tc>
      </w:tr>
      <w:tr w:rsidR="002108B2" w:rsidRPr="00AF1814" w14:paraId="6EB35EE2" w14:textId="77777777" w:rsidTr="00D124BD">
        <w:trPr>
          <w:cantSplit/>
          <w:tblHeader/>
          <w:jc w:val="center"/>
        </w:trPr>
        <w:tc>
          <w:tcPr>
            <w:tcW w:w="5000" w:type="pct"/>
            <w:gridSpan w:val="13"/>
            <w:tcBorders>
              <w:top w:val="single" w:sz="4" w:space="0" w:color="auto"/>
              <w:left w:val="single" w:sz="4" w:space="0" w:color="auto"/>
              <w:bottom w:val="single" w:sz="4" w:space="0" w:color="auto"/>
              <w:right w:val="single" w:sz="4" w:space="0" w:color="auto"/>
            </w:tcBorders>
            <w:vAlign w:val="center"/>
          </w:tcPr>
          <w:p w14:paraId="5E11DF60" w14:textId="1F7CAFEF" w:rsidR="00D124BD" w:rsidRPr="00E44F28" w:rsidRDefault="00DA3174" w:rsidP="00FC2F74">
            <w:pPr>
              <w:keepNext/>
              <w:widowControl w:val="0"/>
              <w:spacing w:before="40" w:after="40"/>
              <w:jc w:val="center"/>
              <w:rPr>
                <w:rFonts w:ascii="Arial" w:hAnsi="Arial"/>
                <w:sz w:val="18"/>
              </w:rPr>
            </w:pPr>
            <w:r w:rsidRPr="00E44F28">
              <w:rPr>
                <w:rFonts w:ascii="Arial" w:hAnsi="Arial" w:cs="Arial"/>
                <w:sz w:val="18"/>
                <w:szCs w:val="18"/>
              </w:rPr>
              <w:t xml:space="preserve">See </w:t>
            </w:r>
            <w:r w:rsidR="00C95151" w:rsidRPr="00E44F28">
              <w:rPr>
                <w:rFonts w:ascii="Arial" w:hAnsi="Arial" w:cs="Arial"/>
                <w:sz w:val="18"/>
                <w:szCs w:val="18"/>
              </w:rPr>
              <w:fldChar w:fldCharType="begin"/>
            </w:r>
            <w:r w:rsidR="00C95151" w:rsidRPr="00E44F28">
              <w:rPr>
                <w:rFonts w:ascii="Arial" w:hAnsi="Arial" w:cs="Arial"/>
                <w:sz w:val="18"/>
                <w:szCs w:val="18"/>
              </w:rPr>
              <w:instrText xml:space="preserve"> REF _Ref32231920 \h </w:instrText>
            </w:r>
            <w:r w:rsidR="00FC2F74" w:rsidRPr="00E44F28">
              <w:rPr>
                <w:rFonts w:ascii="Arial" w:hAnsi="Arial" w:cs="Arial"/>
                <w:sz w:val="18"/>
                <w:szCs w:val="18"/>
              </w:rPr>
              <w:instrText xml:space="preserve"> \* MERGEFORMAT </w:instrText>
            </w:r>
            <w:r w:rsidR="00C95151" w:rsidRPr="00E44F28">
              <w:rPr>
                <w:rFonts w:ascii="Arial" w:hAnsi="Arial" w:cs="Arial"/>
                <w:sz w:val="18"/>
                <w:szCs w:val="18"/>
              </w:rPr>
            </w:r>
            <w:r w:rsidR="00C95151" w:rsidRPr="00E44F28">
              <w:rPr>
                <w:rFonts w:ascii="Arial" w:hAnsi="Arial" w:cs="Arial"/>
                <w:sz w:val="18"/>
                <w:szCs w:val="18"/>
              </w:rPr>
              <w:fldChar w:fldCharType="separate"/>
            </w:r>
            <w:r w:rsidR="00C548C3" w:rsidRPr="00E44F28">
              <w:rPr>
                <w:rFonts w:ascii="Arial" w:hAnsi="Arial" w:cs="Arial"/>
                <w:sz w:val="18"/>
                <w:szCs w:val="18"/>
              </w:rPr>
              <w:t xml:space="preserve">Table </w:t>
            </w:r>
            <w:r w:rsidR="00C548C3" w:rsidRPr="00E44F28">
              <w:rPr>
                <w:rFonts w:ascii="Arial" w:hAnsi="Arial" w:cs="Arial"/>
                <w:noProof/>
                <w:sz w:val="18"/>
                <w:szCs w:val="18"/>
              </w:rPr>
              <w:t>2</w:t>
            </w:r>
            <w:r w:rsidR="00C95151" w:rsidRPr="00E44F28">
              <w:rPr>
                <w:rFonts w:ascii="Arial" w:hAnsi="Arial" w:cs="Arial"/>
                <w:sz w:val="18"/>
                <w:szCs w:val="18"/>
              </w:rPr>
              <w:fldChar w:fldCharType="end"/>
            </w:r>
            <w:r w:rsidR="00C95151" w:rsidRPr="00E44F28">
              <w:rPr>
                <w:rFonts w:ascii="Arial" w:hAnsi="Arial" w:cs="Arial"/>
                <w:sz w:val="18"/>
                <w:szCs w:val="18"/>
              </w:rPr>
              <w:t xml:space="preserve"> </w:t>
            </w:r>
            <w:r w:rsidRPr="00E44F28">
              <w:rPr>
                <w:rFonts w:ascii="Arial" w:hAnsi="Arial" w:cs="Arial"/>
                <w:sz w:val="18"/>
                <w:szCs w:val="18"/>
              </w:rPr>
              <w:t>for</w:t>
            </w:r>
            <w:r w:rsidRPr="00E44F28">
              <w:rPr>
                <w:rFonts w:ascii="Arial" w:hAnsi="Arial"/>
                <w:sz w:val="18"/>
              </w:rPr>
              <w:t xml:space="preserve"> PK and ADA Sampling Schedule</w:t>
            </w:r>
          </w:p>
        </w:tc>
      </w:tr>
      <w:tr w:rsidR="002108B2" w:rsidRPr="00AF1814" w14:paraId="1E5AE9B1"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724BEB5A" w14:textId="77777777" w:rsidR="00D124BD" w:rsidRPr="00AF1814" w:rsidRDefault="00DA3174" w:rsidP="00D124BD">
            <w:pPr>
              <w:keepLines/>
              <w:spacing w:before="40" w:after="40"/>
              <w:jc w:val="left"/>
              <w:rPr>
                <w:rFonts w:ascii="Arial" w:hAnsi="Arial"/>
                <w:sz w:val="18"/>
              </w:rPr>
            </w:pPr>
            <w:r w:rsidRPr="00AF1814">
              <w:rPr>
                <w:rFonts w:ascii="Arial" w:hAnsi="Arial"/>
                <w:sz w:val="18"/>
              </w:rPr>
              <w:t>Tumor tissue collection</w:t>
            </w:r>
            <w:r w:rsidR="005B6725" w:rsidRPr="00AF1814">
              <w:rPr>
                <w:rFonts w:ascii="Arial" w:hAnsi="Arial"/>
                <w:sz w:val="18"/>
                <w:vertAlign w:val="superscript"/>
              </w:rPr>
              <w:t>g</w:t>
            </w:r>
          </w:p>
        </w:tc>
        <w:tc>
          <w:tcPr>
            <w:tcW w:w="383" w:type="pct"/>
            <w:tcBorders>
              <w:top w:val="single" w:sz="4" w:space="0" w:color="auto"/>
              <w:left w:val="single" w:sz="4" w:space="0" w:color="auto"/>
              <w:bottom w:val="single" w:sz="4" w:space="0" w:color="auto"/>
              <w:right w:val="single" w:sz="4" w:space="0" w:color="auto"/>
            </w:tcBorders>
            <w:shd w:val="clear" w:color="auto" w:fill="auto"/>
            <w:vAlign w:val="center"/>
          </w:tcPr>
          <w:p w14:paraId="6590C139"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D518657" w14:textId="77777777" w:rsidR="00D124BD" w:rsidRPr="00AF1814" w:rsidRDefault="00D124BD" w:rsidP="00D124BD">
            <w:pPr>
              <w:keepLines/>
              <w:spacing w:before="40" w:after="40"/>
              <w:jc w:val="center"/>
              <w:rPr>
                <w:rFonts w:ascii="Arial" w:hAnsi="Arial"/>
                <w:sz w:val="18"/>
              </w:rPr>
            </w:pPr>
          </w:p>
        </w:tc>
        <w:tc>
          <w:tcPr>
            <w:tcW w:w="21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B9BA141" w14:textId="77777777" w:rsidR="00D124BD" w:rsidRPr="00AF1814" w:rsidRDefault="00D124BD" w:rsidP="00D124BD">
            <w:pPr>
              <w:keepLines/>
              <w:spacing w:before="40" w:after="40"/>
              <w:jc w:val="center"/>
              <w:rPr>
                <w:rFonts w:ascii="Arial" w:hAnsi="Arial"/>
                <w:sz w:val="18"/>
              </w:rPr>
            </w:pPr>
          </w:p>
        </w:tc>
        <w:tc>
          <w:tcPr>
            <w:tcW w:w="1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8618F2" w14:textId="77777777" w:rsidR="00D124BD" w:rsidRPr="00AF1814" w:rsidRDefault="00D124BD" w:rsidP="00D124BD">
            <w:pPr>
              <w:keepLines/>
              <w:spacing w:before="40" w:after="40"/>
              <w:jc w:val="center"/>
              <w:rPr>
                <w:rFonts w:ascii="Arial" w:hAnsi="Arial"/>
                <w:b/>
                <w:bCs/>
                <w:sz w:val="18"/>
              </w:rPr>
            </w:pPr>
          </w:p>
        </w:tc>
        <w:tc>
          <w:tcPr>
            <w:tcW w:w="2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F77F00E" w14:textId="77777777" w:rsidR="00D124BD" w:rsidRPr="00AF1814" w:rsidRDefault="00D124BD" w:rsidP="00D124BD">
            <w:pPr>
              <w:keepLines/>
              <w:spacing w:before="40" w:after="40"/>
              <w:jc w:val="center"/>
              <w:rPr>
                <w:rFonts w:ascii="Arial" w:hAnsi="Arial"/>
                <w:sz w:val="18"/>
              </w:rPr>
            </w:pPr>
          </w:p>
        </w:tc>
        <w:tc>
          <w:tcPr>
            <w:tcW w:w="2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7411164" w14:textId="77777777" w:rsidR="00D124BD" w:rsidRPr="00AF1814" w:rsidRDefault="00D124BD" w:rsidP="00D124BD">
            <w:pPr>
              <w:keepLines/>
              <w:spacing w:before="40" w:after="40"/>
              <w:jc w:val="center"/>
              <w:rPr>
                <w:rFonts w:ascii="Arial" w:hAnsi="Arial"/>
                <w:sz w:val="18"/>
              </w:rPr>
            </w:pPr>
          </w:p>
        </w:tc>
        <w:tc>
          <w:tcPr>
            <w:tcW w:w="28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6450E07" w14:textId="77777777" w:rsidR="00D124BD" w:rsidRPr="00AF1814" w:rsidRDefault="00D124BD" w:rsidP="00D124BD">
            <w:pPr>
              <w:keepLines/>
              <w:spacing w:before="40" w:after="40"/>
              <w:jc w:val="center"/>
              <w:rPr>
                <w:rFonts w:ascii="Arial" w:hAnsi="Arial"/>
                <w:sz w:val="18"/>
              </w:rPr>
            </w:pP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5238278A"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r w:rsidR="005B6725" w:rsidRPr="00AF1814">
              <w:rPr>
                <w:rFonts w:ascii="Arial" w:hAnsi="Arial"/>
                <w:sz w:val="18"/>
                <w:vertAlign w:val="superscript"/>
              </w:rPr>
              <w:t>h</w:t>
            </w:r>
          </w:p>
        </w:tc>
        <w:tc>
          <w:tcPr>
            <w:tcW w:w="383" w:type="pct"/>
            <w:tcBorders>
              <w:left w:val="single" w:sz="4" w:space="0" w:color="auto"/>
              <w:right w:val="single" w:sz="4" w:space="0" w:color="auto"/>
            </w:tcBorders>
            <w:shd w:val="clear" w:color="auto" w:fill="BFBFBF" w:themeFill="background1" w:themeFillShade="BF"/>
            <w:vAlign w:val="center"/>
          </w:tcPr>
          <w:p w14:paraId="4F51C2DB" w14:textId="77777777" w:rsidR="00D124BD" w:rsidRPr="00E44F28" w:rsidRDefault="00D124BD" w:rsidP="00D124BD">
            <w:pPr>
              <w:keepLines/>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0EAD30B7" w14:textId="77777777" w:rsidR="00D124BD" w:rsidRPr="00E44F28" w:rsidRDefault="00D124BD"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25329833" w14:textId="77777777" w:rsidR="00D124BD" w:rsidRPr="00E44F28" w:rsidRDefault="00D124BD" w:rsidP="00D124BD">
            <w:pPr>
              <w:keepLines/>
              <w:spacing w:before="40" w:after="40"/>
              <w:jc w:val="center"/>
              <w:rPr>
                <w:rFonts w:ascii="Arial" w:hAnsi="Arial"/>
                <w:sz w:val="18"/>
              </w:rPr>
            </w:pPr>
          </w:p>
        </w:tc>
        <w:tc>
          <w:tcPr>
            <w:tcW w:w="1226" w:type="pct"/>
            <w:tcBorders>
              <w:left w:val="single" w:sz="4" w:space="0" w:color="auto"/>
              <w:right w:val="single" w:sz="4" w:space="0" w:color="auto"/>
            </w:tcBorders>
            <w:shd w:val="clear" w:color="auto" w:fill="auto"/>
            <w:vAlign w:val="center"/>
          </w:tcPr>
          <w:p w14:paraId="2105AD74" w14:textId="066B9685" w:rsidR="00675A8B" w:rsidRPr="00E44F28" w:rsidRDefault="00DA3174" w:rsidP="00675A8B">
            <w:pPr>
              <w:keepLines/>
              <w:spacing w:before="40" w:after="40"/>
              <w:jc w:val="left"/>
            </w:pPr>
            <w:r w:rsidRPr="00E44F28">
              <w:rPr>
                <w:rFonts w:ascii="Arial" w:hAnsi="Arial"/>
                <w:sz w:val="18"/>
              </w:rPr>
              <w:t xml:space="preserve">g: </w:t>
            </w:r>
            <w:r w:rsidR="009C6356" w:rsidRPr="00E44F28">
              <w:rPr>
                <w:rFonts w:ascii="Arial" w:hAnsi="Arial"/>
                <w:sz w:val="18"/>
              </w:rPr>
              <w:t xml:space="preserve">Sample can be archival, newly obtained (preferred) core or excisional biopsy (excluding bone biopsies). </w:t>
            </w:r>
            <w:r w:rsidR="00FC2F74" w:rsidRPr="00E44F28">
              <w:rPr>
                <w:rFonts w:ascii="Arial" w:hAnsi="Arial"/>
                <w:sz w:val="18"/>
              </w:rPr>
              <w:t>See</w:t>
            </w:r>
            <w:r w:rsidR="00B62895" w:rsidRPr="00E44F28">
              <w:rPr>
                <w:rFonts w:ascii="Arial" w:hAnsi="Arial"/>
                <w:sz w:val="18"/>
              </w:rPr>
              <w:t xml:space="preserve"> Section </w:t>
            </w:r>
            <w:r w:rsidR="008121BE" w:rsidRPr="00E44F28">
              <w:rPr>
                <w:rFonts w:ascii="Arial" w:hAnsi="Arial"/>
                <w:sz w:val="18"/>
              </w:rPr>
              <w:fldChar w:fldCharType="begin"/>
            </w:r>
            <w:r w:rsidR="008121BE" w:rsidRPr="00E44F28">
              <w:rPr>
                <w:rFonts w:ascii="Arial" w:hAnsi="Arial"/>
                <w:sz w:val="18"/>
              </w:rPr>
              <w:instrText xml:space="preserve"> REF _Ref30403279 \r \h </w:instrText>
            </w:r>
            <w:r w:rsidR="00AF1814" w:rsidRPr="00E44F28">
              <w:rPr>
                <w:rFonts w:ascii="Arial" w:hAnsi="Arial"/>
                <w:sz w:val="18"/>
              </w:rPr>
              <w:instrText xml:space="preserve"> \* MERGEFORMAT </w:instrText>
            </w:r>
            <w:r w:rsidR="008121BE" w:rsidRPr="00E44F28">
              <w:rPr>
                <w:rFonts w:ascii="Arial" w:hAnsi="Arial"/>
                <w:sz w:val="18"/>
              </w:rPr>
            </w:r>
            <w:r w:rsidR="008121BE" w:rsidRPr="00E44F28">
              <w:rPr>
                <w:rFonts w:ascii="Arial" w:hAnsi="Arial"/>
                <w:sz w:val="18"/>
              </w:rPr>
              <w:fldChar w:fldCharType="separate"/>
            </w:r>
            <w:r w:rsidR="00C548C3" w:rsidRPr="00E44F28">
              <w:rPr>
                <w:rFonts w:ascii="Arial" w:hAnsi="Arial"/>
                <w:sz w:val="18"/>
              </w:rPr>
              <w:t>8.8</w:t>
            </w:r>
            <w:r w:rsidR="008121BE" w:rsidRPr="00E44F28">
              <w:rPr>
                <w:rFonts w:ascii="Arial" w:hAnsi="Arial"/>
                <w:sz w:val="18"/>
              </w:rPr>
              <w:fldChar w:fldCharType="end"/>
            </w:r>
            <w:r w:rsidRPr="00E44F28">
              <w:rPr>
                <w:rFonts w:ascii="Arial" w:hAnsi="Arial"/>
                <w:sz w:val="18"/>
              </w:rPr>
              <w:t>.</w:t>
            </w:r>
          </w:p>
          <w:p w14:paraId="71DBF535" w14:textId="77777777" w:rsidR="00D124BD" w:rsidRPr="00E44F28" w:rsidRDefault="00DA3174" w:rsidP="00D124BD">
            <w:pPr>
              <w:keepLines/>
              <w:spacing w:before="40" w:after="40"/>
              <w:jc w:val="left"/>
              <w:rPr>
                <w:rFonts w:ascii="Arial" w:hAnsi="Arial"/>
                <w:sz w:val="18"/>
              </w:rPr>
            </w:pPr>
            <w:r w:rsidRPr="00E44F28">
              <w:rPr>
                <w:rFonts w:ascii="Arial" w:hAnsi="Arial"/>
                <w:sz w:val="18"/>
              </w:rPr>
              <w:t>h:</w:t>
            </w:r>
            <w:r w:rsidR="00B62895" w:rsidRPr="00E44F28">
              <w:rPr>
                <w:rFonts w:ascii="Arial" w:hAnsi="Arial"/>
                <w:sz w:val="18"/>
              </w:rPr>
              <w:t xml:space="preserve"> End-of-Treatment biopsies are optional. Tissue from unscheduled procedures may also be submitted.</w:t>
            </w:r>
          </w:p>
        </w:tc>
      </w:tr>
      <w:tr w:rsidR="002108B2" w:rsidRPr="00AF1814" w14:paraId="60565952"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20C3F375" w14:textId="32A0AE18" w:rsidR="00D124BD" w:rsidRPr="00AF1814" w:rsidRDefault="00DA3174" w:rsidP="00D124BD">
            <w:pPr>
              <w:keepLines/>
              <w:spacing w:before="40" w:after="40"/>
              <w:jc w:val="left"/>
              <w:rPr>
                <w:rFonts w:ascii="Arial" w:hAnsi="Arial"/>
                <w:sz w:val="18"/>
              </w:rPr>
            </w:pPr>
            <w:r w:rsidRPr="00AF1814">
              <w:rPr>
                <w:rFonts w:ascii="Arial" w:hAnsi="Arial"/>
                <w:sz w:val="18"/>
              </w:rPr>
              <w:t>Whole blood for pharmaco</w:t>
            </w:r>
            <w:r w:rsidR="008D7C7A">
              <w:rPr>
                <w:rFonts w:ascii="Arial" w:hAnsi="Arial"/>
                <w:sz w:val="18"/>
              </w:rPr>
              <w:t>-</w:t>
            </w:r>
            <w:r w:rsidR="00EC5160" w:rsidRPr="00AF1814">
              <w:br/>
            </w:r>
            <w:r w:rsidRPr="00AF1814">
              <w:rPr>
                <w:rFonts w:ascii="Arial" w:hAnsi="Arial"/>
                <w:sz w:val="18"/>
              </w:rPr>
              <w:t>genetics</w:t>
            </w:r>
            <w:r w:rsidR="00201382" w:rsidRPr="00AF1814">
              <w:rPr>
                <w:rFonts w:ascii="Arial" w:hAnsi="Arial"/>
                <w:sz w:val="18"/>
              </w:rPr>
              <w:t xml:space="preserve"> (optional)</w:t>
            </w:r>
          </w:p>
        </w:tc>
        <w:tc>
          <w:tcPr>
            <w:tcW w:w="38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85FA646" w14:textId="77777777" w:rsidR="00D124BD" w:rsidRPr="00AF1814" w:rsidRDefault="00D124BD" w:rsidP="00D124BD">
            <w:pPr>
              <w:keepLines/>
              <w:spacing w:before="40" w:after="40"/>
              <w:jc w:val="center"/>
              <w:rPr>
                <w:rFonts w:ascii="Arial" w:hAnsi="Arial"/>
                <w:sz w:val="18"/>
              </w:rPr>
            </w:pPr>
          </w:p>
        </w:tc>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14:paraId="287A8BF2"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r w:rsidR="00F63227" w:rsidRPr="00AF1814">
              <w:rPr>
                <w:rFonts w:ascii="Arial" w:hAnsi="Arial"/>
                <w:sz w:val="18"/>
                <w:vertAlign w:val="superscript"/>
              </w:rPr>
              <w:t>i</w:t>
            </w:r>
          </w:p>
        </w:tc>
        <w:tc>
          <w:tcPr>
            <w:tcW w:w="21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0578574" w14:textId="77777777" w:rsidR="00D124BD" w:rsidRPr="00AF1814" w:rsidRDefault="00D124BD" w:rsidP="00D124BD">
            <w:pPr>
              <w:keepLines/>
              <w:spacing w:before="40" w:after="40"/>
              <w:jc w:val="center"/>
              <w:rPr>
                <w:rFonts w:ascii="Arial" w:hAnsi="Arial"/>
                <w:sz w:val="18"/>
              </w:rPr>
            </w:pPr>
          </w:p>
        </w:tc>
        <w:tc>
          <w:tcPr>
            <w:tcW w:w="1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8A77202" w14:textId="77777777" w:rsidR="00D124BD" w:rsidRPr="00AF1814" w:rsidRDefault="00D124BD" w:rsidP="00D124BD">
            <w:pPr>
              <w:keepLines/>
              <w:spacing w:before="40" w:after="40"/>
              <w:jc w:val="center"/>
              <w:rPr>
                <w:rFonts w:ascii="Arial" w:hAnsi="Arial"/>
                <w:b/>
                <w:bCs/>
                <w:sz w:val="18"/>
              </w:rPr>
            </w:pPr>
          </w:p>
        </w:tc>
        <w:tc>
          <w:tcPr>
            <w:tcW w:w="20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ACD796B" w14:textId="77777777" w:rsidR="00D124BD" w:rsidRPr="00AF1814" w:rsidRDefault="00D124BD" w:rsidP="00D124BD">
            <w:pPr>
              <w:keepLines/>
              <w:spacing w:before="40" w:after="40"/>
              <w:jc w:val="center"/>
              <w:rPr>
                <w:rFonts w:ascii="Arial" w:hAnsi="Arial"/>
                <w:sz w:val="18"/>
              </w:rPr>
            </w:pPr>
          </w:p>
        </w:tc>
        <w:tc>
          <w:tcPr>
            <w:tcW w:w="2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7B7B2B3" w14:textId="77777777" w:rsidR="00D124BD" w:rsidRPr="00AF1814" w:rsidRDefault="00D124BD" w:rsidP="00D124BD">
            <w:pPr>
              <w:keepLines/>
              <w:spacing w:before="40" w:after="40"/>
              <w:jc w:val="center"/>
              <w:rPr>
                <w:rFonts w:ascii="Arial" w:hAnsi="Arial"/>
                <w:sz w:val="18"/>
              </w:rPr>
            </w:pPr>
          </w:p>
        </w:tc>
        <w:tc>
          <w:tcPr>
            <w:tcW w:w="28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D4F32AD" w14:textId="77777777" w:rsidR="00D124BD" w:rsidRPr="00AF1814" w:rsidRDefault="00D124BD" w:rsidP="00D124BD">
            <w:pPr>
              <w:keepLines/>
              <w:spacing w:before="40" w:after="40"/>
              <w:jc w:val="center"/>
              <w:rPr>
                <w:rFonts w:ascii="Arial" w:hAnsi="Arial"/>
                <w:sz w:val="18"/>
              </w:rPr>
            </w:pPr>
          </w:p>
        </w:tc>
        <w:tc>
          <w:tcPr>
            <w:tcW w:w="36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57F2C9" w14:textId="77777777" w:rsidR="00D124BD" w:rsidRPr="00AF1814" w:rsidRDefault="00D124BD" w:rsidP="00D124BD">
            <w:pPr>
              <w:keepLines/>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1309DDFE" w14:textId="77777777" w:rsidR="00D124BD" w:rsidRPr="00E44F28" w:rsidRDefault="00D124BD" w:rsidP="00D124BD">
            <w:pPr>
              <w:keepLines/>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7C960BFF" w14:textId="77777777" w:rsidR="00D124BD" w:rsidRPr="00E44F28" w:rsidRDefault="00D124BD"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235734B8" w14:textId="77777777" w:rsidR="00D124BD" w:rsidRPr="00E44F28" w:rsidRDefault="00D124BD" w:rsidP="00D124BD">
            <w:pPr>
              <w:keepLines/>
              <w:spacing w:before="40" w:after="40"/>
              <w:jc w:val="center"/>
              <w:rPr>
                <w:rFonts w:ascii="Arial" w:hAnsi="Arial"/>
                <w:sz w:val="18"/>
              </w:rPr>
            </w:pPr>
          </w:p>
        </w:tc>
        <w:tc>
          <w:tcPr>
            <w:tcW w:w="1226" w:type="pct"/>
            <w:tcBorders>
              <w:left w:val="single" w:sz="4" w:space="0" w:color="auto"/>
              <w:right w:val="single" w:sz="4" w:space="0" w:color="auto"/>
            </w:tcBorders>
            <w:shd w:val="clear" w:color="auto" w:fill="auto"/>
            <w:vAlign w:val="center"/>
          </w:tcPr>
          <w:p w14:paraId="638E2CB7" w14:textId="2F73284F" w:rsidR="00D124BD" w:rsidRPr="00E44F28" w:rsidRDefault="00DA3174" w:rsidP="00D124BD">
            <w:pPr>
              <w:keepLines/>
              <w:spacing w:before="40" w:after="40"/>
              <w:jc w:val="left"/>
              <w:rPr>
                <w:rFonts w:ascii="Arial" w:hAnsi="Arial"/>
                <w:sz w:val="18"/>
              </w:rPr>
            </w:pPr>
            <w:r w:rsidRPr="00E44F28">
              <w:rPr>
                <w:rFonts w:ascii="Arial" w:hAnsi="Arial"/>
                <w:sz w:val="18"/>
              </w:rPr>
              <w:t>i</w:t>
            </w:r>
            <w:r w:rsidR="00B62895" w:rsidRPr="00E44F28">
              <w:rPr>
                <w:rFonts w:ascii="Arial" w:hAnsi="Arial"/>
                <w:sz w:val="18"/>
              </w:rPr>
              <w:t xml:space="preserve">: Whole blood sample </w:t>
            </w:r>
            <w:r w:rsidR="00201382" w:rsidRPr="00E44F28">
              <w:rPr>
                <w:rFonts w:ascii="Arial" w:hAnsi="Arial"/>
                <w:sz w:val="18"/>
              </w:rPr>
              <w:t xml:space="preserve">is optional, </w:t>
            </w:r>
            <w:r w:rsidR="00B62895" w:rsidRPr="00E44F28">
              <w:rPr>
                <w:rFonts w:ascii="Arial" w:hAnsi="Arial"/>
                <w:sz w:val="18"/>
              </w:rPr>
              <w:t xml:space="preserve">participants who provide </w:t>
            </w:r>
            <w:r w:rsidR="00201382" w:rsidRPr="00E44F28">
              <w:rPr>
                <w:rFonts w:ascii="Arial" w:hAnsi="Arial"/>
                <w:sz w:val="18"/>
              </w:rPr>
              <w:t xml:space="preserve">whole blood sample should sign </w:t>
            </w:r>
            <w:r w:rsidR="00B62895" w:rsidRPr="00E44F28">
              <w:rPr>
                <w:rFonts w:ascii="Arial" w:hAnsi="Arial"/>
                <w:sz w:val="18"/>
              </w:rPr>
              <w:t>separate informed consent.</w:t>
            </w:r>
            <w:r w:rsidR="00B62895" w:rsidRPr="00E44F28">
              <w:t xml:space="preserve"> </w:t>
            </w:r>
            <w:r w:rsidR="00B62895" w:rsidRPr="00E44F28">
              <w:rPr>
                <w:rFonts w:ascii="Arial" w:hAnsi="Arial"/>
                <w:sz w:val="18"/>
              </w:rPr>
              <w:t>If D1 collection is missed, it can be collected at any later time point.</w:t>
            </w:r>
            <w:r w:rsidR="00FF2C08" w:rsidRPr="00E44F28">
              <w:rPr>
                <w:rFonts w:ascii="Arial" w:hAnsi="Arial"/>
                <w:sz w:val="18"/>
              </w:rPr>
              <w:t xml:space="preserve"> See Section </w:t>
            </w:r>
            <w:r w:rsidR="00D8755B" w:rsidRPr="00E44F28">
              <w:rPr>
                <w:rFonts w:ascii="Arial" w:hAnsi="Arial"/>
                <w:sz w:val="18"/>
              </w:rPr>
              <w:fldChar w:fldCharType="begin"/>
            </w:r>
            <w:r w:rsidR="00D8755B" w:rsidRPr="00E44F28">
              <w:rPr>
                <w:rFonts w:ascii="Arial" w:hAnsi="Arial"/>
                <w:sz w:val="18"/>
              </w:rPr>
              <w:instrText xml:space="preserve"> REF _Ref35006347 \w \h  \* MERGEFORMAT </w:instrText>
            </w:r>
            <w:r w:rsidR="00D8755B" w:rsidRPr="00E44F28">
              <w:rPr>
                <w:rFonts w:ascii="Arial" w:hAnsi="Arial"/>
                <w:sz w:val="18"/>
              </w:rPr>
            </w:r>
            <w:r w:rsidR="00D8755B" w:rsidRPr="00E44F28">
              <w:rPr>
                <w:rFonts w:ascii="Arial" w:hAnsi="Arial"/>
                <w:sz w:val="18"/>
              </w:rPr>
              <w:fldChar w:fldCharType="separate"/>
            </w:r>
            <w:r w:rsidR="00C548C3" w:rsidRPr="00E44F28">
              <w:rPr>
                <w:rFonts w:ascii="Arial" w:hAnsi="Arial"/>
                <w:sz w:val="18"/>
              </w:rPr>
              <w:t>8.7</w:t>
            </w:r>
            <w:r w:rsidR="00D8755B" w:rsidRPr="00E44F28">
              <w:rPr>
                <w:rFonts w:ascii="Arial" w:hAnsi="Arial"/>
                <w:sz w:val="18"/>
              </w:rPr>
              <w:fldChar w:fldCharType="end"/>
            </w:r>
            <w:r w:rsidR="00FF2C08" w:rsidRPr="00E44F28">
              <w:rPr>
                <w:rFonts w:ascii="Arial" w:hAnsi="Arial"/>
                <w:sz w:val="18"/>
              </w:rPr>
              <w:t>.</w:t>
            </w:r>
          </w:p>
        </w:tc>
      </w:tr>
      <w:tr w:rsidR="002108B2" w:rsidRPr="00AF1814" w14:paraId="60825086" w14:textId="77777777" w:rsidTr="00536270">
        <w:trPr>
          <w:cantSplit/>
          <w:tblHeader/>
          <w:jc w:val="center"/>
        </w:trPr>
        <w:tc>
          <w:tcPr>
            <w:tcW w:w="491" w:type="pct"/>
            <w:tcBorders>
              <w:top w:val="single" w:sz="4" w:space="0" w:color="auto"/>
              <w:left w:val="single" w:sz="4" w:space="0" w:color="auto"/>
              <w:bottom w:val="single" w:sz="4" w:space="0" w:color="auto"/>
              <w:right w:val="single" w:sz="4" w:space="0" w:color="auto"/>
            </w:tcBorders>
            <w:vAlign w:val="center"/>
          </w:tcPr>
          <w:p w14:paraId="6BAD8DC1" w14:textId="77777777" w:rsidR="00D124BD" w:rsidRPr="00AF1814" w:rsidRDefault="00DA3174" w:rsidP="00D124BD">
            <w:pPr>
              <w:keepLines/>
              <w:spacing w:before="40" w:after="40"/>
              <w:jc w:val="left"/>
              <w:rPr>
                <w:rFonts w:ascii="Arial" w:hAnsi="Arial"/>
                <w:sz w:val="18"/>
              </w:rPr>
            </w:pPr>
            <w:r w:rsidRPr="00AF1814">
              <w:rPr>
                <w:rFonts w:ascii="Arial" w:hAnsi="Arial"/>
                <w:sz w:val="18"/>
              </w:rPr>
              <w:t>Liquid biopsy (plasma)</w:t>
            </w:r>
          </w:p>
        </w:tc>
        <w:tc>
          <w:tcPr>
            <w:tcW w:w="38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C2425B0" w14:textId="77777777" w:rsidR="00D124BD" w:rsidRPr="00AF1814" w:rsidRDefault="00D124BD" w:rsidP="00D124BD">
            <w:pPr>
              <w:keepLines/>
              <w:spacing w:before="40" w:after="40"/>
              <w:jc w:val="center"/>
              <w:rPr>
                <w:rFonts w:ascii="Arial" w:hAnsi="Arial"/>
                <w:sz w:val="18"/>
              </w:rPr>
            </w:pPr>
          </w:p>
        </w:tc>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14:paraId="11C6C574" w14:textId="77777777" w:rsidR="00D124BD" w:rsidRPr="00AF1814" w:rsidRDefault="00DA3174" w:rsidP="00D124BD">
            <w:pPr>
              <w:keepLines/>
              <w:spacing w:before="40" w:after="40"/>
              <w:jc w:val="center"/>
              <w:rPr>
                <w:rFonts w:ascii="Arial" w:hAnsi="Arial"/>
                <w:b/>
                <w:bCs/>
                <w:sz w:val="18"/>
              </w:rPr>
            </w:pPr>
            <w:r w:rsidRPr="00AF1814">
              <w:rPr>
                <w:rFonts w:ascii="Arial" w:hAnsi="Arial"/>
                <w:sz w:val="18"/>
              </w:rPr>
              <w:t>X</w:t>
            </w:r>
          </w:p>
        </w:tc>
        <w:tc>
          <w:tcPr>
            <w:tcW w:w="219" w:type="pct"/>
            <w:tcBorders>
              <w:top w:val="single" w:sz="4" w:space="0" w:color="auto"/>
              <w:left w:val="single" w:sz="4" w:space="0" w:color="auto"/>
              <w:bottom w:val="single" w:sz="4" w:space="0" w:color="auto"/>
              <w:right w:val="single" w:sz="4" w:space="0" w:color="auto"/>
            </w:tcBorders>
            <w:shd w:val="clear" w:color="auto" w:fill="auto"/>
            <w:vAlign w:val="center"/>
          </w:tcPr>
          <w:p w14:paraId="1191B801"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89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E4CAF12"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Every 12 weeks</w:t>
            </w:r>
          </w:p>
        </w:tc>
        <w:tc>
          <w:tcPr>
            <w:tcW w:w="364" w:type="pct"/>
            <w:tcBorders>
              <w:top w:val="single" w:sz="4" w:space="0" w:color="auto"/>
              <w:left w:val="single" w:sz="4" w:space="0" w:color="auto"/>
              <w:bottom w:val="single" w:sz="4" w:space="0" w:color="auto"/>
              <w:right w:val="single" w:sz="4" w:space="0" w:color="auto"/>
            </w:tcBorders>
            <w:shd w:val="clear" w:color="auto" w:fill="auto"/>
            <w:vAlign w:val="center"/>
          </w:tcPr>
          <w:p w14:paraId="7EE4FB8F" w14:textId="77777777" w:rsidR="00D124BD" w:rsidRPr="00AF1814" w:rsidRDefault="00DA3174" w:rsidP="00D124BD">
            <w:pPr>
              <w:keepLines/>
              <w:spacing w:before="40" w:after="40"/>
              <w:jc w:val="center"/>
              <w:rPr>
                <w:rFonts w:ascii="Arial" w:hAnsi="Arial"/>
                <w:sz w:val="18"/>
              </w:rPr>
            </w:pPr>
            <w:r w:rsidRPr="00AF1814">
              <w:rPr>
                <w:rFonts w:ascii="Arial" w:hAnsi="Arial"/>
                <w:sz w:val="18"/>
              </w:rPr>
              <w:t>X</w:t>
            </w:r>
          </w:p>
        </w:tc>
        <w:tc>
          <w:tcPr>
            <w:tcW w:w="383" w:type="pct"/>
            <w:tcBorders>
              <w:left w:val="single" w:sz="4" w:space="0" w:color="auto"/>
              <w:right w:val="single" w:sz="4" w:space="0" w:color="auto"/>
            </w:tcBorders>
            <w:shd w:val="clear" w:color="auto" w:fill="BFBFBF" w:themeFill="background1" w:themeFillShade="BF"/>
            <w:vAlign w:val="center"/>
          </w:tcPr>
          <w:p w14:paraId="31939BBB" w14:textId="77777777" w:rsidR="00D124BD" w:rsidRPr="00AF1814" w:rsidRDefault="00D124BD" w:rsidP="00D124BD">
            <w:pPr>
              <w:keepLines/>
              <w:spacing w:before="40" w:after="40"/>
              <w:jc w:val="center"/>
              <w:rPr>
                <w:rFonts w:ascii="Arial" w:hAnsi="Arial"/>
                <w:sz w:val="18"/>
              </w:rPr>
            </w:pPr>
          </w:p>
        </w:tc>
        <w:tc>
          <w:tcPr>
            <w:tcW w:w="383" w:type="pct"/>
            <w:tcBorders>
              <w:left w:val="single" w:sz="4" w:space="0" w:color="auto"/>
              <w:right w:val="single" w:sz="4" w:space="0" w:color="auto"/>
            </w:tcBorders>
            <w:shd w:val="clear" w:color="auto" w:fill="BFBFBF" w:themeFill="background1" w:themeFillShade="BF"/>
            <w:vAlign w:val="center"/>
          </w:tcPr>
          <w:p w14:paraId="06CA154D" w14:textId="77777777" w:rsidR="00D124BD" w:rsidRPr="00AF1814" w:rsidRDefault="00D124BD" w:rsidP="00D124BD">
            <w:pPr>
              <w:keepLines/>
              <w:spacing w:before="40" w:after="40"/>
              <w:jc w:val="center"/>
              <w:rPr>
                <w:rFonts w:ascii="Arial" w:hAnsi="Arial"/>
                <w:sz w:val="18"/>
              </w:rPr>
            </w:pPr>
          </w:p>
        </w:tc>
        <w:tc>
          <w:tcPr>
            <w:tcW w:w="490" w:type="pct"/>
            <w:tcBorders>
              <w:left w:val="single" w:sz="4" w:space="0" w:color="auto"/>
              <w:right w:val="single" w:sz="4" w:space="0" w:color="auto"/>
            </w:tcBorders>
            <w:shd w:val="clear" w:color="auto" w:fill="BFBFBF" w:themeFill="background1" w:themeFillShade="BF"/>
            <w:vAlign w:val="center"/>
          </w:tcPr>
          <w:p w14:paraId="119FDF93" w14:textId="77777777" w:rsidR="00D124BD" w:rsidRPr="00AF1814" w:rsidRDefault="00D124BD" w:rsidP="00D124BD">
            <w:pPr>
              <w:keepLines/>
              <w:spacing w:before="40" w:after="40"/>
              <w:jc w:val="center"/>
              <w:rPr>
                <w:rFonts w:ascii="Arial" w:hAnsi="Arial"/>
                <w:sz w:val="18"/>
              </w:rPr>
            </w:pPr>
          </w:p>
        </w:tc>
        <w:tc>
          <w:tcPr>
            <w:tcW w:w="1226" w:type="pct"/>
            <w:tcBorders>
              <w:left w:val="single" w:sz="4" w:space="0" w:color="auto"/>
              <w:right w:val="single" w:sz="4" w:space="0" w:color="auto"/>
            </w:tcBorders>
            <w:shd w:val="clear" w:color="auto" w:fill="auto"/>
            <w:vAlign w:val="center"/>
          </w:tcPr>
          <w:p w14:paraId="3D50D183" w14:textId="77777777" w:rsidR="00D124BD" w:rsidRPr="00AF1814" w:rsidRDefault="00DA3174" w:rsidP="00D124BD">
            <w:pPr>
              <w:keepLines/>
              <w:spacing w:before="40" w:after="40"/>
              <w:jc w:val="left"/>
              <w:rPr>
                <w:rFonts w:ascii="Arial" w:hAnsi="Arial"/>
                <w:sz w:val="18"/>
              </w:rPr>
            </w:pPr>
            <w:r w:rsidRPr="00AF1814">
              <w:rPr>
                <w:rFonts w:ascii="Arial" w:hAnsi="Arial"/>
                <w:sz w:val="18"/>
              </w:rPr>
              <w:t>Liquid biopsy (plasma) for genetic profiling should be collected within 2</w:t>
            </w:r>
            <w:r w:rsidR="00FC2F74" w:rsidRPr="00AF1814">
              <w:rPr>
                <w:rFonts w:ascii="Arial" w:hAnsi="Arial"/>
                <w:sz w:val="18"/>
              </w:rPr>
              <w:t> </w:t>
            </w:r>
            <w:r w:rsidRPr="00AF1814">
              <w:rPr>
                <w:rFonts w:ascii="Arial" w:hAnsi="Arial"/>
                <w:sz w:val="18"/>
              </w:rPr>
              <w:t>hours prior to study intervention infusion.</w:t>
            </w:r>
          </w:p>
        </w:tc>
      </w:tr>
      <w:tr w:rsidR="002108B2" w:rsidRPr="00AF1814" w14:paraId="09A5CE20" w14:textId="77777777" w:rsidTr="001C16A4">
        <w:trPr>
          <w:cantSplit/>
          <w:trHeight w:val="952"/>
          <w:tblHeader/>
          <w:jc w:val="center"/>
        </w:trPr>
        <w:tc>
          <w:tcPr>
            <w:tcW w:w="5000" w:type="pct"/>
            <w:gridSpan w:val="13"/>
            <w:tcBorders>
              <w:top w:val="single" w:sz="4" w:space="0" w:color="auto"/>
              <w:left w:val="single" w:sz="4" w:space="0" w:color="auto"/>
              <w:bottom w:val="single" w:sz="4" w:space="0" w:color="auto"/>
              <w:right w:val="single" w:sz="4" w:space="0" w:color="auto"/>
            </w:tcBorders>
          </w:tcPr>
          <w:p w14:paraId="02581EE4" w14:textId="77777777" w:rsidR="00D124BD" w:rsidRPr="00AF1814" w:rsidRDefault="00DA3174" w:rsidP="00D124BD">
            <w:pPr>
              <w:keepLines/>
              <w:spacing w:before="40" w:after="40"/>
              <w:jc w:val="left"/>
              <w:rPr>
                <w:rFonts w:ascii="Arial" w:hAnsi="Arial"/>
                <w:b/>
                <w:bCs/>
                <w:sz w:val="18"/>
              </w:rPr>
            </w:pPr>
            <w:r w:rsidRPr="00AF1814">
              <w:rPr>
                <w:rFonts w:ascii="Arial" w:hAnsi="Arial"/>
                <w:sz w:val="18"/>
              </w:rPr>
              <w:t>ADA=antidrug antibody</w:t>
            </w:r>
            <w:r w:rsidR="00BD2096" w:rsidRPr="00AF1814">
              <w:rPr>
                <w:rFonts w:ascii="Arial" w:hAnsi="Arial"/>
                <w:sz w:val="18"/>
              </w:rPr>
              <w:t>,</w:t>
            </w:r>
            <w:r w:rsidRPr="00AF1814">
              <w:rPr>
                <w:rFonts w:ascii="Arial" w:hAnsi="Arial"/>
                <w:sz w:val="18"/>
              </w:rPr>
              <w:t xml:space="preserve"> AE=adverse event</w:t>
            </w:r>
            <w:r w:rsidR="00BD2096" w:rsidRPr="00AF1814">
              <w:rPr>
                <w:rFonts w:ascii="Arial" w:hAnsi="Arial"/>
                <w:sz w:val="18"/>
              </w:rPr>
              <w:t>,</w:t>
            </w:r>
            <w:r w:rsidRPr="00AF1814">
              <w:rPr>
                <w:rFonts w:ascii="Arial" w:hAnsi="Arial"/>
                <w:sz w:val="18"/>
              </w:rPr>
              <w:t xml:space="preserve"> β-</w:t>
            </w:r>
            <w:r w:rsidR="00EC5160" w:rsidRPr="00AF1814">
              <w:rPr>
                <w:rFonts w:ascii="Arial" w:hAnsi="Arial"/>
                <w:sz w:val="18"/>
              </w:rPr>
              <w:t>hCG</w:t>
            </w:r>
            <w:r w:rsidRPr="00AF1814">
              <w:rPr>
                <w:rFonts w:ascii="Arial" w:hAnsi="Arial"/>
                <w:sz w:val="18"/>
              </w:rPr>
              <w:t>=β-human chorionic gonadotropin</w:t>
            </w:r>
            <w:r w:rsidR="00BD2096" w:rsidRPr="00AF1814">
              <w:rPr>
                <w:rFonts w:ascii="Arial" w:hAnsi="Arial"/>
                <w:sz w:val="18"/>
              </w:rPr>
              <w:t>,</w:t>
            </w:r>
            <w:r w:rsidRPr="00AF1814">
              <w:rPr>
                <w:rFonts w:ascii="Arial" w:hAnsi="Arial"/>
                <w:sz w:val="18"/>
              </w:rPr>
              <w:t xml:space="preserve"> </w:t>
            </w:r>
            <w:r w:rsidR="00FA33FA" w:rsidRPr="00AF1814">
              <w:rPr>
                <w:rFonts w:ascii="Arial" w:hAnsi="Arial"/>
                <w:sz w:val="18"/>
              </w:rPr>
              <w:t xml:space="preserve">CR=complete response, </w:t>
            </w:r>
            <w:r w:rsidRPr="00AF1814">
              <w:rPr>
                <w:rFonts w:ascii="Arial" w:hAnsi="Arial"/>
                <w:sz w:val="18"/>
              </w:rPr>
              <w:t>CT=computed tomography</w:t>
            </w:r>
            <w:r w:rsidR="00BD2096" w:rsidRPr="00AF1814">
              <w:rPr>
                <w:rFonts w:ascii="Arial" w:hAnsi="Arial"/>
                <w:sz w:val="18"/>
              </w:rPr>
              <w:t>,</w:t>
            </w:r>
            <w:r w:rsidRPr="00AF1814">
              <w:rPr>
                <w:rFonts w:ascii="Arial" w:hAnsi="Arial"/>
                <w:sz w:val="18"/>
              </w:rPr>
              <w:t xml:space="preserve"> D=Day</w:t>
            </w:r>
            <w:r w:rsidR="00BD2096" w:rsidRPr="00AF1814">
              <w:rPr>
                <w:rFonts w:ascii="Arial" w:hAnsi="Arial"/>
                <w:sz w:val="18"/>
              </w:rPr>
              <w:t>,</w:t>
            </w:r>
            <w:r w:rsidRPr="00AF1814">
              <w:rPr>
                <w:rFonts w:ascii="Arial" w:hAnsi="Arial"/>
                <w:sz w:val="18"/>
              </w:rPr>
              <w:t xml:space="preserve"> ECG=electrocardiogram</w:t>
            </w:r>
            <w:r w:rsidR="00BD2096" w:rsidRPr="00AF1814">
              <w:rPr>
                <w:rFonts w:ascii="Arial" w:hAnsi="Arial"/>
                <w:sz w:val="18"/>
              </w:rPr>
              <w:t xml:space="preserve">, </w:t>
            </w:r>
            <w:r w:rsidRPr="00AF1814">
              <w:rPr>
                <w:rFonts w:ascii="Arial" w:hAnsi="Arial"/>
                <w:sz w:val="18"/>
              </w:rPr>
              <w:t>ECOG</w:t>
            </w:r>
            <w:r w:rsidR="001C16A4" w:rsidRPr="00AF1814">
              <w:rPr>
                <w:rFonts w:ascii="Arial" w:hAnsi="Arial"/>
                <w:sz w:val="18"/>
              </w:rPr>
              <w:t> </w:t>
            </w:r>
            <w:r w:rsidRPr="00AF1814">
              <w:rPr>
                <w:rFonts w:ascii="Arial" w:hAnsi="Arial"/>
                <w:sz w:val="18"/>
              </w:rPr>
              <w:t>PS=Eastern Cooperative Oncology Group Performance Status</w:t>
            </w:r>
            <w:r w:rsidR="00BD2096" w:rsidRPr="00AF1814">
              <w:rPr>
                <w:rFonts w:ascii="Arial" w:hAnsi="Arial"/>
                <w:sz w:val="18"/>
              </w:rPr>
              <w:t>,</w:t>
            </w:r>
            <w:r w:rsidRPr="00AF1814">
              <w:rPr>
                <w:rFonts w:ascii="Arial" w:hAnsi="Arial"/>
                <w:sz w:val="18"/>
              </w:rPr>
              <w:t xml:space="preserve"> EoT=</w:t>
            </w:r>
            <w:r w:rsidR="00926506" w:rsidRPr="00AF1814">
              <w:rPr>
                <w:rFonts w:ascii="Arial" w:hAnsi="Arial"/>
                <w:sz w:val="18"/>
              </w:rPr>
              <w:t>E</w:t>
            </w:r>
            <w:r w:rsidRPr="00AF1814">
              <w:rPr>
                <w:rFonts w:ascii="Arial" w:hAnsi="Arial"/>
                <w:sz w:val="18"/>
              </w:rPr>
              <w:t>nd</w:t>
            </w:r>
            <w:r w:rsidR="00926506" w:rsidRPr="00AF1814">
              <w:rPr>
                <w:rFonts w:ascii="Arial" w:hAnsi="Arial"/>
                <w:sz w:val="18"/>
              </w:rPr>
              <w:t>-</w:t>
            </w:r>
            <w:r w:rsidRPr="00AF1814">
              <w:rPr>
                <w:rFonts w:ascii="Arial" w:hAnsi="Arial"/>
                <w:sz w:val="18"/>
              </w:rPr>
              <w:t>of</w:t>
            </w:r>
            <w:r w:rsidR="00926506" w:rsidRPr="00AF1814">
              <w:rPr>
                <w:rFonts w:ascii="Arial" w:hAnsi="Arial"/>
                <w:sz w:val="18"/>
              </w:rPr>
              <w:t>-T</w:t>
            </w:r>
            <w:r w:rsidRPr="00AF1814">
              <w:rPr>
                <w:rFonts w:ascii="Arial" w:hAnsi="Arial"/>
                <w:sz w:val="18"/>
              </w:rPr>
              <w:t>reatment</w:t>
            </w:r>
            <w:r w:rsidR="00BD2096" w:rsidRPr="00AF1814">
              <w:rPr>
                <w:rFonts w:ascii="Arial" w:hAnsi="Arial"/>
                <w:sz w:val="18"/>
              </w:rPr>
              <w:t>,</w:t>
            </w:r>
            <w:r w:rsidRPr="00AF1814">
              <w:rPr>
                <w:rFonts w:ascii="Arial" w:hAnsi="Arial"/>
                <w:sz w:val="18"/>
              </w:rPr>
              <w:t xml:space="preserve"> HBV=hepatitis B virus</w:t>
            </w:r>
            <w:r w:rsidR="00BD2096" w:rsidRPr="00AF1814">
              <w:rPr>
                <w:rFonts w:ascii="Arial" w:hAnsi="Arial"/>
                <w:sz w:val="18"/>
              </w:rPr>
              <w:t>,</w:t>
            </w:r>
            <w:r w:rsidRPr="00AF1814">
              <w:rPr>
                <w:rFonts w:ascii="Arial" w:hAnsi="Arial"/>
                <w:sz w:val="18"/>
              </w:rPr>
              <w:t xml:space="preserve"> HCV=hepatitis C virus</w:t>
            </w:r>
            <w:r w:rsidR="00BD2096" w:rsidRPr="00AF1814">
              <w:rPr>
                <w:rFonts w:ascii="Arial" w:hAnsi="Arial"/>
                <w:sz w:val="18"/>
              </w:rPr>
              <w:t>,</w:t>
            </w:r>
            <w:r w:rsidRPr="00AF1814">
              <w:rPr>
                <w:rFonts w:ascii="Arial" w:hAnsi="Arial"/>
                <w:sz w:val="18"/>
              </w:rPr>
              <w:t xml:space="preserve"> HIV=human immunodeficiency virus</w:t>
            </w:r>
            <w:r w:rsidR="00BD2096" w:rsidRPr="00AF1814">
              <w:rPr>
                <w:rFonts w:ascii="Arial" w:hAnsi="Arial"/>
                <w:sz w:val="18"/>
              </w:rPr>
              <w:t>,</w:t>
            </w:r>
            <w:r w:rsidRPr="00AF1814">
              <w:rPr>
                <w:rFonts w:ascii="Arial" w:hAnsi="Arial"/>
                <w:sz w:val="18"/>
              </w:rPr>
              <w:t xml:space="preserve"> </w:t>
            </w:r>
            <w:r w:rsidR="00BD2096" w:rsidRPr="00AF1814">
              <w:rPr>
                <w:rFonts w:ascii="Arial" w:hAnsi="Arial"/>
                <w:sz w:val="18"/>
              </w:rPr>
              <w:t xml:space="preserve">ICF=informed consent form, </w:t>
            </w:r>
            <w:r w:rsidRPr="00AF1814">
              <w:rPr>
                <w:rFonts w:ascii="Arial" w:hAnsi="Arial"/>
                <w:sz w:val="18"/>
              </w:rPr>
              <w:t>MRI=magnetic resonance imaging</w:t>
            </w:r>
            <w:r w:rsidR="00BD2096" w:rsidRPr="00AF1814">
              <w:rPr>
                <w:rFonts w:ascii="Arial" w:hAnsi="Arial"/>
                <w:sz w:val="18"/>
              </w:rPr>
              <w:t>,</w:t>
            </w:r>
            <w:r w:rsidRPr="00AF1814">
              <w:rPr>
                <w:rFonts w:ascii="Arial" w:hAnsi="Arial"/>
                <w:sz w:val="18"/>
              </w:rPr>
              <w:t xml:space="preserve"> PD=progressi</w:t>
            </w:r>
            <w:r w:rsidR="00A07DEE" w:rsidRPr="00AF1814">
              <w:rPr>
                <w:rFonts w:ascii="Arial" w:hAnsi="Arial"/>
                <w:sz w:val="18"/>
              </w:rPr>
              <w:t xml:space="preserve">ve </w:t>
            </w:r>
            <w:r w:rsidRPr="00AF1814">
              <w:rPr>
                <w:rFonts w:ascii="Arial" w:hAnsi="Arial"/>
                <w:sz w:val="18"/>
              </w:rPr>
              <w:t>disease</w:t>
            </w:r>
            <w:r w:rsidR="00BD2096" w:rsidRPr="00AF1814">
              <w:rPr>
                <w:rFonts w:ascii="Arial" w:hAnsi="Arial"/>
                <w:sz w:val="18"/>
              </w:rPr>
              <w:t>,</w:t>
            </w:r>
            <w:r w:rsidRPr="00AF1814">
              <w:rPr>
                <w:rFonts w:ascii="Arial" w:hAnsi="Arial"/>
                <w:sz w:val="18"/>
              </w:rPr>
              <w:t xml:space="preserve"> PK=pharmacokinetic</w:t>
            </w:r>
            <w:r w:rsidR="00BD2096" w:rsidRPr="00AF1814">
              <w:rPr>
                <w:rFonts w:ascii="Arial" w:hAnsi="Arial"/>
                <w:sz w:val="18"/>
              </w:rPr>
              <w:t>,</w:t>
            </w:r>
            <w:r w:rsidRPr="00AF1814">
              <w:rPr>
                <w:rFonts w:ascii="Arial" w:hAnsi="Arial"/>
                <w:sz w:val="18"/>
              </w:rPr>
              <w:t xml:space="preserve"> </w:t>
            </w:r>
            <w:r w:rsidR="00FA33FA" w:rsidRPr="00AF1814">
              <w:rPr>
                <w:rFonts w:ascii="Arial" w:hAnsi="Arial"/>
                <w:sz w:val="18"/>
              </w:rPr>
              <w:t xml:space="preserve">PR=partial response, </w:t>
            </w:r>
            <w:r w:rsidRPr="00AF1814">
              <w:rPr>
                <w:rFonts w:ascii="Arial" w:hAnsi="Arial"/>
                <w:sz w:val="18"/>
              </w:rPr>
              <w:t>T4=free thyroxine</w:t>
            </w:r>
            <w:r w:rsidR="00BD2096" w:rsidRPr="00AF1814">
              <w:rPr>
                <w:rFonts w:ascii="Arial" w:hAnsi="Arial"/>
                <w:sz w:val="18"/>
              </w:rPr>
              <w:t>,</w:t>
            </w:r>
            <w:r w:rsidRPr="00AF1814">
              <w:rPr>
                <w:rFonts w:ascii="Arial" w:hAnsi="Arial"/>
                <w:sz w:val="18"/>
              </w:rPr>
              <w:t xml:space="preserve"> TSH=thyroid-stimulating hormone</w:t>
            </w:r>
            <w:r w:rsidR="00BD2096" w:rsidRPr="00AF1814">
              <w:rPr>
                <w:rFonts w:ascii="Arial" w:hAnsi="Arial"/>
                <w:sz w:val="18"/>
              </w:rPr>
              <w:t>,</w:t>
            </w:r>
            <w:r w:rsidRPr="00AF1814">
              <w:rPr>
                <w:rFonts w:ascii="Arial" w:hAnsi="Arial"/>
                <w:sz w:val="18"/>
              </w:rPr>
              <w:t xml:space="preserve"> V=visit</w:t>
            </w:r>
            <w:r w:rsidR="00BD2096" w:rsidRPr="00AF1814">
              <w:rPr>
                <w:rFonts w:ascii="Arial" w:hAnsi="Arial"/>
                <w:sz w:val="18"/>
              </w:rPr>
              <w:t>,</w:t>
            </w:r>
            <w:r w:rsidRPr="00AF1814">
              <w:rPr>
                <w:rFonts w:ascii="Arial" w:hAnsi="Arial"/>
                <w:sz w:val="18"/>
              </w:rPr>
              <w:t xml:space="preserve"> W=Week</w:t>
            </w:r>
            <w:r w:rsidR="006D5C32" w:rsidRPr="00AF1814">
              <w:rPr>
                <w:rFonts w:ascii="Arial" w:hAnsi="Arial"/>
                <w:sz w:val="18"/>
              </w:rPr>
              <w:t>, WOCBP=woman of childbearing potential.</w:t>
            </w:r>
          </w:p>
        </w:tc>
      </w:tr>
    </w:tbl>
    <w:p w14:paraId="38E14512" w14:textId="07411575" w:rsidR="00D124BD" w:rsidRPr="00AF1814" w:rsidRDefault="00DA3174" w:rsidP="00D124BD">
      <w:pPr>
        <w:pStyle w:val="Caption"/>
      </w:pPr>
      <w:bookmarkStart w:id="38" w:name="_Ref32231920"/>
      <w:bookmarkStart w:id="39" w:name="_Toc44601746"/>
      <w:bookmarkEnd w:id="35"/>
      <w:r w:rsidRPr="00AF1814">
        <w:lastRenderedPageBreak/>
        <w:t xml:space="preserve">Table </w:t>
      </w:r>
      <w:r w:rsidR="0093258F" w:rsidRPr="00AF1814">
        <w:fldChar w:fldCharType="begin"/>
      </w:r>
      <w:r w:rsidR="0093258F" w:rsidRPr="00AF1814">
        <w:instrText xml:space="preserve"> SEQ Table \* ARABIC </w:instrText>
      </w:r>
      <w:r w:rsidR="0093258F" w:rsidRPr="00AF1814">
        <w:fldChar w:fldCharType="separate"/>
      </w:r>
      <w:r w:rsidR="00C548C3">
        <w:rPr>
          <w:noProof/>
        </w:rPr>
        <w:t>2</w:t>
      </w:r>
      <w:r w:rsidR="0093258F" w:rsidRPr="00AF1814">
        <w:fldChar w:fldCharType="end"/>
      </w:r>
      <w:bookmarkEnd w:id="38"/>
      <w:r w:rsidRPr="00AF1814">
        <w:tab/>
        <w:t>Schedule of Activities for PK and ADA Sampling in Cohort 1</w:t>
      </w:r>
      <w:bookmarkEnd w:id="39"/>
    </w:p>
    <w:tbl>
      <w:tblPr>
        <w:tblW w:w="49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253"/>
        <w:gridCol w:w="454"/>
        <w:gridCol w:w="441"/>
        <w:gridCol w:w="423"/>
        <w:gridCol w:w="488"/>
        <w:gridCol w:w="560"/>
        <w:gridCol w:w="8"/>
        <w:gridCol w:w="418"/>
        <w:gridCol w:w="13"/>
        <w:gridCol w:w="562"/>
        <w:gridCol w:w="568"/>
        <w:gridCol w:w="570"/>
        <w:gridCol w:w="648"/>
        <w:gridCol w:w="983"/>
        <w:gridCol w:w="908"/>
        <w:gridCol w:w="4603"/>
      </w:tblGrid>
      <w:tr w:rsidR="002108B2" w:rsidRPr="00AF1814" w14:paraId="54EE1F4D" w14:textId="77777777" w:rsidTr="00416EE6">
        <w:trPr>
          <w:trHeight w:val="438"/>
          <w:tblHeader/>
        </w:trPr>
        <w:tc>
          <w:tcPr>
            <w:tcW w:w="486" w:type="pct"/>
            <w:vMerge w:val="restart"/>
            <w:tcBorders>
              <w:top w:val="single" w:sz="4" w:space="0" w:color="auto"/>
              <w:left w:val="single" w:sz="4" w:space="0" w:color="auto"/>
              <w:right w:val="single" w:sz="4" w:space="0" w:color="auto"/>
            </w:tcBorders>
            <w:shd w:val="clear" w:color="auto" w:fill="auto"/>
          </w:tcPr>
          <w:p w14:paraId="35238ACA" w14:textId="77777777" w:rsidR="008D45E5" w:rsidRPr="00AF1814" w:rsidRDefault="00DA3174" w:rsidP="00D124BD">
            <w:pPr>
              <w:pStyle w:val="Tableheading"/>
            </w:pPr>
            <w:r w:rsidRPr="00AF1814">
              <w:t>Assessments &amp; Procedures</w:t>
            </w:r>
          </w:p>
        </w:tc>
        <w:tc>
          <w:tcPr>
            <w:tcW w:w="1997" w:type="pct"/>
            <w:gridSpan w:val="12"/>
            <w:tcBorders>
              <w:top w:val="single" w:sz="4" w:space="0" w:color="auto"/>
              <w:left w:val="single" w:sz="4" w:space="0" w:color="auto"/>
              <w:bottom w:val="single" w:sz="4" w:space="0" w:color="auto"/>
              <w:right w:val="single" w:sz="4" w:space="0" w:color="auto"/>
            </w:tcBorders>
            <w:shd w:val="clear" w:color="auto" w:fill="auto"/>
          </w:tcPr>
          <w:p w14:paraId="2F9027F9" w14:textId="77777777" w:rsidR="008D45E5" w:rsidRPr="00AF1814" w:rsidRDefault="00DA3174" w:rsidP="00D124BD">
            <w:pPr>
              <w:pStyle w:val="Tableheading"/>
              <w:rPr>
                <w:vertAlign w:val="superscript"/>
              </w:rPr>
            </w:pPr>
            <w:r w:rsidRPr="00AF1814">
              <w:t>Intervention Period</w:t>
            </w:r>
          </w:p>
        </w:tc>
        <w:tc>
          <w:tcPr>
            <w:tcW w:w="381" w:type="pct"/>
            <w:tcBorders>
              <w:top w:val="single" w:sz="4" w:space="0" w:color="auto"/>
              <w:left w:val="single" w:sz="4" w:space="0" w:color="auto"/>
              <w:right w:val="single" w:sz="4" w:space="0" w:color="auto"/>
            </w:tcBorders>
            <w:shd w:val="clear" w:color="auto" w:fill="auto"/>
          </w:tcPr>
          <w:p w14:paraId="485A44F6" w14:textId="77777777" w:rsidR="008D45E5" w:rsidRPr="00AF1814" w:rsidRDefault="00DA3174" w:rsidP="00D124BD">
            <w:pPr>
              <w:pStyle w:val="Tableheading"/>
            </w:pPr>
            <w:r w:rsidRPr="00AF1814">
              <w:t>EoT Visit</w:t>
            </w:r>
          </w:p>
        </w:tc>
        <w:tc>
          <w:tcPr>
            <w:tcW w:w="352" w:type="pct"/>
            <w:tcBorders>
              <w:top w:val="single" w:sz="4" w:space="0" w:color="auto"/>
              <w:left w:val="single" w:sz="4" w:space="0" w:color="auto"/>
              <w:right w:val="single" w:sz="4" w:space="0" w:color="auto"/>
            </w:tcBorders>
            <w:shd w:val="clear" w:color="auto" w:fill="auto"/>
          </w:tcPr>
          <w:p w14:paraId="4A147279" w14:textId="77777777" w:rsidR="008D45E5" w:rsidRPr="00AF1814" w:rsidRDefault="00DA3174" w:rsidP="00D124BD">
            <w:pPr>
              <w:pStyle w:val="Tableheading"/>
            </w:pPr>
            <w:r w:rsidRPr="00AF1814">
              <w:t>Safety Follow</w:t>
            </w:r>
            <w:r w:rsidRPr="00AF1814">
              <w:noBreakHyphen/>
              <w:t>up Visit</w:t>
            </w:r>
          </w:p>
        </w:tc>
        <w:tc>
          <w:tcPr>
            <w:tcW w:w="1784" w:type="pct"/>
            <w:tcBorders>
              <w:top w:val="single" w:sz="4" w:space="0" w:color="auto"/>
              <w:left w:val="single" w:sz="4" w:space="0" w:color="auto"/>
              <w:right w:val="single" w:sz="4" w:space="0" w:color="auto"/>
            </w:tcBorders>
            <w:vAlign w:val="center"/>
          </w:tcPr>
          <w:p w14:paraId="0D787562" w14:textId="77777777" w:rsidR="008D45E5" w:rsidRPr="00AF1814" w:rsidRDefault="00DA3174" w:rsidP="00D124BD">
            <w:pPr>
              <w:pStyle w:val="Tableheading"/>
            </w:pPr>
            <w:r w:rsidRPr="00AF1814">
              <w:t>Notes</w:t>
            </w:r>
          </w:p>
          <w:p w14:paraId="613BF9E1" w14:textId="77777777" w:rsidR="008D45E5" w:rsidRPr="00AF1814" w:rsidRDefault="008D45E5" w:rsidP="00D124BD">
            <w:pPr>
              <w:pStyle w:val="Tableheading"/>
            </w:pPr>
          </w:p>
        </w:tc>
      </w:tr>
      <w:tr w:rsidR="002108B2" w:rsidRPr="00AF1814" w14:paraId="07E236FB" w14:textId="77777777" w:rsidTr="00416EE6">
        <w:trPr>
          <w:trHeight w:val="438"/>
          <w:tblHeader/>
        </w:trPr>
        <w:tc>
          <w:tcPr>
            <w:tcW w:w="486" w:type="pct"/>
            <w:vMerge/>
            <w:tcBorders>
              <w:left w:val="single" w:sz="4" w:space="0" w:color="auto"/>
              <w:right w:val="single" w:sz="4" w:space="0" w:color="auto"/>
            </w:tcBorders>
            <w:shd w:val="clear" w:color="auto" w:fill="auto"/>
          </w:tcPr>
          <w:p w14:paraId="4E33C2C2" w14:textId="77777777" w:rsidR="00416EE6" w:rsidRPr="00AF1814" w:rsidRDefault="00416EE6" w:rsidP="00D124BD">
            <w:pPr>
              <w:pStyle w:val="Tableheading"/>
            </w:pPr>
          </w:p>
        </w:tc>
        <w:tc>
          <w:tcPr>
            <w:tcW w:w="347" w:type="pct"/>
            <w:gridSpan w:val="2"/>
            <w:tcBorders>
              <w:top w:val="single" w:sz="4" w:space="0" w:color="auto"/>
              <w:left w:val="single" w:sz="4" w:space="0" w:color="auto"/>
              <w:bottom w:val="single" w:sz="4" w:space="0" w:color="auto"/>
              <w:right w:val="single" w:sz="4" w:space="0" w:color="auto"/>
            </w:tcBorders>
            <w:shd w:val="clear" w:color="auto" w:fill="auto"/>
            <w:hideMark/>
          </w:tcPr>
          <w:p w14:paraId="32C37AFF" w14:textId="77777777" w:rsidR="00416EE6" w:rsidRPr="00AF1814" w:rsidRDefault="00DA3174" w:rsidP="00D124BD">
            <w:pPr>
              <w:pStyle w:val="Tableheading"/>
            </w:pPr>
            <w:r w:rsidRPr="00AF1814">
              <w:t>V1</w:t>
            </w:r>
          </w:p>
        </w:tc>
        <w:tc>
          <w:tcPr>
            <w:tcW w:w="164" w:type="pct"/>
            <w:tcBorders>
              <w:top w:val="single" w:sz="4" w:space="0" w:color="auto"/>
              <w:left w:val="single" w:sz="4" w:space="0" w:color="auto"/>
              <w:bottom w:val="single" w:sz="4" w:space="0" w:color="auto"/>
              <w:right w:val="single" w:sz="4" w:space="0" w:color="auto"/>
            </w:tcBorders>
            <w:shd w:val="clear" w:color="auto" w:fill="auto"/>
          </w:tcPr>
          <w:p w14:paraId="10525F68" w14:textId="77777777" w:rsidR="00416EE6" w:rsidRPr="00AF1814" w:rsidRDefault="00DA3174" w:rsidP="00D124BD">
            <w:pPr>
              <w:pStyle w:val="Tableheading"/>
            </w:pPr>
            <w:r w:rsidRPr="00AF1814">
              <w:t>V2</w:t>
            </w:r>
          </w:p>
        </w:tc>
        <w:tc>
          <w:tcPr>
            <w:tcW w:w="189" w:type="pct"/>
            <w:tcBorders>
              <w:top w:val="single" w:sz="4" w:space="0" w:color="auto"/>
              <w:left w:val="single" w:sz="4" w:space="0" w:color="auto"/>
              <w:bottom w:val="single" w:sz="4" w:space="0" w:color="auto"/>
              <w:right w:val="single" w:sz="4" w:space="0" w:color="auto"/>
            </w:tcBorders>
            <w:shd w:val="clear" w:color="auto" w:fill="auto"/>
          </w:tcPr>
          <w:p w14:paraId="4322D94B" w14:textId="77777777" w:rsidR="00416EE6" w:rsidRPr="00AF1814" w:rsidRDefault="00DA3174" w:rsidP="00D124BD">
            <w:pPr>
              <w:pStyle w:val="Tableheading"/>
            </w:pPr>
            <w:r w:rsidRPr="00AF1814">
              <w:t>V3</w:t>
            </w:r>
          </w:p>
        </w:tc>
        <w:tc>
          <w:tcPr>
            <w:tcW w:w="220" w:type="pct"/>
            <w:gridSpan w:val="2"/>
            <w:tcBorders>
              <w:top w:val="single" w:sz="4" w:space="0" w:color="auto"/>
              <w:left w:val="single" w:sz="4" w:space="0" w:color="auto"/>
              <w:bottom w:val="single" w:sz="4" w:space="0" w:color="auto"/>
              <w:right w:val="single" w:sz="4" w:space="0" w:color="auto"/>
            </w:tcBorders>
            <w:shd w:val="clear" w:color="auto" w:fill="auto"/>
          </w:tcPr>
          <w:p w14:paraId="2AF6FB26" w14:textId="77777777" w:rsidR="00416EE6" w:rsidRPr="00AF1814" w:rsidRDefault="00DA3174" w:rsidP="00D124BD">
            <w:pPr>
              <w:pStyle w:val="Tableheading"/>
            </w:pPr>
            <w:r w:rsidRPr="00AF1814">
              <w:t>V4</w:t>
            </w:r>
          </w:p>
        </w:tc>
        <w:tc>
          <w:tcPr>
            <w:tcW w:w="167" w:type="pct"/>
            <w:gridSpan w:val="2"/>
            <w:tcBorders>
              <w:top w:val="single" w:sz="4" w:space="0" w:color="auto"/>
              <w:left w:val="single" w:sz="4" w:space="0" w:color="auto"/>
              <w:bottom w:val="single" w:sz="4" w:space="0" w:color="auto"/>
              <w:right w:val="single" w:sz="4" w:space="0" w:color="auto"/>
            </w:tcBorders>
            <w:shd w:val="clear" w:color="auto" w:fill="auto"/>
          </w:tcPr>
          <w:p w14:paraId="600D9FAB" w14:textId="77777777" w:rsidR="00416EE6" w:rsidRPr="00AF1814" w:rsidRDefault="00DA3174" w:rsidP="00D124BD">
            <w:pPr>
              <w:pStyle w:val="Tableheading"/>
            </w:pPr>
            <w:r w:rsidRPr="00AF1814">
              <w:t>V5</w:t>
            </w:r>
          </w:p>
        </w:tc>
        <w:tc>
          <w:tcPr>
            <w:tcW w:w="218" w:type="pct"/>
            <w:tcBorders>
              <w:top w:val="single" w:sz="4" w:space="0" w:color="auto"/>
              <w:left w:val="single" w:sz="4" w:space="0" w:color="auto"/>
              <w:bottom w:val="single" w:sz="4" w:space="0" w:color="auto"/>
              <w:right w:val="single" w:sz="4" w:space="0" w:color="auto"/>
            </w:tcBorders>
            <w:shd w:val="clear" w:color="auto" w:fill="auto"/>
          </w:tcPr>
          <w:p w14:paraId="05B34C2D" w14:textId="77777777" w:rsidR="00416EE6" w:rsidRPr="00AF1814" w:rsidRDefault="00DA3174" w:rsidP="00D124BD">
            <w:pPr>
              <w:pStyle w:val="Tableheading"/>
            </w:pPr>
            <w:r w:rsidRPr="00AF1814">
              <w:t>V7</w:t>
            </w:r>
          </w:p>
        </w:tc>
        <w:tc>
          <w:tcPr>
            <w:tcW w:w="220" w:type="pct"/>
            <w:tcBorders>
              <w:top w:val="single" w:sz="4" w:space="0" w:color="auto"/>
              <w:left w:val="single" w:sz="4" w:space="0" w:color="auto"/>
              <w:bottom w:val="single" w:sz="4" w:space="0" w:color="auto"/>
              <w:right w:val="single" w:sz="4" w:space="0" w:color="auto"/>
            </w:tcBorders>
            <w:shd w:val="clear" w:color="auto" w:fill="auto"/>
          </w:tcPr>
          <w:p w14:paraId="4A7E00C9" w14:textId="77777777" w:rsidR="00416EE6" w:rsidRPr="00AF1814" w:rsidRDefault="00DA3174" w:rsidP="00D124BD">
            <w:pPr>
              <w:pStyle w:val="Tableheading"/>
            </w:pPr>
            <w:r w:rsidRPr="00AF1814">
              <w:t>V9</w:t>
            </w:r>
          </w:p>
        </w:tc>
        <w:tc>
          <w:tcPr>
            <w:tcW w:w="221" w:type="pct"/>
            <w:tcBorders>
              <w:top w:val="single" w:sz="4" w:space="0" w:color="auto"/>
              <w:left w:val="single" w:sz="4" w:space="0" w:color="auto"/>
              <w:bottom w:val="single" w:sz="4" w:space="0" w:color="auto"/>
              <w:right w:val="single" w:sz="4" w:space="0" w:color="auto"/>
            </w:tcBorders>
            <w:shd w:val="clear" w:color="auto" w:fill="auto"/>
          </w:tcPr>
          <w:p w14:paraId="5EF0FFD3" w14:textId="77777777" w:rsidR="00416EE6" w:rsidRPr="00AF1814" w:rsidRDefault="00DA3174" w:rsidP="00D124BD">
            <w:pPr>
              <w:pStyle w:val="Tableheading"/>
            </w:pPr>
            <w:r w:rsidRPr="00AF1814">
              <w:t>V11</w:t>
            </w:r>
          </w:p>
        </w:tc>
        <w:tc>
          <w:tcPr>
            <w:tcW w:w="251" w:type="pct"/>
            <w:tcBorders>
              <w:top w:val="single" w:sz="4" w:space="0" w:color="auto"/>
              <w:left w:val="single" w:sz="4" w:space="0" w:color="auto"/>
              <w:bottom w:val="single" w:sz="4" w:space="0" w:color="auto"/>
              <w:right w:val="single" w:sz="4" w:space="0" w:color="auto"/>
            </w:tcBorders>
            <w:shd w:val="clear" w:color="auto" w:fill="auto"/>
          </w:tcPr>
          <w:p w14:paraId="5E933591" w14:textId="77777777" w:rsidR="00416EE6" w:rsidRPr="00AF1814" w:rsidRDefault="00416EE6" w:rsidP="00D124BD">
            <w:pPr>
              <w:pStyle w:val="Tableheading"/>
              <w:rPr>
                <w:vertAlign w:val="superscript"/>
              </w:rPr>
            </w:pPr>
          </w:p>
        </w:tc>
        <w:tc>
          <w:tcPr>
            <w:tcW w:w="381" w:type="pct"/>
            <w:tcBorders>
              <w:left w:val="single" w:sz="4" w:space="0" w:color="auto"/>
              <w:right w:val="single" w:sz="4" w:space="0" w:color="auto"/>
            </w:tcBorders>
            <w:shd w:val="clear" w:color="auto" w:fill="auto"/>
          </w:tcPr>
          <w:p w14:paraId="507AD570" w14:textId="77777777" w:rsidR="00416EE6" w:rsidRPr="00AF1814" w:rsidRDefault="00416EE6" w:rsidP="00D124BD">
            <w:pPr>
              <w:pStyle w:val="Tableheading"/>
            </w:pPr>
          </w:p>
        </w:tc>
        <w:tc>
          <w:tcPr>
            <w:tcW w:w="352" w:type="pct"/>
            <w:tcBorders>
              <w:left w:val="single" w:sz="4" w:space="0" w:color="auto"/>
              <w:right w:val="single" w:sz="4" w:space="0" w:color="auto"/>
            </w:tcBorders>
            <w:shd w:val="clear" w:color="auto" w:fill="auto"/>
          </w:tcPr>
          <w:p w14:paraId="135B1AC2" w14:textId="77777777" w:rsidR="00416EE6" w:rsidRPr="00AF1814" w:rsidRDefault="00416EE6" w:rsidP="00D124BD">
            <w:pPr>
              <w:pStyle w:val="Tableheading"/>
            </w:pPr>
          </w:p>
        </w:tc>
        <w:tc>
          <w:tcPr>
            <w:tcW w:w="1784" w:type="pct"/>
            <w:tcBorders>
              <w:left w:val="single" w:sz="4" w:space="0" w:color="auto"/>
              <w:right w:val="single" w:sz="4" w:space="0" w:color="auto"/>
            </w:tcBorders>
            <w:vAlign w:val="center"/>
            <w:hideMark/>
          </w:tcPr>
          <w:p w14:paraId="291E3BA0" w14:textId="77777777" w:rsidR="00416EE6" w:rsidRPr="00AF1814" w:rsidRDefault="00416EE6" w:rsidP="00D124BD">
            <w:pPr>
              <w:pStyle w:val="Tableheading"/>
            </w:pPr>
          </w:p>
        </w:tc>
      </w:tr>
      <w:tr w:rsidR="002108B2" w:rsidRPr="00AF1814" w14:paraId="57D521E4" w14:textId="77777777" w:rsidTr="00416EE6">
        <w:trPr>
          <w:trHeight w:val="387"/>
          <w:tblHeader/>
        </w:trPr>
        <w:tc>
          <w:tcPr>
            <w:tcW w:w="486" w:type="pct"/>
            <w:vMerge w:val="restart"/>
            <w:tcBorders>
              <w:left w:val="single" w:sz="4" w:space="0" w:color="auto"/>
              <w:right w:val="single" w:sz="4" w:space="0" w:color="auto"/>
            </w:tcBorders>
            <w:shd w:val="clear" w:color="auto" w:fill="auto"/>
          </w:tcPr>
          <w:p w14:paraId="0C63E419" w14:textId="77777777" w:rsidR="008D45E5" w:rsidRPr="00AF1814" w:rsidRDefault="008D45E5" w:rsidP="00D124BD">
            <w:pPr>
              <w:pStyle w:val="Tableheading"/>
            </w:pPr>
          </w:p>
        </w:tc>
        <w:tc>
          <w:tcPr>
            <w:tcW w:w="347"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324D4C" w14:textId="77777777" w:rsidR="008D45E5" w:rsidRPr="00AF1814" w:rsidRDefault="00DA3174" w:rsidP="00D124BD">
            <w:pPr>
              <w:pStyle w:val="Tableheading"/>
            </w:pPr>
            <w:r w:rsidRPr="00AF1814">
              <w:t>W1</w:t>
            </w:r>
          </w:p>
        </w:tc>
        <w:tc>
          <w:tcPr>
            <w:tcW w:w="164" w:type="pct"/>
            <w:tcBorders>
              <w:top w:val="single" w:sz="4" w:space="0" w:color="auto"/>
              <w:left w:val="single" w:sz="4" w:space="0" w:color="auto"/>
              <w:bottom w:val="single" w:sz="4" w:space="0" w:color="auto"/>
              <w:right w:val="single" w:sz="4" w:space="0" w:color="auto"/>
            </w:tcBorders>
            <w:shd w:val="clear" w:color="auto" w:fill="auto"/>
            <w:vAlign w:val="center"/>
          </w:tcPr>
          <w:p w14:paraId="77CC61FB" w14:textId="77777777" w:rsidR="008D45E5" w:rsidRPr="00AF1814" w:rsidRDefault="00DA3174" w:rsidP="00D124BD">
            <w:pPr>
              <w:pStyle w:val="Tableheading"/>
            </w:pPr>
            <w:r w:rsidRPr="00AF1814">
              <w:t>W2</w:t>
            </w:r>
          </w:p>
        </w:tc>
        <w:tc>
          <w:tcPr>
            <w:tcW w:w="189" w:type="pct"/>
            <w:tcBorders>
              <w:top w:val="single" w:sz="4" w:space="0" w:color="auto"/>
              <w:left w:val="single" w:sz="4" w:space="0" w:color="auto"/>
              <w:bottom w:val="single" w:sz="4" w:space="0" w:color="auto"/>
              <w:right w:val="single" w:sz="4" w:space="0" w:color="auto"/>
            </w:tcBorders>
            <w:shd w:val="clear" w:color="auto" w:fill="auto"/>
            <w:vAlign w:val="center"/>
          </w:tcPr>
          <w:p w14:paraId="76D7C04F" w14:textId="77777777" w:rsidR="008D45E5" w:rsidRPr="00AF1814" w:rsidRDefault="00DA3174" w:rsidP="00D124BD">
            <w:pPr>
              <w:pStyle w:val="Tableheading"/>
            </w:pPr>
            <w:r w:rsidRPr="00AF1814">
              <w:t>W3</w:t>
            </w:r>
          </w:p>
        </w:tc>
        <w:tc>
          <w:tcPr>
            <w:tcW w:w="217" w:type="pct"/>
            <w:tcBorders>
              <w:top w:val="single" w:sz="4" w:space="0" w:color="auto"/>
              <w:left w:val="single" w:sz="4" w:space="0" w:color="auto"/>
              <w:bottom w:val="single" w:sz="4" w:space="0" w:color="auto"/>
              <w:right w:val="single" w:sz="4" w:space="0" w:color="auto"/>
            </w:tcBorders>
            <w:shd w:val="clear" w:color="auto" w:fill="auto"/>
            <w:vAlign w:val="center"/>
          </w:tcPr>
          <w:p w14:paraId="4DF986B7" w14:textId="77777777" w:rsidR="008D45E5" w:rsidRPr="00AF1814" w:rsidRDefault="00DA3174" w:rsidP="00D124BD">
            <w:pPr>
              <w:pStyle w:val="Tableheading"/>
            </w:pPr>
            <w:r w:rsidRPr="00AF1814">
              <w:t>W4</w:t>
            </w:r>
          </w:p>
        </w:tc>
        <w:tc>
          <w:tcPr>
            <w:tcW w:w="16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B20999" w14:textId="77777777" w:rsidR="008D45E5" w:rsidRPr="00AF1814" w:rsidRDefault="00DA3174" w:rsidP="00D124BD">
            <w:pPr>
              <w:pStyle w:val="Tableheading"/>
            </w:pPr>
            <w:r w:rsidRPr="00AF1814">
              <w:t>W7</w:t>
            </w:r>
          </w:p>
        </w:tc>
        <w:tc>
          <w:tcPr>
            <w:tcW w:w="22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271ABB" w14:textId="77777777" w:rsidR="008D45E5" w:rsidRPr="00AF1814" w:rsidRDefault="00DA3174" w:rsidP="00D124BD">
            <w:pPr>
              <w:pStyle w:val="Tableheading"/>
            </w:pPr>
            <w:r w:rsidRPr="00AF1814">
              <w:t>W13</w:t>
            </w:r>
          </w:p>
        </w:tc>
        <w:tc>
          <w:tcPr>
            <w:tcW w:w="220" w:type="pct"/>
            <w:tcBorders>
              <w:top w:val="single" w:sz="4" w:space="0" w:color="auto"/>
              <w:left w:val="single" w:sz="4" w:space="0" w:color="auto"/>
              <w:bottom w:val="single" w:sz="4" w:space="0" w:color="auto"/>
              <w:right w:val="single" w:sz="4" w:space="0" w:color="auto"/>
            </w:tcBorders>
            <w:shd w:val="clear" w:color="auto" w:fill="auto"/>
            <w:vAlign w:val="center"/>
          </w:tcPr>
          <w:p w14:paraId="3439645B" w14:textId="77777777" w:rsidR="008D45E5" w:rsidRPr="00AF1814" w:rsidRDefault="00DA3174" w:rsidP="00D124BD">
            <w:pPr>
              <w:pStyle w:val="Tableheading"/>
            </w:pPr>
            <w:r w:rsidRPr="00AF1814">
              <w:t>W19</w:t>
            </w:r>
          </w:p>
        </w:tc>
        <w:tc>
          <w:tcPr>
            <w:tcW w:w="221" w:type="pct"/>
            <w:tcBorders>
              <w:top w:val="single" w:sz="4" w:space="0" w:color="auto"/>
              <w:left w:val="single" w:sz="4" w:space="0" w:color="auto"/>
              <w:bottom w:val="single" w:sz="4" w:space="0" w:color="auto"/>
              <w:right w:val="single" w:sz="4" w:space="0" w:color="auto"/>
            </w:tcBorders>
            <w:shd w:val="clear" w:color="auto" w:fill="auto"/>
            <w:vAlign w:val="center"/>
          </w:tcPr>
          <w:p w14:paraId="18CBCA88" w14:textId="77777777" w:rsidR="008D45E5" w:rsidRPr="00AF1814" w:rsidRDefault="00DA3174" w:rsidP="00D124BD">
            <w:pPr>
              <w:pStyle w:val="Tableheading"/>
            </w:pPr>
            <w:r w:rsidRPr="00AF1814">
              <w:t>W25</w:t>
            </w:r>
          </w:p>
        </w:tc>
        <w:tc>
          <w:tcPr>
            <w:tcW w:w="251" w:type="pct"/>
            <w:vMerge w:val="restart"/>
            <w:tcBorders>
              <w:top w:val="single" w:sz="4" w:space="0" w:color="auto"/>
              <w:left w:val="single" w:sz="4" w:space="0" w:color="auto"/>
              <w:right w:val="single" w:sz="4" w:space="0" w:color="auto"/>
            </w:tcBorders>
            <w:shd w:val="clear" w:color="auto" w:fill="auto"/>
          </w:tcPr>
          <w:p w14:paraId="5D258438" w14:textId="77777777" w:rsidR="008D45E5" w:rsidRPr="00AF1814" w:rsidRDefault="00DA3174" w:rsidP="00D124BD">
            <w:pPr>
              <w:pStyle w:val="Tableheading"/>
            </w:pPr>
            <w:r w:rsidRPr="00AF1814">
              <w:t xml:space="preserve">Until </w:t>
            </w:r>
            <w:r w:rsidRPr="00AF1814">
              <w:br/>
              <w:t>EoT</w:t>
            </w:r>
          </w:p>
        </w:tc>
        <w:tc>
          <w:tcPr>
            <w:tcW w:w="381" w:type="pct"/>
            <w:vMerge w:val="restart"/>
            <w:tcBorders>
              <w:left w:val="single" w:sz="4" w:space="0" w:color="auto"/>
              <w:right w:val="single" w:sz="4" w:space="0" w:color="auto"/>
            </w:tcBorders>
            <w:shd w:val="clear" w:color="auto" w:fill="auto"/>
          </w:tcPr>
          <w:p w14:paraId="034E36C2" w14:textId="77777777" w:rsidR="008D45E5" w:rsidRPr="00AF1814" w:rsidRDefault="00DA3174" w:rsidP="00D124BD">
            <w:pPr>
              <w:pStyle w:val="Tableheading"/>
            </w:pPr>
            <w:r w:rsidRPr="00AF1814">
              <w:t>On Day of or Within 7 Days of Decision</w:t>
            </w:r>
          </w:p>
        </w:tc>
        <w:tc>
          <w:tcPr>
            <w:tcW w:w="352" w:type="pct"/>
            <w:vMerge w:val="restart"/>
            <w:tcBorders>
              <w:left w:val="single" w:sz="4" w:space="0" w:color="auto"/>
              <w:right w:val="single" w:sz="4" w:space="0" w:color="auto"/>
            </w:tcBorders>
            <w:shd w:val="clear" w:color="auto" w:fill="auto"/>
          </w:tcPr>
          <w:p w14:paraId="6A975EDB" w14:textId="77777777" w:rsidR="008D45E5" w:rsidRPr="00AF1814" w:rsidRDefault="00DA3174" w:rsidP="00D124BD">
            <w:pPr>
              <w:pStyle w:val="Tableheading"/>
            </w:pPr>
            <w:r w:rsidRPr="00AF1814">
              <w:t>28 (± 5) Days After Last Treatment</w:t>
            </w:r>
          </w:p>
        </w:tc>
        <w:tc>
          <w:tcPr>
            <w:tcW w:w="1784" w:type="pct"/>
            <w:vMerge w:val="restart"/>
            <w:tcBorders>
              <w:left w:val="single" w:sz="4" w:space="0" w:color="auto"/>
              <w:right w:val="single" w:sz="4" w:space="0" w:color="auto"/>
            </w:tcBorders>
            <w:vAlign w:val="bottom"/>
          </w:tcPr>
          <w:p w14:paraId="4C1EE21C" w14:textId="77777777" w:rsidR="008D45E5" w:rsidRPr="00AF1814" w:rsidRDefault="008D45E5" w:rsidP="00D124BD">
            <w:pPr>
              <w:pStyle w:val="Tableheading"/>
            </w:pPr>
          </w:p>
        </w:tc>
      </w:tr>
      <w:tr w:rsidR="002108B2" w:rsidRPr="00AF1814" w14:paraId="55BCCA5D" w14:textId="77777777" w:rsidTr="00416EE6">
        <w:trPr>
          <w:trHeight w:val="283"/>
          <w:tblHeader/>
        </w:trPr>
        <w:tc>
          <w:tcPr>
            <w:tcW w:w="486" w:type="pct"/>
            <w:vMerge/>
            <w:tcBorders>
              <w:left w:val="single" w:sz="4" w:space="0" w:color="auto"/>
              <w:bottom w:val="single" w:sz="4" w:space="0" w:color="auto"/>
              <w:right w:val="single" w:sz="4" w:space="0" w:color="auto"/>
            </w:tcBorders>
            <w:shd w:val="clear" w:color="auto" w:fill="auto"/>
          </w:tcPr>
          <w:p w14:paraId="2681F9E0" w14:textId="77777777" w:rsidR="008D45E5" w:rsidRPr="00AF1814" w:rsidRDefault="008D45E5" w:rsidP="00D124BD">
            <w:pPr>
              <w:pStyle w:val="Tableheading"/>
            </w:pPr>
          </w:p>
        </w:tc>
        <w:tc>
          <w:tcPr>
            <w:tcW w:w="176" w:type="pct"/>
            <w:tcBorders>
              <w:top w:val="single" w:sz="4" w:space="0" w:color="auto"/>
              <w:left w:val="single" w:sz="4" w:space="0" w:color="auto"/>
              <w:right w:val="single" w:sz="4" w:space="0" w:color="auto"/>
            </w:tcBorders>
            <w:shd w:val="clear" w:color="auto" w:fill="auto"/>
            <w:vAlign w:val="center"/>
          </w:tcPr>
          <w:p w14:paraId="635BDC3E" w14:textId="77777777" w:rsidR="008D45E5" w:rsidRPr="00AF1814" w:rsidRDefault="00DA3174" w:rsidP="00D124BD">
            <w:pPr>
              <w:pStyle w:val="Tableheading"/>
            </w:pPr>
            <w:r w:rsidRPr="00AF1814">
              <w:t>D1</w:t>
            </w:r>
          </w:p>
        </w:tc>
        <w:tc>
          <w:tcPr>
            <w:tcW w:w="171" w:type="pct"/>
            <w:tcBorders>
              <w:top w:val="single" w:sz="4" w:space="0" w:color="auto"/>
              <w:left w:val="single" w:sz="4" w:space="0" w:color="auto"/>
              <w:right w:val="single" w:sz="4" w:space="0" w:color="auto"/>
            </w:tcBorders>
            <w:shd w:val="clear" w:color="auto" w:fill="auto"/>
            <w:vAlign w:val="center"/>
          </w:tcPr>
          <w:p w14:paraId="561D1681" w14:textId="77777777" w:rsidR="008D45E5" w:rsidRPr="00AF1814" w:rsidRDefault="00DA3174" w:rsidP="00D124BD">
            <w:pPr>
              <w:pStyle w:val="Tableheading"/>
            </w:pPr>
            <w:r w:rsidRPr="00AF1814">
              <w:t>D2</w:t>
            </w:r>
          </w:p>
        </w:tc>
        <w:tc>
          <w:tcPr>
            <w:tcW w:w="164" w:type="pct"/>
            <w:tcBorders>
              <w:top w:val="single" w:sz="4" w:space="0" w:color="auto"/>
              <w:left w:val="single" w:sz="4" w:space="0" w:color="auto"/>
              <w:right w:val="single" w:sz="4" w:space="0" w:color="auto"/>
            </w:tcBorders>
            <w:shd w:val="clear" w:color="auto" w:fill="auto"/>
            <w:vAlign w:val="center"/>
          </w:tcPr>
          <w:p w14:paraId="34F546DA" w14:textId="77777777" w:rsidR="008D45E5" w:rsidRPr="00AF1814" w:rsidRDefault="00DA3174" w:rsidP="00D124BD">
            <w:pPr>
              <w:pStyle w:val="Tableheading"/>
            </w:pPr>
            <w:r w:rsidRPr="00AF1814">
              <w:t>D8</w:t>
            </w:r>
          </w:p>
        </w:tc>
        <w:tc>
          <w:tcPr>
            <w:tcW w:w="189" w:type="pct"/>
            <w:tcBorders>
              <w:top w:val="single" w:sz="4" w:space="0" w:color="auto"/>
              <w:left w:val="single" w:sz="4" w:space="0" w:color="auto"/>
              <w:right w:val="single" w:sz="4" w:space="0" w:color="auto"/>
            </w:tcBorders>
            <w:shd w:val="clear" w:color="auto" w:fill="auto"/>
            <w:vAlign w:val="center"/>
          </w:tcPr>
          <w:p w14:paraId="40ABF9EE" w14:textId="77777777" w:rsidR="008D45E5" w:rsidRPr="00AF1814" w:rsidRDefault="00DA3174" w:rsidP="00D124BD">
            <w:pPr>
              <w:pStyle w:val="Tableheading"/>
            </w:pPr>
            <w:r w:rsidRPr="00AF1814">
              <w:t>D15</w:t>
            </w:r>
          </w:p>
        </w:tc>
        <w:tc>
          <w:tcPr>
            <w:tcW w:w="217" w:type="pct"/>
            <w:tcBorders>
              <w:top w:val="single" w:sz="4" w:space="0" w:color="auto"/>
              <w:left w:val="single" w:sz="4" w:space="0" w:color="auto"/>
              <w:right w:val="single" w:sz="4" w:space="0" w:color="auto"/>
            </w:tcBorders>
            <w:shd w:val="clear" w:color="auto" w:fill="auto"/>
            <w:vAlign w:val="center"/>
          </w:tcPr>
          <w:p w14:paraId="209FE60C" w14:textId="77777777" w:rsidR="008D45E5" w:rsidRPr="00AF1814" w:rsidRDefault="00DA3174" w:rsidP="00D124BD">
            <w:pPr>
              <w:pStyle w:val="Tableheading"/>
            </w:pPr>
            <w:r w:rsidRPr="00AF1814">
              <w:t>D22</w:t>
            </w:r>
          </w:p>
        </w:tc>
        <w:tc>
          <w:tcPr>
            <w:tcW w:w="165" w:type="pct"/>
            <w:gridSpan w:val="2"/>
            <w:tcBorders>
              <w:top w:val="single" w:sz="4" w:space="0" w:color="auto"/>
              <w:left w:val="single" w:sz="4" w:space="0" w:color="auto"/>
              <w:right w:val="single" w:sz="4" w:space="0" w:color="auto"/>
            </w:tcBorders>
            <w:shd w:val="clear" w:color="auto" w:fill="auto"/>
            <w:vAlign w:val="center"/>
          </w:tcPr>
          <w:p w14:paraId="314911E2" w14:textId="77777777" w:rsidR="008D45E5" w:rsidRPr="00AF1814" w:rsidRDefault="00DA3174" w:rsidP="00D124BD">
            <w:pPr>
              <w:pStyle w:val="Tableheading"/>
            </w:pPr>
            <w:r w:rsidRPr="00AF1814">
              <w:t>D43</w:t>
            </w:r>
          </w:p>
        </w:tc>
        <w:tc>
          <w:tcPr>
            <w:tcW w:w="223" w:type="pct"/>
            <w:gridSpan w:val="2"/>
            <w:tcBorders>
              <w:top w:val="single" w:sz="4" w:space="0" w:color="auto"/>
              <w:left w:val="single" w:sz="4" w:space="0" w:color="auto"/>
              <w:right w:val="single" w:sz="4" w:space="0" w:color="auto"/>
            </w:tcBorders>
            <w:shd w:val="clear" w:color="auto" w:fill="auto"/>
            <w:vAlign w:val="center"/>
          </w:tcPr>
          <w:p w14:paraId="5B3FD56E" w14:textId="77777777" w:rsidR="008D45E5" w:rsidRPr="00AF1814" w:rsidRDefault="00DA3174" w:rsidP="00D124BD">
            <w:pPr>
              <w:pStyle w:val="Tableheading"/>
            </w:pPr>
            <w:r w:rsidRPr="00AF1814">
              <w:t>D85</w:t>
            </w:r>
          </w:p>
        </w:tc>
        <w:tc>
          <w:tcPr>
            <w:tcW w:w="220" w:type="pct"/>
            <w:tcBorders>
              <w:top w:val="single" w:sz="4" w:space="0" w:color="auto"/>
              <w:left w:val="single" w:sz="4" w:space="0" w:color="auto"/>
              <w:right w:val="single" w:sz="4" w:space="0" w:color="auto"/>
            </w:tcBorders>
            <w:shd w:val="clear" w:color="auto" w:fill="auto"/>
            <w:vAlign w:val="center"/>
          </w:tcPr>
          <w:p w14:paraId="3AEBBDFE" w14:textId="77777777" w:rsidR="008D45E5" w:rsidRPr="00AF1814" w:rsidRDefault="00DA3174" w:rsidP="00D124BD">
            <w:pPr>
              <w:pStyle w:val="Tableheading"/>
            </w:pPr>
            <w:r w:rsidRPr="00AF1814">
              <w:t>D127</w:t>
            </w:r>
          </w:p>
        </w:tc>
        <w:tc>
          <w:tcPr>
            <w:tcW w:w="221" w:type="pct"/>
            <w:tcBorders>
              <w:top w:val="single" w:sz="4" w:space="0" w:color="auto"/>
              <w:left w:val="single" w:sz="4" w:space="0" w:color="auto"/>
              <w:right w:val="single" w:sz="4" w:space="0" w:color="auto"/>
            </w:tcBorders>
            <w:shd w:val="clear" w:color="auto" w:fill="auto"/>
            <w:vAlign w:val="center"/>
          </w:tcPr>
          <w:p w14:paraId="00E49BBC" w14:textId="77777777" w:rsidR="008D45E5" w:rsidRPr="00AF1814" w:rsidRDefault="00DA3174" w:rsidP="00D124BD">
            <w:pPr>
              <w:pStyle w:val="Tableheading"/>
            </w:pPr>
            <w:r w:rsidRPr="00AF1814">
              <w:t>D169</w:t>
            </w:r>
          </w:p>
        </w:tc>
        <w:tc>
          <w:tcPr>
            <w:tcW w:w="251" w:type="pct"/>
            <w:vMerge/>
            <w:tcBorders>
              <w:left w:val="single" w:sz="4" w:space="0" w:color="auto"/>
              <w:right w:val="single" w:sz="4" w:space="0" w:color="auto"/>
            </w:tcBorders>
            <w:shd w:val="clear" w:color="auto" w:fill="auto"/>
            <w:vAlign w:val="center"/>
          </w:tcPr>
          <w:p w14:paraId="5D372255" w14:textId="77777777" w:rsidR="008D45E5" w:rsidRPr="00AF1814" w:rsidRDefault="008D45E5" w:rsidP="00D124BD">
            <w:pPr>
              <w:pStyle w:val="Tableheading"/>
            </w:pPr>
          </w:p>
        </w:tc>
        <w:tc>
          <w:tcPr>
            <w:tcW w:w="381" w:type="pct"/>
            <w:vMerge/>
            <w:tcBorders>
              <w:left w:val="single" w:sz="4" w:space="0" w:color="auto"/>
              <w:right w:val="single" w:sz="4" w:space="0" w:color="auto"/>
            </w:tcBorders>
            <w:shd w:val="clear" w:color="auto" w:fill="auto"/>
            <w:vAlign w:val="center"/>
          </w:tcPr>
          <w:p w14:paraId="272D0913" w14:textId="77777777" w:rsidR="008D45E5" w:rsidRPr="00AF1814" w:rsidRDefault="008D45E5" w:rsidP="00D124BD">
            <w:pPr>
              <w:pStyle w:val="Tableheading"/>
            </w:pPr>
          </w:p>
        </w:tc>
        <w:tc>
          <w:tcPr>
            <w:tcW w:w="352" w:type="pct"/>
            <w:vMerge/>
            <w:tcBorders>
              <w:left w:val="single" w:sz="4" w:space="0" w:color="auto"/>
              <w:right w:val="single" w:sz="4" w:space="0" w:color="auto"/>
            </w:tcBorders>
            <w:shd w:val="clear" w:color="auto" w:fill="auto"/>
            <w:vAlign w:val="center"/>
          </w:tcPr>
          <w:p w14:paraId="05C1D5F4" w14:textId="77777777" w:rsidR="008D45E5" w:rsidRPr="00AF1814" w:rsidRDefault="008D45E5" w:rsidP="00D124BD">
            <w:pPr>
              <w:pStyle w:val="Tableheading"/>
            </w:pPr>
          </w:p>
        </w:tc>
        <w:tc>
          <w:tcPr>
            <w:tcW w:w="1784" w:type="pct"/>
            <w:vMerge/>
            <w:tcBorders>
              <w:left w:val="single" w:sz="4" w:space="0" w:color="auto"/>
              <w:bottom w:val="nil"/>
              <w:right w:val="single" w:sz="4" w:space="0" w:color="auto"/>
            </w:tcBorders>
            <w:vAlign w:val="bottom"/>
          </w:tcPr>
          <w:p w14:paraId="7839A005" w14:textId="77777777" w:rsidR="008D45E5" w:rsidRPr="00AF1814" w:rsidRDefault="008D45E5" w:rsidP="00D124BD">
            <w:pPr>
              <w:pStyle w:val="Tableheading"/>
              <w:rPr>
                <w:vertAlign w:val="superscript"/>
              </w:rPr>
            </w:pPr>
          </w:p>
        </w:tc>
      </w:tr>
      <w:tr w:rsidR="002108B2" w:rsidRPr="00AF1814" w14:paraId="1DF4599D" w14:textId="77777777" w:rsidTr="00416EE6">
        <w:trPr>
          <w:tblHeader/>
        </w:trPr>
        <w:tc>
          <w:tcPr>
            <w:tcW w:w="486" w:type="pct"/>
            <w:tcBorders>
              <w:top w:val="single" w:sz="4" w:space="0" w:color="auto"/>
              <w:left w:val="single" w:sz="4" w:space="0" w:color="auto"/>
              <w:bottom w:val="single" w:sz="4" w:space="0" w:color="auto"/>
              <w:right w:val="single" w:sz="4" w:space="0" w:color="auto"/>
            </w:tcBorders>
          </w:tcPr>
          <w:p w14:paraId="46AC3703" w14:textId="77777777" w:rsidR="008D45E5" w:rsidRPr="00AF1814" w:rsidRDefault="00DA3174" w:rsidP="00D124BD">
            <w:pPr>
              <w:pStyle w:val="Tabletext"/>
              <w:jc w:val="center"/>
            </w:pPr>
            <w:r w:rsidRPr="00AF1814">
              <w:t>Blood sample for PK</w:t>
            </w:r>
          </w:p>
        </w:tc>
        <w:tc>
          <w:tcPr>
            <w:tcW w:w="176" w:type="pct"/>
            <w:tcBorders>
              <w:top w:val="single" w:sz="4" w:space="0" w:color="auto"/>
              <w:left w:val="single" w:sz="4" w:space="0" w:color="auto"/>
              <w:bottom w:val="single" w:sz="4" w:space="0" w:color="auto"/>
              <w:right w:val="single" w:sz="4" w:space="0" w:color="auto"/>
            </w:tcBorders>
            <w:shd w:val="clear" w:color="auto" w:fill="auto"/>
          </w:tcPr>
          <w:p w14:paraId="57C75723" w14:textId="77777777" w:rsidR="008D45E5" w:rsidRPr="00AF1814" w:rsidRDefault="00DA3174" w:rsidP="00D124BD">
            <w:pPr>
              <w:pStyle w:val="Tabletext"/>
              <w:jc w:val="center"/>
            </w:pPr>
            <w:r w:rsidRPr="00AF1814">
              <w:t>X/X</w:t>
            </w:r>
            <w:r w:rsidRPr="00AF1814">
              <w:rPr>
                <w:vertAlign w:val="superscript"/>
              </w:rPr>
              <w:t>a</w:t>
            </w:r>
          </w:p>
          <w:p w14:paraId="1566CCE2" w14:textId="77777777" w:rsidR="008D45E5" w:rsidRPr="00AF1814" w:rsidRDefault="00DA3174" w:rsidP="00D124BD">
            <w:pPr>
              <w:pStyle w:val="Tabletext"/>
              <w:jc w:val="center"/>
            </w:pPr>
            <w:r w:rsidRPr="00AF1814">
              <w:t>(pre/eoi)</w:t>
            </w:r>
          </w:p>
        </w:tc>
        <w:tc>
          <w:tcPr>
            <w:tcW w:w="171" w:type="pct"/>
            <w:tcBorders>
              <w:top w:val="single" w:sz="4" w:space="0" w:color="auto"/>
              <w:left w:val="single" w:sz="4" w:space="0" w:color="auto"/>
              <w:bottom w:val="single" w:sz="4" w:space="0" w:color="auto"/>
              <w:right w:val="single" w:sz="4" w:space="0" w:color="auto"/>
            </w:tcBorders>
            <w:shd w:val="clear" w:color="auto" w:fill="auto"/>
          </w:tcPr>
          <w:p w14:paraId="23CEB48C" w14:textId="77777777" w:rsidR="008D45E5" w:rsidRPr="00AF1814" w:rsidRDefault="00DA3174" w:rsidP="00D124BD">
            <w:pPr>
              <w:pStyle w:val="Tabletext"/>
              <w:jc w:val="center"/>
            </w:pPr>
            <w:r w:rsidRPr="00AF1814">
              <w:t>X</w:t>
            </w:r>
            <w:r w:rsidRPr="00AF1814">
              <w:rPr>
                <w:vertAlign w:val="superscript"/>
              </w:rPr>
              <w:t>b</w:t>
            </w:r>
          </w:p>
        </w:tc>
        <w:tc>
          <w:tcPr>
            <w:tcW w:w="164" w:type="pct"/>
            <w:tcBorders>
              <w:top w:val="single" w:sz="4" w:space="0" w:color="auto"/>
              <w:left w:val="single" w:sz="4" w:space="0" w:color="auto"/>
              <w:bottom w:val="single" w:sz="4" w:space="0" w:color="auto"/>
              <w:right w:val="single" w:sz="4" w:space="0" w:color="auto"/>
            </w:tcBorders>
            <w:shd w:val="clear" w:color="auto" w:fill="auto"/>
          </w:tcPr>
          <w:p w14:paraId="4BF12C69" w14:textId="77777777" w:rsidR="008D45E5" w:rsidRPr="00AF1814" w:rsidRDefault="00DA3174" w:rsidP="00D124BD">
            <w:pPr>
              <w:pStyle w:val="Tabletext"/>
              <w:jc w:val="center"/>
            </w:pPr>
            <w:r w:rsidRPr="00AF1814">
              <w:t>X</w:t>
            </w:r>
          </w:p>
        </w:tc>
        <w:tc>
          <w:tcPr>
            <w:tcW w:w="189" w:type="pct"/>
            <w:tcBorders>
              <w:top w:val="single" w:sz="4" w:space="0" w:color="auto"/>
              <w:left w:val="single" w:sz="4" w:space="0" w:color="auto"/>
              <w:bottom w:val="single" w:sz="4" w:space="0" w:color="auto"/>
              <w:right w:val="single" w:sz="4" w:space="0" w:color="auto"/>
            </w:tcBorders>
            <w:shd w:val="clear" w:color="auto" w:fill="auto"/>
          </w:tcPr>
          <w:p w14:paraId="7E4191E8" w14:textId="77777777" w:rsidR="008D45E5" w:rsidRPr="00AF1814" w:rsidRDefault="00DA3174" w:rsidP="00D124BD">
            <w:pPr>
              <w:pStyle w:val="Tabletext"/>
              <w:jc w:val="center"/>
            </w:pPr>
            <w:r w:rsidRPr="00AF1814">
              <w:t>X</w:t>
            </w:r>
          </w:p>
        </w:tc>
        <w:tc>
          <w:tcPr>
            <w:tcW w:w="217" w:type="pct"/>
            <w:tcBorders>
              <w:top w:val="single" w:sz="4" w:space="0" w:color="auto"/>
              <w:left w:val="single" w:sz="4" w:space="0" w:color="auto"/>
              <w:bottom w:val="single" w:sz="4" w:space="0" w:color="auto"/>
              <w:right w:val="single" w:sz="4" w:space="0" w:color="auto"/>
            </w:tcBorders>
            <w:shd w:val="clear" w:color="auto" w:fill="auto"/>
          </w:tcPr>
          <w:p w14:paraId="34876259" w14:textId="77777777" w:rsidR="008D45E5" w:rsidRPr="00AF1814" w:rsidRDefault="00DA3174" w:rsidP="00D124BD">
            <w:pPr>
              <w:pStyle w:val="Tabletext"/>
              <w:jc w:val="center"/>
            </w:pPr>
            <w:r w:rsidRPr="00AF1814">
              <w:t>X/-</w:t>
            </w:r>
          </w:p>
          <w:p w14:paraId="48D4CDEB" w14:textId="797CAEB3" w:rsidR="008D45E5" w:rsidRPr="00AF1814" w:rsidRDefault="00DA3174" w:rsidP="00D124BD">
            <w:pPr>
              <w:pStyle w:val="Tabletext"/>
              <w:jc w:val="center"/>
            </w:pPr>
            <w:r w:rsidRPr="00AF1814">
              <w:t>(pre/</w:t>
            </w:r>
            <w:r w:rsidR="006C2510" w:rsidRPr="00AF1814">
              <w:br/>
            </w:r>
            <w:r w:rsidRPr="00AF1814">
              <w:t>eoi)</w:t>
            </w:r>
          </w:p>
        </w:tc>
        <w:tc>
          <w:tcPr>
            <w:tcW w:w="165" w:type="pct"/>
            <w:gridSpan w:val="2"/>
            <w:tcBorders>
              <w:top w:val="single" w:sz="4" w:space="0" w:color="auto"/>
              <w:left w:val="single" w:sz="4" w:space="0" w:color="auto"/>
              <w:bottom w:val="single" w:sz="4" w:space="0" w:color="auto"/>
              <w:right w:val="single" w:sz="4" w:space="0" w:color="auto"/>
            </w:tcBorders>
            <w:shd w:val="clear" w:color="auto" w:fill="auto"/>
          </w:tcPr>
          <w:p w14:paraId="26EC8531" w14:textId="77777777" w:rsidR="008D45E5" w:rsidRPr="00AF1814" w:rsidRDefault="00DA3174" w:rsidP="00D124BD">
            <w:pPr>
              <w:pStyle w:val="Tabletext"/>
              <w:jc w:val="center"/>
            </w:pPr>
            <w:r w:rsidRPr="00AF1814">
              <w:t>X/X</w:t>
            </w:r>
          </w:p>
          <w:p w14:paraId="5ABE73F4" w14:textId="77777777" w:rsidR="008D45E5" w:rsidRPr="00AF1814" w:rsidRDefault="00DA3174" w:rsidP="00D124BD">
            <w:pPr>
              <w:pStyle w:val="Tabletext"/>
              <w:jc w:val="center"/>
            </w:pPr>
            <w:r w:rsidRPr="00AF1814">
              <w:t>(pre/eoi)</w:t>
            </w:r>
          </w:p>
        </w:tc>
        <w:tc>
          <w:tcPr>
            <w:tcW w:w="223" w:type="pct"/>
            <w:gridSpan w:val="2"/>
            <w:tcBorders>
              <w:top w:val="single" w:sz="4" w:space="0" w:color="auto"/>
              <w:left w:val="single" w:sz="4" w:space="0" w:color="auto"/>
              <w:bottom w:val="single" w:sz="4" w:space="0" w:color="auto"/>
              <w:right w:val="single" w:sz="4" w:space="0" w:color="auto"/>
            </w:tcBorders>
            <w:shd w:val="clear" w:color="auto" w:fill="auto"/>
          </w:tcPr>
          <w:p w14:paraId="57733899" w14:textId="77777777" w:rsidR="008D45E5" w:rsidRPr="00AF1814" w:rsidRDefault="00DA3174" w:rsidP="00D124BD">
            <w:pPr>
              <w:pStyle w:val="Tabletext"/>
              <w:jc w:val="center"/>
            </w:pPr>
            <w:r w:rsidRPr="00AF1814">
              <w:t>X/-</w:t>
            </w:r>
          </w:p>
          <w:p w14:paraId="7A4F2111" w14:textId="2A0E4366" w:rsidR="008D45E5" w:rsidRPr="00AF1814" w:rsidRDefault="00DA3174" w:rsidP="00D124BD">
            <w:pPr>
              <w:pStyle w:val="Tabletext"/>
              <w:jc w:val="center"/>
            </w:pPr>
            <w:r w:rsidRPr="00AF1814">
              <w:t>(pre/</w:t>
            </w:r>
            <w:r w:rsidR="006C2510" w:rsidRPr="00AF1814">
              <w:br/>
            </w:r>
            <w:r w:rsidRPr="00AF1814">
              <w:t>eoi)</w:t>
            </w:r>
          </w:p>
        </w:tc>
        <w:tc>
          <w:tcPr>
            <w:tcW w:w="220" w:type="pct"/>
            <w:tcBorders>
              <w:top w:val="single" w:sz="4" w:space="0" w:color="auto"/>
              <w:left w:val="single" w:sz="4" w:space="0" w:color="auto"/>
              <w:bottom w:val="single" w:sz="4" w:space="0" w:color="auto"/>
              <w:right w:val="single" w:sz="4" w:space="0" w:color="auto"/>
            </w:tcBorders>
            <w:shd w:val="clear" w:color="auto" w:fill="auto"/>
          </w:tcPr>
          <w:p w14:paraId="48B48110" w14:textId="77777777" w:rsidR="008D45E5" w:rsidRPr="00AF1814" w:rsidRDefault="00DA3174" w:rsidP="00D124BD">
            <w:pPr>
              <w:pStyle w:val="Tabletext"/>
              <w:jc w:val="center"/>
            </w:pPr>
            <w:r w:rsidRPr="00AF1814">
              <w:t>X/-</w:t>
            </w:r>
          </w:p>
          <w:p w14:paraId="4FC80E44" w14:textId="394EA86B" w:rsidR="008D45E5" w:rsidRPr="00AF1814" w:rsidRDefault="00DA3174" w:rsidP="00D124BD">
            <w:pPr>
              <w:pStyle w:val="Tabletext"/>
              <w:jc w:val="center"/>
            </w:pPr>
            <w:r w:rsidRPr="00AF1814">
              <w:t>(pre/</w:t>
            </w:r>
            <w:r w:rsidR="006C2510" w:rsidRPr="00AF1814">
              <w:br/>
            </w:r>
            <w:r w:rsidRPr="00AF1814">
              <w:t>eoi)</w:t>
            </w:r>
          </w:p>
        </w:tc>
        <w:tc>
          <w:tcPr>
            <w:tcW w:w="221" w:type="pct"/>
            <w:tcBorders>
              <w:top w:val="single" w:sz="4" w:space="0" w:color="auto"/>
              <w:left w:val="single" w:sz="4" w:space="0" w:color="auto"/>
              <w:bottom w:val="single" w:sz="4" w:space="0" w:color="auto"/>
              <w:right w:val="single" w:sz="4" w:space="0" w:color="auto"/>
            </w:tcBorders>
            <w:shd w:val="clear" w:color="auto" w:fill="auto"/>
          </w:tcPr>
          <w:p w14:paraId="48D81D2C" w14:textId="77777777" w:rsidR="008D45E5" w:rsidRPr="00AF1814" w:rsidRDefault="00DA3174" w:rsidP="00D124BD">
            <w:pPr>
              <w:pStyle w:val="Tabletext"/>
              <w:jc w:val="center"/>
            </w:pPr>
            <w:r w:rsidRPr="00AF1814">
              <w:t>X/-</w:t>
            </w:r>
          </w:p>
          <w:p w14:paraId="25E3EBFD" w14:textId="4A28B175" w:rsidR="008D45E5" w:rsidRPr="00AF1814" w:rsidRDefault="00DA3174" w:rsidP="00D124BD">
            <w:pPr>
              <w:pStyle w:val="Tabletext"/>
              <w:jc w:val="center"/>
            </w:pPr>
            <w:r w:rsidRPr="00AF1814">
              <w:t>(pre/</w:t>
            </w:r>
            <w:r w:rsidR="006C2510" w:rsidRPr="00AF1814">
              <w:br/>
            </w:r>
            <w:r w:rsidRPr="00AF1814">
              <w:t>eoi)</w:t>
            </w:r>
          </w:p>
        </w:tc>
        <w:tc>
          <w:tcPr>
            <w:tcW w:w="251" w:type="pct"/>
            <w:tcBorders>
              <w:top w:val="single" w:sz="4" w:space="0" w:color="auto"/>
              <w:left w:val="single" w:sz="4" w:space="0" w:color="auto"/>
              <w:bottom w:val="single" w:sz="4" w:space="0" w:color="auto"/>
              <w:right w:val="single" w:sz="4" w:space="0" w:color="auto"/>
            </w:tcBorders>
            <w:shd w:val="clear" w:color="auto" w:fill="auto"/>
          </w:tcPr>
          <w:p w14:paraId="33E11BEF" w14:textId="77777777" w:rsidR="008D45E5" w:rsidRPr="00AF1814" w:rsidRDefault="00DA3174" w:rsidP="00D124BD">
            <w:pPr>
              <w:pStyle w:val="Tabletext"/>
              <w:jc w:val="center"/>
            </w:pPr>
            <w:r w:rsidRPr="00AF1814">
              <w:t>X/-</w:t>
            </w:r>
          </w:p>
          <w:p w14:paraId="5DF95D30" w14:textId="0FB4505D" w:rsidR="008D45E5" w:rsidRPr="00AF1814" w:rsidRDefault="00DA3174" w:rsidP="00D124BD">
            <w:pPr>
              <w:pStyle w:val="Tabletext"/>
              <w:jc w:val="center"/>
            </w:pPr>
            <w:r w:rsidRPr="00AF1814">
              <w:t>(pre/</w:t>
            </w:r>
            <w:r w:rsidR="006C2510" w:rsidRPr="00AF1814">
              <w:br/>
            </w:r>
            <w:r w:rsidRPr="00AF1814">
              <w:t>eoi)</w:t>
            </w:r>
            <w:r w:rsidRPr="00AF1814">
              <w:br/>
              <w:t>q12w from W25</w:t>
            </w:r>
          </w:p>
        </w:tc>
        <w:tc>
          <w:tcPr>
            <w:tcW w:w="381" w:type="pct"/>
            <w:tcBorders>
              <w:top w:val="single" w:sz="4" w:space="0" w:color="auto"/>
              <w:left w:val="single" w:sz="4" w:space="0" w:color="auto"/>
              <w:bottom w:val="single" w:sz="4" w:space="0" w:color="auto"/>
              <w:right w:val="single" w:sz="4" w:space="0" w:color="auto"/>
            </w:tcBorders>
            <w:shd w:val="clear" w:color="auto" w:fill="auto"/>
          </w:tcPr>
          <w:p w14:paraId="4278F193" w14:textId="77777777" w:rsidR="008D45E5" w:rsidRPr="00AF1814" w:rsidRDefault="00DA3174" w:rsidP="00D124BD">
            <w:pPr>
              <w:pStyle w:val="Tabletext"/>
              <w:jc w:val="center"/>
            </w:pPr>
            <w:r w:rsidRPr="00AF1814">
              <w:t>X</w:t>
            </w:r>
          </w:p>
        </w:tc>
        <w:tc>
          <w:tcPr>
            <w:tcW w:w="352" w:type="pct"/>
            <w:tcBorders>
              <w:top w:val="single" w:sz="4" w:space="0" w:color="auto"/>
              <w:left w:val="single" w:sz="4" w:space="0" w:color="auto"/>
              <w:bottom w:val="single" w:sz="4" w:space="0" w:color="auto"/>
              <w:right w:val="single" w:sz="4" w:space="0" w:color="auto"/>
            </w:tcBorders>
            <w:shd w:val="clear" w:color="auto" w:fill="auto"/>
          </w:tcPr>
          <w:p w14:paraId="34D866E6" w14:textId="77777777" w:rsidR="008D45E5" w:rsidRPr="00AF1814" w:rsidRDefault="00DA3174" w:rsidP="00D124BD">
            <w:pPr>
              <w:pStyle w:val="Tabletext"/>
              <w:jc w:val="center"/>
            </w:pPr>
            <w:r w:rsidRPr="00AF1814">
              <w:t>X</w:t>
            </w:r>
          </w:p>
        </w:tc>
        <w:tc>
          <w:tcPr>
            <w:tcW w:w="1784" w:type="pct"/>
            <w:tcBorders>
              <w:top w:val="single" w:sz="4" w:space="0" w:color="auto"/>
              <w:left w:val="single" w:sz="4" w:space="0" w:color="auto"/>
              <w:bottom w:val="single" w:sz="4" w:space="0" w:color="auto"/>
              <w:right w:val="single" w:sz="4" w:space="0" w:color="auto"/>
            </w:tcBorders>
            <w:shd w:val="clear" w:color="auto" w:fill="auto"/>
          </w:tcPr>
          <w:p w14:paraId="6CF05EDE" w14:textId="77777777" w:rsidR="008D45E5" w:rsidRPr="00AF1814" w:rsidRDefault="00DA3174" w:rsidP="00D124BD">
            <w:pPr>
              <w:pStyle w:val="Tabletext"/>
            </w:pPr>
            <w:r w:rsidRPr="00AF1814">
              <w:t>Samples for PK analysis are taken before (pre) infusion of bintrafusp alfa (as close to the start of the infusion as possible), immediately after the end of bintrafusp alfa infusion (eoi, as close to the completion as possible within 30 minutes after the end of infusion).</w:t>
            </w:r>
          </w:p>
          <w:p w14:paraId="5C745844" w14:textId="77777777" w:rsidR="008D45E5" w:rsidRPr="00AF1814" w:rsidRDefault="00DA3174" w:rsidP="00D124BD">
            <w:pPr>
              <w:pStyle w:val="Tabletext"/>
            </w:pPr>
            <w:r w:rsidRPr="00AF1814">
              <w:t>The predose sample should still be drawn even if dosing is ultimately deferred at the study visit. The exact time of each draw must be recorded. A protocol deviation is defined by a sample not being drawn, or time of draw is not recorded.</w:t>
            </w:r>
          </w:p>
          <w:p w14:paraId="766B1F03" w14:textId="77777777" w:rsidR="008D45E5" w:rsidRPr="00AF1814" w:rsidRDefault="00DA3174" w:rsidP="00D124BD">
            <w:pPr>
              <w:pStyle w:val="Tabletext"/>
            </w:pPr>
            <w:r w:rsidRPr="00AF1814">
              <w:t xml:space="preserve">a: On </w:t>
            </w:r>
            <w:r w:rsidRPr="00AF1814">
              <w:rPr>
                <w:u w:val="single"/>
              </w:rPr>
              <w:t>W1D1 only</w:t>
            </w:r>
            <w:r w:rsidRPr="00AF1814">
              <w:t>, in addition to pre and eoi samples, collect a PK sample 4 hours after start of infusion.</w:t>
            </w:r>
          </w:p>
          <w:p w14:paraId="0691AF07" w14:textId="77777777" w:rsidR="008D45E5" w:rsidRPr="00AF1814" w:rsidRDefault="00DA3174" w:rsidP="00D124BD">
            <w:pPr>
              <w:pStyle w:val="Tabletext"/>
            </w:pPr>
            <w:r w:rsidRPr="00AF1814">
              <w:t xml:space="preserve">b: On </w:t>
            </w:r>
            <w:r w:rsidRPr="00AF1814">
              <w:rPr>
                <w:u w:val="single"/>
              </w:rPr>
              <w:t>W1D2 only</w:t>
            </w:r>
            <w:r w:rsidRPr="00AF1814">
              <w:t>, collect a PK sample 24 hours after start of infusion on Day 1.</w:t>
            </w:r>
          </w:p>
        </w:tc>
      </w:tr>
      <w:tr w:rsidR="002108B2" w:rsidRPr="00AF1814" w14:paraId="5B191F70" w14:textId="77777777" w:rsidTr="00416EE6">
        <w:trPr>
          <w:tblHeader/>
        </w:trPr>
        <w:tc>
          <w:tcPr>
            <w:tcW w:w="486" w:type="pct"/>
            <w:tcBorders>
              <w:top w:val="single" w:sz="4" w:space="0" w:color="auto"/>
              <w:left w:val="single" w:sz="4" w:space="0" w:color="auto"/>
              <w:bottom w:val="single" w:sz="4" w:space="0" w:color="auto"/>
              <w:right w:val="single" w:sz="4" w:space="0" w:color="auto"/>
            </w:tcBorders>
            <w:shd w:val="clear" w:color="auto" w:fill="auto"/>
          </w:tcPr>
          <w:p w14:paraId="421EAD1C" w14:textId="77777777" w:rsidR="008D45E5" w:rsidRPr="00AF1814" w:rsidRDefault="00DA3174" w:rsidP="00D124BD">
            <w:pPr>
              <w:pStyle w:val="Tabletext"/>
              <w:jc w:val="center"/>
            </w:pPr>
            <w:r w:rsidRPr="00AF1814">
              <w:t>Blood Sample for ADA</w:t>
            </w:r>
          </w:p>
        </w:tc>
        <w:tc>
          <w:tcPr>
            <w:tcW w:w="176" w:type="pct"/>
            <w:tcBorders>
              <w:top w:val="single" w:sz="4" w:space="0" w:color="auto"/>
              <w:left w:val="single" w:sz="4" w:space="0" w:color="auto"/>
              <w:bottom w:val="single" w:sz="4" w:space="0" w:color="auto"/>
              <w:right w:val="single" w:sz="4" w:space="0" w:color="auto"/>
            </w:tcBorders>
            <w:shd w:val="clear" w:color="auto" w:fill="auto"/>
          </w:tcPr>
          <w:p w14:paraId="2DE3D32E" w14:textId="77777777" w:rsidR="008D45E5" w:rsidRPr="00AF1814" w:rsidRDefault="00DA3174" w:rsidP="00D124BD">
            <w:pPr>
              <w:pStyle w:val="Tabletext"/>
              <w:jc w:val="center"/>
            </w:pPr>
            <w:r w:rsidRPr="00AF1814">
              <w:t>X/-</w:t>
            </w:r>
          </w:p>
          <w:p w14:paraId="1829548B" w14:textId="77777777" w:rsidR="008D45E5" w:rsidRPr="00AF1814" w:rsidRDefault="00DA3174" w:rsidP="00D124BD">
            <w:pPr>
              <w:pStyle w:val="Tabletext"/>
              <w:jc w:val="center"/>
            </w:pPr>
            <w:r w:rsidRPr="00AF1814">
              <w:t>(pre/eoi)</w:t>
            </w:r>
          </w:p>
        </w:tc>
        <w:tc>
          <w:tcPr>
            <w:tcW w:w="17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9D2141" w14:textId="77777777" w:rsidR="008D45E5" w:rsidRPr="00AF1814" w:rsidRDefault="008D45E5" w:rsidP="00D124BD">
            <w:pPr>
              <w:pStyle w:val="Tabletext"/>
              <w:jc w:val="center"/>
            </w:pPr>
          </w:p>
        </w:tc>
        <w:tc>
          <w:tcPr>
            <w:tcW w:w="16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117C67" w14:textId="77777777" w:rsidR="008D45E5" w:rsidRPr="00AF1814" w:rsidRDefault="008D45E5" w:rsidP="00D124BD">
            <w:pPr>
              <w:pStyle w:val="Tabletext"/>
              <w:jc w:val="center"/>
            </w:pPr>
          </w:p>
        </w:tc>
        <w:tc>
          <w:tcPr>
            <w:tcW w:w="189"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8DE4154" w14:textId="77777777" w:rsidR="008D45E5" w:rsidRPr="00AF1814" w:rsidRDefault="008D45E5" w:rsidP="00D124BD">
            <w:pPr>
              <w:pStyle w:val="Tabletext"/>
              <w:jc w:val="center"/>
            </w:pPr>
          </w:p>
        </w:tc>
        <w:tc>
          <w:tcPr>
            <w:tcW w:w="217" w:type="pct"/>
            <w:tcBorders>
              <w:top w:val="single" w:sz="4" w:space="0" w:color="auto"/>
              <w:left w:val="single" w:sz="4" w:space="0" w:color="auto"/>
              <w:bottom w:val="single" w:sz="4" w:space="0" w:color="auto"/>
              <w:right w:val="single" w:sz="4" w:space="0" w:color="auto"/>
            </w:tcBorders>
            <w:shd w:val="clear" w:color="auto" w:fill="auto"/>
          </w:tcPr>
          <w:p w14:paraId="517CF90C" w14:textId="77777777" w:rsidR="008D45E5" w:rsidRPr="00AF1814" w:rsidRDefault="00DA3174" w:rsidP="00D124BD">
            <w:pPr>
              <w:pStyle w:val="Tabletext"/>
              <w:jc w:val="center"/>
            </w:pPr>
            <w:r w:rsidRPr="00AF1814">
              <w:t>X/-</w:t>
            </w:r>
          </w:p>
          <w:p w14:paraId="426B30C7" w14:textId="6CE25D28" w:rsidR="008D45E5" w:rsidRPr="00AF1814" w:rsidRDefault="00DA3174" w:rsidP="00D124BD">
            <w:pPr>
              <w:pStyle w:val="Tabletext"/>
              <w:jc w:val="center"/>
            </w:pPr>
            <w:r w:rsidRPr="00AF1814">
              <w:t>(pre/</w:t>
            </w:r>
            <w:r w:rsidR="006C2510" w:rsidRPr="00AF1814">
              <w:br/>
            </w:r>
            <w:r w:rsidRPr="00AF1814">
              <w:t>eoi)</w:t>
            </w:r>
          </w:p>
        </w:tc>
        <w:tc>
          <w:tcPr>
            <w:tcW w:w="165" w:type="pct"/>
            <w:gridSpan w:val="2"/>
            <w:tcBorders>
              <w:top w:val="single" w:sz="4" w:space="0" w:color="auto"/>
              <w:left w:val="single" w:sz="4" w:space="0" w:color="auto"/>
              <w:bottom w:val="single" w:sz="4" w:space="0" w:color="auto"/>
              <w:right w:val="single" w:sz="4" w:space="0" w:color="auto"/>
            </w:tcBorders>
            <w:shd w:val="clear" w:color="auto" w:fill="auto"/>
          </w:tcPr>
          <w:p w14:paraId="253B1FF5" w14:textId="77777777" w:rsidR="008D45E5" w:rsidRPr="00AF1814" w:rsidRDefault="00DA3174" w:rsidP="00D124BD">
            <w:pPr>
              <w:pStyle w:val="Tabletext"/>
              <w:jc w:val="center"/>
            </w:pPr>
            <w:r w:rsidRPr="00AF1814">
              <w:t>X/-</w:t>
            </w:r>
          </w:p>
          <w:p w14:paraId="6845AF6D" w14:textId="77777777" w:rsidR="008D45E5" w:rsidRPr="00AF1814" w:rsidRDefault="00DA3174" w:rsidP="00D124BD">
            <w:pPr>
              <w:pStyle w:val="Tabletext"/>
              <w:jc w:val="center"/>
            </w:pPr>
            <w:r w:rsidRPr="00AF1814">
              <w:t>(pre/eoi)</w:t>
            </w:r>
          </w:p>
        </w:tc>
        <w:tc>
          <w:tcPr>
            <w:tcW w:w="223" w:type="pct"/>
            <w:gridSpan w:val="2"/>
            <w:tcBorders>
              <w:top w:val="single" w:sz="4" w:space="0" w:color="auto"/>
              <w:left w:val="single" w:sz="4" w:space="0" w:color="auto"/>
              <w:bottom w:val="single" w:sz="4" w:space="0" w:color="auto"/>
              <w:right w:val="single" w:sz="4" w:space="0" w:color="auto"/>
            </w:tcBorders>
            <w:shd w:val="clear" w:color="auto" w:fill="auto"/>
          </w:tcPr>
          <w:p w14:paraId="5467D5FE" w14:textId="77777777" w:rsidR="008D45E5" w:rsidRPr="00AF1814" w:rsidRDefault="00DA3174" w:rsidP="00D124BD">
            <w:pPr>
              <w:pStyle w:val="Tabletext"/>
              <w:jc w:val="center"/>
            </w:pPr>
            <w:r w:rsidRPr="00AF1814">
              <w:t>X/-</w:t>
            </w:r>
          </w:p>
          <w:p w14:paraId="2E89529B" w14:textId="19F48DBA" w:rsidR="008D45E5" w:rsidRPr="00AF1814" w:rsidRDefault="00DA3174" w:rsidP="00D124BD">
            <w:pPr>
              <w:pStyle w:val="Tabletext"/>
              <w:jc w:val="center"/>
            </w:pPr>
            <w:r w:rsidRPr="00AF1814">
              <w:t>(pre/</w:t>
            </w:r>
            <w:r w:rsidR="006C2510" w:rsidRPr="00AF1814">
              <w:br/>
            </w:r>
            <w:r w:rsidRPr="00AF1814">
              <w:t>eoi)</w:t>
            </w:r>
          </w:p>
        </w:tc>
        <w:tc>
          <w:tcPr>
            <w:tcW w:w="220" w:type="pct"/>
            <w:tcBorders>
              <w:top w:val="single" w:sz="4" w:space="0" w:color="auto"/>
              <w:left w:val="single" w:sz="4" w:space="0" w:color="auto"/>
              <w:bottom w:val="single" w:sz="4" w:space="0" w:color="auto"/>
              <w:right w:val="single" w:sz="4" w:space="0" w:color="auto"/>
            </w:tcBorders>
            <w:shd w:val="clear" w:color="auto" w:fill="auto"/>
          </w:tcPr>
          <w:p w14:paraId="6532DC46" w14:textId="77777777" w:rsidR="008D45E5" w:rsidRPr="00AF1814" w:rsidRDefault="00DA3174" w:rsidP="00D124BD">
            <w:pPr>
              <w:pStyle w:val="Tabletext"/>
              <w:jc w:val="center"/>
            </w:pPr>
            <w:r w:rsidRPr="00AF1814">
              <w:t>X/-</w:t>
            </w:r>
          </w:p>
          <w:p w14:paraId="6B394CB5" w14:textId="22FBDD24" w:rsidR="008D45E5" w:rsidRPr="00AF1814" w:rsidRDefault="00DA3174" w:rsidP="00D124BD">
            <w:pPr>
              <w:pStyle w:val="Tabletext"/>
              <w:jc w:val="center"/>
            </w:pPr>
            <w:r w:rsidRPr="00AF1814">
              <w:t>(pre/</w:t>
            </w:r>
            <w:r w:rsidR="006C2510" w:rsidRPr="00AF1814">
              <w:br/>
            </w:r>
            <w:r w:rsidRPr="00AF1814">
              <w:t>eoi)</w:t>
            </w:r>
          </w:p>
        </w:tc>
        <w:tc>
          <w:tcPr>
            <w:tcW w:w="221" w:type="pct"/>
            <w:tcBorders>
              <w:top w:val="single" w:sz="4" w:space="0" w:color="auto"/>
              <w:left w:val="single" w:sz="4" w:space="0" w:color="auto"/>
              <w:bottom w:val="single" w:sz="4" w:space="0" w:color="auto"/>
              <w:right w:val="single" w:sz="4" w:space="0" w:color="auto"/>
            </w:tcBorders>
            <w:shd w:val="clear" w:color="auto" w:fill="auto"/>
          </w:tcPr>
          <w:p w14:paraId="1040AF72" w14:textId="77777777" w:rsidR="008D45E5" w:rsidRPr="00AF1814" w:rsidRDefault="00DA3174" w:rsidP="00D124BD">
            <w:pPr>
              <w:pStyle w:val="Tabletext"/>
              <w:jc w:val="center"/>
            </w:pPr>
            <w:r w:rsidRPr="00AF1814">
              <w:t>X/-</w:t>
            </w:r>
          </w:p>
          <w:p w14:paraId="1C976D47" w14:textId="6E1FE08B" w:rsidR="008D45E5" w:rsidRPr="00AF1814" w:rsidRDefault="00DA3174" w:rsidP="00D124BD">
            <w:pPr>
              <w:pStyle w:val="Tabletext"/>
              <w:jc w:val="center"/>
            </w:pPr>
            <w:r w:rsidRPr="00AF1814">
              <w:t>(pre/</w:t>
            </w:r>
            <w:r w:rsidR="006C2510" w:rsidRPr="00AF1814">
              <w:br/>
            </w:r>
            <w:r w:rsidRPr="00AF1814">
              <w:t>eoi)</w:t>
            </w:r>
          </w:p>
        </w:tc>
        <w:tc>
          <w:tcPr>
            <w:tcW w:w="251" w:type="pct"/>
            <w:tcBorders>
              <w:top w:val="single" w:sz="4" w:space="0" w:color="auto"/>
              <w:left w:val="single" w:sz="4" w:space="0" w:color="auto"/>
              <w:bottom w:val="single" w:sz="4" w:space="0" w:color="auto"/>
              <w:right w:val="single" w:sz="4" w:space="0" w:color="auto"/>
            </w:tcBorders>
            <w:shd w:val="clear" w:color="auto" w:fill="auto"/>
          </w:tcPr>
          <w:p w14:paraId="7847ED7E" w14:textId="77777777" w:rsidR="008D45E5" w:rsidRPr="00AF1814" w:rsidRDefault="00DA3174" w:rsidP="00D124BD">
            <w:pPr>
              <w:pStyle w:val="Tabletext"/>
              <w:jc w:val="center"/>
            </w:pPr>
            <w:r w:rsidRPr="00AF1814">
              <w:t>X/-</w:t>
            </w:r>
          </w:p>
          <w:p w14:paraId="7A6EFD85" w14:textId="0781C11A" w:rsidR="008D45E5" w:rsidRPr="00AF1814" w:rsidRDefault="00DA3174" w:rsidP="00D124BD">
            <w:pPr>
              <w:pStyle w:val="Tabletext"/>
              <w:jc w:val="center"/>
            </w:pPr>
            <w:r w:rsidRPr="00AF1814">
              <w:t>(pre/</w:t>
            </w:r>
            <w:r w:rsidR="006C2510" w:rsidRPr="00AF1814">
              <w:br/>
            </w:r>
            <w:r w:rsidRPr="00AF1814">
              <w:t>eoi)</w:t>
            </w:r>
            <w:r w:rsidRPr="00AF1814">
              <w:br/>
              <w:t>q12w from W25</w:t>
            </w:r>
          </w:p>
        </w:tc>
        <w:tc>
          <w:tcPr>
            <w:tcW w:w="381" w:type="pct"/>
            <w:tcBorders>
              <w:top w:val="single" w:sz="4" w:space="0" w:color="auto"/>
              <w:left w:val="single" w:sz="4" w:space="0" w:color="auto"/>
              <w:bottom w:val="single" w:sz="4" w:space="0" w:color="auto"/>
              <w:right w:val="single" w:sz="4" w:space="0" w:color="auto"/>
            </w:tcBorders>
            <w:shd w:val="clear" w:color="auto" w:fill="auto"/>
          </w:tcPr>
          <w:p w14:paraId="0F00D62C" w14:textId="77777777" w:rsidR="008D45E5" w:rsidRPr="00AF1814" w:rsidRDefault="00DA3174" w:rsidP="00D124BD">
            <w:pPr>
              <w:pStyle w:val="Tabletext"/>
              <w:jc w:val="center"/>
            </w:pPr>
            <w:r w:rsidRPr="00AF1814">
              <w:t>X</w:t>
            </w:r>
          </w:p>
        </w:tc>
        <w:tc>
          <w:tcPr>
            <w:tcW w:w="352" w:type="pct"/>
            <w:tcBorders>
              <w:top w:val="single" w:sz="4" w:space="0" w:color="auto"/>
              <w:left w:val="single" w:sz="4" w:space="0" w:color="auto"/>
              <w:bottom w:val="single" w:sz="4" w:space="0" w:color="auto"/>
              <w:right w:val="single" w:sz="4" w:space="0" w:color="auto"/>
            </w:tcBorders>
            <w:shd w:val="clear" w:color="auto" w:fill="auto"/>
          </w:tcPr>
          <w:p w14:paraId="2E251D64" w14:textId="77777777" w:rsidR="008D45E5" w:rsidRPr="00AF1814" w:rsidRDefault="00DA3174" w:rsidP="00D124BD">
            <w:pPr>
              <w:pStyle w:val="Tabletext"/>
              <w:jc w:val="center"/>
            </w:pPr>
            <w:r w:rsidRPr="00AF1814">
              <w:t>X</w:t>
            </w:r>
          </w:p>
        </w:tc>
        <w:tc>
          <w:tcPr>
            <w:tcW w:w="1784" w:type="pct"/>
            <w:tcBorders>
              <w:top w:val="single" w:sz="4" w:space="0" w:color="auto"/>
              <w:left w:val="single" w:sz="4" w:space="0" w:color="auto"/>
              <w:bottom w:val="single" w:sz="4" w:space="0" w:color="auto"/>
              <w:right w:val="single" w:sz="4" w:space="0" w:color="auto"/>
            </w:tcBorders>
          </w:tcPr>
          <w:p w14:paraId="60E56323" w14:textId="77777777" w:rsidR="008D45E5" w:rsidRPr="00AF1814" w:rsidRDefault="00DA3174" w:rsidP="00D124BD">
            <w:pPr>
              <w:pStyle w:val="Tabletext"/>
            </w:pPr>
            <w:r w:rsidRPr="00AF1814">
              <w:t>Predose ADA samples to be collected prior to study intervention infusions (as close to the start of the infusion as possible). The exact time of each draw must be recorded.</w:t>
            </w:r>
          </w:p>
        </w:tc>
      </w:tr>
      <w:tr w:rsidR="002108B2" w:rsidRPr="00AF1814" w14:paraId="103F4A31" w14:textId="77777777" w:rsidTr="00AC5496">
        <w:trPr>
          <w:tblHeader/>
        </w:trPr>
        <w:tc>
          <w:tcPr>
            <w:tcW w:w="5000" w:type="pct"/>
            <w:gridSpan w:val="16"/>
            <w:tcBorders>
              <w:top w:val="single" w:sz="4" w:space="0" w:color="auto"/>
              <w:left w:val="single" w:sz="4" w:space="0" w:color="auto"/>
              <w:bottom w:val="single" w:sz="4" w:space="0" w:color="auto"/>
              <w:right w:val="single" w:sz="4" w:space="0" w:color="auto"/>
            </w:tcBorders>
            <w:shd w:val="clear" w:color="auto" w:fill="auto"/>
          </w:tcPr>
          <w:p w14:paraId="6DD7F0D7" w14:textId="77777777" w:rsidR="00D124BD" w:rsidRPr="00AF1814" w:rsidRDefault="00DA3174" w:rsidP="00D124BD">
            <w:pPr>
              <w:pStyle w:val="Tablefootnote"/>
            </w:pPr>
            <w:r w:rsidRPr="00AF1814">
              <w:t xml:space="preserve">ADA=antidrug antibody, D=day, </w:t>
            </w:r>
            <w:r w:rsidR="00196DCD" w:rsidRPr="00AF1814">
              <w:rPr>
                <w:rFonts w:cs="Arial"/>
                <w:szCs w:val="18"/>
                <w:lang w:eastAsia="ja-JP"/>
              </w:rPr>
              <w:t xml:space="preserve">eoi=end of infusion, </w:t>
            </w:r>
            <w:r w:rsidRPr="00AF1814">
              <w:t>EoT=End</w:t>
            </w:r>
            <w:r w:rsidR="0085033E" w:rsidRPr="00AF1814">
              <w:t>-</w:t>
            </w:r>
            <w:r w:rsidRPr="00AF1814">
              <w:t>of</w:t>
            </w:r>
            <w:r w:rsidR="0085033E" w:rsidRPr="00AF1814">
              <w:t>-</w:t>
            </w:r>
            <w:r w:rsidRPr="00AF1814">
              <w:t xml:space="preserve">Treatment, PK=pharmacokinetics, </w:t>
            </w:r>
            <w:r w:rsidR="00EC5160" w:rsidRPr="00AF1814">
              <w:t>q</w:t>
            </w:r>
            <w:r w:rsidRPr="00AF1814">
              <w:t>12</w:t>
            </w:r>
            <w:r w:rsidR="0085033E" w:rsidRPr="00AF1814">
              <w:t>w</w:t>
            </w:r>
            <w:r w:rsidRPr="00AF1814">
              <w:t xml:space="preserve">=every 12 weeks, </w:t>
            </w:r>
            <w:r w:rsidR="003C093B" w:rsidRPr="00AF1814">
              <w:t xml:space="preserve">V=visit, </w:t>
            </w:r>
            <w:r w:rsidRPr="00AF1814">
              <w:t>W=week.</w:t>
            </w:r>
          </w:p>
        </w:tc>
      </w:tr>
    </w:tbl>
    <w:p w14:paraId="670DE46F" w14:textId="77777777" w:rsidR="00D124BD" w:rsidRPr="00AF1814" w:rsidRDefault="00DA3174" w:rsidP="00EC5160">
      <w:pPr>
        <w:pStyle w:val="Heading3"/>
        <w:widowControl w:val="0"/>
      </w:pPr>
      <w:bookmarkStart w:id="40" w:name="_Ref36560499"/>
      <w:bookmarkStart w:id="41" w:name="_Toc44601643"/>
      <w:r w:rsidRPr="00AF1814">
        <w:lastRenderedPageBreak/>
        <w:t>Schedule of Activities for Cohort 2</w:t>
      </w:r>
      <w:bookmarkEnd w:id="40"/>
      <w:bookmarkEnd w:id="41"/>
    </w:p>
    <w:p w14:paraId="1B015DBA" w14:textId="77777777" w:rsidR="00201382" w:rsidRPr="00E44F28" w:rsidRDefault="00201382" w:rsidP="00EC5160">
      <w:pPr>
        <w:keepNext/>
        <w:keepLines/>
        <w:widowControl w:val="0"/>
        <w:spacing w:before="0"/>
        <w:jc w:val="left"/>
      </w:pPr>
    </w:p>
    <w:p w14:paraId="1E757586" w14:textId="5D5FF286" w:rsidR="00250404" w:rsidRPr="00E44F28" w:rsidRDefault="00DA3174" w:rsidP="00EC5160">
      <w:pPr>
        <w:keepNext/>
        <w:keepLines/>
        <w:widowControl w:val="0"/>
        <w:spacing w:before="0"/>
        <w:jc w:val="left"/>
      </w:pPr>
      <w:r w:rsidRPr="00E44F28">
        <w:t xml:space="preserve">For Cohort 2, Schedule of </w:t>
      </w:r>
      <w:r w:rsidR="007B38F5">
        <w:t>A</w:t>
      </w:r>
      <w:r w:rsidRPr="00E44F28">
        <w:t>ctivit</w:t>
      </w:r>
      <w:r w:rsidR="009C5AC9" w:rsidRPr="00E44F28">
        <w:t>ies</w:t>
      </w:r>
      <w:r w:rsidRPr="00E44F28">
        <w:t xml:space="preserve"> are provided in</w:t>
      </w:r>
      <w:r w:rsidR="00ED3DB3" w:rsidRPr="00E44F28">
        <w:t xml:space="preserve"> </w:t>
      </w:r>
      <w:r w:rsidRPr="00E44F28">
        <w:fldChar w:fldCharType="begin"/>
      </w:r>
      <w:r w:rsidRPr="00E44F28">
        <w:instrText xml:space="preserve"> REF _Ref31386539 \h </w:instrText>
      </w:r>
      <w:r w:rsidR="00AF1814" w:rsidRPr="00E44F28">
        <w:instrText xml:space="preserve"> \* MERGEFORMAT </w:instrText>
      </w:r>
      <w:r w:rsidRPr="00E44F28">
        <w:fldChar w:fldCharType="separate"/>
      </w:r>
      <w:r w:rsidR="00C548C3" w:rsidRPr="00E44F28">
        <w:t xml:space="preserve">Table </w:t>
      </w:r>
      <w:r w:rsidR="00C548C3" w:rsidRPr="00E44F28">
        <w:rPr>
          <w:noProof/>
        </w:rPr>
        <w:t>3</w:t>
      </w:r>
      <w:r w:rsidRPr="00E44F28">
        <w:fldChar w:fldCharType="end"/>
      </w:r>
      <w:r w:rsidR="00ED3DB3" w:rsidRPr="00E44F28">
        <w:t xml:space="preserve"> (</w:t>
      </w:r>
      <w:r w:rsidRPr="00E44F28">
        <w:t>Schedule of Activities During cCRT in Cohort 2</w:t>
      </w:r>
      <w:r w:rsidR="00ED3DB3" w:rsidRPr="00E44F28">
        <w:t xml:space="preserve">), </w:t>
      </w:r>
      <w:r w:rsidRPr="00E44F28">
        <w:fldChar w:fldCharType="begin"/>
      </w:r>
      <w:r w:rsidRPr="00E44F28">
        <w:instrText xml:space="preserve"> REF _Ref31386622 \h </w:instrText>
      </w:r>
      <w:r w:rsidR="00AF1814" w:rsidRPr="00E44F28">
        <w:instrText xml:space="preserve"> \* MERGEFORMAT </w:instrText>
      </w:r>
      <w:r w:rsidRPr="00E44F28">
        <w:fldChar w:fldCharType="separate"/>
      </w:r>
      <w:r w:rsidR="00C548C3" w:rsidRPr="00E44F28">
        <w:t xml:space="preserve">Table </w:t>
      </w:r>
      <w:r w:rsidR="00C548C3" w:rsidRPr="00E44F28">
        <w:rPr>
          <w:noProof/>
        </w:rPr>
        <w:t>4</w:t>
      </w:r>
      <w:r w:rsidRPr="00E44F28">
        <w:fldChar w:fldCharType="end"/>
      </w:r>
      <w:r w:rsidR="00ED3DB3" w:rsidRPr="00E44F28">
        <w:t xml:space="preserve"> (</w:t>
      </w:r>
      <w:r w:rsidRPr="00E44F28">
        <w:t xml:space="preserve">Schedule of </w:t>
      </w:r>
      <w:r w:rsidR="00D13325" w:rsidRPr="00E44F28">
        <w:t xml:space="preserve">Activities </w:t>
      </w:r>
      <w:r w:rsidR="00EC5160" w:rsidRPr="00E44F28">
        <w:t>A</w:t>
      </w:r>
      <w:r w:rsidRPr="00E44F28">
        <w:t>fter cCRT in Cohort 2</w:t>
      </w:r>
      <w:r w:rsidR="00ED3DB3" w:rsidRPr="00E44F28">
        <w:t xml:space="preserve">), and </w:t>
      </w:r>
      <w:r w:rsidRPr="00E44F28">
        <w:fldChar w:fldCharType="begin"/>
      </w:r>
      <w:r w:rsidRPr="00E44F28">
        <w:instrText xml:space="preserve"> REF _Ref31386662 \h </w:instrText>
      </w:r>
      <w:r w:rsidR="00AF1814" w:rsidRPr="00E44F28">
        <w:instrText xml:space="preserve"> \* MERGEFORMAT </w:instrText>
      </w:r>
      <w:r w:rsidRPr="00E44F28">
        <w:fldChar w:fldCharType="separate"/>
      </w:r>
      <w:r w:rsidR="00C548C3" w:rsidRPr="00E44F28">
        <w:t xml:space="preserve">Table </w:t>
      </w:r>
      <w:r w:rsidR="00C548C3" w:rsidRPr="00E44F28">
        <w:rPr>
          <w:noProof/>
        </w:rPr>
        <w:t>5</w:t>
      </w:r>
      <w:r w:rsidRPr="00E44F28">
        <w:fldChar w:fldCharType="end"/>
      </w:r>
      <w:r w:rsidR="00ED3DB3" w:rsidRPr="00E44F28">
        <w:t xml:space="preserve"> (</w:t>
      </w:r>
      <w:r w:rsidRPr="00E44F28">
        <w:t>Schedule of Activities for PK and ADA Sampling in Cohort 2</w:t>
      </w:r>
      <w:r w:rsidR="00ED3DB3" w:rsidRPr="00E44F28">
        <w:t>).</w:t>
      </w:r>
    </w:p>
    <w:p w14:paraId="1B2A5E10" w14:textId="2C636684" w:rsidR="00D124BD" w:rsidRPr="00E44F28" w:rsidRDefault="00DA3174" w:rsidP="00D124BD">
      <w:pPr>
        <w:pStyle w:val="Caption"/>
      </w:pPr>
      <w:bookmarkStart w:id="42" w:name="_Ref31386539"/>
      <w:bookmarkStart w:id="43" w:name="_Toc44601747"/>
      <w:r w:rsidRPr="00E44F28">
        <w:t xml:space="preserve">Table </w:t>
      </w:r>
      <w:r w:rsidR="0093258F" w:rsidRPr="00E44F28">
        <w:fldChar w:fldCharType="begin"/>
      </w:r>
      <w:r w:rsidR="0093258F" w:rsidRPr="00E44F28">
        <w:instrText xml:space="preserve"> SEQ Table \* ARABIC </w:instrText>
      </w:r>
      <w:r w:rsidR="0093258F" w:rsidRPr="00E44F28">
        <w:fldChar w:fldCharType="separate"/>
      </w:r>
      <w:r w:rsidR="00C548C3" w:rsidRPr="00E44F28">
        <w:rPr>
          <w:noProof/>
        </w:rPr>
        <w:t>3</w:t>
      </w:r>
      <w:r w:rsidR="0093258F" w:rsidRPr="00E44F28">
        <w:fldChar w:fldCharType="end"/>
      </w:r>
      <w:bookmarkEnd w:id="42"/>
      <w:r w:rsidRPr="00E44F28">
        <w:tab/>
        <w:t>Schedule of Activities During cCRT in Cohort 2</w:t>
      </w:r>
      <w:bookmarkEnd w:id="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634"/>
        <w:gridCol w:w="995"/>
        <w:gridCol w:w="718"/>
        <w:gridCol w:w="738"/>
        <w:gridCol w:w="738"/>
        <w:gridCol w:w="764"/>
        <w:gridCol w:w="772"/>
        <w:gridCol w:w="762"/>
        <w:gridCol w:w="777"/>
        <w:gridCol w:w="1717"/>
        <w:gridCol w:w="16"/>
        <w:gridCol w:w="3321"/>
      </w:tblGrid>
      <w:tr w:rsidR="002108B2" w:rsidRPr="00E44F28" w14:paraId="54DDE8D4" w14:textId="77777777" w:rsidTr="00274652">
        <w:trPr>
          <w:cantSplit/>
          <w:tblHeader/>
          <w:jc w:val="center"/>
        </w:trPr>
        <w:tc>
          <w:tcPr>
            <w:tcW w:w="631" w:type="pct"/>
            <w:vMerge w:val="restart"/>
            <w:tcBorders>
              <w:top w:val="single" w:sz="4" w:space="0" w:color="auto"/>
              <w:left w:val="single" w:sz="4" w:space="0" w:color="auto"/>
              <w:right w:val="single" w:sz="4" w:space="0" w:color="auto"/>
            </w:tcBorders>
            <w:vAlign w:val="center"/>
            <w:hideMark/>
          </w:tcPr>
          <w:p w14:paraId="4367511F" w14:textId="77777777" w:rsidR="002040E7" w:rsidRPr="00E44F28" w:rsidRDefault="00DA3174" w:rsidP="00E60304">
            <w:pPr>
              <w:spacing w:before="80" w:after="80"/>
              <w:jc w:val="center"/>
              <w:rPr>
                <w:rFonts w:ascii="Arial" w:eastAsia="Arial" w:hAnsi="Arial" w:cs="Arial"/>
                <w:b/>
                <w:sz w:val="18"/>
                <w:szCs w:val="18"/>
              </w:rPr>
            </w:pPr>
            <w:r w:rsidRPr="00E44F28">
              <w:rPr>
                <w:rFonts w:ascii="Arial" w:hAnsi="Arial" w:cs="Arial"/>
                <w:b/>
                <w:sz w:val="18"/>
                <w:szCs w:val="18"/>
              </w:rPr>
              <w:t>Assessments &amp; Procedures During cCRT</w:t>
            </w:r>
          </w:p>
        </w:tc>
        <w:tc>
          <w:tcPr>
            <w:tcW w:w="384" w:type="pct"/>
            <w:vMerge w:val="restart"/>
            <w:tcBorders>
              <w:top w:val="single" w:sz="4" w:space="0" w:color="auto"/>
              <w:left w:val="single" w:sz="4" w:space="0" w:color="auto"/>
              <w:right w:val="single" w:sz="4" w:space="0" w:color="auto"/>
            </w:tcBorders>
            <w:vAlign w:val="center"/>
            <w:hideMark/>
          </w:tcPr>
          <w:p w14:paraId="6D9FECC6" w14:textId="77777777" w:rsidR="002040E7" w:rsidRPr="00E44F28" w:rsidRDefault="00DA3174" w:rsidP="00534EC9">
            <w:pPr>
              <w:spacing w:before="80" w:after="80"/>
              <w:jc w:val="center"/>
              <w:rPr>
                <w:rFonts w:ascii="Arial" w:eastAsia="Arial" w:hAnsi="Arial" w:cs="Arial"/>
                <w:b/>
                <w:sz w:val="18"/>
                <w:szCs w:val="18"/>
              </w:rPr>
            </w:pPr>
            <w:r w:rsidRPr="00E44F28">
              <w:rPr>
                <w:rFonts w:ascii="Arial" w:hAnsi="Arial" w:cs="Arial"/>
                <w:b/>
                <w:sz w:val="18"/>
                <w:szCs w:val="18"/>
              </w:rPr>
              <w:t>Screening</w:t>
            </w:r>
            <w:r w:rsidRPr="00E44F28">
              <w:br/>
            </w:r>
            <w:r w:rsidRPr="00E44F28">
              <w:rPr>
                <w:rFonts w:ascii="Arial" w:hAnsi="Arial" w:cs="Arial"/>
                <w:b/>
                <w:sz w:val="18"/>
                <w:szCs w:val="18"/>
              </w:rPr>
              <w:t>Day -28</w:t>
            </w:r>
            <w:r w:rsidRPr="00E44F28">
              <w:br/>
            </w:r>
            <w:r w:rsidRPr="00E44F28">
              <w:rPr>
                <w:rFonts w:ascii="Arial" w:hAnsi="Arial" w:cs="Arial"/>
                <w:b/>
                <w:sz w:val="18"/>
                <w:szCs w:val="18"/>
              </w:rPr>
              <w:t>to W1D1</w:t>
            </w:r>
          </w:p>
        </w:tc>
        <w:tc>
          <w:tcPr>
            <w:tcW w:w="2034" w:type="pct"/>
            <w:gridSpan w:val="7"/>
            <w:tcBorders>
              <w:top w:val="single" w:sz="4" w:space="0" w:color="auto"/>
              <w:left w:val="single" w:sz="4" w:space="0" w:color="auto"/>
              <w:bottom w:val="single" w:sz="4" w:space="0" w:color="auto"/>
              <w:right w:val="single" w:sz="4" w:space="0" w:color="auto"/>
            </w:tcBorders>
            <w:vAlign w:val="center"/>
            <w:hideMark/>
          </w:tcPr>
          <w:p w14:paraId="2B4B51F4" w14:textId="77777777" w:rsidR="002040E7" w:rsidRPr="00E44F28" w:rsidRDefault="00DA3174" w:rsidP="008C3578">
            <w:pPr>
              <w:spacing w:before="80" w:after="80"/>
              <w:jc w:val="center"/>
              <w:rPr>
                <w:rFonts w:ascii="Arial" w:hAnsi="Arial" w:cs="Arial"/>
                <w:b/>
                <w:sz w:val="18"/>
                <w:szCs w:val="18"/>
              </w:rPr>
            </w:pPr>
            <w:r w:rsidRPr="00E44F28">
              <w:rPr>
                <w:rFonts w:ascii="Arial" w:hAnsi="Arial" w:cs="Arial"/>
                <w:b/>
                <w:sz w:val="18"/>
                <w:szCs w:val="18"/>
              </w:rPr>
              <w:t>cCRT-based Treatment (± 3 days)</w:t>
            </w:r>
          </w:p>
        </w:tc>
        <w:tc>
          <w:tcPr>
            <w:tcW w:w="663" w:type="pct"/>
            <w:tcBorders>
              <w:top w:val="single" w:sz="4" w:space="0" w:color="auto"/>
              <w:left w:val="single" w:sz="4" w:space="0" w:color="auto"/>
              <w:right w:val="single" w:sz="4" w:space="0" w:color="auto"/>
            </w:tcBorders>
            <w:vAlign w:val="center"/>
          </w:tcPr>
          <w:p w14:paraId="0393D862" w14:textId="77777777" w:rsidR="002040E7" w:rsidRPr="00E44F28" w:rsidRDefault="00DA3174" w:rsidP="008C3578">
            <w:pPr>
              <w:spacing w:before="80" w:after="80"/>
              <w:jc w:val="center"/>
              <w:rPr>
                <w:rFonts w:ascii="Arial" w:hAnsi="Arial" w:cs="Arial"/>
                <w:b/>
                <w:sz w:val="18"/>
                <w:szCs w:val="18"/>
              </w:rPr>
            </w:pPr>
            <w:r w:rsidRPr="00E44F28">
              <w:rPr>
                <w:rFonts w:ascii="Arial" w:hAnsi="Arial" w:cs="Arial"/>
                <w:b/>
                <w:sz w:val="18"/>
                <w:szCs w:val="18"/>
              </w:rPr>
              <w:t>End-of-cCRT</w:t>
            </w:r>
          </w:p>
          <w:p w14:paraId="59E0D9CD" w14:textId="77777777" w:rsidR="002040E7" w:rsidRPr="00E44F28" w:rsidRDefault="00DA3174" w:rsidP="008C3578">
            <w:pPr>
              <w:spacing w:before="80" w:after="80"/>
              <w:jc w:val="center"/>
              <w:rPr>
                <w:rFonts w:ascii="Arial" w:hAnsi="Arial" w:cs="Arial"/>
                <w:b/>
                <w:sz w:val="18"/>
                <w:szCs w:val="18"/>
              </w:rPr>
            </w:pPr>
            <w:r w:rsidRPr="00E44F28">
              <w:rPr>
                <w:rFonts w:ascii="Arial" w:hAnsi="Arial" w:cs="Arial"/>
                <w:b/>
                <w:sz w:val="18"/>
                <w:szCs w:val="18"/>
              </w:rPr>
              <w:t>Visit (+ 5 days)</w:t>
            </w:r>
          </w:p>
        </w:tc>
        <w:tc>
          <w:tcPr>
            <w:tcW w:w="1288" w:type="pct"/>
            <w:gridSpan w:val="2"/>
            <w:vMerge w:val="restart"/>
            <w:tcBorders>
              <w:top w:val="single" w:sz="4" w:space="0" w:color="auto"/>
              <w:left w:val="single" w:sz="4" w:space="0" w:color="auto"/>
              <w:right w:val="single" w:sz="4" w:space="0" w:color="auto"/>
            </w:tcBorders>
            <w:vAlign w:val="center"/>
          </w:tcPr>
          <w:p w14:paraId="22108223" w14:textId="77777777" w:rsidR="002040E7" w:rsidRPr="00E44F28" w:rsidRDefault="00DA3174" w:rsidP="00D124BD">
            <w:pPr>
              <w:spacing w:before="80" w:after="80"/>
              <w:jc w:val="center"/>
              <w:rPr>
                <w:rFonts w:ascii="Arial" w:hAnsi="Arial" w:cs="Arial"/>
                <w:b/>
                <w:sz w:val="18"/>
                <w:szCs w:val="18"/>
              </w:rPr>
            </w:pPr>
            <w:r w:rsidRPr="00E44F28">
              <w:rPr>
                <w:rFonts w:ascii="Arial" w:hAnsi="Arial" w:cs="Arial"/>
                <w:b/>
                <w:sz w:val="18"/>
                <w:szCs w:val="18"/>
              </w:rPr>
              <w:t>Notes</w:t>
            </w:r>
          </w:p>
          <w:p w14:paraId="6E5D4B6F" w14:textId="0FABFDFF" w:rsidR="002040E7" w:rsidRPr="00E44F28" w:rsidRDefault="00DA3174" w:rsidP="00D124BD">
            <w:pPr>
              <w:spacing w:before="120" w:after="120"/>
              <w:jc w:val="left"/>
              <w:rPr>
                <w:rFonts w:ascii="Arial" w:eastAsia="Calibri" w:hAnsi="Arial" w:cs="Arial"/>
                <w:sz w:val="18"/>
                <w:szCs w:val="18"/>
              </w:rPr>
            </w:pPr>
            <w:r w:rsidRPr="00E44F28">
              <w:rPr>
                <w:rFonts w:ascii="Arial" w:eastAsia="Calibri" w:hAnsi="Arial" w:cs="Arial"/>
                <w:sz w:val="18"/>
                <w:szCs w:val="18"/>
              </w:rPr>
              <w:t xml:space="preserve">Overlapping assessments at the End-of-cCRT </w:t>
            </w:r>
            <w:r w:rsidR="007B38F5">
              <w:rPr>
                <w:rFonts w:ascii="Arial" w:eastAsia="Calibri" w:hAnsi="Arial" w:cs="Arial"/>
                <w:sz w:val="18"/>
                <w:szCs w:val="18"/>
              </w:rPr>
              <w:t>V</w:t>
            </w:r>
            <w:r w:rsidRPr="00E44F28">
              <w:rPr>
                <w:rFonts w:ascii="Arial" w:eastAsia="Calibri" w:hAnsi="Arial" w:cs="Arial"/>
                <w:sz w:val="18"/>
                <w:szCs w:val="18"/>
              </w:rPr>
              <w:t xml:space="preserve">isit and the first visit in maintenance only need to be performed once. </w:t>
            </w:r>
          </w:p>
          <w:p w14:paraId="0C23CF8C" w14:textId="77777777" w:rsidR="002040E7" w:rsidRPr="00E44F28" w:rsidRDefault="002040E7" w:rsidP="00DB6872">
            <w:pPr>
              <w:pStyle w:val="BodyText"/>
            </w:pPr>
          </w:p>
        </w:tc>
      </w:tr>
      <w:tr w:rsidR="002108B2" w:rsidRPr="00E44F28" w14:paraId="4A309112" w14:textId="77777777" w:rsidTr="00274652">
        <w:trPr>
          <w:cantSplit/>
          <w:tblHeader/>
          <w:jc w:val="center"/>
        </w:trPr>
        <w:tc>
          <w:tcPr>
            <w:tcW w:w="631" w:type="pct"/>
            <w:vMerge/>
            <w:tcBorders>
              <w:left w:val="single" w:sz="4" w:space="0" w:color="auto"/>
              <w:right w:val="single" w:sz="4" w:space="0" w:color="auto"/>
            </w:tcBorders>
            <w:vAlign w:val="center"/>
          </w:tcPr>
          <w:p w14:paraId="6039E4FB" w14:textId="77777777" w:rsidR="002040E7" w:rsidRPr="00E44F28" w:rsidRDefault="002040E7" w:rsidP="00D124BD">
            <w:pPr>
              <w:spacing w:before="80" w:after="80"/>
              <w:jc w:val="center"/>
              <w:rPr>
                <w:rFonts w:ascii="Arial" w:hAnsi="Arial" w:cs="Arial"/>
                <w:b/>
                <w:sz w:val="18"/>
                <w:szCs w:val="18"/>
              </w:rPr>
            </w:pPr>
          </w:p>
        </w:tc>
        <w:tc>
          <w:tcPr>
            <w:tcW w:w="384" w:type="pct"/>
            <w:vMerge/>
            <w:tcBorders>
              <w:left w:val="single" w:sz="4" w:space="0" w:color="auto"/>
              <w:right w:val="single" w:sz="4" w:space="0" w:color="auto"/>
            </w:tcBorders>
            <w:vAlign w:val="center"/>
          </w:tcPr>
          <w:p w14:paraId="28125477" w14:textId="77777777" w:rsidR="002040E7" w:rsidRPr="00E44F28" w:rsidRDefault="002040E7" w:rsidP="00D124BD">
            <w:pPr>
              <w:keepNext/>
              <w:keepLines/>
              <w:spacing w:before="80" w:after="80"/>
              <w:jc w:val="center"/>
              <w:rPr>
                <w:rFonts w:ascii="Arial" w:hAnsi="Arial" w:cs="Arial"/>
                <w:b/>
                <w:sz w:val="18"/>
                <w:szCs w:val="18"/>
              </w:rPr>
            </w:pPr>
          </w:p>
        </w:tc>
        <w:tc>
          <w:tcPr>
            <w:tcW w:w="277" w:type="pct"/>
            <w:tcBorders>
              <w:top w:val="single" w:sz="4" w:space="0" w:color="auto"/>
              <w:left w:val="single" w:sz="4" w:space="0" w:color="auto"/>
              <w:bottom w:val="single" w:sz="4" w:space="0" w:color="auto"/>
              <w:right w:val="single" w:sz="4" w:space="0" w:color="auto"/>
            </w:tcBorders>
            <w:vAlign w:val="center"/>
          </w:tcPr>
          <w:p w14:paraId="623F268E"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V1</w:t>
            </w:r>
          </w:p>
        </w:tc>
        <w:tc>
          <w:tcPr>
            <w:tcW w:w="285" w:type="pct"/>
            <w:tcBorders>
              <w:top w:val="single" w:sz="4" w:space="0" w:color="auto"/>
              <w:left w:val="single" w:sz="4" w:space="0" w:color="auto"/>
              <w:bottom w:val="single" w:sz="4" w:space="0" w:color="auto"/>
              <w:right w:val="single" w:sz="4" w:space="0" w:color="auto"/>
            </w:tcBorders>
            <w:vAlign w:val="center"/>
          </w:tcPr>
          <w:p w14:paraId="2BB700CF"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V2</w:t>
            </w:r>
          </w:p>
        </w:tc>
        <w:tc>
          <w:tcPr>
            <w:tcW w:w="285" w:type="pct"/>
            <w:tcBorders>
              <w:top w:val="single" w:sz="4" w:space="0" w:color="auto"/>
              <w:left w:val="single" w:sz="4" w:space="0" w:color="auto"/>
              <w:bottom w:val="single" w:sz="4" w:space="0" w:color="auto"/>
              <w:right w:val="single" w:sz="4" w:space="0" w:color="auto"/>
            </w:tcBorders>
            <w:vAlign w:val="center"/>
          </w:tcPr>
          <w:p w14:paraId="26A6DC45"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V3</w:t>
            </w:r>
          </w:p>
        </w:tc>
        <w:tc>
          <w:tcPr>
            <w:tcW w:w="295" w:type="pct"/>
            <w:tcBorders>
              <w:top w:val="single" w:sz="4" w:space="0" w:color="auto"/>
              <w:left w:val="single" w:sz="4" w:space="0" w:color="auto"/>
              <w:bottom w:val="single" w:sz="4" w:space="0" w:color="auto"/>
              <w:right w:val="single" w:sz="4" w:space="0" w:color="auto"/>
            </w:tcBorders>
            <w:vAlign w:val="center"/>
          </w:tcPr>
          <w:p w14:paraId="6A5CF916"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V4</w:t>
            </w:r>
          </w:p>
        </w:tc>
        <w:tc>
          <w:tcPr>
            <w:tcW w:w="298" w:type="pct"/>
            <w:tcBorders>
              <w:top w:val="single" w:sz="4" w:space="0" w:color="auto"/>
              <w:left w:val="single" w:sz="4" w:space="0" w:color="auto"/>
              <w:bottom w:val="single" w:sz="4" w:space="0" w:color="auto"/>
              <w:right w:val="single" w:sz="4" w:space="0" w:color="auto"/>
            </w:tcBorders>
            <w:vAlign w:val="center"/>
          </w:tcPr>
          <w:p w14:paraId="0BCCBFC6"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V5</w:t>
            </w:r>
          </w:p>
        </w:tc>
        <w:tc>
          <w:tcPr>
            <w:tcW w:w="294" w:type="pct"/>
            <w:tcBorders>
              <w:top w:val="single" w:sz="4" w:space="0" w:color="auto"/>
              <w:left w:val="single" w:sz="4" w:space="0" w:color="auto"/>
              <w:bottom w:val="single" w:sz="4" w:space="0" w:color="auto"/>
              <w:right w:val="single" w:sz="4" w:space="0" w:color="auto"/>
            </w:tcBorders>
            <w:vAlign w:val="center"/>
          </w:tcPr>
          <w:p w14:paraId="48E5CF4B"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V6</w:t>
            </w:r>
          </w:p>
        </w:tc>
        <w:tc>
          <w:tcPr>
            <w:tcW w:w="300" w:type="pct"/>
            <w:tcBorders>
              <w:left w:val="single" w:sz="4" w:space="0" w:color="auto"/>
              <w:right w:val="single" w:sz="4" w:space="0" w:color="auto"/>
            </w:tcBorders>
          </w:tcPr>
          <w:p w14:paraId="334E4B36" w14:textId="77777777" w:rsidR="002040E7" w:rsidRPr="00E44F28" w:rsidRDefault="00DA3174" w:rsidP="00214B25">
            <w:pPr>
              <w:spacing w:before="80" w:after="80"/>
              <w:jc w:val="center"/>
              <w:rPr>
                <w:rFonts w:ascii="Arial" w:eastAsia="Calibri" w:hAnsi="Arial" w:cs="Arial"/>
                <w:b/>
                <w:bCs/>
                <w:sz w:val="18"/>
                <w:szCs w:val="18"/>
              </w:rPr>
            </w:pPr>
            <w:r w:rsidRPr="00E44F28">
              <w:rPr>
                <w:rFonts w:ascii="Arial" w:eastAsia="Calibri" w:hAnsi="Arial" w:cs="Arial"/>
                <w:b/>
                <w:bCs/>
                <w:sz w:val="18"/>
                <w:szCs w:val="18"/>
              </w:rPr>
              <w:t>V7</w:t>
            </w:r>
          </w:p>
        </w:tc>
        <w:tc>
          <w:tcPr>
            <w:tcW w:w="663" w:type="pct"/>
            <w:vMerge w:val="restart"/>
            <w:tcBorders>
              <w:left w:val="single" w:sz="4" w:space="0" w:color="auto"/>
              <w:right w:val="single" w:sz="4" w:space="0" w:color="auto"/>
            </w:tcBorders>
            <w:vAlign w:val="center"/>
          </w:tcPr>
          <w:p w14:paraId="5DA81DB9" w14:textId="77777777" w:rsidR="002040E7" w:rsidRPr="00E44F28" w:rsidRDefault="00DA3174" w:rsidP="00214B25">
            <w:pPr>
              <w:spacing w:before="80" w:after="80"/>
              <w:jc w:val="center"/>
              <w:rPr>
                <w:rFonts w:ascii="Arial" w:hAnsi="Arial" w:cs="Arial"/>
                <w:b/>
                <w:sz w:val="18"/>
                <w:szCs w:val="18"/>
              </w:rPr>
            </w:pPr>
            <w:r w:rsidRPr="00E44F28">
              <w:rPr>
                <w:rFonts w:ascii="Arial" w:eastAsia="Calibri" w:hAnsi="Arial" w:cs="Arial"/>
                <w:b/>
                <w:bCs/>
                <w:sz w:val="18"/>
                <w:szCs w:val="18"/>
              </w:rPr>
              <w:t>End-of-cCRT Visit should be performed at completion of cCRT or within 5 days of decision to discontinue cCRT</w:t>
            </w:r>
            <w:r w:rsidRPr="00E44F28">
              <w:rPr>
                <w:rFonts w:ascii="Arial" w:hAnsi="Arial" w:cs="Arial"/>
                <w:b/>
                <w:bCs/>
                <w:sz w:val="18"/>
                <w:szCs w:val="18"/>
              </w:rPr>
              <w:t xml:space="preserve"> </w:t>
            </w:r>
          </w:p>
        </w:tc>
        <w:tc>
          <w:tcPr>
            <w:tcW w:w="1288" w:type="pct"/>
            <w:gridSpan w:val="2"/>
            <w:vMerge/>
            <w:tcBorders>
              <w:left w:val="single" w:sz="4" w:space="0" w:color="auto"/>
              <w:right w:val="single" w:sz="4" w:space="0" w:color="auto"/>
            </w:tcBorders>
            <w:vAlign w:val="center"/>
          </w:tcPr>
          <w:p w14:paraId="15892A83" w14:textId="77777777" w:rsidR="002040E7" w:rsidRPr="00E44F28" w:rsidRDefault="002040E7" w:rsidP="00D124BD">
            <w:pPr>
              <w:spacing w:before="80" w:after="80"/>
              <w:jc w:val="center"/>
              <w:rPr>
                <w:rFonts w:ascii="Arial" w:hAnsi="Arial" w:cs="Arial"/>
                <w:b/>
                <w:sz w:val="18"/>
                <w:szCs w:val="18"/>
              </w:rPr>
            </w:pPr>
          </w:p>
        </w:tc>
      </w:tr>
      <w:tr w:rsidR="002108B2" w:rsidRPr="00E44F28" w14:paraId="1B649DF0" w14:textId="77777777" w:rsidTr="00274652">
        <w:trPr>
          <w:cantSplit/>
          <w:tblHeader/>
          <w:jc w:val="center"/>
        </w:trPr>
        <w:tc>
          <w:tcPr>
            <w:tcW w:w="631" w:type="pct"/>
            <w:vMerge/>
            <w:tcBorders>
              <w:left w:val="single" w:sz="4" w:space="0" w:color="auto"/>
              <w:right w:val="single" w:sz="4" w:space="0" w:color="auto"/>
            </w:tcBorders>
            <w:vAlign w:val="center"/>
            <w:hideMark/>
          </w:tcPr>
          <w:p w14:paraId="443A4332" w14:textId="77777777" w:rsidR="002040E7" w:rsidRPr="00E44F28" w:rsidRDefault="002040E7" w:rsidP="00D124BD">
            <w:pPr>
              <w:spacing w:before="80" w:after="80"/>
              <w:jc w:val="center"/>
              <w:rPr>
                <w:rFonts w:ascii="Arial" w:hAnsi="Arial" w:cs="Arial"/>
                <w:b/>
                <w:sz w:val="18"/>
                <w:szCs w:val="18"/>
              </w:rPr>
            </w:pPr>
          </w:p>
        </w:tc>
        <w:tc>
          <w:tcPr>
            <w:tcW w:w="384" w:type="pct"/>
            <w:vMerge/>
            <w:tcBorders>
              <w:left w:val="single" w:sz="4" w:space="0" w:color="auto"/>
              <w:right w:val="single" w:sz="4" w:space="0" w:color="auto"/>
            </w:tcBorders>
            <w:vAlign w:val="center"/>
            <w:hideMark/>
          </w:tcPr>
          <w:p w14:paraId="0A309EF9" w14:textId="77777777" w:rsidR="002040E7" w:rsidRPr="00E44F28" w:rsidRDefault="002040E7" w:rsidP="00D124BD">
            <w:pPr>
              <w:spacing w:before="80" w:after="80"/>
              <w:jc w:val="center"/>
              <w:rPr>
                <w:rFonts w:ascii="Arial" w:eastAsia="Arial" w:hAnsi="Arial" w:cs="Arial"/>
                <w:b/>
                <w:sz w:val="18"/>
                <w:szCs w:val="18"/>
              </w:rPr>
            </w:pPr>
          </w:p>
        </w:tc>
        <w:tc>
          <w:tcPr>
            <w:tcW w:w="277" w:type="pct"/>
            <w:tcBorders>
              <w:top w:val="single" w:sz="4" w:space="0" w:color="auto"/>
              <w:left w:val="single" w:sz="4" w:space="0" w:color="auto"/>
              <w:bottom w:val="single" w:sz="4" w:space="0" w:color="auto"/>
              <w:right w:val="single" w:sz="4" w:space="0" w:color="auto"/>
            </w:tcBorders>
            <w:vAlign w:val="center"/>
            <w:hideMark/>
          </w:tcPr>
          <w:p w14:paraId="064F66B7"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W1</w:t>
            </w:r>
          </w:p>
        </w:tc>
        <w:tc>
          <w:tcPr>
            <w:tcW w:w="285" w:type="pct"/>
            <w:tcBorders>
              <w:top w:val="single" w:sz="4" w:space="0" w:color="auto"/>
              <w:left w:val="single" w:sz="4" w:space="0" w:color="auto"/>
              <w:bottom w:val="single" w:sz="4" w:space="0" w:color="auto"/>
              <w:right w:val="single" w:sz="4" w:space="0" w:color="auto"/>
            </w:tcBorders>
            <w:vAlign w:val="center"/>
            <w:hideMark/>
          </w:tcPr>
          <w:p w14:paraId="2F242D0F"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W2</w:t>
            </w:r>
          </w:p>
        </w:tc>
        <w:tc>
          <w:tcPr>
            <w:tcW w:w="285" w:type="pct"/>
            <w:tcBorders>
              <w:top w:val="single" w:sz="4" w:space="0" w:color="auto"/>
              <w:left w:val="single" w:sz="4" w:space="0" w:color="auto"/>
              <w:bottom w:val="single" w:sz="4" w:space="0" w:color="auto"/>
              <w:right w:val="single" w:sz="4" w:space="0" w:color="auto"/>
            </w:tcBorders>
            <w:vAlign w:val="center"/>
          </w:tcPr>
          <w:p w14:paraId="19E1633B"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W3</w:t>
            </w:r>
          </w:p>
        </w:tc>
        <w:tc>
          <w:tcPr>
            <w:tcW w:w="295" w:type="pct"/>
            <w:tcBorders>
              <w:top w:val="single" w:sz="4" w:space="0" w:color="auto"/>
              <w:left w:val="single" w:sz="4" w:space="0" w:color="auto"/>
              <w:bottom w:val="single" w:sz="4" w:space="0" w:color="auto"/>
              <w:right w:val="single" w:sz="4" w:space="0" w:color="auto"/>
            </w:tcBorders>
            <w:vAlign w:val="center"/>
          </w:tcPr>
          <w:p w14:paraId="76A88C8C"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 xml:space="preserve">W4 </w:t>
            </w:r>
          </w:p>
        </w:tc>
        <w:tc>
          <w:tcPr>
            <w:tcW w:w="298" w:type="pct"/>
            <w:tcBorders>
              <w:top w:val="single" w:sz="4" w:space="0" w:color="auto"/>
              <w:left w:val="single" w:sz="4" w:space="0" w:color="auto"/>
              <w:bottom w:val="single" w:sz="4" w:space="0" w:color="auto"/>
              <w:right w:val="single" w:sz="4" w:space="0" w:color="auto"/>
            </w:tcBorders>
            <w:vAlign w:val="center"/>
          </w:tcPr>
          <w:p w14:paraId="3B24C6F4"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W5</w:t>
            </w:r>
          </w:p>
        </w:tc>
        <w:tc>
          <w:tcPr>
            <w:tcW w:w="294" w:type="pct"/>
            <w:tcBorders>
              <w:top w:val="single" w:sz="4" w:space="0" w:color="auto"/>
              <w:left w:val="single" w:sz="4" w:space="0" w:color="auto"/>
              <w:bottom w:val="single" w:sz="4" w:space="0" w:color="auto"/>
              <w:right w:val="single" w:sz="4" w:space="0" w:color="auto"/>
            </w:tcBorders>
            <w:vAlign w:val="center"/>
          </w:tcPr>
          <w:p w14:paraId="0CF14E4B"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W6</w:t>
            </w:r>
          </w:p>
        </w:tc>
        <w:tc>
          <w:tcPr>
            <w:tcW w:w="300" w:type="pct"/>
            <w:tcBorders>
              <w:left w:val="single" w:sz="4" w:space="0" w:color="auto"/>
              <w:right w:val="single" w:sz="4" w:space="0" w:color="auto"/>
            </w:tcBorders>
          </w:tcPr>
          <w:p w14:paraId="205549F2" w14:textId="77777777" w:rsidR="002040E7" w:rsidRPr="00E44F28" w:rsidRDefault="00DA3174" w:rsidP="00D124BD">
            <w:pPr>
              <w:spacing w:before="80" w:after="80"/>
              <w:jc w:val="center"/>
              <w:rPr>
                <w:rFonts w:ascii="Arial" w:hAnsi="Arial" w:cs="Arial"/>
                <w:b/>
                <w:bCs/>
                <w:sz w:val="18"/>
                <w:szCs w:val="18"/>
              </w:rPr>
            </w:pPr>
            <w:r w:rsidRPr="00E44F28">
              <w:rPr>
                <w:rFonts w:ascii="Arial" w:hAnsi="Arial" w:cs="Arial"/>
                <w:b/>
                <w:bCs/>
                <w:sz w:val="18"/>
                <w:szCs w:val="18"/>
              </w:rPr>
              <w:t>W7</w:t>
            </w:r>
          </w:p>
        </w:tc>
        <w:tc>
          <w:tcPr>
            <w:tcW w:w="663" w:type="pct"/>
            <w:vMerge/>
            <w:tcBorders>
              <w:left w:val="single" w:sz="4" w:space="0" w:color="auto"/>
              <w:right w:val="single" w:sz="4" w:space="0" w:color="auto"/>
            </w:tcBorders>
          </w:tcPr>
          <w:p w14:paraId="03029352" w14:textId="77777777" w:rsidR="002040E7" w:rsidRPr="00E44F28" w:rsidRDefault="002040E7" w:rsidP="00D124BD">
            <w:pPr>
              <w:spacing w:before="80" w:after="80"/>
              <w:jc w:val="center"/>
              <w:rPr>
                <w:rFonts w:ascii="Arial" w:hAnsi="Arial" w:cs="Arial"/>
                <w:b/>
                <w:bCs/>
                <w:sz w:val="18"/>
                <w:szCs w:val="18"/>
              </w:rPr>
            </w:pPr>
          </w:p>
        </w:tc>
        <w:tc>
          <w:tcPr>
            <w:tcW w:w="1288" w:type="pct"/>
            <w:gridSpan w:val="2"/>
            <w:vMerge/>
            <w:tcBorders>
              <w:left w:val="single" w:sz="4" w:space="0" w:color="auto"/>
              <w:right w:val="single" w:sz="4" w:space="0" w:color="auto"/>
            </w:tcBorders>
            <w:vAlign w:val="center"/>
          </w:tcPr>
          <w:p w14:paraId="14DA726E" w14:textId="77777777" w:rsidR="002040E7" w:rsidRPr="00E44F28" w:rsidRDefault="002040E7" w:rsidP="00D124BD">
            <w:pPr>
              <w:spacing w:before="80" w:after="80"/>
              <w:rPr>
                <w:rFonts w:ascii="Arial" w:hAnsi="Arial" w:cs="Arial"/>
                <w:sz w:val="18"/>
                <w:szCs w:val="18"/>
              </w:rPr>
            </w:pPr>
          </w:p>
        </w:tc>
      </w:tr>
      <w:tr w:rsidR="002108B2" w:rsidRPr="00E44F28" w14:paraId="7F7049B8" w14:textId="77777777" w:rsidTr="00274652">
        <w:trPr>
          <w:cantSplit/>
          <w:tblHeader/>
          <w:jc w:val="center"/>
        </w:trPr>
        <w:tc>
          <w:tcPr>
            <w:tcW w:w="631" w:type="pct"/>
            <w:vMerge/>
            <w:tcBorders>
              <w:left w:val="single" w:sz="4" w:space="0" w:color="auto"/>
              <w:bottom w:val="single" w:sz="4" w:space="0" w:color="auto"/>
              <w:right w:val="single" w:sz="4" w:space="0" w:color="auto"/>
            </w:tcBorders>
            <w:vAlign w:val="center"/>
            <w:hideMark/>
          </w:tcPr>
          <w:p w14:paraId="7E0BBE99" w14:textId="77777777" w:rsidR="002040E7" w:rsidRPr="00E44F28" w:rsidRDefault="002040E7" w:rsidP="00D124BD">
            <w:pPr>
              <w:spacing w:before="80" w:after="80"/>
              <w:jc w:val="center"/>
              <w:rPr>
                <w:rFonts w:ascii="Arial" w:hAnsi="Arial" w:cs="Arial"/>
                <w:b/>
                <w:sz w:val="18"/>
                <w:szCs w:val="18"/>
              </w:rPr>
            </w:pPr>
          </w:p>
        </w:tc>
        <w:tc>
          <w:tcPr>
            <w:tcW w:w="384" w:type="pct"/>
            <w:vMerge/>
            <w:tcBorders>
              <w:left w:val="single" w:sz="4" w:space="0" w:color="auto"/>
              <w:bottom w:val="single" w:sz="4" w:space="0" w:color="auto"/>
              <w:right w:val="single" w:sz="4" w:space="0" w:color="auto"/>
            </w:tcBorders>
            <w:vAlign w:val="center"/>
            <w:hideMark/>
          </w:tcPr>
          <w:p w14:paraId="239BFF8D" w14:textId="77777777" w:rsidR="002040E7" w:rsidRPr="00E44F28" w:rsidRDefault="002040E7" w:rsidP="00D124BD">
            <w:pPr>
              <w:spacing w:before="80" w:after="80"/>
              <w:jc w:val="center"/>
              <w:rPr>
                <w:rFonts w:ascii="Arial" w:hAnsi="Arial" w:cs="Arial"/>
                <w:b/>
                <w:sz w:val="18"/>
                <w:szCs w:val="18"/>
              </w:rPr>
            </w:pPr>
          </w:p>
        </w:tc>
        <w:tc>
          <w:tcPr>
            <w:tcW w:w="277" w:type="pct"/>
            <w:tcBorders>
              <w:top w:val="single" w:sz="4" w:space="0" w:color="auto"/>
              <w:left w:val="single" w:sz="4" w:space="0" w:color="auto"/>
              <w:bottom w:val="single" w:sz="4" w:space="0" w:color="auto"/>
              <w:right w:val="single" w:sz="4" w:space="0" w:color="auto"/>
            </w:tcBorders>
            <w:vAlign w:val="center"/>
            <w:hideMark/>
          </w:tcPr>
          <w:p w14:paraId="32A78363"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D1</w:t>
            </w:r>
          </w:p>
        </w:tc>
        <w:tc>
          <w:tcPr>
            <w:tcW w:w="285" w:type="pct"/>
            <w:tcBorders>
              <w:top w:val="single" w:sz="4" w:space="0" w:color="auto"/>
              <w:left w:val="single" w:sz="4" w:space="0" w:color="auto"/>
              <w:bottom w:val="single" w:sz="4" w:space="0" w:color="auto"/>
              <w:right w:val="single" w:sz="4" w:space="0" w:color="auto"/>
            </w:tcBorders>
            <w:vAlign w:val="center"/>
            <w:hideMark/>
          </w:tcPr>
          <w:p w14:paraId="5F684B86"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D8</w:t>
            </w:r>
          </w:p>
        </w:tc>
        <w:tc>
          <w:tcPr>
            <w:tcW w:w="285" w:type="pct"/>
            <w:tcBorders>
              <w:top w:val="single" w:sz="4" w:space="0" w:color="auto"/>
              <w:left w:val="single" w:sz="4" w:space="0" w:color="auto"/>
              <w:bottom w:val="single" w:sz="4" w:space="0" w:color="auto"/>
              <w:right w:val="single" w:sz="4" w:space="0" w:color="auto"/>
            </w:tcBorders>
            <w:vAlign w:val="center"/>
          </w:tcPr>
          <w:p w14:paraId="3F26365C"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D15</w:t>
            </w:r>
          </w:p>
        </w:tc>
        <w:tc>
          <w:tcPr>
            <w:tcW w:w="295" w:type="pct"/>
            <w:tcBorders>
              <w:top w:val="single" w:sz="4" w:space="0" w:color="auto"/>
              <w:left w:val="single" w:sz="4" w:space="0" w:color="auto"/>
              <w:bottom w:val="single" w:sz="4" w:space="0" w:color="auto"/>
              <w:right w:val="single" w:sz="4" w:space="0" w:color="auto"/>
            </w:tcBorders>
            <w:vAlign w:val="center"/>
            <w:hideMark/>
          </w:tcPr>
          <w:p w14:paraId="380049BB"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D22</w:t>
            </w:r>
          </w:p>
        </w:tc>
        <w:tc>
          <w:tcPr>
            <w:tcW w:w="298" w:type="pct"/>
            <w:tcBorders>
              <w:top w:val="single" w:sz="4" w:space="0" w:color="auto"/>
              <w:left w:val="single" w:sz="4" w:space="0" w:color="auto"/>
              <w:bottom w:val="single" w:sz="4" w:space="0" w:color="auto"/>
              <w:right w:val="single" w:sz="4" w:space="0" w:color="auto"/>
            </w:tcBorders>
            <w:vAlign w:val="center"/>
            <w:hideMark/>
          </w:tcPr>
          <w:p w14:paraId="7E194A65"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D29</w:t>
            </w:r>
          </w:p>
        </w:tc>
        <w:tc>
          <w:tcPr>
            <w:tcW w:w="294" w:type="pct"/>
            <w:tcBorders>
              <w:top w:val="single" w:sz="4" w:space="0" w:color="auto"/>
              <w:left w:val="single" w:sz="4" w:space="0" w:color="auto"/>
              <w:bottom w:val="single" w:sz="4" w:space="0" w:color="auto"/>
              <w:right w:val="single" w:sz="4" w:space="0" w:color="auto"/>
            </w:tcBorders>
            <w:vAlign w:val="center"/>
            <w:hideMark/>
          </w:tcPr>
          <w:p w14:paraId="2B47FF20"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D36</w:t>
            </w:r>
          </w:p>
        </w:tc>
        <w:tc>
          <w:tcPr>
            <w:tcW w:w="300" w:type="pct"/>
            <w:tcBorders>
              <w:left w:val="single" w:sz="4" w:space="0" w:color="auto"/>
              <w:right w:val="single" w:sz="4" w:space="0" w:color="auto"/>
            </w:tcBorders>
            <w:vAlign w:val="center"/>
          </w:tcPr>
          <w:p w14:paraId="041340FA" w14:textId="77777777" w:rsidR="002040E7" w:rsidRPr="00E44F28" w:rsidRDefault="00DA3174" w:rsidP="00D124BD">
            <w:pPr>
              <w:spacing w:before="80" w:after="80"/>
              <w:jc w:val="center"/>
              <w:rPr>
                <w:rFonts w:ascii="Arial" w:hAnsi="Arial" w:cs="Arial"/>
                <w:b/>
                <w:sz w:val="18"/>
                <w:szCs w:val="18"/>
              </w:rPr>
            </w:pPr>
            <w:r w:rsidRPr="00E44F28">
              <w:rPr>
                <w:rFonts w:ascii="Arial" w:hAnsi="Arial" w:cs="Arial"/>
                <w:b/>
                <w:sz w:val="18"/>
                <w:szCs w:val="18"/>
              </w:rPr>
              <w:t>D43</w:t>
            </w:r>
          </w:p>
        </w:tc>
        <w:tc>
          <w:tcPr>
            <w:tcW w:w="663" w:type="pct"/>
            <w:vMerge/>
            <w:tcBorders>
              <w:left w:val="single" w:sz="4" w:space="0" w:color="auto"/>
              <w:right w:val="single" w:sz="4" w:space="0" w:color="auto"/>
            </w:tcBorders>
          </w:tcPr>
          <w:p w14:paraId="71B05BD5" w14:textId="77777777" w:rsidR="002040E7" w:rsidRPr="00E44F28" w:rsidRDefault="002040E7" w:rsidP="00D124BD">
            <w:pPr>
              <w:spacing w:before="80" w:after="80"/>
              <w:jc w:val="center"/>
              <w:rPr>
                <w:rFonts w:ascii="Arial" w:hAnsi="Arial" w:cs="Arial"/>
                <w:b/>
                <w:sz w:val="18"/>
                <w:szCs w:val="18"/>
              </w:rPr>
            </w:pPr>
          </w:p>
        </w:tc>
        <w:tc>
          <w:tcPr>
            <w:tcW w:w="1288" w:type="pct"/>
            <w:gridSpan w:val="2"/>
            <w:vMerge/>
            <w:tcBorders>
              <w:left w:val="single" w:sz="4" w:space="0" w:color="auto"/>
              <w:right w:val="single" w:sz="4" w:space="0" w:color="auto"/>
            </w:tcBorders>
            <w:vAlign w:val="center"/>
          </w:tcPr>
          <w:p w14:paraId="15BFF03E" w14:textId="77777777" w:rsidR="002040E7" w:rsidRPr="00E44F28" w:rsidRDefault="002040E7" w:rsidP="00D124BD">
            <w:pPr>
              <w:spacing w:before="80" w:after="80"/>
              <w:jc w:val="center"/>
              <w:rPr>
                <w:rFonts w:ascii="Arial" w:hAnsi="Arial" w:cs="Arial"/>
                <w:b/>
                <w:sz w:val="18"/>
                <w:szCs w:val="18"/>
              </w:rPr>
            </w:pPr>
          </w:p>
        </w:tc>
      </w:tr>
      <w:tr w:rsidR="002108B2" w:rsidRPr="00E44F28" w14:paraId="6AA3B66B" w14:textId="77777777" w:rsidTr="00274652">
        <w:trPr>
          <w:cantSplit/>
          <w:jc w:val="center"/>
        </w:trPr>
        <w:tc>
          <w:tcPr>
            <w:tcW w:w="5000" w:type="pct"/>
            <w:gridSpan w:val="12"/>
            <w:tcBorders>
              <w:top w:val="single" w:sz="4" w:space="0" w:color="auto"/>
              <w:left w:val="single" w:sz="4" w:space="0" w:color="auto"/>
              <w:bottom w:val="single" w:sz="4" w:space="0" w:color="auto"/>
              <w:right w:val="single" w:sz="4" w:space="0" w:color="auto"/>
            </w:tcBorders>
          </w:tcPr>
          <w:p w14:paraId="11C917D3" w14:textId="77777777" w:rsidR="002040E7" w:rsidRPr="00E44F28" w:rsidRDefault="00DA3174" w:rsidP="00D124BD">
            <w:pPr>
              <w:spacing w:before="80" w:after="80"/>
              <w:jc w:val="center"/>
              <w:rPr>
                <w:rFonts w:ascii="Arial" w:eastAsia="Arial" w:hAnsi="Arial" w:cs="Arial"/>
                <w:b/>
                <w:sz w:val="18"/>
                <w:szCs w:val="18"/>
              </w:rPr>
            </w:pPr>
            <w:r w:rsidRPr="00E44F28">
              <w:rPr>
                <w:rFonts w:ascii="Arial" w:hAnsi="Arial" w:cs="Arial"/>
                <w:b/>
                <w:sz w:val="18"/>
                <w:szCs w:val="18"/>
              </w:rPr>
              <w:t>Administrative Procedures</w:t>
            </w:r>
          </w:p>
        </w:tc>
      </w:tr>
      <w:tr w:rsidR="002108B2" w:rsidRPr="00E44F28" w14:paraId="6CEB30F8" w14:textId="77777777" w:rsidTr="00274652">
        <w:trPr>
          <w:cantSplit/>
          <w:jc w:val="center"/>
        </w:trPr>
        <w:tc>
          <w:tcPr>
            <w:tcW w:w="631" w:type="pct"/>
            <w:tcBorders>
              <w:top w:val="single" w:sz="4" w:space="0" w:color="auto"/>
              <w:left w:val="single" w:sz="4" w:space="0" w:color="auto"/>
              <w:bottom w:val="single" w:sz="4" w:space="0" w:color="auto"/>
              <w:right w:val="single" w:sz="4" w:space="0" w:color="auto"/>
            </w:tcBorders>
            <w:vAlign w:val="center"/>
          </w:tcPr>
          <w:p w14:paraId="259A0CA0" w14:textId="77777777" w:rsidR="002040E7" w:rsidRPr="00E44F28" w:rsidRDefault="00DA3174" w:rsidP="00D124BD">
            <w:pPr>
              <w:spacing w:before="40" w:after="40"/>
              <w:jc w:val="left"/>
              <w:rPr>
                <w:rFonts w:ascii="Arial" w:hAnsi="Arial" w:cs="Arial"/>
                <w:b/>
                <w:bCs/>
                <w:sz w:val="18"/>
                <w:szCs w:val="18"/>
              </w:rPr>
            </w:pPr>
            <w:r w:rsidRPr="00E44F28">
              <w:rPr>
                <w:rFonts w:ascii="Arial" w:hAnsi="Arial" w:cs="Arial"/>
                <w:sz w:val="18"/>
                <w:szCs w:val="18"/>
              </w:rPr>
              <w:t>Written informed consent</w:t>
            </w:r>
          </w:p>
        </w:tc>
        <w:tc>
          <w:tcPr>
            <w:tcW w:w="384" w:type="pct"/>
            <w:tcBorders>
              <w:top w:val="single" w:sz="4" w:space="0" w:color="auto"/>
              <w:left w:val="single" w:sz="4" w:space="0" w:color="auto"/>
              <w:bottom w:val="single" w:sz="4" w:space="0" w:color="auto"/>
              <w:right w:val="single" w:sz="4" w:space="0" w:color="auto"/>
            </w:tcBorders>
            <w:vAlign w:val="center"/>
          </w:tcPr>
          <w:p w14:paraId="21E3233A" w14:textId="77777777" w:rsidR="002040E7" w:rsidRPr="00E44F28" w:rsidRDefault="00DA3174" w:rsidP="00D124BD">
            <w:pPr>
              <w:spacing w:before="40" w:after="40"/>
              <w:jc w:val="center"/>
              <w:rPr>
                <w:rFonts w:ascii="Arial" w:hAnsi="Arial" w:cs="Arial"/>
                <w:sz w:val="18"/>
                <w:szCs w:val="18"/>
              </w:rPr>
            </w:pPr>
            <w:r w:rsidRPr="00E44F28">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1CB3E64" w14:textId="77777777" w:rsidR="002040E7" w:rsidRPr="00E44F28" w:rsidRDefault="002040E7" w:rsidP="00D124BD">
            <w:pPr>
              <w:spacing w:before="80" w:after="80"/>
              <w:jc w:val="center"/>
              <w:rPr>
                <w:rFonts w:ascii="Arial" w:hAnsi="Arial" w:cs="Arial"/>
                <w:b/>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D253F66" w14:textId="77777777" w:rsidR="002040E7" w:rsidRPr="00E44F28" w:rsidRDefault="002040E7" w:rsidP="00D124BD">
            <w:pPr>
              <w:spacing w:before="80" w:after="80"/>
              <w:jc w:val="center"/>
              <w:rPr>
                <w:rFonts w:ascii="Arial" w:hAnsi="Arial" w:cs="Arial"/>
                <w:b/>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8FDE0F4" w14:textId="77777777" w:rsidR="002040E7" w:rsidRPr="00E44F28" w:rsidRDefault="002040E7" w:rsidP="00D124BD">
            <w:pPr>
              <w:spacing w:before="80" w:after="80"/>
              <w:jc w:val="center"/>
              <w:rPr>
                <w:rFonts w:ascii="Arial" w:hAnsi="Arial" w:cs="Arial"/>
                <w:b/>
                <w:sz w:val="18"/>
                <w:szCs w:val="18"/>
              </w:rPr>
            </w:pPr>
          </w:p>
        </w:tc>
        <w:tc>
          <w:tcPr>
            <w:tcW w:w="2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EABD39E" w14:textId="77777777" w:rsidR="002040E7" w:rsidRPr="00E44F28" w:rsidRDefault="002040E7" w:rsidP="00D124BD">
            <w:pPr>
              <w:spacing w:before="80" w:after="80"/>
              <w:jc w:val="center"/>
              <w:rPr>
                <w:rFonts w:ascii="Arial" w:hAnsi="Arial" w:cs="Arial"/>
                <w:b/>
                <w:sz w:val="18"/>
                <w:szCs w:val="18"/>
              </w:rPr>
            </w:pP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0E25294" w14:textId="77777777" w:rsidR="002040E7" w:rsidRPr="00E44F28" w:rsidRDefault="002040E7" w:rsidP="00D124BD">
            <w:pPr>
              <w:spacing w:before="80" w:after="80"/>
              <w:jc w:val="center"/>
              <w:rPr>
                <w:rFonts w:ascii="Arial" w:hAnsi="Arial" w:cs="Arial"/>
                <w:b/>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586CD1D" w14:textId="77777777" w:rsidR="002040E7" w:rsidRPr="00E44F28" w:rsidRDefault="002040E7" w:rsidP="00D124BD">
            <w:pPr>
              <w:spacing w:before="80" w:after="80"/>
              <w:jc w:val="center"/>
              <w:rPr>
                <w:rFonts w:ascii="Arial" w:hAnsi="Arial" w:cs="Arial"/>
                <w:b/>
                <w:sz w:val="18"/>
                <w:szCs w:val="18"/>
              </w:rPr>
            </w:pPr>
          </w:p>
        </w:tc>
        <w:tc>
          <w:tcPr>
            <w:tcW w:w="300" w:type="pct"/>
            <w:tcBorders>
              <w:left w:val="single" w:sz="4" w:space="0" w:color="auto"/>
              <w:right w:val="single" w:sz="4" w:space="0" w:color="auto"/>
            </w:tcBorders>
            <w:shd w:val="clear" w:color="auto" w:fill="BFBFBF" w:themeFill="background1" w:themeFillShade="BF"/>
          </w:tcPr>
          <w:p w14:paraId="6F7780BD" w14:textId="77777777" w:rsidR="002040E7" w:rsidRPr="00E44F28" w:rsidRDefault="002040E7" w:rsidP="00D124BD">
            <w:pPr>
              <w:spacing w:before="80" w:after="80"/>
              <w:rPr>
                <w:rFonts w:ascii="Arial" w:hAnsi="Arial" w:cs="Arial"/>
                <w:sz w:val="18"/>
                <w:szCs w:val="18"/>
              </w:rPr>
            </w:pPr>
          </w:p>
        </w:tc>
        <w:tc>
          <w:tcPr>
            <w:tcW w:w="663" w:type="pct"/>
            <w:tcBorders>
              <w:left w:val="single" w:sz="4" w:space="0" w:color="auto"/>
              <w:right w:val="single" w:sz="4" w:space="0" w:color="auto"/>
            </w:tcBorders>
            <w:shd w:val="clear" w:color="auto" w:fill="BFBFBF" w:themeFill="background1" w:themeFillShade="BF"/>
          </w:tcPr>
          <w:p w14:paraId="5692BD22" w14:textId="77777777" w:rsidR="002040E7" w:rsidRPr="00E44F28" w:rsidRDefault="002040E7" w:rsidP="00D124BD">
            <w:pPr>
              <w:spacing w:before="80" w:after="80"/>
              <w:rPr>
                <w:rFonts w:ascii="Arial" w:hAnsi="Arial" w:cs="Arial"/>
                <w:sz w:val="18"/>
                <w:szCs w:val="18"/>
              </w:rPr>
            </w:pPr>
          </w:p>
        </w:tc>
        <w:tc>
          <w:tcPr>
            <w:tcW w:w="1288" w:type="pct"/>
            <w:gridSpan w:val="2"/>
            <w:tcBorders>
              <w:left w:val="single" w:sz="4" w:space="0" w:color="auto"/>
              <w:right w:val="single" w:sz="4" w:space="0" w:color="auto"/>
            </w:tcBorders>
            <w:shd w:val="clear" w:color="auto" w:fill="auto"/>
            <w:vAlign w:val="center"/>
          </w:tcPr>
          <w:p w14:paraId="566E9F89" w14:textId="525774ED" w:rsidR="002040E7" w:rsidRPr="00E44F28" w:rsidRDefault="00DA3174" w:rsidP="00D124BD">
            <w:pPr>
              <w:spacing w:before="80" w:after="80"/>
              <w:rPr>
                <w:rFonts w:ascii="Arial" w:hAnsi="Arial" w:cs="Arial"/>
                <w:sz w:val="18"/>
                <w:szCs w:val="18"/>
              </w:rPr>
            </w:pPr>
            <w:r w:rsidRPr="00E44F28">
              <w:rPr>
                <w:rFonts w:ascii="Arial" w:hAnsi="Arial" w:cs="Arial"/>
                <w:sz w:val="18"/>
                <w:szCs w:val="18"/>
              </w:rPr>
              <w:t>Screening tests performed as part of routine care prior to informed consent signed will be accepted if they are within 28</w:t>
            </w:r>
            <w:r w:rsidRPr="00E44F28">
              <w:rPr>
                <w:rFonts w:ascii="Arial" w:hAnsi="Arial" w:cs="Arial"/>
                <w:sz w:val="18"/>
                <w:szCs w:val="18"/>
              </w:rPr>
              <w:noBreakHyphen/>
              <w:t xml:space="preserve">day screening window (see Section </w:t>
            </w:r>
            <w:r w:rsidRPr="00E44F28">
              <w:rPr>
                <w:rFonts w:ascii="Arial" w:hAnsi="Arial" w:cs="Arial"/>
                <w:sz w:val="18"/>
                <w:szCs w:val="18"/>
              </w:rPr>
              <w:fldChar w:fldCharType="begin"/>
            </w:r>
            <w:r w:rsidRPr="00E44F28">
              <w:rPr>
                <w:rFonts w:ascii="Arial" w:hAnsi="Arial" w:cs="Arial"/>
                <w:sz w:val="18"/>
                <w:szCs w:val="18"/>
              </w:rPr>
              <w:instrText xml:space="preserve"> REF _Ref34080667 \w \h </w:instrText>
            </w:r>
            <w:r w:rsidR="00AF1814" w:rsidRPr="00E44F28">
              <w:rPr>
                <w:rFonts w:ascii="Arial" w:hAnsi="Arial" w:cs="Arial"/>
                <w:sz w:val="18"/>
                <w:szCs w:val="18"/>
              </w:rPr>
              <w:instrText xml:space="preserve"> \* MERGEFORMAT </w:instrText>
            </w:r>
            <w:r w:rsidRPr="00E44F28">
              <w:rPr>
                <w:rFonts w:ascii="Arial" w:hAnsi="Arial" w:cs="Arial"/>
                <w:sz w:val="18"/>
                <w:szCs w:val="18"/>
              </w:rPr>
            </w:r>
            <w:r w:rsidRPr="00E44F28">
              <w:rPr>
                <w:rFonts w:ascii="Arial" w:hAnsi="Arial" w:cs="Arial"/>
                <w:sz w:val="18"/>
                <w:szCs w:val="18"/>
              </w:rPr>
              <w:fldChar w:fldCharType="separate"/>
            </w:r>
            <w:r w:rsidR="00C548C3" w:rsidRPr="00E44F28">
              <w:rPr>
                <w:rFonts w:ascii="Arial" w:hAnsi="Arial" w:cs="Arial"/>
                <w:sz w:val="18"/>
                <w:szCs w:val="18"/>
              </w:rPr>
              <w:t>5.4</w:t>
            </w:r>
            <w:r w:rsidRPr="00E44F28">
              <w:rPr>
                <w:rFonts w:ascii="Arial" w:hAnsi="Arial" w:cs="Arial"/>
                <w:sz w:val="18"/>
                <w:szCs w:val="18"/>
              </w:rPr>
              <w:fldChar w:fldCharType="end"/>
            </w:r>
            <w:r w:rsidRPr="00E44F28">
              <w:rPr>
                <w:rFonts w:ascii="Arial" w:hAnsi="Arial" w:cs="Arial"/>
                <w:sz w:val="18"/>
                <w:szCs w:val="18"/>
              </w:rPr>
              <w:t>).</w:t>
            </w:r>
          </w:p>
        </w:tc>
      </w:tr>
      <w:tr w:rsidR="002108B2" w:rsidRPr="00AF1814" w14:paraId="2922FA00" w14:textId="77777777" w:rsidTr="00274652">
        <w:trPr>
          <w:cantSplit/>
          <w:jc w:val="center"/>
        </w:trPr>
        <w:tc>
          <w:tcPr>
            <w:tcW w:w="631" w:type="pct"/>
            <w:tcBorders>
              <w:top w:val="single" w:sz="4" w:space="0" w:color="auto"/>
              <w:left w:val="single" w:sz="4" w:space="0" w:color="auto"/>
              <w:bottom w:val="single" w:sz="4" w:space="0" w:color="auto"/>
              <w:right w:val="single" w:sz="4" w:space="0" w:color="auto"/>
            </w:tcBorders>
            <w:vAlign w:val="center"/>
          </w:tcPr>
          <w:p w14:paraId="15C29102" w14:textId="77777777" w:rsidR="002040E7" w:rsidRPr="00AF1814" w:rsidRDefault="00DA3174" w:rsidP="00D124BD">
            <w:pPr>
              <w:spacing w:before="40" w:after="40"/>
              <w:jc w:val="left"/>
              <w:rPr>
                <w:rFonts w:ascii="Arial" w:hAnsi="Arial" w:cs="Arial"/>
                <w:b/>
                <w:bCs/>
                <w:sz w:val="18"/>
                <w:szCs w:val="18"/>
              </w:rPr>
            </w:pPr>
            <w:r w:rsidRPr="00AF1814">
              <w:rPr>
                <w:rFonts w:ascii="Arial" w:hAnsi="Arial" w:cs="Arial"/>
                <w:sz w:val="18"/>
                <w:szCs w:val="18"/>
              </w:rPr>
              <w:t>Inclusion/ exclusion/ enrollment (if eligible)</w:t>
            </w:r>
          </w:p>
        </w:tc>
        <w:tc>
          <w:tcPr>
            <w:tcW w:w="384" w:type="pct"/>
            <w:tcBorders>
              <w:top w:val="single" w:sz="4" w:space="0" w:color="auto"/>
              <w:left w:val="single" w:sz="4" w:space="0" w:color="auto"/>
              <w:bottom w:val="single" w:sz="4" w:space="0" w:color="auto"/>
              <w:right w:val="single" w:sz="4" w:space="0" w:color="auto"/>
            </w:tcBorders>
            <w:vAlign w:val="center"/>
          </w:tcPr>
          <w:p w14:paraId="6441B764" w14:textId="77777777" w:rsidR="002040E7" w:rsidRPr="00AF1814" w:rsidRDefault="00DA3174" w:rsidP="00D124BD">
            <w:pPr>
              <w:spacing w:before="40" w:after="40"/>
              <w:jc w:val="center"/>
              <w:rPr>
                <w:rFonts w:ascii="Arial" w:hAnsi="Arial" w:cs="Arial"/>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2563F9" w14:textId="77777777" w:rsidR="002040E7" w:rsidRPr="00AF1814" w:rsidRDefault="00DA3174" w:rsidP="00D124BD">
            <w:pPr>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792FD5" w14:textId="77777777" w:rsidR="002040E7" w:rsidRPr="00AF1814" w:rsidRDefault="002040E7" w:rsidP="00D124B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D2CD932" w14:textId="77777777" w:rsidR="002040E7" w:rsidRPr="00AF1814" w:rsidRDefault="002040E7" w:rsidP="00D124BD">
            <w:pPr>
              <w:spacing w:before="40" w:after="40"/>
              <w:jc w:val="center"/>
              <w:rPr>
                <w:rFonts w:ascii="Arial" w:hAnsi="Arial" w:cs="Arial"/>
                <w:sz w:val="18"/>
                <w:szCs w:val="18"/>
              </w:rPr>
            </w:pPr>
          </w:p>
        </w:tc>
        <w:tc>
          <w:tcPr>
            <w:tcW w:w="2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950C56" w14:textId="77777777" w:rsidR="002040E7" w:rsidRPr="00AF1814" w:rsidRDefault="002040E7" w:rsidP="00D124BD">
            <w:pPr>
              <w:spacing w:before="40" w:after="40"/>
              <w:jc w:val="center"/>
              <w:rPr>
                <w:rFonts w:ascii="Arial" w:hAnsi="Arial" w:cs="Arial"/>
                <w:sz w:val="18"/>
                <w:szCs w:val="18"/>
              </w:rPr>
            </w:pP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07096C" w14:textId="77777777" w:rsidR="002040E7" w:rsidRPr="00AF1814" w:rsidRDefault="002040E7" w:rsidP="00D124BD">
            <w:pPr>
              <w:spacing w:before="40" w:after="40"/>
              <w:jc w:val="center"/>
              <w:rPr>
                <w:rFonts w:ascii="Arial" w:hAnsi="Arial" w:cs="Arial"/>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014755" w14:textId="77777777" w:rsidR="002040E7" w:rsidRPr="00AF1814" w:rsidRDefault="002040E7" w:rsidP="00D124BD">
            <w:pPr>
              <w:spacing w:before="40" w:after="40"/>
              <w:jc w:val="center"/>
              <w:rPr>
                <w:rFonts w:ascii="Arial" w:hAnsi="Arial" w:cs="Arial"/>
                <w:sz w:val="18"/>
                <w:szCs w:val="18"/>
              </w:rPr>
            </w:pPr>
          </w:p>
        </w:tc>
        <w:tc>
          <w:tcPr>
            <w:tcW w:w="300" w:type="pct"/>
            <w:tcBorders>
              <w:left w:val="single" w:sz="4" w:space="0" w:color="auto"/>
              <w:right w:val="single" w:sz="4" w:space="0" w:color="auto"/>
            </w:tcBorders>
            <w:shd w:val="clear" w:color="auto" w:fill="BFBFBF" w:themeFill="background1" w:themeFillShade="BF"/>
          </w:tcPr>
          <w:p w14:paraId="261A4C37" w14:textId="77777777" w:rsidR="002040E7" w:rsidRPr="00AF1814" w:rsidRDefault="002040E7" w:rsidP="00D124BD">
            <w:pPr>
              <w:spacing w:before="40" w:after="40"/>
              <w:jc w:val="left"/>
              <w:rPr>
                <w:rFonts w:ascii="Arial" w:hAnsi="Arial" w:cs="Arial"/>
                <w:sz w:val="18"/>
                <w:szCs w:val="18"/>
              </w:rPr>
            </w:pPr>
          </w:p>
        </w:tc>
        <w:tc>
          <w:tcPr>
            <w:tcW w:w="663" w:type="pct"/>
            <w:tcBorders>
              <w:left w:val="single" w:sz="4" w:space="0" w:color="auto"/>
              <w:right w:val="single" w:sz="4" w:space="0" w:color="auto"/>
            </w:tcBorders>
            <w:shd w:val="clear" w:color="auto" w:fill="BFBFBF" w:themeFill="background1" w:themeFillShade="BF"/>
          </w:tcPr>
          <w:p w14:paraId="59EAA6A1" w14:textId="77777777" w:rsidR="002040E7" w:rsidRPr="00AF1814" w:rsidRDefault="002040E7" w:rsidP="00D124BD">
            <w:pPr>
              <w:spacing w:before="40" w:after="40"/>
              <w:jc w:val="left"/>
              <w:rPr>
                <w:rFonts w:ascii="Arial" w:hAnsi="Arial" w:cs="Arial"/>
                <w:sz w:val="18"/>
                <w:szCs w:val="18"/>
              </w:rPr>
            </w:pPr>
          </w:p>
        </w:tc>
        <w:tc>
          <w:tcPr>
            <w:tcW w:w="1288" w:type="pct"/>
            <w:gridSpan w:val="2"/>
            <w:tcBorders>
              <w:left w:val="single" w:sz="4" w:space="0" w:color="auto"/>
              <w:right w:val="single" w:sz="4" w:space="0" w:color="auto"/>
            </w:tcBorders>
            <w:shd w:val="clear" w:color="auto" w:fill="BFBFBF" w:themeFill="background1" w:themeFillShade="BF"/>
            <w:vAlign w:val="center"/>
          </w:tcPr>
          <w:p w14:paraId="1A0767BA" w14:textId="77777777" w:rsidR="002040E7" w:rsidRPr="00AF1814" w:rsidRDefault="002040E7" w:rsidP="00D124BD">
            <w:pPr>
              <w:spacing w:before="40" w:after="40"/>
              <w:jc w:val="left"/>
              <w:rPr>
                <w:rFonts w:ascii="Arial" w:hAnsi="Arial" w:cs="Arial"/>
                <w:sz w:val="18"/>
                <w:szCs w:val="18"/>
              </w:rPr>
            </w:pPr>
          </w:p>
        </w:tc>
      </w:tr>
      <w:tr w:rsidR="002108B2" w:rsidRPr="00AF1814" w14:paraId="65AD33D3" w14:textId="77777777" w:rsidTr="00274652">
        <w:trPr>
          <w:cantSplit/>
          <w:jc w:val="center"/>
        </w:trPr>
        <w:tc>
          <w:tcPr>
            <w:tcW w:w="631" w:type="pct"/>
            <w:tcBorders>
              <w:top w:val="single" w:sz="4" w:space="0" w:color="auto"/>
              <w:left w:val="single" w:sz="4" w:space="0" w:color="auto"/>
              <w:bottom w:val="single" w:sz="4" w:space="0" w:color="auto"/>
              <w:right w:val="single" w:sz="4" w:space="0" w:color="auto"/>
            </w:tcBorders>
            <w:vAlign w:val="center"/>
          </w:tcPr>
          <w:p w14:paraId="3DDDAB04" w14:textId="77777777" w:rsidR="002040E7" w:rsidRPr="00AF1814" w:rsidRDefault="00DA3174" w:rsidP="00D124BD">
            <w:pPr>
              <w:spacing w:before="40" w:after="40"/>
              <w:jc w:val="left"/>
              <w:rPr>
                <w:rFonts w:ascii="Arial" w:hAnsi="Arial" w:cs="Arial"/>
                <w:b/>
                <w:bCs/>
                <w:sz w:val="18"/>
                <w:szCs w:val="18"/>
              </w:rPr>
            </w:pPr>
            <w:r w:rsidRPr="00AF1814">
              <w:rPr>
                <w:rFonts w:ascii="Arial" w:hAnsi="Arial" w:cs="Arial"/>
                <w:sz w:val="18"/>
                <w:szCs w:val="18"/>
              </w:rPr>
              <w:t>Demographic data</w:t>
            </w:r>
          </w:p>
        </w:tc>
        <w:tc>
          <w:tcPr>
            <w:tcW w:w="384" w:type="pct"/>
            <w:tcBorders>
              <w:top w:val="single" w:sz="4" w:space="0" w:color="auto"/>
              <w:left w:val="single" w:sz="4" w:space="0" w:color="auto"/>
              <w:bottom w:val="single" w:sz="4" w:space="0" w:color="auto"/>
              <w:right w:val="single" w:sz="4" w:space="0" w:color="auto"/>
            </w:tcBorders>
            <w:vAlign w:val="center"/>
          </w:tcPr>
          <w:p w14:paraId="7BF68A32" w14:textId="77777777" w:rsidR="002040E7" w:rsidRPr="00AF1814" w:rsidRDefault="00DA3174" w:rsidP="00D124BD">
            <w:pPr>
              <w:spacing w:before="40" w:after="40"/>
              <w:jc w:val="center"/>
              <w:rPr>
                <w:rFonts w:ascii="Arial" w:hAnsi="Arial" w:cs="Arial"/>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C20A6E3" w14:textId="77777777" w:rsidR="002040E7" w:rsidRPr="00AF1814" w:rsidRDefault="002040E7" w:rsidP="00D124B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BAF1CB8" w14:textId="77777777" w:rsidR="002040E7" w:rsidRPr="00AF1814" w:rsidRDefault="002040E7" w:rsidP="00D124B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D98E9" w14:textId="77777777" w:rsidR="002040E7" w:rsidRPr="00AF1814" w:rsidRDefault="002040E7" w:rsidP="00D124BD">
            <w:pPr>
              <w:spacing w:before="40" w:after="40"/>
              <w:jc w:val="center"/>
              <w:rPr>
                <w:rFonts w:ascii="Arial" w:hAnsi="Arial" w:cs="Arial"/>
                <w:sz w:val="18"/>
                <w:szCs w:val="18"/>
              </w:rPr>
            </w:pPr>
          </w:p>
        </w:tc>
        <w:tc>
          <w:tcPr>
            <w:tcW w:w="2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0FE2DC" w14:textId="77777777" w:rsidR="002040E7" w:rsidRPr="00AF1814" w:rsidRDefault="002040E7" w:rsidP="00D124BD">
            <w:pPr>
              <w:spacing w:before="40" w:after="40"/>
              <w:jc w:val="center"/>
              <w:rPr>
                <w:rFonts w:ascii="Arial" w:hAnsi="Arial" w:cs="Arial"/>
                <w:sz w:val="18"/>
                <w:szCs w:val="18"/>
              </w:rPr>
            </w:pP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7EDEF3" w14:textId="77777777" w:rsidR="002040E7" w:rsidRPr="00AF1814" w:rsidRDefault="002040E7" w:rsidP="00D124BD">
            <w:pPr>
              <w:spacing w:before="40" w:after="40"/>
              <w:jc w:val="center"/>
              <w:rPr>
                <w:rFonts w:ascii="Arial" w:hAnsi="Arial" w:cs="Arial"/>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3BDFA1" w14:textId="77777777" w:rsidR="002040E7" w:rsidRPr="00AF1814" w:rsidRDefault="002040E7" w:rsidP="00D124BD">
            <w:pPr>
              <w:spacing w:before="40" w:after="40"/>
              <w:jc w:val="center"/>
              <w:rPr>
                <w:rFonts w:ascii="Arial" w:hAnsi="Arial" w:cs="Arial"/>
                <w:sz w:val="18"/>
                <w:szCs w:val="18"/>
              </w:rPr>
            </w:pPr>
          </w:p>
        </w:tc>
        <w:tc>
          <w:tcPr>
            <w:tcW w:w="300" w:type="pct"/>
            <w:tcBorders>
              <w:left w:val="single" w:sz="4" w:space="0" w:color="auto"/>
              <w:right w:val="single" w:sz="4" w:space="0" w:color="auto"/>
            </w:tcBorders>
            <w:shd w:val="clear" w:color="auto" w:fill="BFBFBF" w:themeFill="background1" w:themeFillShade="BF"/>
          </w:tcPr>
          <w:p w14:paraId="2AFEE4AD" w14:textId="77777777" w:rsidR="002040E7" w:rsidRPr="00AF1814" w:rsidRDefault="002040E7" w:rsidP="00D124BD">
            <w:pPr>
              <w:spacing w:before="40" w:after="40"/>
              <w:jc w:val="left"/>
              <w:rPr>
                <w:rFonts w:ascii="Arial" w:hAnsi="Arial" w:cs="Arial"/>
                <w:sz w:val="18"/>
                <w:szCs w:val="18"/>
              </w:rPr>
            </w:pPr>
          </w:p>
        </w:tc>
        <w:tc>
          <w:tcPr>
            <w:tcW w:w="663" w:type="pct"/>
            <w:tcBorders>
              <w:left w:val="single" w:sz="4" w:space="0" w:color="auto"/>
              <w:right w:val="single" w:sz="4" w:space="0" w:color="auto"/>
            </w:tcBorders>
            <w:shd w:val="clear" w:color="auto" w:fill="BFBFBF" w:themeFill="background1" w:themeFillShade="BF"/>
          </w:tcPr>
          <w:p w14:paraId="0F979BBE" w14:textId="77777777" w:rsidR="002040E7" w:rsidRPr="00AF1814" w:rsidRDefault="002040E7" w:rsidP="00D124BD">
            <w:pPr>
              <w:spacing w:before="40" w:after="40"/>
              <w:jc w:val="left"/>
              <w:rPr>
                <w:rFonts w:ascii="Arial" w:hAnsi="Arial" w:cs="Arial"/>
                <w:sz w:val="18"/>
                <w:szCs w:val="18"/>
              </w:rPr>
            </w:pPr>
          </w:p>
        </w:tc>
        <w:tc>
          <w:tcPr>
            <w:tcW w:w="1288" w:type="pct"/>
            <w:gridSpan w:val="2"/>
            <w:tcBorders>
              <w:left w:val="single" w:sz="4" w:space="0" w:color="auto"/>
              <w:right w:val="single" w:sz="4" w:space="0" w:color="auto"/>
            </w:tcBorders>
            <w:shd w:val="clear" w:color="auto" w:fill="BFBFBF" w:themeFill="background1" w:themeFillShade="BF"/>
            <w:vAlign w:val="center"/>
          </w:tcPr>
          <w:p w14:paraId="463E78CD" w14:textId="77777777" w:rsidR="002040E7" w:rsidRPr="00AF1814" w:rsidRDefault="002040E7" w:rsidP="00D124BD">
            <w:pPr>
              <w:spacing w:before="40" w:after="40"/>
              <w:jc w:val="left"/>
              <w:rPr>
                <w:rFonts w:ascii="Arial" w:hAnsi="Arial" w:cs="Arial"/>
                <w:sz w:val="18"/>
                <w:szCs w:val="18"/>
              </w:rPr>
            </w:pPr>
          </w:p>
        </w:tc>
      </w:tr>
      <w:tr w:rsidR="002108B2" w:rsidRPr="00AF1814" w14:paraId="0104456C" w14:textId="77777777" w:rsidTr="00274652">
        <w:trPr>
          <w:cantSplit/>
          <w:jc w:val="center"/>
        </w:trPr>
        <w:tc>
          <w:tcPr>
            <w:tcW w:w="631" w:type="pct"/>
            <w:tcBorders>
              <w:top w:val="single" w:sz="4" w:space="0" w:color="auto"/>
              <w:left w:val="single" w:sz="4" w:space="0" w:color="auto"/>
              <w:bottom w:val="single" w:sz="4" w:space="0" w:color="auto"/>
              <w:right w:val="single" w:sz="4" w:space="0" w:color="auto"/>
            </w:tcBorders>
            <w:vAlign w:val="center"/>
          </w:tcPr>
          <w:p w14:paraId="40AA204F" w14:textId="77777777" w:rsidR="002040E7" w:rsidRPr="00AF1814" w:rsidRDefault="00DA3174" w:rsidP="00D124BD">
            <w:pPr>
              <w:spacing w:before="40" w:after="40"/>
              <w:jc w:val="left"/>
              <w:rPr>
                <w:rFonts w:ascii="Arial" w:hAnsi="Arial" w:cs="Arial"/>
                <w:b/>
                <w:bCs/>
                <w:sz w:val="18"/>
                <w:szCs w:val="18"/>
              </w:rPr>
            </w:pPr>
            <w:r w:rsidRPr="00AF1814">
              <w:rPr>
                <w:rFonts w:ascii="Arial" w:hAnsi="Arial" w:cs="Arial"/>
                <w:sz w:val="18"/>
                <w:szCs w:val="18"/>
              </w:rPr>
              <w:t xml:space="preserve">Medical history </w:t>
            </w:r>
          </w:p>
        </w:tc>
        <w:tc>
          <w:tcPr>
            <w:tcW w:w="384" w:type="pct"/>
            <w:tcBorders>
              <w:top w:val="single" w:sz="4" w:space="0" w:color="auto"/>
              <w:left w:val="single" w:sz="4" w:space="0" w:color="auto"/>
              <w:bottom w:val="single" w:sz="4" w:space="0" w:color="auto"/>
              <w:right w:val="single" w:sz="4" w:space="0" w:color="auto"/>
            </w:tcBorders>
            <w:vAlign w:val="center"/>
          </w:tcPr>
          <w:p w14:paraId="59A65DCD" w14:textId="77777777" w:rsidR="002040E7" w:rsidRPr="00AF1814" w:rsidRDefault="00DA3174" w:rsidP="00D124BD">
            <w:pPr>
              <w:spacing w:before="40" w:after="40"/>
              <w:jc w:val="center"/>
              <w:rPr>
                <w:rFonts w:ascii="Arial" w:hAnsi="Arial" w:cs="Arial"/>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E6958EA" w14:textId="77777777" w:rsidR="002040E7" w:rsidRPr="00AF1814" w:rsidRDefault="002040E7" w:rsidP="00D124B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A84E1E0" w14:textId="77777777" w:rsidR="002040E7" w:rsidRPr="00AF1814" w:rsidRDefault="002040E7" w:rsidP="00D124B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6DA1230" w14:textId="77777777" w:rsidR="002040E7" w:rsidRPr="00AF1814" w:rsidRDefault="002040E7" w:rsidP="00D124BD">
            <w:pPr>
              <w:spacing w:before="40" w:after="40"/>
              <w:jc w:val="center"/>
              <w:rPr>
                <w:rFonts w:ascii="Arial" w:hAnsi="Arial" w:cs="Arial"/>
                <w:sz w:val="18"/>
                <w:szCs w:val="18"/>
              </w:rPr>
            </w:pPr>
          </w:p>
        </w:tc>
        <w:tc>
          <w:tcPr>
            <w:tcW w:w="2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F87DAD" w14:textId="77777777" w:rsidR="002040E7" w:rsidRPr="00AF1814" w:rsidRDefault="002040E7" w:rsidP="00D124BD">
            <w:pPr>
              <w:spacing w:before="40" w:after="40"/>
              <w:jc w:val="center"/>
              <w:rPr>
                <w:rFonts w:ascii="Arial" w:hAnsi="Arial" w:cs="Arial"/>
                <w:sz w:val="18"/>
                <w:szCs w:val="18"/>
              </w:rPr>
            </w:pP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FA1F34" w14:textId="77777777" w:rsidR="002040E7" w:rsidRPr="00AF1814" w:rsidRDefault="002040E7" w:rsidP="00D124BD">
            <w:pPr>
              <w:spacing w:before="40" w:after="40"/>
              <w:jc w:val="center"/>
              <w:rPr>
                <w:rFonts w:ascii="Arial" w:hAnsi="Arial" w:cs="Arial"/>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8BE10F" w14:textId="77777777" w:rsidR="002040E7" w:rsidRPr="00AF1814" w:rsidRDefault="002040E7" w:rsidP="00D124BD">
            <w:pPr>
              <w:spacing w:before="40" w:after="40"/>
              <w:jc w:val="center"/>
              <w:rPr>
                <w:rFonts w:ascii="Arial" w:hAnsi="Arial" w:cs="Arial"/>
                <w:sz w:val="18"/>
                <w:szCs w:val="18"/>
              </w:rPr>
            </w:pPr>
          </w:p>
        </w:tc>
        <w:tc>
          <w:tcPr>
            <w:tcW w:w="300" w:type="pct"/>
            <w:tcBorders>
              <w:left w:val="single" w:sz="4" w:space="0" w:color="auto"/>
              <w:right w:val="single" w:sz="4" w:space="0" w:color="auto"/>
            </w:tcBorders>
            <w:shd w:val="clear" w:color="auto" w:fill="BFBFBF" w:themeFill="background1" w:themeFillShade="BF"/>
          </w:tcPr>
          <w:p w14:paraId="4C45EE1D" w14:textId="77777777" w:rsidR="002040E7" w:rsidRPr="00AF1814" w:rsidRDefault="002040E7" w:rsidP="00D124BD">
            <w:pPr>
              <w:spacing w:before="40" w:after="40"/>
              <w:jc w:val="left"/>
              <w:rPr>
                <w:rFonts w:ascii="Arial" w:hAnsi="Arial" w:cs="Arial"/>
                <w:sz w:val="18"/>
                <w:szCs w:val="18"/>
              </w:rPr>
            </w:pPr>
          </w:p>
        </w:tc>
        <w:tc>
          <w:tcPr>
            <w:tcW w:w="663" w:type="pct"/>
            <w:tcBorders>
              <w:left w:val="single" w:sz="4" w:space="0" w:color="auto"/>
              <w:right w:val="single" w:sz="4" w:space="0" w:color="auto"/>
            </w:tcBorders>
            <w:shd w:val="clear" w:color="auto" w:fill="BFBFBF" w:themeFill="background1" w:themeFillShade="BF"/>
          </w:tcPr>
          <w:p w14:paraId="31CCBD81" w14:textId="77777777" w:rsidR="002040E7" w:rsidRPr="00AF1814" w:rsidRDefault="002040E7" w:rsidP="00D124BD">
            <w:pPr>
              <w:spacing w:before="40" w:after="40"/>
              <w:jc w:val="left"/>
              <w:rPr>
                <w:rFonts w:ascii="Arial" w:hAnsi="Arial" w:cs="Arial"/>
                <w:sz w:val="18"/>
                <w:szCs w:val="18"/>
              </w:rPr>
            </w:pPr>
          </w:p>
        </w:tc>
        <w:tc>
          <w:tcPr>
            <w:tcW w:w="1288" w:type="pct"/>
            <w:gridSpan w:val="2"/>
            <w:tcBorders>
              <w:left w:val="single" w:sz="4" w:space="0" w:color="auto"/>
              <w:right w:val="single" w:sz="4" w:space="0" w:color="auto"/>
            </w:tcBorders>
            <w:shd w:val="clear" w:color="auto" w:fill="BFBFBF" w:themeFill="background1" w:themeFillShade="BF"/>
            <w:vAlign w:val="center"/>
          </w:tcPr>
          <w:p w14:paraId="168ED814" w14:textId="77777777" w:rsidR="002040E7" w:rsidRPr="00AF1814" w:rsidRDefault="002040E7" w:rsidP="00D124BD">
            <w:pPr>
              <w:spacing w:before="40" w:after="40"/>
              <w:jc w:val="left"/>
              <w:rPr>
                <w:rFonts w:ascii="Arial" w:hAnsi="Arial" w:cs="Arial"/>
                <w:sz w:val="18"/>
                <w:szCs w:val="18"/>
              </w:rPr>
            </w:pPr>
          </w:p>
        </w:tc>
      </w:tr>
      <w:tr w:rsidR="002108B2" w:rsidRPr="00AF1814" w14:paraId="25B62A9C" w14:textId="77777777" w:rsidTr="00274652">
        <w:trPr>
          <w:cantSplit/>
          <w:jc w:val="center"/>
        </w:trPr>
        <w:tc>
          <w:tcPr>
            <w:tcW w:w="631" w:type="pct"/>
            <w:tcBorders>
              <w:top w:val="single" w:sz="4" w:space="0" w:color="auto"/>
              <w:left w:val="single" w:sz="4" w:space="0" w:color="auto"/>
              <w:bottom w:val="single" w:sz="4" w:space="0" w:color="auto"/>
              <w:right w:val="single" w:sz="4" w:space="0" w:color="auto"/>
            </w:tcBorders>
            <w:vAlign w:val="center"/>
          </w:tcPr>
          <w:p w14:paraId="1BE7DEA8" w14:textId="50B99827" w:rsidR="002040E7" w:rsidRPr="00AF1814" w:rsidRDefault="00DA3174" w:rsidP="00534EC9">
            <w:pPr>
              <w:keepLines/>
              <w:widowControl w:val="0"/>
              <w:spacing w:before="40" w:after="40"/>
              <w:jc w:val="left"/>
              <w:rPr>
                <w:rFonts w:ascii="Arial" w:hAnsi="Arial" w:cs="Arial"/>
                <w:sz w:val="18"/>
                <w:szCs w:val="18"/>
              </w:rPr>
            </w:pPr>
            <w:r w:rsidRPr="00AF1814">
              <w:rPr>
                <w:rFonts w:ascii="Arial" w:hAnsi="Arial" w:cs="Arial"/>
                <w:sz w:val="18"/>
                <w:szCs w:val="18"/>
              </w:rPr>
              <w:t>Prior anti</w:t>
            </w:r>
            <w:r w:rsidR="00D77787">
              <w:rPr>
                <w:rFonts w:ascii="Arial" w:hAnsi="Arial" w:cs="Arial"/>
                <w:sz w:val="18"/>
                <w:szCs w:val="18"/>
              </w:rPr>
              <w:noBreakHyphen/>
            </w:r>
            <w:r w:rsidRPr="00AF1814">
              <w:rPr>
                <w:rFonts w:ascii="Arial" w:hAnsi="Arial" w:cs="Arial"/>
                <w:sz w:val="18"/>
                <w:szCs w:val="18"/>
              </w:rPr>
              <w:t>cancer drug/</w:t>
            </w:r>
            <w:r w:rsidRPr="00AF1814">
              <w:br/>
            </w:r>
            <w:r w:rsidRPr="00AF1814">
              <w:rPr>
                <w:rFonts w:ascii="Arial" w:hAnsi="Arial" w:cs="Arial"/>
                <w:sz w:val="18"/>
                <w:szCs w:val="18"/>
              </w:rPr>
              <w:t>radiotherapy/</w:t>
            </w:r>
            <w:r w:rsidRPr="00AF1814">
              <w:br/>
            </w:r>
            <w:r w:rsidRPr="00AF1814">
              <w:rPr>
                <w:rFonts w:ascii="Arial" w:hAnsi="Arial" w:cs="Arial"/>
                <w:sz w:val="18"/>
                <w:szCs w:val="18"/>
              </w:rPr>
              <w:t>procedures for Baseline visit</w:t>
            </w:r>
          </w:p>
        </w:tc>
        <w:tc>
          <w:tcPr>
            <w:tcW w:w="384" w:type="pct"/>
            <w:tcBorders>
              <w:top w:val="single" w:sz="4" w:space="0" w:color="auto"/>
              <w:left w:val="single" w:sz="4" w:space="0" w:color="auto"/>
              <w:bottom w:val="single" w:sz="4" w:space="0" w:color="auto"/>
              <w:right w:val="single" w:sz="4" w:space="0" w:color="auto"/>
            </w:tcBorders>
            <w:vAlign w:val="center"/>
          </w:tcPr>
          <w:p w14:paraId="2955A322" w14:textId="77777777" w:rsidR="002040E7" w:rsidRPr="00AF1814" w:rsidRDefault="00DA3174" w:rsidP="00D124BD">
            <w:pPr>
              <w:spacing w:before="40" w:after="40"/>
              <w:jc w:val="center"/>
              <w:rPr>
                <w:rFonts w:ascii="Arial" w:hAnsi="Arial" w:cs="Arial"/>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6014FF" w14:textId="77777777" w:rsidR="002040E7" w:rsidRPr="00AF1814" w:rsidRDefault="002040E7" w:rsidP="00D124B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2126153" w14:textId="77777777" w:rsidR="002040E7" w:rsidRPr="00AF1814" w:rsidRDefault="002040E7" w:rsidP="00D124B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62C97D9" w14:textId="77777777" w:rsidR="002040E7" w:rsidRPr="00AF1814" w:rsidRDefault="002040E7" w:rsidP="00D124BD">
            <w:pPr>
              <w:spacing w:before="40" w:after="40"/>
              <w:jc w:val="center"/>
              <w:rPr>
                <w:rFonts w:ascii="Arial" w:hAnsi="Arial" w:cs="Arial"/>
                <w:sz w:val="18"/>
                <w:szCs w:val="18"/>
              </w:rPr>
            </w:pPr>
          </w:p>
        </w:tc>
        <w:tc>
          <w:tcPr>
            <w:tcW w:w="2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7CA52D9" w14:textId="77777777" w:rsidR="002040E7" w:rsidRPr="00AF1814" w:rsidRDefault="002040E7" w:rsidP="00D124BD">
            <w:pPr>
              <w:spacing w:before="40" w:after="40"/>
              <w:jc w:val="center"/>
              <w:rPr>
                <w:rFonts w:ascii="Arial" w:hAnsi="Arial" w:cs="Arial"/>
                <w:sz w:val="18"/>
                <w:szCs w:val="18"/>
              </w:rPr>
            </w:pP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D921C8" w14:textId="77777777" w:rsidR="002040E7" w:rsidRPr="00AF1814" w:rsidRDefault="002040E7" w:rsidP="00D124BD">
            <w:pPr>
              <w:spacing w:before="40" w:after="40"/>
              <w:jc w:val="center"/>
              <w:rPr>
                <w:rFonts w:ascii="Arial" w:hAnsi="Arial" w:cs="Arial"/>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F1AC0D" w14:textId="77777777" w:rsidR="002040E7" w:rsidRPr="00AF1814" w:rsidRDefault="002040E7" w:rsidP="00D124BD">
            <w:pPr>
              <w:spacing w:before="40" w:after="40"/>
              <w:jc w:val="center"/>
              <w:rPr>
                <w:rFonts w:ascii="Arial" w:hAnsi="Arial" w:cs="Arial"/>
                <w:sz w:val="18"/>
                <w:szCs w:val="18"/>
              </w:rPr>
            </w:pPr>
          </w:p>
        </w:tc>
        <w:tc>
          <w:tcPr>
            <w:tcW w:w="300" w:type="pct"/>
            <w:tcBorders>
              <w:left w:val="single" w:sz="4" w:space="0" w:color="auto"/>
              <w:bottom w:val="single" w:sz="4" w:space="0" w:color="auto"/>
              <w:right w:val="single" w:sz="4" w:space="0" w:color="auto"/>
            </w:tcBorders>
            <w:shd w:val="clear" w:color="auto" w:fill="BFBFBF" w:themeFill="background1" w:themeFillShade="BF"/>
          </w:tcPr>
          <w:p w14:paraId="756269FA" w14:textId="77777777" w:rsidR="002040E7" w:rsidRPr="00AF1814" w:rsidRDefault="002040E7" w:rsidP="00D124BD">
            <w:pPr>
              <w:spacing w:before="40" w:after="40"/>
              <w:jc w:val="left"/>
              <w:rPr>
                <w:rFonts w:ascii="Arial" w:hAnsi="Arial" w:cs="Arial"/>
                <w:sz w:val="18"/>
                <w:szCs w:val="18"/>
              </w:rPr>
            </w:pPr>
          </w:p>
        </w:tc>
        <w:tc>
          <w:tcPr>
            <w:tcW w:w="663" w:type="pct"/>
            <w:tcBorders>
              <w:left w:val="single" w:sz="4" w:space="0" w:color="auto"/>
              <w:bottom w:val="single" w:sz="4" w:space="0" w:color="auto"/>
              <w:right w:val="single" w:sz="4" w:space="0" w:color="auto"/>
            </w:tcBorders>
            <w:shd w:val="clear" w:color="auto" w:fill="BFBFBF" w:themeFill="background1" w:themeFillShade="BF"/>
          </w:tcPr>
          <w:p w14:paraId="5B889461" w14:textId="77777777" w:rsidR="002040E7" w:rsidRPr="00AF1814" w:rsidRDefault="002040E7" w:rsidP="00D124BD">
            <w:pPr>
              <w:spacing w:before="40" w:after="40"/>
              <w:jc w:val="left"/>
              <w:rPr>
                <w:rFonts w:ascii="Arial" w:hAnsi="Arial" w:cs="Arial"/>
                <w:sz w:val="18"/>
                <w:szCs w:val="18"/>
              </w:rPr>
            </w:pPr>
          </w:p>
        </w:tc>
        <w:tc>
          <w:tcPr>
            <w:tcW w:w="1288" w:type="pct"/>
            <w:gridSpan w:val="2"/>
            <w:tcBorders>
              <w:left w:val="single" w:sz="4" w:space="0" w:color="auto"/>
              <w:bottom w:val="single" w:sz="4" w:space="0" w:color="auto"/>
              <w:right w:val="single" w:sz="4" w:space="0" w:color="auto"/>
            </w:tcBorders>
            <w:shd w:val="clear" w:color="auto" w:fill="auto"/>
            <w:vAlign w:val="center"/>
          </w:tcPr>
          <w:p w14:paraId="21B1311F" w14:textId="07595336" w:rsidR="002040E7" w:rsidRPr="00AF1814" w:rsidRDefault="00DA3174" w:rsidP="00D124BD">
            <w:pPr>
              <w:spacing w:before="40" w:after="40"/>
              <w:jc w:val="left"/>
              <w:rPr>
                <w:rFonts w:ascii="Arial" w:hAnsi="Arial" w:cs="Arial"/>
                <w:sz w:val="18"/>
                <w:szCs w:val="18"/>
              </w:rPr>
            </w:pPr>
            <w:r w:rsidRPr="00AF1814">
              <w:rPr>
                <w:rFonts w:ascii="Arial" w:hAnsi="Arial" w:cs="Arial"/>
                <w:sz w:val="18"/>
                <w:szCs w:val="18"/>
              </w:rPr>
              <w:t>Prior anti</w:t>
            </w:r>
            <w:r w:rsidR="00D77787">
              <w:rPr>
                <w:rFonts w:ascii="Arial" w:hAnsi="Arial" w:cs="Arial"/>
                <w:sz w:val="18"/>
                <w:szCs w:val="18"/>
              </w:rPr>
              <w:noBreakHyphen/>
            </w:r>
            <w:r w:rsidRPr="00AF1814">
              <w:rPr>
                <w:rFonts w:ascii="Arial" w:hAnsi="Arial" w:cs="Arial"/>
                <w:sz w:val="18"/>
                <w:szCs w:val="18"/>
              </w:rPr>
              <w:t>cancer procedures and therapies should at least include prior therapy, prior diagnosis of premalignant lesions and treatments, surgical resection and recurrence, and details on anti</w:t>
            </w:r>
            <w:r w:rsidR="00D77787">
              <w:rPr>
                <w:rFonts w:ascii="Arial" w:hAnsi="Arial" w:cs="Arial"/>
                <w:sz w:val="18"/>
                <w:szCs w:val="18"/>
              </w:rPr>
              <w:noBreakHyphen/>
            </w:r>
            <w:r w:rsidRPr="00AF1814">
              <w:rPr>
                <w:rFonts w:ascii="Arial" w:hAnsi="Arial" w:cs="Arial"/>
                <w:sz w:val="18"/>
                <w:szCs w:val="18"/>
              </w:rPr>
              <w:t>cancer treatments, treatment duration, and treatment responses.</w:t>
            </w:r>
          </w:p>
        </w:tc>
      </w:tr>
      <w:tr w:rsidR="002108B2" w:rsidRPr="00AF1814" w14:paraId="4573494B" w14:textId="77777777" w:rsidTr="00274652">
        <w:trPr>
          <w:cantSplit/>
          <w:jc w:val="center"/>
        </w:trPr>
        <w:tc>
          <w:tcPr>
            <w:tcW w:w="631" w:type="pct"/>
            <w:tcBorders>
              <w:top w:val="single" w:sz="4" w:space="0" w:color="auto"/>
              <w:left w:val="single" w:sz="4" w:space="0" w:color="auto"/>
              <w:bottom w:val="single" w:sz="4" w:space="0" w:color="auto"/>
              <w:right w:val="single" w:sz="4" w:space="0" w:color="auto"/>
            </w:tcBorders>
            <w:vAlign w:val="center"/>
          </w:tcPr>
          <w:p w14:paraId="588D6CED" w14:textId="47F8F97E" w:rsidR="002040E7" w:rsidRPr="00AF1814" w:rsidRDefault="00DA3174" w:rsidP="00D124BD">
            <w:pPr>
              <w:spacing w:before="40" w:after="40"/>
              <w:jc w:val="left"/>
              <w:rPr>
                <w:rFonts w:ascii="Arial" w:hAnsi="Arial" w:cs="Arial"/>
                <w:b/>
                <w:bCs/>
                <w:sz w:val="18"/>
                <w:szCs w:val="18"/>
              </w:rPr>
            </w:pPr>
            <w:r w:rsidRPr="00AF1814">
              <w:rPr>
                <w:rFonts w:ascii="Arial" w:hAnsi="Arial" w:cs="Arial"/>
                <w:sz w:val="18"/>
                <w:szCs w:val="18"/>
              </w:rPr>
              <w:lastRenderedPageBreak/>
              <w:t xml:space="preserve">Documentation </w:t>
            </w:r>
            <w:r w:rsidR="0048637B">
              <w:rPr>
                <w:rFonts w:ascii="Arial" w:hAnsi="Arial" w:cs="Arial"/>
                <w:sz w:val="18"/>
                <w:szCs w:val="18"/>
              </w:rPr>
              <w:t xml:space="preserve">of </w:t>
            </w:r>
            <w:r w:rsidRPr="00AF1814">
              <w:rPr>
                <w:rFonts w:ascii="Arial" w:hAnsi="Arial" w:cs="Arial"/>
                <w:sz w:val="18"/>
                <w:szCs w:val="18"/>
              </w:rPr>
              <w:t>concomitant medication and procedures</w:t>
            </w:r>
          </w:p>
        </w:tc>
        <w:tc>
          <w:tcPr>
            <w:tcW w:w="384" w:type="pct"/>
            <w:tcBorders>
              <w:top w:val="single" w:sz="4" w:space="0" w:color="auto"/>
              <w:left w:val="single" w:sz="4" w:space="0" w:color="auto"/>
              <w:bottom w:val="single" w:sz="4" w:space="0" w:color="auto"/>
              <w:right w:val="single" w:sz="4" w:space="0" w:color="auto"/>
            </w:tcBorders>
            <w:vAlign w:val="center"/>
          </w:tcPr>
          <w:p w14:paraId="44989A29" w14:textId="77777777" w:rsidR="002040E7" w:rsidRPr="00AF1814" w:rsidRDefault="00DA3174" w:rsidP="00D124BD">
            <w:pPr>
              <w:spacing w:before="40" w:after="40"/>
              <w:jc w:val="center"/>
              <w:rPr>
                <w:rFonts w:ascii="Arial" w:hAnsi="Arial" w:cs="Arial"/>
                <w:b/>
                <w:bCs/>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vAlign w:val="center"/>
          </w:tcPr>
          <w:p w14:paraId="2D5EFD79" w14:textId="77777777" w:rsidR="002040E7" w:rsidRPr="00AF1814" w:rsidRDefault="00DA3174" w:rsidP="00D124BD">
            <w:pPr>
              <w:spacing w:before="40" w:after="40"/>
              <w:jc w:val="center"/>
              <w:rPr>
                <w:rFonts w:ascii="Arial" w:hAnsi="Arial" w:cs="Arial"/>
                <w:b/>
                <w:bCs/>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vAlign w:val="center"/>
          </w:tcPr>
          <w:p w14:paraId="302ED7FC" w14:textId="77777777" w:rsidR="002040E7" w:rsidRPr="00AF1814" w:rsidRDefault="00DA3174" w:rsidP="00D124BD">
            <w:pPr>
              <w:spacing w:before="40" w:after="40"/>
              <w:jc w:val="center"/>
              <w:rPr>
                <w:rFonts w:ascii="Arial" w:hAnsi="Arial" w:cs="Arial"/>
                <w:b/>
                <w:bCs/>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vAlign w:val="center"/>
          </w:tcPr>
          <w:p w14:paraId="1020ADE6" w14:textId="77777777" w:rsidR="002040E7" w:rsidRPr="00AF1814" w:rsidRDefault="00DA3174" w:rsidP="00D124BD">
            <w:pPr>
              <w:spacing w:before="40" w:after="40"/>
              <w:jc w:val="center"/>
              <w:rPr>
                <w:rFonts w:ascii="Arial" w:hAnsi="Arial" w:cs="Arial"/>
                <w:b/>
                <w:bCs/>
                <w:sz w:val="18"/>
                <w:szCs w:val="18"/>
              </w:rPr>
            </w:pPr>
            <w:r w:rsidRPr="00AF1814">
              <w:rPr>
                <w:rFonts w:ascii="Arial" w:hAnsi="Arial" w:cs="Arial"/>
                <w:sz w:val="18"/>
                <w:szCs w:val="18"/>
              </w:rPr>
              <w:t>X</w:t>
            </w:r>
          </w:p>
        </w:tc>
        <w:tc>
          <w:tcPr>
            <w:tcW w:w="295" w:type="pct"/>
            <w:tcBorders>
              <w:top w:val="single" w:sz="4" w:space="0" w:color="auto"/>
              <w:left w:val="single" w:sz="4" w:space="0" w:color="auto"/>
              <w:bottom w:val="single" w:sz="4" w:space="0" w:color="auto"/>
              <w:right w:val="single" w:sz="4" w:space="0" w:color="auto"/>
            </w:tcBorders>
            <w:vAlign w:val="center"/>
          </w:tcPr>
          <w:p w14:paraId="50BC11BE" w14:textId="77777777" w:rsidR="002040E7" w:rsidRPr="00AF1814" w:rsidRDefault="00DA3174" w:rsidP="00D124BD">
            <w:pPr>
              <w:spacing w:before="40" w:after="40"/>
              <w:jc w:val="center"/>
              <w:rPr>
                <w:rFonts w:ascii="Arial" w:hAnsi="Arial" w:cs="Arial"/>
                <w:b/>
                <w:bCs/>
                <w:sz w:val="18"/>
                <w:szCs w:val="18"/>
              </w:rPr>
            </w:pPr>
            <w:r w:rsidRPr="00AF1814">
              <w:rPr>
                <w:rFonts w:ascii="Arial" w:hAnsi="Arial" w:cs="Arial"/>
                <w:sz w:val="18"/>
                <w:szCs w:val="18"/>
              </w:rPr>
              <w:t>X</w:t>
            </w:r>
          </w:p>
        </w:tc>
        <w:tc>
          <w:tcPr>
            <w:tcW w:w="298" w:type="pct"/>
            <w:tcBorders>
              <w:top w:val="single" w:sz="4" w:space="0" w:color="auto"/>
              <w:left w:val="single" w:sz="4" w:space="0" w:color="auto"/>
              <w:bottom w:val="single" w:sz="4" w:space="0" w:color="auto"/>
              <w:right w:val="single" w:sz="4" w:space="0" w:color="auto"/>
            </w:tcBorders>
            <w:vAlign w:val="center"/>
          </w:tcPr>
          <w:p w14:paraId="5A0180E9" w14:textId="77777777" w:rsidR="002040E7" w:rsidRPr="00AF1814" w:rsidRDefault="00DA3174" w:rsidP="00D124BD">
            <w:pPr>
              <w:spacing w:before="40" w:after="40"/>
              <w:jc w:val="center"/>
              <w:rPr>
                <w:rFonts w:ascii="Arial" w:hAnsi="Arial" w:cs="Arial"/>
                <w:b/>
                <w:bCs/>
                <w:sz w:val="18"/>
                <w:szCs w:val="18"/>
              </w:rPr>
            </w:pPr>
            <w:r w:rsidRPr="00AF1814">
              <w:rPr>
                <w:rFonts w:ascii="Arial" w:hAnsi="Arial" w:cs="Arial"/>
                <w:sz w:val="18"/>
                <w:szCs w:val="18"/>
              </w:rPr>
              <w:t>X</w:t>
            </w:r>
          </w:p>
        </w:tc>
        <w:tc>
          <w:tcPr>
            <w:tcW w:w="294" w:type="pct"/>
            <w:tcBorders>
              <w:top w:val="single" w:sz="4" w:space="0" w:color="auto"/>
              <w:left w:val="single" w:sz="4" w:space="0" w:color="auto"/>
              <w:bottom w:val="single" w:sz="4" w:space="0" w:color="auto"/>
              <w:right w:val="single" w:sz="4" w:space="0" w:color="auto"/>
            </w:tcBorders>
            <w:vAlign w:val="center"/>
          </w:tcPr>
          <w:p w14:paraId="06BB5126" w14:textId="77777777" w:rsidR="002040E7" w:rsidRPr="00AF1814" w:rsidRDefault="00DA3174" w:rsidP="00D124BD">
            <w:pPr>
              <w:spacing w:before="40" w:after="40"/>
              <w:jc w:val="center"/>
              <w:rPr>
                <w:rFonts w:ascii="Arial" w:hAnsi="Arial" w:cs="Arial"/>
                <w:b/>
                <w:bCs/>
                <w:sz w:val="18"/>
                <w:szCs w:val="18"/>
              </w:rPr>
            </w:pPr>
            <w:r w:rsidRPr="00AF1814">
              <w:rPr>
                <w:rFonts w:ascii="Arial" w:hAnsi="Arial" w:cs="Arial"/>
                <w:sz w:val="18"/>
                <w:szCs w:val="18"/>
              </w:rPr>
              <w:t>X</w:t>
            </w:r>
          </w:p>
        </w:tc>
        <w:tc>
          <w:tcPr>
            <w:tcW w:w="300" w:type="pct"/>
            <w:tcBorders>
              <w:left w:val="single" w:sz="4" w:space="0" w:color="auto"/>
              <w:bottom w:val="single" w:sz="4" w:space="0" w:color="auto"/>
              <w:right w:val="single" w:sz="4" w:space="0" w:color="auto"/>
            </w:tcBorders>
            <w:shd w:val="clear" w:color="auto" w:fill="FFFFFF" w:themeFill="background1"/>
            <w:vAlign w:val="center"/>
          </w:tcPr>
          <w:p w14:paraId="5B24E4DC" w14:textId="77777777" w:rsidR="002040E7" w:rsidRPr="00AF1814" w:rsidRDefault="00DA3174" w:rsidP="00C240F3">
            <w:pPr>
              <w:spacing w:before="40" w:after="40"/>
              <w:jc w:val="center"/>
              <w:rPr>
                <w:rFonts w:ascii="Arial" w:hAnsi="Arial" w:cs="Arial"/>
                <w:sz w:val="18"/>
                <w:szCs w:val="18"/>
              </w:rPr>
            </w:pPr>
            <w:r w:rsidRPr="00AF1814">
              <w:rPr>
                <w:rFonts w:ascii="Arial" w:hAnsi="Arial" w:cs="Arial"/>
                <w:sz w:val="18"/>
                <w:szCs w:val="18"/>
              </w:rPr>
              <w:t>X</w:t>
            </w:r>
          </w:p>
        </w:tc>
        <w:tc>
          <w:tcPr>
            <w:tcW w:w="663" w:type="pct"/>
            <w:tcBorders>
              <w:left w:val="single" w:sz="4" w:space="0" w:color="auto"/>
              <w:bottom w:val="single" w:sz="4" w:space="0" w:color="auto"/>
              <w:right w:val="single" w:sz="4" w:space="0" w:color="auto"/>
            </w:tcBorders>
            <w:shd w:val="clear" w:color="auto" w:fill="FFFFFF" w:themeFill="background1"/>
            <w:vAlign w:val="center"/>
          </w:tcPr>
          <w:p w14:paraId="316CC5C2" w14:textId="77777777" w:rsidR="002040E7" w:rsidRPr="00AF1814" w:rsidRDefault="00DA3174" w:rsidP="00C240F3">
            <w:pPr>
              <w:spacing w:before="40" w:after="40"/>
              <w:jc w:val="center"/>
              <w:rPr>
                <w:rFonts w:ascii="Arial" w:hAnsi="Arial" w:cs="Arial"/>
                <w:sz w:val="18"/>
                <w:szCs w:val="18"/>
              </w:rPr>
            </w:pPr>
            <w:r w:rsidRPr="00AF1814">
              <w:rPr>
                <w:rFonts w:ascii="Arial" w:hAnsi="Arial" w:cs="Arial"/>
                <w:sz w:val="18"/>
                <w:szCs w:val="18"/>
              </w:rPr>
              <w:t>X</w:t>
            </w:r>
          </w:p>
        </w:tc>
        <w:tc>
          <w:tcPr>
            <w:tcW w:w="1288" w:type="pct"/>
            <w:gridSpan w:val="2"/>
            <w:tcBorders>
              <w:left w:val="single" w:sz="4" w:space="0" w:color="auto"/>
              <w:bottom w:val="single" w:sz="4" w:space="0" w:color="auto"/>
              <w:right w:val="single" w:sz="4" w:space="0" w:color="auto"/>
            </w:tcBorders>
            <w:shd w:val="clear" w:color="auto" w:fill="BFBFBF" w:themeFill="background1" w:themeFillShade="BF"/>
            <w:vAlign w:val="center"/>
          </w:tcPr>
          <w:p w14:paraId="34EB644A" w14:textId="77777777" w:rsidR="002040E7" w:rsidRPr="00AF1814" w:rsidRDefault="002040E7" w:rsidP="00D124BD">
            <w:pPr>
              <w:spacing w:before="40" w:after="40"/>
              <w:jc w:val="left"/>
              <w:rPr>
                <w:rFonts w:ascii="Arial" w:hAnsi="Arial" w:cs="Arial"/>
                <w:sz w:val="18"/>
                <w:szCs w:val="18"/>
              </w:rPr>
            </w:pPr>
          </w:p>
        </w:tc>
      </w:tr>
      <w:tr w:rsidR="002108B2" w:rsidRPr="00AF1814" w14:paraId="20E05276" w14:textId="77777777" w:rsidTr="00274652">
        <w:trPr>
          <w:cantSplit/>
          <w:jc w:val="center"/>
        </w:trPr>
        <w:tc>
          <w:tcPr>
            <w:tcW w:w="5000" w:type="pct"/>
            <w:gridSpan w:val="12"/>
            <w:tcBorders>
              <w:top w:val="single" w:sz="4" w:space="0" w:color="auto"/>
              <w:left w:val="single" w:sz="4" w:space="0" w:color="auto"/>
              <w:bottom w:val="single" w:sz="4" w:space="0" w:color="auto"/>
              <w:right w:val="single" w:sz="4" w:space="0" w:color="auto"/>
            </w:tcBorders>
          </w:tcPr>
          <w:p w14:paraId="72CF96FD" w14:textId="77777777" w:rsidR="002040E7" w:rsidRPr="00AF1814" w:rsidRDefault="00DA3174" w:rsidP="00BE2726">
            <w:pPr>
              <w:keepNext/>
              <w:spacing w:before="40" w:after="40"/>
              <w:jc w:val="center"/>
              <w:rPr>
                <w:rFonts w:ascii="Arial" w:hAnsi="Arial" w:cs="Arial"/>
                <w:sz w:val="18"/>
                <w:szCs w:val="18"/>
              </w:rPr>
            </w:pPr>
            <w:r w:rsidRPr="00AF1814">
              <w:rPr>
                <w:rFonts w:ascii="Arial" w:hAnsi="Arial" w:cs="Arial"/>
                <w:b/>
                <w:bCs/>
                <w:sz w:val="18"/>
                <w:szCs w:val="18"/>
              </w:rPr>
              <w:t>Treatment Administration</w:t>
            </w:r>
          </w:p>
        </w:tc>
      </w:tr>
      <w:tr w:rsidR="002108B2" w:rsidRPr="00AF1814" w14:paraId="35AC8C5F" w14:textId="77777777" w:rsidTr="00274652">
        <w:trPr>
          <w:cantSplit/>
          <w:jc w:val="center"/>
        </w:trPr>
        <w:tc>
          <w:tcPr>
            <w:tcW w:w="631" w:type="pct"/>
            <w:tcBorders>
              <w:top w:val="single" w:sz="4" w:space="0" w:color="auto"/>
              <w:left w:val="single" w:sz="4" w:space="0" w:color="auto"/>
              <w:bottom w:val="single" w:sz="4" w:space="0" w:color="auto"/>
              <w:right w:val="single" w:sz="4" w:space="0" w:color="auto"/>
            </w:tcBorders>
            <w:vAlign w:val="center"/>
          </w:tcPr>
          <w:p w14:paraId="58C837BB" w14:textId="77777777" w:rsidR="002040E7" w:rsidRPr="00AF1814" w:rsidRDefault="00DA3174" w:rsidP="00D124BD">
            <w:pPr>
              <w:spacing w:before="40" w:after="40"/>
              <w:jc w:val="left"/>
              <w:rPr>
                <w:rFonts w:ascii="Arial" w:hAnsi="Arial" w:cs="Arial"/>
                <w:sz w:val="18"/>
                <w:szCs w:val="18"/>
              </w:rPr>
            </w:pPr>
            <w:r w:rsidRPr="00AF1814">
              <w:rPr>
                <w:rFonts w:ascii="Arial" w:hAnsi="Arial" w:cs="Arial"/>
                <w:sz w:val="18"/>
              </w:rPr>
              <w:t>Bintrafusp alfa</w:t>
            </w:r>
          </w:p>
        </w:tc>
        <w:tc>
          <w:tcPr>
            <w:tcW w:w="38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0EE9FC" w14:textId="77777777" w:rsidR="002040E7" w:rsidRPr="00AF1814" w:rsidRDefault="002040E7" w:rsidP="00D124BD">
            <w:pPr>
              <w:spacing w:before="40" w:after="40"/>
              <w:jc w:val="center"/>
              <w:rPr>
                <w:rFonts w:ascii="Arial" w:hAnsi="Arial" w:cs="Arial"/>
                <w:sz w:val="18"/>
                <w:szCs w:val="18"/>
              </w:rPr>
            </w:pPr>
          </w:p>
        </w:tc>
        <w:tc>
          <w:tcPr>
            <w:tcW w:w="277" w:type="pct"/>
            <w:tcBorders>
              <w:top w:val="single" w:sz="4" w:space="0" w:color="auto"/>
              <w:left w:val="single" w:sz="4" w:space="0" w:color="auto"/>
              <w:bottom w:val="single" w:sz="4" w:space="0" w:color="auto"/>
              <w:right w:val="single" w:sz="4" w:space="0" w:color="auto"/>
            </w:tcBorders>
            <w:vAlign w:val="center"/>
          </w:tcPr>
          <w:p w14:paraId="1B33355A" w14:textId="77777777" w:rsidR="002040E7" w:rsidRPr="00AF1814" w:rsidRDefault="00DA3174" w:rsidP="00D124BD">
            <w:pPr>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927824" w14:textId="77777777" w:rsidR="002040E7" w:rsidRPr="00AF1814" w:rsidRDefault="002040E7" w:rsidP="00D124B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17CAA2" w14:textId="77777777" w:rsidR="002040E7" w:rsidRPr="00AF1814" w:rsidRDefault="002040E7" w:rsidP="00D124BD">
            <w:pPr>
              <w:spacing w:before="40" w:after="40"/>
              <w:jc w:val="center"/>
              <w:rPr>
                <w:rFonts w:ascii="Arial" w:hAnsi="Arial" w:cs="Arial"/>
                <w:sz w:val="18"/>
                <w:szCs w:val="18"/>
              </w:rPr>
            </w:pPr>
          </w:p>
        </w:tc>
        <w:tc>
          <w:tcPr>
            <w:tcW w:w="295" w:type="pct"/>
            <w:tcBorders>
              <w:top w:val="single" w:sz="4" w:space="0" w:color="auto"/>
              <w:left w:val="single" w:sz="4" w:space="0" w:color="auto"/>
              <w:bottom w:val="single" w:sz="4" w:space="0" w:color="auto"/>
              <w:right w:val="single" w:sz="4" w:space="0" w:color="auto"/>
            </w:tcBorders>
            <w:vAlign w:val="center"/>
          </w:tcPr>
          <w:p w14:paraId="07C55C42" w14:textId="77777777" w:rsidR="002040E7" w:rsidRPr="00AF1814" w:rsidRDefault="00DA3174" w:rsidP="00D124BD">
            <w:pPr>
              <w:spacing w:before="40" w:after="40"/>
              <w:jc w:val="center"/>
              <w:rPr>
                <w:rFonts w:ascii="Arial" w:hAnsi="Arial" w:cs="Arial"/>
                <w:sz w:val="18"/>
                <w:szCs w:val="18"/>
              </w:rPr>
            </w:pPr>
            <w:r w:rsidRPr="00AF1814">
              <w:rPr>
                <w:rFonts w:ascii="Arial" w:hAnsi="Arial" w:cs="Arial"/>
                <w:sz w:val="18"/>
                <w:szCs w:val="18"/>
              </w:rPr>
              <w:t>X</w:t>
            </w: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970F451" w14:textId="77777777" w:rsidR="002040E7" w:rsidRPr="00AF1814" w:rsidRDefault="002040E7" w:rsidP="00D124BD">
            <w:pPr>
              <w:spacing w:before="40" w:after="40"/>
              <w:jc w:val="center"/>
              <w:rPr>
                <w:rFonts w:ascii="Arial" w:hAnsi="Arial" w:cs="Arial"/>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59A4F0" w14:textId="77777777" w:rsidR="002040E7" w:rsidRPr="00AF1814" w:rsidRDefault="002040E7" w:rsidP="00D124BD">
            <w:pPr>
              <w:spacing w:before="40" w:after="40"/>
              <w:jc w:val="center"/>
              <w:rPr>
                <w:rFonts w:ascii="Arial" w:hAnsi="Arial" w:cs="Arial"/>
                <w:sz w:val="18"/>
                <w:szCs w:val="18"/>
              </w:rPr>
            </w:pPr>
          </w:p>
        </w:tc>
        <w:tc>
          <w:tcPr>
            <w:tcW w:w="300" w:type="pct"/>
            <w:tcBorders>
              <w:left w:val="single" w:sz="4" w:space="0" w:color="auto"/>
              <w:bottom w:val="single" w:sz="4" w:space="0" w:color="auto"/>
              <w:right w:val="single" w:sz="4" w:space="0" w:color="auto"/>
            </w:tcBorders>
            <w:vAlign w:val="center"/>
          </w:tcPr>
          <w:p w14:paraId="3319590A" w14:textId="77777777" w:rsidR="002040E7" w:rsidRPr="00AF1814" w:rsidRDefault="00DA3174" w:rsidP="00502088">
            <w:pPr>
              <w:spacing w:before="40" w:after="40"/>
              <w:jc w:val="center"/>
              <w:rPr>
                <w:rFonts w:ascii="Arial" w:hAnsi="Arial" w:cs="Arial"/>
                <w:sz w:val="18"/>
                <w:szCs w:val="18"/>
                <w:lang w:val="de-DE" w:eastAsia="ja-JP"/>
              </w:rPr>
            </w:pPr>
            <w:r w:rsidRPr="00AF1814">
              <w:rPr>
                <w:rFonts w:ascii="Arial" w:hAnsi="Arial" w:cs="Arial"/>
                <w:sz w:val="18"/>
                <w:szCs w:val="18"/>
                <w:lang w:val="de-DE" w:eastAsia="ja-JP"/>
              </w:rPr>
              <w:t>X</w:t>
            </w:r>
          </w:p>
        </w:tc>
        <w:tc>
          <w:tcPr>
            <w:tcW w:w="663" w:type="pct"/>
            <w:tcBorders>
              <w:left w:val="single" w:sz="4" w:space="0" w:color="auto"/>
              <w:bottom w:val="single" w:sz="4" w:space="0" w:color="auto"/>
              <w:right w:val="single" w:sz="4" w:space="0" w:color="auto"/>
            </w:tcBorders>
            <w:vAlign w:val="center"/>
          </w:tcPr>
          <w:p w14:paraId="6E79A3E8" w14:textId="77777777" w:rsidR="002040E7" w:rsidRPr="00AF1814" w:rsidRDefault="00DA3174" w:rsidP="00502088">
            <w:pPr>
              <w:spacing w:before="40" w:after="40"/>
              <w:jc w:val="center"/>
              <w:rPr>
                <w:rFonts w:ascii="Arial" w:hAnsi="Arial" w:cs="Arial"/>
                <w:sz w:val="18"/>
              </w:rPr>
            </w:pPr>
            <w:r w:rsidRPr="00AF1814">
              <w:rPr>
                <w:rFonts w:ascii="Arial" w:hAnsi="Arial" w:cs="Arial"/>
                <w:sz w:val="18"/>
                <w:szCs w:val="18"/>
                <w:lang w:val="de-DE" w:eastAsia="ja-JP"/>
              </w:rPr>
              <w:t>X</w:t>
            </w:r>
          </w:p>
        </w:tc>
        <w:tc>
          <w:tcPr>
            <w:tcW w:w="1288" w:type="pct"/>
            <w:gridSpan w:val="2"/>
            <w:tcBorders>
              <w:left w:val="single" w:sz="4" w:space="0" w:color="auto"/>
              <w:bottom w:val="single" w:sz="4" w:space="0" w:color="auto"/>
              <w:right w:val="single" w:sz="4" w:space="0" w:color="auto"/>
            </w:tcBorders>
            <w:shd w:val="clear" w:color="auto" w:fill="auto"/>
            <w:vAlign w:val="center"/>
          </w:tcPr>
          <w:p w14:paraId="4B91DBDD" w14:textId="715DE658" w:rsidR="002040E7" w:rsidRPr="00E44F28" w:rsidRDefault="00DA3174" w:rsidP="005C687D">
            <w:pPr>
              <w:spacing w:before="40" w:after="40"/>
              <w:jc w:val="left"/>
              <w:rPr>
                <w:rFonts w:ascii="Arial" w:hAnsi="Arial" w:cs="Arial"/>
                <w:sz w:val="18"/>
                <w:szCs w:val="18"/>
              </w:rPr>
            </w:pPr>
            <w:r w:rsidRPr="00E44F28">
              <w:rPr>
                <w:rFonts w:ascii="Arial" w:hAnsi="Arial" w:cs="Arial"/>
                <w:sz w:val="18"/>
              </w:rPr>
              <w:t xml:space="preserve">See Section </w:t>
            </w:r>
            <w:r w:rsidRPr="00E44F28">
              <w:rPr>
                <w:rFonts w:ascii="Arial" w:hAnsi="Arial" w:cs="Arial"/>
                <w:sz w:val="18"/>
              </w:rPr>
              <w:fldChar w:fldCharType="begin"/>
            </w:r>
            <w:r w:rsidRPr="00E44F28">
              <w:rPr>
                <w:rFonts w:ascii="Arial" w:hAnsi="Arial" w:cs="Arial"/>
                <w:sz w:val="18"/>
              </w:rPr>
              <w:instrText xml:space="preserve"> REF _Ref30403455 \r \h  \* MERGEFORMAT </w:instrText>
            </w:r>
            <w:r w:rsidRPr="00E44F28">
              <w:rPr>
                <w:rFonts w:ascii="Arial" w:hAnsi="Arial" w:cs="Arial"/>
                <w:sz w:val="18"/>
              </w:rPr>
            </w:r>
            <w:r w:rsidRPr="00E44F28">
              <w:rPr>
                <w:rFonts w:ascii="Arial" w:hAnsi="Arial" w:cs="Arial"/>
                <w:sz w:val="18"/>
              </w:rPr>
              <w:fldChar w:fldCharType="separate"/>
            </w:r>
            <w:r w:rsidR="00C548C3" w:rsidRPr="00E44F28">
              <w:rPr>
                <w:rFonts w:ascii="Arial" w:hAnsi="Arial" w:cs="Arial"/>
                <w:sz w:val="18"/>
              </w:rPr>
              <w:t>6</w:t>
            </w:r>
            <w:r w:rsidRPr="00E44F28">
              <w:rPr>
                <w:rFonts w:ascii="Arial" w:hAnsi="Arial" w:cs="Arial"/>
                <w:sz w:val="18"/>
              </w:rPr>
              <w:fldChar w:fldCharType="end"/>
            </w:r>
            <w:r w:rsidRPr="00E44F28">
              <w:rPr>
                <w:rFonts w:ascii="Arial" w:hAnsi="Arial" w:cs="Arial"/>
                <w:sz w:val="18"/>
              </w:rPr>
              <w:t xml:space="preserve"> for dosing details and </w:t>
            </w:r>
            <w:r w:rsidRPr="00E44F28">
              <w:rPr>
                <w:rFonts w:ascii="Arial" w:hAnsi="Arial"/>
                <w:sz w:val="18"/>
              </w:rPr>
              <w:t>order of infusion/treatment</w:t>
            </w:r>
            <w:r w:rsidRPr="00E44F28">
              <w:rPr>
                <w:rFonts w:ascii="Arial" w:hAnsi="Arial" w:cs="Arial"/>
                <w:sz w:val="18"/>
              </w:rPr>
              <w:t xml:space="preserve">. </w:t>
            </w:r>
            <w:r w:rsidRPr="00E44F28">
              <w:rPr>
                <w:rFonts w:ascii="Arial" w:hAnsi="Arial"/>
                <w:sz w:val="18"/>
              </w:rPr>
              <w:t xml:space="preserve">See Section </w:t>
            </w:r>
            <w:r w:rsidRPr="00E44F28">
              <w:rPr>
                <w:rFonts w:ascii="Arial" w:hAnsi="Arial"/>
                <w:sz w:val="18"/>
              </w:rPr>
              <w:fldChar w:fldCharType="begin"/>
            </w:r>
            <w:r w:rsidRPr="00E44F28">
              <w:rPr>
                <w:rFonts w:ascii="Arial" w:hAnsi="Arial"/>
                <w:sz w:val="18"/>
              </w:rPr>
              <w:instrText xml:space="preserve"> REF _Ref30403057 \r \h  \* MERGEFORMAT </w:instrText>
            </w:r>
            <w:r w:rsidRPr="00E44F28">
              <w:rPr>
                <w:rFonts w:ascii="Arial" w:hAnsi="Arial"/>
                <w:sz w:val="18"/>
              </w:rPr>
            </w:r>
            <w:r w:rsidRPr="00E44F28">
              <w:rPr>
                <w:rFonts w:ascii="Arial" w:hAnsi="Arial"/>
                <w:sz w:val="18"/>
              </w:rPr>
              <w:fldChar w:fldCharType="separate"/>
            </w:r>
            <w:r w:rsidR="00C548C3" w:rsidRPr="00E44F28">
              <w:rPr>
                <w:rFonts w:ascii="Arial" w:hAnsi="Arial"/>
                <w:sz w:val="18"/>
              </w:rPr>
              <w:t>7</w:t>
            </w:r>
            <w:r w:rsidRPr="00E44F28">
              <w:rPr>
                <w:rFonts w:ascii="Arial" w:hAnsi="Arial"/>
                <w:sz w:val="18"/>
              </w:rPr>
              <w:fldChar w:fldCharType="end"/>
            </w:r>
            <w:r w:rsidRPr="00E44F28">
              <w:rPr>
                <w:rFonts w:ascii="Arial" w:hAnsi="Arial"/>
                <w:sz w:val="18"/>
              </w:rPr>
              <w:t xml:space="preserve"> for stopping study interventions.</w:t>
            </w:r>
          </w:p>
        </w:tc>
      </w:tr>
      <w:tr w:rsidR="002108B2" w:rsidRPr="00AF1814" w14:paraId="171960B8" w14:textId="77777777" w:rsidTr="00274652">
        <w:trPr>
          <w:cantSplit/>
          <w:jc w:val="center"/>
        </w:trPr>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791DF3F" w14:textId="3A5D520D" w:rsidR="0040233A" w:rsidRPr="00AF1814" w:rsidRDefault="00DA3174" w:rsidP="0040233A">
            <w:pPr>
              <w:spacing w:before="40" w:after="40"/>
              <w:jc w:val="left"/>
              <w:rPr>
                <w:rFonts w:ascii="Arial" w:hAnsi="Arial" w:cs="Arial"/>
                <w:sz w:val="18"/>
              </w:rPr>
            </w:pPr>
            <w:r w:rsidRPr="00AF1814">
              <w:rPr>
                <w:rFonts w:ascii="Arial" w:hAnsi="Arial" w:cs="Arial"/>
                <w:sz w:val="18"/>
                <w:szCs w:val="18"/>
              </w:rPr>
              <w:t>Cisplatin</w:t>
            </w:r>
          </w:p>
        </w:tc>
        <w:tc>
          <w:tcPr>
            <w:tcW w:w="38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2E3958" w14:textId="77777777" w:rsidR="0040233A" w:rsidRPr="00AF1814" w:rsidRDefault="0040233A" w:rsidP="0040233A">
            <w:pPr>
              <w:spacing w:before="40" w:after="40"/>
              <w:jc w:val="center"/>
              <w:rPr>
                <w:rFonts w:ascii="Arial" w:hAnsi="Arial" w:cs="Arial"/>
                <w:sz w:val="18"/>
                <w:szCs w:val="18"/>
              </w:rPr>
            </w:pPr>
          </w:p>
        </w:tc>
        <w:tc>
          <w:tcPr>
            <w:tcW w:w="277" w:type="pct"/>
            <w:tcBorders>
              <w:top w:val="single" w:sz="4" w:space="0" w:color="auto"/>
              <w:left w:val="single" w:sz="4" w:space="0" w:color="auto"/>
              <w:bottom w:val="single" w:sz="4" w:space="0" w:color="auto"/>
              <w:right w:val="single" w:sz="4" w:space="0" w:color="auto"/>
            </w:tcBorders>
            <w:shd w:val="clear" w:color="auto" w:fill="auto"/>
            <w:vAlign w:val="center"/>
          </w:tcPr>
          <w:p w14:paraId="725ACD6B" w14:textId="77777777" w:rsidR="0040233A" w:rsidRPr="00AF1814" w:rsidRDefault="00DA3174" w:rsidP="0040233A">
            <w:pPr>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auto"/>
            <w:vAlign w:val="center"/>
          </w:tcPr>
          <w:p w14:paraId="208763CE" w14:textId="77777777" w:rsidR="0040233A" w:rsidRPr="00AF1814" w:rsidRDefault="00DA3174" w:rsidP="0040233A">
            <w:pPr>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auto"/>
            <w:vAlign w:val="center"/>
          </w:tcPr>
          <w:p w14:paraId="050C98E7" w14:textId="77777777" w:rsidR="0040233A" w:rsidRPr="00AF1814" w:rsidRDefault="00DA3174" w:rsidP="0040233A">
            <w:pPr>
              <w:spacing w:before="40" w:after="40"/>
              <w:jc w:val="center"/>
              <w:rPr>
                <w:rFonts w:ascii="Arial" w:hAnsi="Arial" w:cs="Arial"/>
                <w:sz w:val="18"/>
                <w:szCs w:val="18"/>
              </w:rPr>
            </w:pPr>
            <w:r w:rsidRPr="00AF1814">
              <w:rPr>
                <w:rFonts w:ascii="Arial" w:hAnsi="Arial" w:cs="Arial"/>
                <w:sz w:val="18"/>
                <w:szCs w:val="18"/>
              </w:rPr>
              <w:t>X</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tcPr>
          <w:p w14:paraId="4F5278D5" w14:textId="77777777" w:rsidR="0040233A" w:rsidRPr="00AF1814" w:rsidRDefault="00DA3174" w:rsidP="0040233A">
            <w:pPr>
              <w:spacing w:before="40" w:after="40"/>
              <w:jc w:val="center"/>
              <w:rPr>
                <w:rFonts w:ascii="Arial" w:hAnsi="Arial" w:cs="Arial"/>
                <w:sz w:val="18"/>
                <w:szCs w:val="18"/>
              </w:rPr>
            </w:pPr>
            <w:r w:rsidRPr="00AF1814">
              <w:rPr>
                <w:rFonts w:ascii="Arial" w:hAnsi="Arial" w:cs="Arial"/>
                <w:sz w:val="18"/>
                <w:szCs w:val="18"/>
              </w:rPr>
              <w:t>X</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tcPr>
          <w:p w14:paraId="29F275F2" w14:textId="77777777" w:rsidR="0040233A" w:rsidRPr="00AF1814" w:rsidRDefault="00DA3174" w:rsidP="0040233A">
            <w:pPr>
              <w:spacing w:before="40" w:after="40"/>
              <w:jc w:val="center"/>
              <w:rPr>
                <w:rFonts w:ascii="Arial" w:hAnsi="Arial" w:cs="Arial"/>
                <w:sz w:val="18"/>
                <w:szCs w:val="18"/>
              </w:rPr>
            </w:pPr>
            <w:r w:rsidRPr="00AF1814">
              <w:rPr>
                <w:rFonts w:ascii="Arial" w:hAnsi="Arial" w:cs="Arial"/>
                <w:sz w:val="18"/>
                <w:szCs w:val="18"/>
              </w:rPr>
              <w:t>X</w:t>
            </w: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A39456" w14:textId="77777777" w:rsidR="0040233A" w:rsidRPr="00AF1814" w:rsidRDefault="0040233A" w:rsidP="0040233A">
            <w:pPr>
              <w:spacing w:before="40" w:after="40"/>
              <w:jc w:val="center"/>
              <w:rPr>
                <w:rFonts w:ascii="Arial" w:hAnsi="Arial" w:cs="Arial"/>
                <w:sz w:val="18"/>
                <w:szCs w:val="18"/>
              </w:rPr>
            </w:pPr>
          </w:p>
        </w:tc>
        <w:tc>
          <w:tcPr>
            <w:tcW w:w="300" w:type="pct"/>
            <w:tcBorders>
              <w:left w:val="single" w:sz="4" w:space="0" w:color="auto"/>
              <w:bottom w:val="single" w:sz="4" w:space="0" w:color="auto"/>
              <w:right w:val="single" w:sz="4" w:space="0" w:color="auto"/>
            </w:tcBorders>
            <w:shd w:val="clear" w:color="auto" w:fill="BFBFBF" w:themeFill="background1" w:themeFillShade="BF"/>
          </w:tcPr>
          <w:p w14:paraId="7F7E95C2" w14:textId="77777777" w:rsidR="0040233A" w:rsidRPr="00AF1814" w:rsidRDefault="0040233A" w:rsidP="0040233A">
            <w:pPr>
              <w:spacing w:before="40" w:after="40"/>
              <w:jc w:val="center"/>
              <w:rPr>
                <w:rFonts w:ascii="Arial" w:hAnsi="Arial" w:cs="Arial"/>
                <w:sz w:val="18"/>
                <w:szCs w:val="18"/>
                <w:lang w:val="de-DE" w:eastAsia="ja-JP"/>
              </w:rPr>
            </w:pPr>
          </w:p>
        </w:tc>
        <w:tc>
          <w:tcPr>
            <w:tcW w:w="663" w:type="pct"/>
            <w:tcBorders>
              <w:left w:val="single" w:sz="4" w:space="0" w:color="auto"/>
              <w:bottom w:val="single" w:sz="4" w:space="0" w:color="auto"/>
              <w:right w:val="single" w:sz="4" w:space="0" w:color="auto"/>
            </w:tcBorders>
            <w:shd w:val="clear" w:color="auto" w:fill="BFBFBF" w:themeFill="background1" w:themeFillShade="BF"/>
          </w:tcPr>
          <w:p w14:paraId="3644309C" w14:textId="77777777" w:rsidR="0040233A" w:rsidRPr="00AF1814" w:rsidRDefault="0040233A" w:rsidP="0040233A">
            <w:pPr>
              <w:spacing w:before="40" w:after="40"/>
              <w:jc w:val="center"/>
              <w:rPr>
                <w:rFonts w:ascii="Arial" w:hAnsi="Arial" w:cs="Arial"/>
                <w:sz w:val="18"/>
                <w:szCs w:val="18"/>
                <w:lang w:val="de-DE" w:eastAsia="ja-JP"/>
              </w:rPr>
            </w:pPr>
          </w:p>
        </w:tc>
        <w:tc>
          <w:tcPr>
            <w:tcW w:w="1288" w:type="pct"/>
            <w:gridSpan w:val="2"/>
            <w:tcBorders>
              <w:left w:val="single" w:sz="4" w:space="0" w:color="auto"/>
              <w:bottom w:val="single" w:sz="4" w:space="0" w:color="auto"/>
              <w:right w:val="single" w:sz="4" w:space="0" w:color="auto"/>
            </w:tcBorders>
            <w:shd w:val="clear" w:color="auto" w:fill="auto"/>
            <w:vAlign w:val="center"/>
          </w:tcPr>
          <w:p w14:paraId="71099155" w14:textId="29219D88" w:rsidR="0040233A" w:rsidRPr="00E44F28" w:rsidRDefault="00DA3174" w:rsidP="0040233A">
            <w:pPr>
              <w:spacing w:before="40" w:after="40"/>
              <w:jc w:val="left"/>
              <w:rPr>
                <w:rFonts w:ascii="Arial" w:hAnsi="Arial" w:cs="Arial"/>
                <w:sz w:val="18"/>
              </w:rPr>
            </w:pPr>
            <w:r w:rsidRPr="00E44F28">
              <w:rPr>
                <w:rFonts w:ascii="Arial" w:hAnsi="Arial" w:cs="Arial"/>
                <w:sz w:val="18"/>
              </w:rPr>
              <w:t xml:space="preserve">Cisplatin </w:t>
            </w:r>
            <w:r w:rsidR="004863A1">
              <w:rPr>
                <w:rFonts w:ascii="Arial" w:hAnsi="Arial" w:cs="Arial"/>
                <w:sz w:val="18"/>
              </w:rPr>
              <w:t>is</w:t>
            </w:r>
            <w:r w:rsidRPr="00E44F28">
              <w:rPr>
                <w:rFonts w:ascii="Arial" w:hAnsi="Arial" w:cs="Arial"/>
                <w:sz w:val="18"/>
              </w:rPr>
              <w:t xml:space="preserve"> administrated as indicated for standard of care treatment as a radiation</w:t>
            </w:r>
            <w:r w:rsidRPr="00E44F28">
              <w:rPr>
                <w:rFonts w:ascii="Arial" w:hAnsi="Arial" w:cs="Arial"/>
                <w:sz w:val="18"/>
              </w:rPr>
              <w:noBreakHyphen/>
              <w:t xml:space="preserve">sensitizing agent. </w:t>
            </w:r>
            <w:r w:rsidRPr="00E44F28">
              <w:rPr>
                <w:rFonts w:ascii="Arial" w:hAnsi="Arial"/>
                <w:sz w:val="18"/>
              </w:rPr>
              <w:t xml:space="preserve">Premedication is required for chemotherapy, see Section </w:t>
            </w:r>
            <w:r w:rsidRPr="00E44F28">
              <w:rPr>
                <w:rFonts w:ascii="Arial" w:hAnsi="Arial"/>
                <w:sz w:val="18"/>
              </w:rPr>
              <w:fldChar w:fldCharType="begin"/>
            </w:r>
            <w:r w:rsidRPr="00E44F28">
              <w:rPr>
                <w:rFonts w:ascii="Arial" w:hAnsi="Arial"/>
                <w:sz w:val="18"/>
              </w:rPr>
              <w:instrText xml:space="preserve"> REF _Ref30403099 \r \h  \* MERGEFORMAT </w:instrText>
            </w:r>
            <w:r w:rsidRPr="00E44F28">
              <w:rPr>
                <w:rFonts w:ascii="Arial" w:hAnsi="Arial"/>
                <w:sz w:val="18"/>
              </w:rPr>
            </w:r>
            <w:r w:rsidRPr="00E44F28">
              <w:rPr>
                <w:rFonts w:ascii="Arial" w:hAnsi="Arial"/>
                <w:sz w:val="18"/>
              </w:rPr>
              <w:fldChar w:fldCharType="separate"/>
            </w:r>
            <w:r w:rsidR="00C548C3" w:rsidRPr="00E44F28">
              <w:rPr>
                <w:rFonts w:ascii="Arial" w:hAnsi="Arial"/>
                <w:sz w:val="18"/>
              </w:rPr>
              <w:t>6</w:t>
            </w:r>
            <w:r w:rsidRPr="00E44F28">
              <w:rPr>
                <w:rFonts w:ascii="Arial" w:hAnsi="Arial"/>
                <w:sz w:val="18"/>
              </w:rPr>
              <w:fldChar w:fldCharType="end"/>
            </w:r>
            <w:r w:rsidRPr="00E44F28">
              <w:rPr>
                <w:rFonts w:ascii="Arial" w:hAnsi="Arial"/>
                <w:sz w:val="18"/>
              </w:rPr>
              <w:t xml:space="preserve"> for premedication and order of infusion/treatment and Section </w:t>
            </w:r>
            <w:r w:rsidRPr="00E44F28">
              <w:rPr>
                <w:rFonts w:ascii="Arial" w:hAnsi="Arial"/>
                <w:sz w:val="18"/>
              </w:rPr>
              <w:fldChar w:fldCharType="begin"/>
            </w:r>
            <w:r w:rsidRPr="00E44F28">
              <w:rPr>
                <w:rFonts w:ascii="Arial" w:hAnsi="Arial"/>
                <w:sz w:val="18"/>
              </w:rPr>
              <w:instrText xml:space="preserve"> REF _Ref30403057 \r \h  \* MERGEFORMAT </w:instrText>
            </w:r>
            <w:r w:rsidRPr="00E44F28">
              <w:rPr>
                <w:rFonts w:ascii="Arial" w:hAnsi="Arial"/>
                <w:sz w:val="18"/>
              </w:rPr>
            </w:r>
            <w:r w:rsidRPr="00E44F28">
              <w:rPr>
                <w:rFonts w:ascii="Arial" w:hAnsi="Arial"/>
                <w:sz w:val="18"/>
              </w:rPr>
              <w:fldChar w:fldCharType="separate"/>
            </w:r>
            <w:r w:rsidR="00C548C3" w:rsidRPr="00E44F28">
              <w:rPr>
                <w:rFonts w:ascii="Arial" w:hAnsi="Arial"/>
                <w:sz w:val="18"/>
              </w:rPr>
              <w:t>7</w:t>
            </w:r>
            <w:r w:rsidRPr="00E44F28">
              <w:rPr>
                <w:rFonts w:ascii="Arial" w:hAnsi="Arial"/>
                <w:sz w:val="18"/>
              </w:rPr>
              <w:fldChar w:fldCharType="end"/>
            </w:r>
            <w:r w:rsidRPr="00E44F28">
              <w:rPr>
                <w:rFonts w:ascii="Arial" w:hAnsi="Arial"/>
                <w:sz w:val="18"/>
              </w:rPr>
              <w:t xml:space="preserve"> for stopping study interventions.</w:t>
            </w:r>
          </w:p>
        </w:tc>
      </w:tr>
      <w:tr w:rsidR="002108B2" w:rsidRPr="00AF1814" w14:paraId="13F39FCA" w14:textId="77777777" w:rsidTr="00274652">
        <w:trPr>
          <w:cantSplit/>
          <w:jc w:val="center"/>
        </w:trPr>
        <w:tc>
          <w:tcPr>
            <w:tcW w:w="631" w:type="pct"/>
            <w:tcBorders>
              <w:top w:val="single" w:sz="4" w:space="0" w:color="auto"/>
              <w:left w:val="single" w:sz="4" w:space="0" w:color="auto"/>
              <w:bottom w:val="single" w:sz="4" w:space="0" w:color="auto"/>
              <w:right w:val="single" w:sz="4" w:space="0" w:color="auto"/>
            </w:tcBorders>
            <w:vAlign w:val="center"/>
          </w:tcPr>
          <w:p w14:paraId="43A0299E" w14:textId="77777777" w:rsidR="002040E7" w:rsidRPr="00AF1814" w:rsidRDefault="00DA3174" w:rsidP="005C687D">
            <w:pPr>
              <w:spacing w:before="40" w:after="40"/>
              <w:jc w:val="left"/>
              <w:rPr>
                <w:rFonts w:ascii="Arial" w:hAnsi="Arial" w:cs="Arial"/>
                <w:sz w:val="18"/>
                <w:szCs w:val="18"/>
              </w:rPr>
            </w:pPr>
            <w:r w:rsidRPr="00AF1814">
              <w:rPr>
                <w:rFonts w:ascii="Arial" w:hAnsi="Arial" w:cs="Arial"/>
                <w:sz w:val="18"/>
              </w:rPr>
              <w:t>Radiotherapy</w:t>
            </w:r>
          </w:p>
        </w:tc>
        <w:tc>
          <w:tcPr>
            <w:tcW w:w="38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6963C5" w14:textId="77777777" w:rsidR="002040E7" w:rsidRPr="00AF1814" w:rsidRDefault="002040E7" w:rsidP="005C687D">
            <w:pPr>
              <w:spacing w:before="40" w:after="40"/>
              <w:jc w:val="center"/>
              <w:rPr>
                <w:rFonts w:ascii="Arial" w:hAnsi="Arial" w:cs="Arial"/>
                <w:sz w:val="18"/>
                <w:szCs w:val="18"/>
              </w:rPr>
            </w:pPr>
          </w:p>
        </w:tc>
        <w:tc>
          <w:tcPr>
            <w:tcW w:w="277" w:type="pct"/>
            <w:tcBorders>
              <w:top w:val="single" w:sz="4" w:space="0" w:color="auto"/>
              <w:left w:val="single" w:sz="4" w:space="0" w:color="auto"/>
              <w:bottom w:val="single" w:sz="4" w:space="0" w:color="auto"/>
              <w:right w:val="single" w:sz="4" w:space="0" w:color="auto"/>
            </w:tcBorders>
            <w:vAlign w:val="center"/>
          </w:tcPr>
          <w:p w14:paraId="50256072"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1163" w:type="pct"/>
            <w:gridSpan w:val="4"/>
            <w:tcBorders>
              <w:top w:val="single" w:sz="4" w:space="0" w:color="auto"/>
              <w:left w:val="single" w:sz="4" w:space="0" w:color="auto"/>
              <w:bottom w:val="single" w:sz="4" w:space="0" w:color="auto"/>
              <w:right w:val="single" w:sz="4" w:space="0" w:color="auto"/>
            </w:tcBorders>
            <w:vAlign w:val="center"/>
          </w:tcPr>
          <w:p w14:paraId="44F1D433" w14:textId="77777777" w:rsidR="002040E7" w:rsidRPr="00AF1814" w:rsidRDefault="00DA3174" w:rsidP="005C687D">
            <w:pPr>
              <w:spacing w:before="40" w:after="40"/>
              <w:jc w:val="center"/>
              <w:rPr>
                <w:rFonts w:ascii="Arial" w:hAnsi="Arial" w:cs="Arial"/>
                <w:sz w:val="18"/>
                <w:szCs w:val="18"/>
              </w:rPr>
            </w:pPr>
            <w:r w:rsidRPr="00AF1814">
              <w:rPr>
                <w:rFonts w:ascii="Arial" w:eastAsia="Arial" w:hAnsi="Arial" w:cs="Arial"/>
                <w:sz w:val="18"/>
              </w:rPr>
              <w:t>Radiotherapy per standard of care</w:t>
            </w: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6679C1" w14:textId="77777777" w:rsidR="002040E7" w:rsidRPr="00AF1814" w:rsidRDefault="002040E7" w:rsidP="005C687D">
            <w:pPr>
              <w:spacing w:before="40" w:after="40"/>
              <w:jc w:val="center"/>
              <w:rPr>
                <w:rFonts w:ascii="Arial" w:hAnsi="Arial" w:cs="Arial"/>
                <w:sz w:val="18"/>
                <w:szCs w:val="18"/>
              </w:rPr>
            </w:pPr>
          </w:p>
        </w:tc>
        <w:tc>
          <w:tcPr>
            <w:tcW w:w="300" w:type="pct"/>
            <w:tcBorders>
              <w:left w:val="single" w:sz="4" w:space="0" w:color="auto"/>
              <w:bottom w:val="single" w:sz="4" w:space="0" w:color="auto"/>
              <w:right w:val="single" w:sz="4" w:space="0" w:color="auto"/>
            </w:tcBorders>
            <w:shd w:val="clear" w:color="auto" w:fill="BFBFBF" w:themeFill="background1" w:themeFillShade="BF"/>
          </w:tcPr>
          <w:p w14:paraId="525990B1" w14:textId="77777777" w:rsidR="002040E7" w:rsidRPr="00AF1814" w:rsidRDefault="002040E7" w:rsidP="005C687D">
            <w:pPr>
              <w:spacing w:before="40" w:after="40"/>
              <w:jc w:val="left"/>
              <w:rPr>
                <w:rFonts w:ascii="Arial" w:eastAsia="Arial" w:hAnsi="Arial" w:cs="Arial"/>
                <w:sz w:val="18"/>
              </w:rPr>
            </w:pPr>
          </w:p>
        </w:tc>
        <w:tc>
          <w:tcPr>
            <w:tcW w:w="663" w:type="pct"/>
            <w:tcBorders>
              <w:left w:val="single" w:sz="4" w:space="0" w:color="auto"/>
              <w:bottom w:val="single" w:sz="4" w:space="0" w:color="auto"/>
              <w:right w:val="single" w:sz="4" w:space="0" w:color="auto"/>
            </w:tcBorders>
            <w:shd w:val="clear" w:color="auto" w:fill="BFBFBF" w:themeFill="background1" w:themeFillShade="BF"/>
          </w:tcPr>
          <w:p w14:paraId="5110BD40" w14:textId="77777777" w:rsidR="002040E7" w:rsidRPr="00AF1814" w:rsidRDefault="002040E7" w:rsidP="005C687D">
            <w:pPr>
              <w:spacing w:before="40" w:after="40"/>
              <w:jc w:val="left"/>
              <w:rPr>
                <w:rFonts w:ascii="Arial" w:eastAsia="Arial" w:hAnsi="Arial" w:cs="Arial"/>
                <w:sz w:val="18"/>
              </w:rPr>
            </w:pPr>
          </w:p>
        </w:tc>
        <w:tc>
          <w:tcPr>
            <w:tcW w:w="1288" w:type="pct"/>
            <w:gridSpan w:val="2"/>
            <w:tcBorders>
              <w:left w:val="single" w:sz="4" w:space="0" w:color="auto"/>
              <w:bottom w:val="single" w:sz="4" w:space="0" w:color="auto"/>
              <w:right w:val="single" w:sz="4" w:space="0" w:color="auto"/>
            </w:tcBorders>
            <w:shd w:val="clear" w:color="auto" w:fill="auto"/>
            <w:vAlign w:val="center"/>
          </w:tcPr>
          <w:p w14:paraId="0A39301F" w14:textId="77777777" w:rsidR="002040E7" w:rsidRPr="00E44F28" w:rsidRDefault="00DA3174" w:rsidP="005C687D">
            <w:pPr>
              <w:spacing w:before="40" w:after="40"/>
              <w:jc w:val="left"/>
            </w:pPr>
            <w:r w:rsidRPr="00E44F28">
              <w:rPr>
                <w:rFonts w:ascii="Arial" w:eastAsia="Arial" w:hAnsi="Arial" w:cs="Arial"/>
                <w:sz w:val="18"/>
              </w:rPr>
              <w:t xml:space="preserve">During site selection, clinical team will verify radiation oncology sites acceptable for this study. On study, sites must be prepared to submit radiation plans and final treatments for each </w:t>
            </w:r>
            <w:r w:rsidRPr="00E44F28">
              <w:rPr>
                <w:rFonts w:ascii="Arial" w:hAnsi="Arial"/>
                <w:sz w:val="18"/>
              </w:rPr>
              <w:t>participant</w:t>
            </w:r>
            <w:r w:rsidRPr="00E44F28">
              <w:rPr>
                <w:rFonts w:ascii="Arial" w:eastAsia="Arial" w:hAnsi="Arial" w:cs="Arial"/>
                <w:sz w:val="18"/>
              </w:rPr>
              <w:t xml:space="preserve"> enrolled to Cohort</w:t>
            </w:r>
            <w:r w:rsidR="008D0BD4" w:rsidRPr="00E44F28">
              <w:rPr>
                <w:rFonts w:ascii="Arial" w:eastAsia="Arial" w:hAnsi="Arial" w:cs="Arial"/>
                <w:sz w:val="18"/>
              </w:rPr>
              <w:t> </w:t>
            </w:r>
            <w:r w:rsidRPr="00E44F28">
              <w:rPr>
                <w:rFonts w:ascii="Arial" w:eastAsia="Arial" w:hAnsi="Arial" w:cs="Arial"/>
                <w:sz w:val="18"/>
              </w:rPr>
              <w:t>2.</w:t>
            </w:r>
            <w:r w:rsidRPr="00E44F28">
              <w:t xml:space="preserve"> </w:t>
            </w:r>
          </w:p>
          <w:p w14:paraId="4EF7D001" w14:textId="1370A88E" w:rsidR="002040E7" w:rsidRPr="00E44F28" w:rsidRDefault="00DA3174" w:rsidP="005C687D">
            <w:pPr>
              <w:spacing w:before="40" w:after="40"/>
              <w:jc w:val="left"/>
              <w:rPr>
                <w:rFonts w:ascii="Arial" w:hAnsi="Arial" w:cs="Arial"/>
                <w:sz w:val="18"/>
                <w:szCs w:val="18"/>
              </w:rPr>
            </w:pPr>
            <w:r w:rsidRPr="00E44F28">
              <w:rPr>
                <w:rFonts w:ascii="Arial" w:eastAsia="Arial" w:hAnsi="Arial" w:cs="Arial"/>
                <w:sz w:val="18"/>
              </w:rPr>
              <w:t xml:space="preserve">The period for cCRT can be extended up to 1 week in case of technical and logistical issues and if participants require withholding of the study intervention due to toxicities (see Section </w:t>
            </w:r>
            <w:r w:rsidRPr="00E44F28">
              <w:rPr>
                <w:rFonts w:ascii="Arial" w:eastAsia="Arial" w:hAnsi="Arial" w:cs="Arial"/>
                <w:sz w:val="18"/>
              </w:rPr>
              <w:fldChar w:fldCharType="begin"/>
            </w:r>
            <w:r w:rsidRPr="00E44F28">
              <w:rPr>
                <w:rFonts w:ascii="Arial" w:eastAsia="Arial" w:hAnsi="Arial" w:cs="Arial"/>
                <w:sz w:val="18"/>
              </w:rPr>
              <w:instrText xml:space="preserve"> REF _Ref32231471 \w \h  \* MERGEFORMAT </w:instrText>
            </w:r>
            <w:r w:rsidRPr="00E44F28">
              <w:rPr>
                <w:rFonts w:ascii="Arial" w:eastAsia="Arial" w:hAnsi="Arial" w:cs="Arial"/>
                <w:sz w:val="18"/>
              </w:rPr>
            </w:r>
            <w:r w:rsidRPr="00E44F28">
              <w:rPr>
                <w:rFonts w:ascii="Arial" w:eastAsia="Arial" w:hAnsi="Arial" w:cs="Arial"/>
                <w:sz w:val="18"/>
              </w:rPr>
              <w:fldChar w:fldCharType="separate"/>
            </w:r>
            <w:r w:rsidR="00C548C3" w:rsidRPr="00E44F28">
              <w:rPr>
                <w:rFonts w:ascii="Arial" w:eastAsia="Arial" w:hAnsi="Arial" w:cs="Arial"/>
                <w:sz w:val="18"/>
              </w:rPr>
              <w:t>4.1</w:t>
            </w:r>
            <w:r w:rsidRPr="00E44F28">
              <w:rPr>
                <w:rFonts w:ascii="Arial" w:eastAsia="Arial" w:hAnsi="Arial" w:cs="Arial"/>
                <w:sz w:val="18"/>
              </w:rPr>
              <w:fldChar w:fldCharType="end"/>
            </w:r>
            <w:r w:rsidRPr="00E44F28">
              <w:rPr>
                <w:rFonts w:ascii="Arial" w:eastAsia="Arial" w:hAnsi="Arial" w:cs="Arial"/>
                <w:sz w:val="18"/>
              </w:rPr>
              <w:t>).</w:t>
            </w:r>
          </w:p>
        </w:tc>
      </w:tr>
      <w:tr w:rsidR="002108B2" w:rsidRPr="00AF1814" w14:paraId="2A69605A" w14:textId="77777777" w:rsidTr="00274652">
        <w:trPr>
          <w:cantSplit/>
          <w:jc w:val="center"/>
        </w:trPr>
        <w:tc>
          <w:tcPr>
            <w:tcW w:w="631" w:type="pct"/>
            <w:tcBorders>
              <w:top w:val="single" w:sz="4" w:space="0" w:color="auto"/>
              <w:left w:val="single" w:sz="4" w:space="0" w:color="auto"/>
              <w:bottom w:val="single" w:sz="4" w:space="0" w:color="auto"/>
              <w:right w:val="single" w:sz="4" w:space="0" w:color="auto"/>
            </w:tcBorders>
            <w:vAlign w:val="center"/>
          </w:tcPr>
          <w:p w14:paraId="0445D1AB" w14:textId="77777777" w:rsidR="002040E7" w:rsidRPr="00AF1814" w:rsidRDefault="00DA3174" w:rsidP="005C687D">
            <w:pPr>
              <w:spacing w:before="40" w:after="40"/>
              <w:jc w:val="left"/>
              <w:rPr>
                <w:rFonts w:ascii="Arial" w:hAnsi="Arial" w:cs="Arial"/>
                <w:sz w:val="18"/>
              </w:rPr>
            </w:pPr>
            <w:r w:rsidRPr="00AF1814">
              <w:rPr>
                <w:rFonts w:ascii="Arial" w:hAnsi="Arial" w:cs="Arial"/>
                <w:sz w:val="18"/>
              </w:rPr>
              <w:lastRenderedPageBreak/>
              <w:t>Brachytherapy</w:t>
            </w:r>
          </w:p>
        </w:tc>
        <w:tc>
          <w:tcPr>
            <w:tcW w:w="38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58932F7" w14:textId="77777777" w:rsidR="002040E7" w:rsidRPr="00AF1814" w:rsidRDefault="002040E7" w:rsidP="005C687D">
            <w:pPr>
              <w:spacing w:before="40" w:after="40"/>
              <w:jc w:val="center"/>
              <w:rPr>
                <w:rFonts w:ascii="Arial" w:hAnsi="Arial" w:cs="Arial"/>
                <w:sz w:val="18"/>
                <w:szCs w:val="18"/>
              </w:rPr>
            </w:pPr>
          </w:p>
        </w:tc>
        <w:tc>
          <w:tcPr>
            <w:tcW w:w="2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74D6CA" w14:textId="77777777" w:rsidR="002040E7" w:rsidRPr="00AF1814" w:rsidRDefault="002040E7" w:rsidP="005C687D">
            <w:pPr>
              <w:spacing w:before="40" w:after="40"/>
              <w:jc w:val="center"/>
              <w:rPr>
                <w:rFonts w:ascii="Arial" w:hAnsi="Arial" w:cs="Arial"/>
                <w:sz w:val="18"/>
                <w:szCs w:val="18"/>
              </w:rPr>
            </w:pPr>
          </w:p>
        </w:tc>
        <w:tc>
          <w:tcPr>
            <w:tcW w:w="1163"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60F1E7" w14:textId="77777777" w:rsidR="002040E7" w:rsidRPr="00AF1814" w:rsidRDefault="002040E7" w:rsidP="005C687D">
            <w:pPr>
              <w:spacing w:before="40" w:after="40"/>
              <w:jc w:val="center"/>
              <w:rPr>
                <w:rFonts w:ascii="Arial" w:eastAsia="Arial" w:hAnsi="Arial" w:cs="Arial"/>
                <w:sz w:val="18"/>
              </w:rPr>
            </w:pPr>
          </w:p>
        </w:tc>
        <w:tc>
          <w:tcPr>
            <w:tcW w:w="294" w:type="pct"/>
            <w:tcBorders>
              <w:top w:val="single" w:sz="4" w:space="0" w:color="auto"/>
              <w:left w:val="single" w:sz="4" w:space="0" w:color="auto"/>
              <w:bottom w:val="single" w:sz="4" w:space="0" w:color="auto"/>
              <w:right w:val="single" w:sz="4" w:space="0" w:color="auto"/>
            </w:tcBorders>
            <w:shd w:val="clear" w:color="auto" w:fill="auto"/>
            <w:vAlign w:val="center"/>
          </w:tcPr>
          <w:p w14:paraId="3E2D01C3" w14:textId="77777777" w:rsidR="002040E7" w:rsidRPr="00AF1814" w:rsidRDefault="00DA3174" w:rsidP="005D2A24">
            <w:pPr>
              <w:spacing w:before="40" w:after="40"/>
              <w:jc w:val="center"/>
              <w:rPr>
                <w:rFonts w:ascii="Arial" w:hAnsi="Arial" w:cs="Arial"/>
                <w:sz w:val="18"/>
                <w:szCs w:val="18"/>
              </w:rPr>
            </w:pPr>
            <w:r w:rsidRPr="00AF1814">
              <w:rPr>
                <w:rFonts w:ascii="Arial" w:hAnsi="Arial" w:cs="Arial"/>
                <w:sz w:val="18"/>
                <w:szCs w:val="18"/>
              </w:rPr>
              <w:t>X</w:t>
            </w:r>
          </w:p>
        </w:tc>
        <w:tc>
          <w:tcPr>
            <w:tcW w:w="300" w:type="pct"/>
            <w:tcBorders>
              <w:left w:val="single" w:sz="4" w:space="0" w:color="auto"/>
              <w:bottom w:val="single" w:sz="4" w:space="0" w:color="auto"/>
              <w:right w:val="single" w:sz="4" w:space="0" w:color="auto"/>
            </w:tcBorders>
            <w:shd w:val="clear" w:color="auto" w:fill="auto"/>
            <w:vAlign w:val="center"/>
          </w:tcPr>
          <w:p w14:paraId="5FA95D52" w14:textId="77777777" w:rsidR="002040E7" w:rsidRPr="00AF1814" w:rsidRDefault="00DA3174" w:rsidP="005D2A24">
            <w:pPr>
              <w:spacing w:before="40" w:after="40"/>
              <w:jc w:val="center"/>
              <w:rPr>
                <w:rFonts w:ascii="Arial" w:eastAsia="Arial" w:hAnsi="Arial" w:cs="Arial"/>
                <w:sz w:val="18"/>
              </w:rPr>
            </w:pPr>
            <w:r w:rsidRPr="00AF1814">
              <w:rPr>
                <w:rFonts w:ascii="Arial" w:eastAsia="Arial" w:hAnsi="Arial" w:cs="Arial"/>
                <w:sz w:val="18"/>
              </w:rPr>
              <w:t>X</w:t>
            </w:r>
          </w:p>
        </w:tc>
        <w:tc>
          <w:tcPr>
            <w:tcW w:w="663" w:type="pct"/>
            <w:tcBorders>
              <w:left w:val="single" w:sz="4" w:space="0" w:color="auto"/>
              <w:bottom w:val="single" w:sz="4" w:space="0" w:color="auto"/>
              <w:right w:val="single" w:sz="4" w:space="0" w:color="auto"/>
            </w:tcBorders>
            <w:shd w:val="clear" w:color="auto" w:fill="BFBFBF" w:themeFill="background1" w:themeFillShade="BF"/>
          </w:tcPr>
          <w:p w14:paraId="7F6DF790" w14:textId="77777777" w:rsidR="002040E7" w:rsidRPr="00AF1814" w:rsidRDefault="002040E7" w:rsidP="005C687D">
            <w:pPr>
              <w:spacing w:before="40" w:after="40"/>
              <w:jc w:val="left"/>
              <w:rPr>
                <w:rFonts w:ascii="Arial" w:eastAsia="Arial" w:hAnsi="Arial" w:cs="Arial"/>
                <w:sz w:val="18"/>
              </w:rPr>
            </w:pPr>
          </w:p>
        </w:tc>
        <w:tc>
          <w:tcPr>
            <w:tcW w:w="1288" w:type="pct"/>
            <w:gridSpan w:val="2"/>
            <w:tcBorders>
              <w:left w:val="single" w:sz="4" w:space="0" w:color="auto"/>
              <w:bottom w:val="single" w:sz="4" w:space="0" w:color="auto"/>
              <w:right w:val="single" w:sz="4" w:space="0" w:color="auto"/>
            </w:tcBorders>
            <w:shd w:val="clear" w:color="auto" w:fill="auto"/>
            <w:vAlign w:val="center"/>
          </w:tcPr>
          <w:p w14:paraId="38BF5B48" w14:textId="4B4A55C8" w:rsidR="000F44EB" w:rsidRPr="00E44F28" w:rsidRDefault="00DA3174" w:rsidP="000F44EB">
            <w:pPr>
              <w:spacing w:before="40" w:after="40"/>
              <w:jc w:val="left"/>
              <w:rPr>
                <w:rFonts w:ascii="Arial" w:eastAsia="Arial" w:hAnsi="Arial" w:cs="Arial"/>
                <w:sz w:val="18"/>
              </w:rPr>
            </w:pPr>
            <w:r w:rsidRPr="00E44F28">
              <w:rPr>
                <w:rFonts w:ascii="Arial" w:eastAsia="Arial" w:hAnsi="Arial" w:cs="Arial"/>
                <w:sz w:val="18"/>
              </w:rPr>
              <w:t>Brachytherapy is allowed and if used, should be administered per local standard</w:t>
            </w:r>
            <w:r w:rsidR="001822E5" w:rsidRPr="00E44F28">
              <w:rPr>
                <w:rFonts w:ascii="Arial" w:eastAsia="Arial" w:hAnsi="Arial" w:cs="Arial"/>
                <w:sz w:val="18"/>
              </w:rPr>
              <w:t xml:space="preserve"> of care</w:t>
            </w:r>
            <w:r w:rsidRPr="00E44F28">
              <w:rPr>
                <w:rFonts w:ascii="Arial" w:eastAsia="Arial" w:hAnsi="Arial" w:cs="Arial"/>
                <w:sz w:val="18"/>
              </w:rPr>
              <w:t xml:space="preserve">. Brachytherapy should be completed within 8 weeks of start of treatment. </w:t>
            </w:r>
            <w:r w:rsidR="005D2A24" w:rsidRPr="00E44F28">
              <w:rPr>
                <w:rFonts w:ascii="Arial" w:eastAsia="Arial" w:hAnsi="Arial" w:cs="Arial"/>
                <w:sz w:val="18"/>
              </w:rPr>
              <w:t>See Section</w:t>
            </w:r>
            <w:r w:rsidR="001822E5" w:rsidRPr="00E44F28">
              <w:rPr>
                <w:rFonts w:ascii="Arial" w:eastAsia="Arial" w:hAnsi="Arial" w:cs="Arial"/>
                <w:sz w:val="18"/>
              </w:rPr>
              <w:t> </w:t>
            </w:r>
            <w:r w:rsidR="005D2A24" w:rsidRPr="00E44F28">
              <w:rPr>
                <w:rFonts w:ascii="Arial" w:eastAsia="Arial" w:hAnsi="Arial" w:cs="Arial"/>
                <w:sz w:val="18"/>
              </w:rPr>
              <w:fldChar w:fldCharType="begin"/>
            </w:r>
            <w:r w:rsidR="005D2A24" w:rsidRPr="00E44F28">
              <w:rPr>
                <w:rFonts w:ascii="Arial" w:eastAsia="Arial" w:hAnsi="Arial" w:cs="Arial"/>
                <w:sz w:val="18"/>
              </w:rPr>
              <w:instrText xml:space="preserve"> REF _Ref38479037 \w \h  \* MERGEFORMAT </w:instrText>
            </w:r>
            <w:r w:rsidR="005D2A24" w:rsidRPr="00E44F28">
              <w:rPr>
                <w:rFonts w:ascii="Arial" w:eastAsia="Arial" w:hAnsi="Arial" w:cs="Arial"/>
                <w:sz w:val="18"/>
              </w:rPr>
            </w:r>
            <w:r w:rsidR="005D2A24" w:rsidRPr="00E44F28">
              <w:rPr>
                <w:rFonts w:ascii="Arial" w:eastAsia="Arial" w:hAnsi="Arial" w:cs="Arial"/>
                <w:sz w:val="18"/>
              </w:rPr>
              <w:fldChar w:fldCharType="separate"/>
            </w:r>
            <w:r w:rsidR="00C548C3" w:rsidRPr="00E44F28">
              <w:rPr>
                <w:rFonts w:ascii="Arial" w:eastAsia="Arial" w:hAnsi="Arial" w:cs="Arial"/>
                <w:sz w:val="18"/>
              </w:rPr>
              <w:t>6.1.4</w:t>
            </w:r>
            <w:r w:rsidR="005D2A24" w:rsidRPr="00E44F28">
              <w:rPr>
                <w:rFonts w:ascii="Arial" w:eastAsia="Arial" w:hAnsi="Arial" w:cs="Arial"/>
                <w:sz w:val="18"/>
              </w:rPr>
              <w:fldChar w:fldCharType="end"/>
            </w:r>
            <w:r w:rsidR="005D2A24" w:rsidRPr="00E44F28">
              <w:rPr>
                <w:rFonts w:ascii="Arial" w:eastAsia="Arial" w:hAnsi="Arial" w:cs="Arial"/>
                <w:sz w:val="18"/>
              </w:rPr>
              <w:t>.</w:t>
            </w:r>
          </w:p>
          <w:p w14:paraId="201D9853" w14:textId="77777777" w:rsidR="000F44EB" w:rsidRPr="00E44F28" w:rsidRDefault="00DA3174" w:rsidP="000F44EB">
            <w:pPr>
              <w:spacing w:before="40" w:after="40"/>
              <w:jc w:val="left"/>
            </w:pPr>
            <w:r w:rsidRPr="00E44F28">
              <w:rPr>
                <w:rFonts w:ascii="Arial" w:eastAsia="Arial" w:hAnsi="Arial" w:cs="Arial"/>
                <w:sz w:val="18"/>
              </w:rPr>
              <w:t>If pa</w:t>
            </w:r>
            <w:r w:rsidR="0040233A" w:rsidRPr="00E44F28">
              <w:rPr>
                <w:rFonts w:ascii="Arial" w:eastAsia="Arial" w:hAnsi="Arial" w:cs="Arial"/>
                <w:sz w:val="18"/>
              </w:rPr>
              <w:t>rticipant</w:t>
            </w:r>
            <w:r w:rsidRPr="00E44F28">
              <w:rPr>
                <w:rFonts w:ascii="Arial" w:eastAsia="Arial" w:hAnsi="Arial" w:cs="Arial"/>
                <w:sz w:val="18"/>
              </w:rPr>
              <w:t xml:space="preserve"> is not receiving brachytherapy, </w:t>
            </w:r>
            <w:r w:rsidR="001822E5" w:rsidRPr="00E44F28">
              <w:rPr>
                <w:rFonts w:ascii="Arial" w:eastAsia="Arial" w:hAnsi="Arial" w:cs="Arial"/>
                <w:sz w:val="18"/>
              </w:rPr>
              <w:t>E</w:t>
            </w:r>
            <w:r w:rsidRPr="00E44F28">
              <w:rPr>
                <w:rFonts w:ascii="Arial" w:eastAsia="Arial" w:hAnsi="Arial" w:cs="Arial"/>
                <w:sz w:val="18"/>
              </w:rPr>
              <w:t>nd</w:t>
            </w:r>
            <w:r w:rsidR="001822E5" w:rsidRPr="00E44F28">
              <w:rPr>
                <w:rFonts w:ascii="Arial" w:eastAsia="Arial" w:hAnsi="Arial" w:cs="Arial"/>
                <w:sz w:val="18"/>
              </w:rPr>
              <w:t>-</w:t>
            </w:r>
            <w:r w:rsidRPr="00E44F28">
              <w:rPr>
                <w:rFonts w:ascii="Arial" w:eastAsia="Arial" w:hAnsi="Arial" w:cs="Arial"/>
                <w:sz w:val="18"/>
              </w:rPr>
              <w:t>of</w:t>
            </w:r>
            <w:r w:rsidR="001822E5" w:rsidRPr="00E44F28">
              <w:rPr>
                <w:rFonts w:ascii="Arial" w:eastAsia="Arial" w:hAnsi="Arial" w:cs="Arial"/>
                <w:sz w:val="18"/>
              </w:rPr>
              <w:t>-</w:t>
            </w:r>
            <w:r w:rsidRPr="00E44F28">
              <w:rPr>
                <w:rFonts w:ascii="Arial" w:eastAsia="Arial" w:hAnsi="Arial" w:cs="Arial"/>
                <w:sz w:val="18"/>
              </w:rPr>
              <w:t xml:space="preserve">cCRT </w:t>
            </w:r>
            <w:r w:rsidR="001822E5" w:rsidRPr="00E44F28">
              <w:rPr>
                <w:rFonts w:ascii="Arial" w:eastAsia="Arial" w:hAnsi="Arial" w:cs="Arial"/>
                <w:sz w:val="18"/>
              </w:rPr>
              <w:t>V</w:t>
            </w:r>
            <w:r w:rsidRPr="00E44F28">
              <w:rPr>
                <w:rFonts w:ascii="Arial" w:eastAsia="Arial" w:hAnsi="Arial" w:cs="Arial"/>
                <w:sz w:val="18"/>
              </w:rPr>
              <w:t>isit should be performed and maintenance bintrafusp alfa will commence at V7.</w:t>
            </w:r>
          </w:p>
        </w:tc>
      </w:tr>
      <w:tr w:rsidR="002108B2" w:rsidRPr="00AF1814" w14:paraId="10A66A66" w14:textId="77777777" w:rsidTr="00274652">
        <w:trPr>
          <w:cantSplit/>
          <w:trHeight w:val="440"/>
          <w:tblHeader/>
          <w:jc w:val="center"/>
        </w:trPr>
        <w:tc>
          <w:tcPr>
            <w:tcW w:w="5000" w:type="pct"/>
            <w:gridSpan w:val="12"/>
            <w:tcBorders>
              <w:top w:val="single" w:sz="4" w:space="0" w:color="auto"/>
              <w:left w:val="single" w:sz="4" w:space="0" w:color="auto"/>
              <w:bottom w:val="single" w:sz="4" w:space="0" w:color="auto"/>
              <w:right w:val="single" w:sz="4" w:space="0" w:color="auto"/>
            </w:tcBorders>
          </w:tcPr>
          <w:p w14:paraId="27A21904" w14:textId="77777777" w:rsidR="002040E7" w:rsidRPr="00AF1814" w:rsidRDefault="00DA3174" w:rsidP="00B051D3">
            <w:pPr>
              <w:keepNext/>
              <w:spacing w:before="40" w:after="40"/>
              <w:jc w:val="center"/>
              <w:rPr>
                <w:rFonts w:ascii="Arial" w:hAnsi="Arial" w:cs="Arial"/>
                <w:b/>
                <w:sz w:val="18"/>
                <w:szCs w:val="18"/>
              </w:rPr>
            </w:pPr>
            <w:r w:rsidRPr="00AF1814">
              <w:rPr>
                <w:rFonts w:ascii="Arial" w:hAnsi="Arial" w:cs="Arial"/>
                <w:b/>
                <w:sz w:val="18"/>
                <w:szCs w:val="18"/>
              </w:rPr>
              <w:t>Safety Assessments</w:t>
            </w:r>
          </w:p>
        </w:tc>
      </w:tr>
      <w:tr w:rsidR="002108B2" w:rsidRPr="00AF1814" w14:paraId="4C0F87C5" w14:textId="77777777" w:rsidTr="00274652">
        <w:trPr>
          <w:cantSplit/>
          <w:trHeight w:val="431"/>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5B4C8A85" w14:textId="77777777" w:rsidR="002040E7" w:rsidRPr="00AF1814" w:rsidRDefault="00DA3174" w:rsidP="00B051D3">
            <w:pPr>
              <w:keepNext/>
              <w:spacing w:before="40" w:after="40"/>
              <w:jc w:val="left"/>
              <w:rPr>
                <w:rFonts w:ascii="Arial" w:hAnsi="Arial" w:cs="Arial"/>
                <w:sz w:val="18"/>
                <w:szCs w:val="18"/>
              </w:rPr>
            </w:pPr>
            <w:r w:rsidRPr="00AF1814">
              <w:rPr>
                <w:rFonts w:ascii="Arial" w:hAnsi="Arial" w:cs="Arial"/>
                <w:sz w:val="18"/>
                <w:szCs w:val="18"/>
              </w:rPr>
              <w:t xml:space="preserve">Documentation of AEs </w:t>
            </w:r>
          </w:p>
        </w:tc>
        <w:tc>
          <w:tcPr>
            <w:tcW w:w="384" w:type="pct"/>
            <w:tcBorders>
              <w:top w:val="single" w:sz="4" w:space="0" w:color="auto"/>
              <w:left w:val="single" w:sz="4" w:space="0" w:color="auto"/>
              <w:bottom w:val="single" w:sz="4" w:space="0" w:color="auto"/>
              <w:right w:val="single" w:sz="4" w:space="0" w:color="auto"/>
            </w:tcBorders>
            <w:vAlign w:val="center"/>
          </w:tcPr>
          <w:p w14:paraId="226AE463" w14:textId="77777777" w:rsidR="002040E7" w:rsidRPr="00AF1814" w:rsidRDefault="00DA3174" w:rsidP="00B051D3">
            <w:pPr>
              <w:keepNext/>
              <w:spacing w:before="40" w:after="40"/>
              <w:jc w:val="center"/>
              <w:rPr>
                <w:rFonts w:ascii="Arial" w:hAnsi="Arial" w:cs="Arial"/>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shd w:val="clear" w:color="auto" w:fill="auto"/>
            <w:vAlign w:val="center"/>
          </w:tcPr>
          <w:p w14:paraId="79C87C28" w14:textId="77777777" w:rsidR="002040E7" w:rsidRPr="00AF1814" w:rsidRDefault="00DA3174" w:rsidP="00B051D3">
            <w:pPr>
              <w:keepNext/>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auto"/>
            <w:vAlign w:val="center"/>
          </w:tcPr>
          <w:p w14:paraId="1B5014B4" w14:textId="77777777" w:rsidR="002040E7" w:rsidRPr="00AF1814" w:rsidRDefault="00DA3174" w:rsidP="00B051D3">
            <w:pPr>
              <w:keepNext/>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auto"/>
            <w:vAlign w:val="center"/>
          </w:tcPr>
          <w:p w14:paraId="6A36EEC4" w14:textId="77777777" w:rsidR="002040E7" w:rsidRPr="00AF1814" w:rsidRDefault="00DA3174" w:rsidP="00B051D3">
            <w:pPr>
              <w:keepNext/>
              <w:spacing w:before="40" w:after="40"/>
              <w:jc w:val="center"/>
              <w:rPr>
                <w:rFonts w:ascii="Arial" w:hAnsi="Arial" w:cs="Arial"/>
                <w:sz w:val="18"/>
                <w:szCs w:val="18"/>
              </w:rPr>
            </w:pPr>
            <w:r w:rsidRPr="00AF1814">
              <w:rPr>
                <w:rFonts w:ascii="Arial" w:hAnsi="Arial" w:cs="Arial"/>
                <w:sz w:val="18"/>
                <w:szCs w:val="18"/>
              </w:rPr>
              <w:t>X</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tcPr>
          <w:p w14:paraId="5872C9F1" w14:textId="77777777" w:rsidR="002040E7" w:rsidRPr="00AF1814" w:rsidRDefault="00DA3174" w:rsidP="00B051D3">
            <w:pPr>
              <w:keepNext/>
              <w:spacing w:before="40" w:after="40"/>
              <w:jc w:val="center"/>
              <w:rPr>
                <w:rFonts w:ascii="Arial" w:hAnsi="Arial" w:cs="Arial"/>
                <w:sz w:val="18"/>
                <w:szCs w:val="18"/>
              </w:rPr>
            </w:pPr>
            <w:r w:rsidRPr="00AF1814">
              <w:rPr>
                <w:rFonts w:ascii="Arial" w:hAnsi="Arial" w:cs="Arial"/>
                <w:sz w:val="18"/>
                <w:szCs w:val="18"/>
              </w:rPr>
              <w:t>X</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tcPr>
          <w:p w14:paraId="46B9FC3D" w14:textId="77777777" w:rsidR="002040E7" w:rsidRPr="00AF1814" w:rsidRDefault="00DA3174" w:rsidP="00B051D3">
            <w:pPr>
              <w:keepNext/>
              <w:spacing w:before="40" w:after="40"/>
              <w:jc w:val="center"/>
              <w:rPr>
                <w:rFonts w:ascii="Arial" w:hAnsi="Arial" w:cs="Arial"/>
                <w:sz w:val="18"/>
                <w:szCs w:val="18"/>
              </w:rPr>
            </w:pPr>
            <w:r w:rsidRPr="00AF1814">
              <w:rPr>
                <w:rFonts w:ascii="Arial" w:hAnsi="Arial" w:cs="Arial"/>
                <w:sz w:val="18"/>
                <w:szCs w:val="18"/>
              </w:rPr>
              <w:t>X</w:t>
            </w:r>
          </w:p>
        </w:tc>
        <w:tc>
          <w:tcPr>
            <w:tcW w:w="294" w:type="pct"/>
            <w:tcBorders>
              <w:top w:val="single" w:sz="4" w:space="0" w:color="auto"/>
              <w:left w:val="single" w:sz="4" w:space="0" w:color="auto"/>
              <w:bottom w:val="single" w:sz="4" w:space="0" w:color="auto"/>
              <w:right w:val="single" w:sz="4" w:space="0" w:color="auto"/>
            </w:tcBorders>
            <w:shd w:val="clear" w:color="auto" w:fill="auto"/>
            <w:vAlign w:val="center"/>
          </w:tcPr>
          <w:p w14:paraId="680E9A42" w14:textId="77777777" w:rsidR="002040E7" w:rsidRPr="00AF1814" w:rsidRDefault="00DA3174" w:rsidP="00B051D3">
            <w:pPr>
              <w:keepNext/>
              <w:spacing w:before="40" w:after="40"/>
              <w:jc w:val="center"/>
              <w:rPr>
                <w:rFonts w:ascii="Arial" w:hAnsi="Arial" w:cs="Arial"/>
                <w:sz w:val="18"/>
                <w:szCs w:val="18"/>
              </w:rPr>
            </w:pPr>
            <w:r w:rsidRPr="00AF1814">
              <w:rPr>
                <w:rFonts w:ascii="Arial" w:hAnsi="Arial" w:cs="Arial"/>
                <w:sz w:val="18"/>
                <w:szCs w:val="18"/>
              </w:rPr>
              <w:t>X</w:t>
            </w:r>
          </w:p>
        </w:tc>
        <w:tc>
          <w:tcPr>
            <w:tcW w:w="300" w:type="pct"/>
            <w:tcBorders>
              <w:left w:val="single" w:sz="4" w:space="0" w:color="auto"/>
              <w:right w:val="single" w:sz="4" w:space="0" w:color="auto"/>
            </w:tcBorders>
            <w:vAlign w:val="center"/>
          </w:tcPr>
          <w:p w14:paraId="1340B79C" w14:textId="77777777" w:rsidR="002040E7" w:rsidRPr="00AF1814" w:rsidRDefault="00DA3174" w:rsidP="00B051D3">
            <w:pPr>
              <w:keepNext/>
              <w:spacing w:before="40" w:after="40"/>
              <w:jc w:val="center"/>
              <w:rPr>
                <w:rFonts w:ascii="Arial" w:hAnsi="Arial" w:cs="Arial"/>
                <w:sz w:val="18"/>
                <w:szCs w:val="18"/>
              </w:rPr>
            </w:pPr>
            <w:r w:rsidRPr="00AF1814">
              <w:rPr>
                <w:rFonts w:ascii="Arial" w:hAnsi="Arial" w:cs="Arial"/>
                <w:sz w:val="18"/>
                <w:szCs w:val="18"/>
              </w:rPr>
              <w:t>X</w:t>
            </w:r>
          </w:p>
        </w:tc>
        <w:tc>
          <w:tcPr>
            <w:tcW w:w="663" w:type="pct"/>
            <w:tcBorders>
              <w:left w:val="single" w:sz="4" w:space="0" w:color="auto"/>
              <w:right w:val="single" w:sz="4" w:space="0" w:color="auto"/>
            </w:tcBorders>
            <w:vAlign w:val="center"/>
          </w:tcPr>
          <w:p w14:paraId="34D0A926" w14:textId="77777777" w:rsidR="002040E7" w:rsidRPr="00AF1814" w:rsidRDefault="00DA3174" w:rsidP="00B051D3">
            <w:pPr>
              <w:keepNext/>
              <w:spacing w:before="40" w:after="40"/>
              <w:jc w:val="center"/>
              <w:rPr>
                <w:rFonts w:ascii="Arial" w:hAnsi="Arial" w:cs="Arial"/>
                <w:sz w:val="18"/>
                <w:szCs w:val="18"/>
              </w:rPr>
            </w:pPr>
            <w:r w:rsidRPr="00AF1814">
              <w:rPr>
                <w:rFonts w:ascii="Arial" w:hAnsi="Arial" w:cs="Arial"/>
                <w:sz w:val="18"/>
                <w:szCs w:val="18"/>
              </w:rPr>
              <w:t>X</w:t>
            </w:r>
          </w:p>
        </w:tc>
        <w:tc>
          <w:tcPr>
            <w:tcW w:w="1288" w:type="pct"/>
            <w:gridSpan w:val="2"/>
            <w:tcBorders>
              <w:left w:val="single" w:sz="4" w:space="0" w:color="auto"/>
              <w:right w:val="single" w:sz="4" w:space="0" w:color="auto"/>
            </w:tcBorders>
            <w:shd w:val="clear" w:color="auto" w:fill="auto"/>
            <w:vAlign w:val="center"/>
          </w:tcPr>
          <w:p w14:paraId="43F5E99A" w14:textId="7944B7C9" w:rsidR="002040E7" w:rsidRPr="00AF1814" w:rsidRDefault="00DA3174" w:rsidP="00B051D3">
            <w:pPr>
              <w:keepNext/>
              <w:spacing w:before="40" w:after="40"/>
              <w:jc w:val="left"/>
              <w:rPr>
                <w:rFonts w:ascii="Arial" w:hAnsi="Arial" w:cs="Arial"/>
                <w:sz w:val="18"/>
                <w:szCs w:val="18"/>
              </w:rPr>
            </w:pPr>
            <w:r w:rsidRPr="00AF1814">
              <w:rPr>
                <w:rFonts w:ascii="Arial" w:hAnsi="Arial" w:cs="Arial"/>
                <w:sz w:val="18"/>
                <w:szCs w:val="18"/>
              </w:rPr>
              <w:t>See</w:t>
            </w:r>
            <w:r w:rsidRPr="00AF1814">
              <w:rPr>
                <w:rFonts w:ascii="Arial" w:hAnsi="Arial" w:cs="Arial"/>
                <w:color w:val="0000FF"/>
                <w:sz w:val="18"/>
                <w:szCs w:val="18"/>
              </w:rPr>
              <w:t xml:space="preserve"> </w:t>
            </w:r>
            <w:hyperlink w:anchor="_Appendix_4_Adverse" w:history="1">
              <w:r w:rsidRPr="00AF1814">
                <w:rPr>
                  <w:rStyle w:val="Hyperlink"/>
                  <w:rFonts w:ascii="Arial" w:hAnsi="Arial" w:cs="Arial"/>
                  <w:sz w:val="18"/>
                  <w:szCs w:val="18"/>
                </w:rPr>
                <w:t>Appendix 4</w:t>
              </w:r>
            </w:hyperlink>
            <w:r w:rsidRPr="00AF1814">
              <w:rPr>
                <w:rFonts w:ascii="Arial" w:hAnsi="Arial" w:cs="Arial"/>
                <w:sz w:val="18"/>
                <w:szCs w:val="18"/>
              </w:rPr>
              <w:t xml:space="preserve"> for safety recording and reporting.</w:t>
            </w:r>
          </w:p>
        </w:tc>
      </w:tr>
      <w:tr w:rsidR="002108B2" w:rsidRPr="00AF1814" w14:paraId="2B529405" w14:textId="77777777" w:rsidTr="00274652">
        <w:trPr>
          <w:cantSplit/>
          <w:trHeight w:val="944"/>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0AD86DB5" w14:textId="77777777" w:rsidR="002040E7" w:rsidRPr="00AF1814" w:rsidRDefault="00DA3174" w:rsidP="005C687D">
            <w:pPr>
              <w:spacing w:before="40" w:after="40"/>
              <w:jc w:val="left"/>
              <w:rPr>
                <w:rFonts w:ascii="Arial" w:hAnsi="Arial" w:cs="Arial"/>
                <w:sz w:val="18"/>
                <w:szCs w:val="18"/>
              </w:rPr>
            </w:pPr>
            <w:r w:rsidRPr="00AF1814">
              <w:rPr>
                <w:rFonts w:ascii="Arial" w:hAnsi="Arial" w:cs="Arial"/>
                <w:sz w:val="18"/>
                <w:szCs w:val="18"/>
              </w:rPr>
              <w:t>Physical examination</w:t>
            </w:r>
          </w:p>
        </w:tc>
        <w:tc>
          <w:tcPr>
            <w:tcW w:w="384" w:type="pct"/>
            <w:tcBorders>
              <w:top w:val="single" w:sz="4" w:space="0" w:color="auto"/>
              <w:left w:val="single" w:sz="4" w:space="0" w:color="auto"/>
              <w:bottom w:val="single" w:sz="4" w:space="0" w:color="auto"/>
              <w:right w:val="single" w:sz="4" w:space="0" w:color="auto"/>
            </w:tcBorders>
            <w:vAlign w:val="center"/>
          </w:tcPr>
          <w:p w14:paraId="2BF563C4"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shd w:val="clear" w:color="auto" w:fill="auto"/>
            <w:vAlign w:val="center"/>
          </w:tcPr>
          <w:p w14:paraId="000113B9"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auto"/>
            <w:vAlign w:val="center"/>
          </w:tcPr>
          <w:p w14:paraId="445E588E"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auto"/>
            <w:vAlign w:val="center"/>
          </w:tcPr>
          <w:p w14:paraId="727809D7"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tcPr>
          <w:p w14:paraId="021E6509"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tcPr>
          <w:p w14:paraId="6316BB59"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4" w:type="pct"/>
            <w:tcBorders>
              <w:top w:val="single" w:sz="4" w:space="0" w:color="auto"/>
              <w:left w:val="single" w:sz="4" w:space="0" w:color="auto"/>
              <w:bottom w:val="single" w:sz="4" w:space="0" w:color="auto"/>
              <w:right w:val="single" w:sz="4" w:space="0" w:color="auto"/>
            </w:tcBorders>
            <w:shd w:val="clear" w:color="auto" w:fill="auto"/>
            <w:vAlign w:val="center"/>
          </w:tcPr>
          <w:p w14:paraId="7A1E1E32"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300" w:type="pct"/>
            <w:tcBorders>
              <w:left w:val="single" w:sz="4" w:space="0" w:color="auto"/>
              <w:right w:val="single" w:sz="4" w:space="0" w:color="auto"/>
            </w:tcBorders>
            <w:vAlign w:val="center"/>
          </w:tcPr>
          <w:p w14:paraId="70796556" w14:textId="77777777" w:rsidR="002040E7" w:rsidRPr="00AF1814" w:rsidRDefault="00DA3174" w:rsidP="00502088">
            <w:pPr>
              <w:spacing w:before="40" w:after="40"/>
              <w:jc w:val="center"/>
              <w:rPr>
                <w:rFonts w:ascii="Arial" w:hAnsi="Arial" w:cs="Arial"/>
                <w:sz w:val="18"/>
                <w:szCs w:val="18"/>
              </w:rPr>
            </w:pPr>
            <w:r w:rsidRPr="00AF1814">
              <w:rPr>
                <w:rFonts w:ascii="Arial" w:hAnsi="Arial" w:cs="Arial"/>
                <w:sz w:val="18"/>
                <w:szCs w:val="18"/>
              </w:rPr>
              <w:t>X</w:t>
            </w:r>
          </w:p>
        </w:tc>
        <w:tc>
          <w:tcPr>
            <w:tcW w:w="663" w:type="pct"/>
            <w:tcBorders>
              <w:left w:val="single" w:sz="4" w:space="0" w:color="auto"/>
              <w:right w:val="single" w:sz="4" w:space="0" w:color="auto"/>
            </w:tcBorders>
            <w:vAlign w:val="center"/>
          </w:tcPr>
          <w:p w14:paraId="7C319A23" w14:textId="77777777" w:rsidR="002040E7" w:rsidRPr="00AF1814" w:rsidRDefault="00DA3174" w:rsidP="00502088">
            <w:pPr>
              <w:spacing w:before="40" w:after="40"/>
              <w:jc w:val="center"/>
              <w:rPr>
                <w:rFonts w:ascii="Arial" w:hAnsi="Arial" w:cs="Arial"/>
                <w:sz w:val="18"/>
                <w:szCs w:val="18"/>
              </w:rPr>
            </w:pPr>
            <w:r w:rsidRPr="00AF1814">
              <w:rPr>
                <w:rFonts w:ascii="Arial" w:hAnsi="Arial" w:cs="Arial"/>
                <w:sz w:val="18"/>
                <w:szCs w:val="18"/>
              </w:rPr>
              <w:t>X</w:t>
            </w:r>
          </w:p>
        </w:tc>
        <w:tc>
          <w:tcPr>
            <w:tcW w:w="1288" w:type="pct"/>
            <w:gridSpan w:val="2"/>
            <w:tcBorders>
              <w:left w:val="single" w:sz="4" w:space="0" w:color="auto"/>
              <w:right w:val="single" w:sz="4" w:space="0" w:color="auto"/>
            </w:tcBorders>
            <w:shd w:val="clear" w:color="auto" w:fill="auto"/>
            <w:vAlign w:val="center"/>
          </w:tcPr>
          <w:p w14:paraId="15F32156" w14:textId="0632A4AF" w:rsidR="002040E7" w:rsidRPr="00E44F28" w:rsidRDefault="00DA3174" w:rsidP="005C687D">
            <w:pPr>
              <w:spacing w:before="40" w:after="40"/>
              <w:jc w:val="left"/>
              <w:rPr>
                <w:rFonts w:ascii="Arial" w:hAnsi="Arial" w:cs="Arial"/>
                <w:sz w:val="18"/>
                <w:szCs w:val="18"/>
              </w:rPr>
            </w:pPr>
            <w:r w:rsidRPr="00E44F28">
              <w:rPr>
                <w:rFonts w:ascii="Arial" w:hAnsi="Arial" w:cs="Arial"/>
                <w:sz w:val="18"/>
                <w:szCs w:val="18"/>
              </w:rPr>
              <w:t xml:space="preserve">Complete </w:t>
            </w:r>
            <w:r w:rsidRPr="00E44F28">
              <w:rPr>
                <w:rFonts w:ascii="Arial" w:hAnsi="Arial"/>
                <w:sz w:val="18"/>
              </w:rPr>
              <w:t>physical examination</w:t>
            </w:r>
            <w:r w:rsidRPr="00E44F28">
              <w:rPr>
                <w:rFonts w:ascii="Arial" w:hAnsi="Arial" w:cs="Arial"/>
                <w:sz w:val="18"/>
                <w:szCs w:val="18"/>
              </w:rPr>
              <w:t xml:space="preserve"> to be performed at Screening; subsequent focused examinations to be performed as described in Section</w:t>
            </w:r>
            <w:r w:rsidR="00D45E80" w:rsidRPr="00E44F28">
              <w:rPr>
                <w:rFonts w:ascii="Arial" w:hAnsi="Arial" w:cs="Arial"/>
                <w:sz w:val="18"/>
                <w:szCs w:val="18"/>
              </w:rPr>
              <w:t> </w:t>
            </w:r>
            <w:r w:rsidRPr="00E44F28">
              <w:rPr>
                <w:rFonts w:ascii="Arial" w:hAnsi="Arial" w:cs="Arial"/>
                <w:sz w:val="18"/>
                <w:szCs w:val="18"/>
              </w:rPr>
              <w:fldChar w:fldCharType="begin"/>
            </w:r>
            <w:r w:rsidRPr="00E44F28">
              <w:rPr>
                <w:rFonts w:ascii="Arial" w:hAnsi="Arial" w:cs="Arial"/>
                <w:sz w:val="18"/>
                <w:szCs w:val="18"/>
              </w:rPr>
              <w:instrText xml:space="preserve"> REF _Ref30403356 \r \h </w:instrText>
            </w:r>
            <w:r w:rsidR="00AF1814" w:rsidRPr="00E44F28">
              <w:rPr>
                <w:rFonts w:ascii="Arial" w:hAnsi="Arial" w:cs="Arial"/>
                <w:sz w:val="18"/>
                <w:szCs w:val="18"/>
              </w:rPr>
              <w:instrText xml:space="preserve"> \* MERGEFORMAT </w:instrText>
            </w:r>
            <w:r w:rsidRPr="00E44F28">
              <w:rPr>
                <w:rFonts w:ascii="Arial" w:hAnsi="Arial" w:cs="Arial"/>
                <w:sz w:val="18"/>
                <w:szCs w:val="18"/>
              </w:rPr>
            </w:r>
            <w:r w:rsidRPr="00E44F28">
              <w:rPr>
                <w:rFonts w:ascii="Arial" w:hAnsi="Arial" w:cs="Arial"/>
                <w:sz w:val="18"/>
                <w:szCs w:val="18"/>
              </w:rPr>
              <w:fldChar w:fldCharType="separate"/>
            </w:r>
            <w:r w:rsidR="00C548C3" w:rsidRPr="00E44F28">
              <w:rPr>
                <w:rFonts w:ascii="Arial" w:hAnsi="Arial" w:cs="Arial"/>
                <w:sz w:val="18"/>
                <w:szCs w:val="18"/>
              </w:rPr>
              <w:t>8.2.1</w:t>
            </w:r>
            <w:r w:rsidRPr="00E44F28">
              <w:rPr>
                <w:rFonts w:ascii="Arial" w:hAnsi="Arial" w:cs="Arial"/>
                <w:sz w:val="18"/>
                <w:szCs w:val="18"/>
              </w:rPr>
              <w:fldChar w:fldCharType="end"/>
            </w:r>
            <w:r w:rsidRPr="00E44F28">
              <w:rPr>
                <w:rFonts w:ascii="Arial" w:hAnsi="Arial" w:cs="Arial"/>
                <w:sz w:val="18"/>
                <w:szCs w:val="18"/>
              </w:rPr>
              <w:t>.</w:t>
            </w:r>
          </w:p>
        </w:tc>
      </w:tr>
      <w:tr w:rsidR="002108B2" w:rsidRPr="00AF1814" w14:paraId="0DA7FCA3" w14:textId="77777777" w:rsidTr="00274652">
        <w:trPr>
          <w:cantSplit/>
          <w:trHeight w:val="404"/>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1A054B00" w14:textId="77777777" w:rsidR="002040E7" w:rsidRPr="00AF1814" w:rsidRDefault="00DA3174" w:rsidP="005C687D">
            <w:pPr>
              <w:spacing w:before="40" w:after="40"/>
              <w:jc w:val="left"/>
              <w:rPr>
                <w:rFonts w:ascii="Arial" w:hAnsi="Arial" w:cs="Arial"/>
                <w:sz w:val="18"/>
                <w:szCs w:val="18"/>
              </w:rPr>
            </w:pPr>
            <w:r w:rsidRPr="00AF1814">
              <w:rPr>
                <w:rFonts w:ascii="Arial" w:hAnsi="Arial" w:cs="Arial"/>
                <w:sz w:val="18"/>
                <w:szCs w:val="18"/>
              </w:rPr>
              <w:t>Skin assessment</w:t>
            </w:r>
          </w:p>
        </w:tc>
        <w:tc>
          <w:tcPr>
            <w:tcW w:w="384" w:type="pct"/>
            <w:tcBorders>
              <w:top w:val="single" w:sz="4" w:space="0" w:color="auto"/>
              <w:left w:val="single" w:sz="4" w:space="0" w:color="auto"/>
              <w:bottom w:val="single" w:sz="4" w:space="0" w:color="auto"/>
              <w:right w:val="single" w:sz="4" w:space="0" w:color="auto"/>
            </w:tcBorders>
            <w:vAlign w:val="center"/>
          </w:tcPr>
          <w:p w14:paraId="581B07E7"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00B1F02" w14:textId="77777777" w:rsidR="002040E7" w:rsidRPr="00AF1814" w:rsidRDefault="002040E7" w:rsidP="005C687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5B14D64" w14:textId="77777777" w:rsidR="002040E7" w:rsidRPr="00AF1814" w:rsidRDefault="002040E7" w:rsidP="005C687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F2E1F9" w14:textId="77777777" w:rsidR="002040E7" w:rsidRPr="00AF1814" w:rsidRDefault="002040E7" w:rsidP="005C687D">
            <w:pPr>
              <w:spacing w:before="40" w:after="40"/>
              <w:jc w:val="center"/>
              <w:rPr>
                <w:rFonts w:ascii="Arial" w:hAnsi="Arial" w:cs="Arial"/>
                <w:sz w:val="18"/>
                <w:szCs w:val="18"/>
              </w:rPr>
            </w:pPr>
          </w:p>
        </w:tc>
        <w:tc>
          <w:tcPr>
            <w:tcW w:w="2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9D3F5D5" w14:textId="77777777" w:rsidR="002040E7" w:rsidRPr="00AF1814" w:rsidRDefault="002040E7" w:rsidP="005C687D">
            <w:pPr>
              <w:spacing w:before="40" w:after="40"/>
              <w:jc w:val="center"/>
              <w:rPr>
                <w:rFonts w:ascii="Arial" w:hAnsi="Arial" w:cs="Arial"/>
                <w:sz w:val="18"/>
                <w:szCs w:val="18"/>
              </w:rPr>
            </w:pP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8AC731" w14:textId="77777777" w:rsidR="002040E7" w:rsidRPr="00AF1814" w:rsidRDefault="002040E7" w:rsidP="005C687D">
            <w:pPr>
              <w:spacing w:before="40" w:after="40"/>
              <w:jc w:val="center"/>
              <w:rPr>
                <w:rFonts w:ascii="Arial" w:hAnsi="Arial" w:cs="Arial"/>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E088255" w14:textId="77777777" w:rsidR="002040E7" w:rsidRPr="00AF1814" w:rsidRDefault="002040E7" w:rsidP="005C687D">
            <w:pPr>
              <w:spacing w:before="40" w:after="40"/>
              <w:jc w:val="center"/>
              <w:rPr>
                <w:rFonts w:ascii="Arial" w:hAnsi="Arial" w:cs="Arial"/>
                <w:sz w:val="18"/>
                <w:szCs w:val="18"/>
              </w:rPr>
            </w:pPr>
          </w:p>
        </w:tc>
        <w:tc>
          <w:tcPr>
            <w:tcW w:w="300" w:type="pct"/>
            <w:tcBorders>
              <w:left w:val="single" w:sz="4" w:space="0" w:color="auto"/>
              <w:right w:val="single" w:sz="4" w:space="0" w:color="auto"/>
            </w:tcBorders>
            <w:shd w:val="clear" w:color="auto" w:fill="BFBFBF" w:themeFill="background1" w:themeFillShade="BF"/>
          </w:tcPr>
          <w:p w14:paraId="077CE76D" w14:textId="77777777" w:rsidR="002040E7" w:rsidRPr="00AF1814" w:rsidRDefault="002040E7" w:rsidP="00502088">
            <w:pPr>
              <w:spacing w:before="40" w:after="40"/>
              <w:jc w:val="center"/>
              <w:rPr>
                <w:rFonts w:ascii="Arial" w:hAnsi="Arial" w:cs="Arial"/>
                <w:sz w:val="18"/>
                <w:szCs w:val="18"/>
              </w:rPr>
            </w:pPr>
          </w:p>
        </w:tc>
        <w:tc>
          <w:tcPr>
            <w:tcW w:w="663" w:type="pct"/>
            <w:tcBorders>
              <w:left w:val="single" w:sz="4" w:space="0" w:color="auto"/>
              <w:right w:val="single" w:sz="4" w:space="0" w:color="auto"/>
            </w:tcBorders>
            <w:vAlign w:val="center"/>
          </w:tcPr>
          <w:p w14:paraId="5DC6ED54" w14:textId="77777777" w:rsidR="002040E7" w:rsidRPr="00AF1814" w:rsidRDefault="00DA3174" w:rsidP="00502088">
            <w:pPr>
              <w:spacing w:before="40" w:after="40"/>
              <w:jc w:val="center"/>
              <w:rPr>
                <w:rFonts w:ascii="Arial" w:hAnsi="Arial" w:cs="Arial"/>
                <w:sz w:val="18"/>
                <w:szCs w:val="18"/>
              </w:rPr>
            </w:pPr>
            <w:r w:rsidRPr="00AF1814">
              <w:rPr>
                <w:rFonts w:ascii="Arial" w:hAnsi="Arial" w:cs="Arial"/>
                <w:sz w:val="18"/>
                <w:szCs w:val="18"/>
              </w:rPr>
              <w:t>X</w:t>
            </w:r>
          </w:p>
        </w:tc>
        <w:tc>
          <w:tcPr>
            <w:tcW w:w="1288" w:type="pct"/>
            <w:gridSpan w:val="2"/>
            <w:tcBorders>
              <w:left w:val="single" w:sz="4" w:space="0" w:color="auto"/>
              <w:right w:val="single" w:sz="4" w:space="0" w:color="auto"/>
            </w:tcBorders>
            <w:shd w:val="clear" w:color="auto" w:fill="auto"/>
            <w:vAlign w:val="center"/>
          </w:tcPr>
          <w:p w14:paraId="338B9A37" w14:textId="5FE055D1" w:rsidR="002040E7" w:rsidRPr="00E44F28" w:rsidRDefault="00DA3174" w:rsidP="005C687D">
            <w:pPr>
              <w:spacing w:before="40" w:after="40"/>
              <w:jc w:val="left"/>
              <w:rPr>
                <w:rFonts w:ascii="Arial" w:hAnsi="Arial" w:cs="Arial"/>
                <w:sz w:val="18"/>
                <w:szCs w:val="18"/>
              </w:rPr>
            </w:pPr>
            <w:r w:rsidRPr="00E44F28">
              <w:rPr>
                <w:rFonts w:ascii="Arial" w:hAnsi="Arial" w:cs="Arial"/>
                <w:sz w:val="18"/>
                <w:szCs w:val="18"/>
              </w:rPr>
              <w:t xml:space="preserve">See Section </w:t>
            </w:r>
            <w:r w:rsidRPr="00E44F28">
              <w:rPr>
                <w:rFonts w:ascii="Arial" w:hAnsi="Arial" w:cs="Arial"/>
                <w:sz w:val="18"/>
                <w:szCs w:val="18"/>
              </w:rPr>
              <w:fldChar w:fldCharType="begin"/>
            </w:r>
            <w:r w:rsidRPr="00E44F28">
              <w:rPr>
                <w:rFonts w:ascii="Arial" w:hAnsi="Arial" w:cs="Arial"/>
                <w:sz w:val="18"/>
                <w:szCs w:val="18"/>
              </w:rPr>
              <w:instrText xml:space="preserve"> REF _Ref13668751 \r \h  \* MERGEFORMAT </w:instrText>
            </w:r>
            <w:r w:rsidRPr="00E44F28">
              <w:rPr>
                <w:rFonts w:ascii="Arial" w:hAnsi="Arial" w:cs="Arial"/>
                <w:sz w:val="18"/>
                <w:szCs w:val="18"/>
              </w:rPr>
            </w:r>
            <w:r w:rsidRPr="00E44F28">
              <w:rPr>
                <w:rFonts w:ascii="Arial" w:hAnsi="Arial" w:cs="Arial"/>
                <w:sz w:val="18"/>
                <w:szCs w:val="18"/>
              </w:rPr>
              <w:fldChar w:fldCharType="separate"/>
            </w:r>
            <w:r w:rsidR="00C548C3" w:rsidRPr="00E44F28">
              <w:rPr>
                <w:rFonts w:ascii="Arial" w:hAnsi="Arial" w:cs="Arial"/>
                <w:sz w:val="18"/>
                <w:szCs w:val="18"/>
              </w:rPr>
              <w:t>8.3.6.3</w:t>
            </w:r>
            <w:r w:rsidRPr="00E44F28">
              <w:rPr>
                <w:rFonts w:ascii="Arial" w:hAnsi="Arial" w:cs="Arial"/>
                <w:sz w:val="18"/>
                <w:szCs w:val="18"/>
              </w:rPr>
              <w:fldChar w:fldCharType="end"/>
            </w:r>
            <w:r w:rsidRPr="00E44F28">
              <w:rPr>
                <w:rFonts w:ascii="Arial" w:hAnsi="Arial" w:cs="Arial"/>
                <w:sz w:val="18"/>
                <w:szCs w:val="18"/>
              </w:rPr>
              <w:t xml:space="preserve"> for skin assessment.</w:t>
            </w:r>
          </w:p>
        </w:tc>
      </w:tr>
      <w:tr w:rsidR="002108B2" w:rsidRPr="00AF1814" w14:paraId="3BF2687F" w14:textId="77777777" w:rsidTr="00274652">
        <w:trPr>
          <w:cantSplit/>
          <w:trHeight w:val="539"/>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0093A5BA" w14:textId="77777777" w:rsidR="002040E7" w:rsidRPr="00AF1814" w:rsidRDefault="00DA3174" w:rsidP="005C687D">
            <w:pPr>
              <w:spacing w:before="40" w:after="40"/>
              <w:jc w:val="left"/>
              <w:rPr>
                <w:rFonts w:ascii="Arial" w:hAnsi="Arial" w:cs="Arial"/>
                <w:sz w:val="18"/>
                <w:szCs w:val="18"/>
              </w:rPr>
            </w:pPr>
            <w:r w:rsidRPr="00AF1814">
              <w:rPr>
                <w:rFonts w:ascii="Arial" w:hAnsi="Arial" w:cs="Arial"/>
                <w:sz w:val="18"/>
                <w:szCs w:val="18"/>
              </w:rPr>
              <w:t xml:space="preserve">Vital signs  </w:t>
            </w:r>
          </w:p>
        </w:tc>
        <w:tc>
          <w:tcPr>
            <w:tcW w:w="384" w:type="pct"/>
            <w:tcBorders>
              <w:top w:val="single" w:sz="4" w:space="0" w:color="auto"/>
              <w:left w:val="single" w:sz="4" w:space="0" w:color="auto"/>
              <w:bottom w:val="single" w:sz="4" w:space="0" w:color="auto"/>
              <w:right w:val="single" w:sz="4" w:space="0" w:color="auto"/>
            </w:tcBorders>
            <w:vAlign w:val="center"/>
          </w:tcPr>
          <w:p w14:paraId="3B498000"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shd w:val="clear" w:color="auto" w:fill="auto"/>
            <w:vAlign w:val="center"/>
          </w:tcPr>
          <w:p w14:paraId="0DC05905"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auto"/>
            <w:vAlign w:val="center"/>
          </w:tcPr>
          <w:p w14:paraId="2723CBAA"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auto"/>
            <w:vAlign w:val="center"/>
          </w:tcPr>
          <w:p w14:paraId="2349111A"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tcPr>
          <w:p w14:paraId="4521CBD7"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tcPr>
          <w:p w14:paraId="3C95D631"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4" w:type="pct"/>
            <w:tcBorders>
              <w:top w:val="single" w:sz="4" w:space="0" w:color="auto"/>
              <w:left w:val="single" w:sz="4" w:space="0" w:color="auto"/>
              <w:bottom w:val="single" w:sz="4" w:space="0" w:color="auto"/>
              <w:right w:val="single" w:sz="4" w:space="0" w:color="auto"/>
            </w:tcBorders>
            <w:shd w:val="clear" w:color="auto" w:fill="auto"/>
            <w:vAlign w:val="center"/>
          </w:tcPr>
          <w:p w14:paraId="5B46DC88"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300" w:type="pct"/>
            <w:tcBorders>
              <w:left w:val="single" w:sz="4" w:space="0" w:color="auto"/>
              <w:right w:val="single" w:sz="4" w:space="0" w:color="auto"/>
            </w:tcBorders>
            <w:vAlign w:val="center"/>
          </w:tcPr>
          <w:p w14:paraId="4887393A" w14:textId="77777777" w:rsidR="002040E7" w:rsidRPr="00AF1814" w:rsidRDefault="00DA3174" w:rsidP="00502088">
            <w:pPr>
              <w:spacing w:before="40" w:after="40"/>
              <w:jc w:val="center"/>
              <w:rPr>
                <w:rFonts w:ascii="Arial" w:hAnsi="Arial" w:cs="Arial"/>
                <w:sz w:val="18"/>
                <w:szCs w:val="18"/>
              </w:rPr>
            </w:pPr>
            <w:r w:rsidRPr="00AF1814">
              <w:rPr>
                <w:rFonts w:ascii="Arial" w:hAnsi="Arial" w:cs="Arial"/>
                <w:sz w:val="18"/>
                <w:szCs w:val="18"/>
              </w:rPr>
              <w:t>X</w:t>
            </w:r>
          </w:p>
        </w:tc>
        <w:tc>
          <w:tcPr>
            <w:tcW w:w="663" w:type="pct"/>
            <w:tcBorders>
              <w:left w:val="single" w:sz="4" w:space="0" w:color="auto"/>
              <w:right w:val="single" w:sz="4" w:space="0" w:color="auto"/>
            </w:tcBorders>
            <w:vAlign w:val="center"/>
          </w:tcPr>
          <w:p w14:paraId="06AB4E86" w14:textId="77777777" w:rsidR="002040E7" w:rsidRPr="00AF1814" w:rsidRDefault="00DA3174" w:rsidP="00502088">
            <w:pPr>
              <w:spacing w:before="40" w:after="40"/>
              <w:jc w:val="center"/>
              <w:rPr>
                <w:rFonts w:ascii="Arial" w:hAnsi="Arial" w:cs="Arial"/>
                <w:sz w:val="18"/>
                <w:szCs w:val="18"/>
              </w:rPr>
            </w:pPr>
            <w:r w:rsidRPr="00AF1814">
              <w:rPr>
                <w:rFonts w:ascii="Arial" w:hAnsi="Arial" w:cs="Arial"/>
                <w:sz w:val="18"/>
                <w:szCs w:val="18"/>
              </w:rPr>
              <w:t>X</w:t>
            </w:r>
          </w:p>
        </w:tc>
        <w:tc>
          <w:tcPr>
            <w:tcW w:w="1288" w:type="pct"/>
            <w:gridSpan w:val="2"/>
            <w:tcBorders>
              <w:left w:val="single" w:sz="4" w:space="0" w:color="auto"/>
              <w:right w:val="single" w:sz="4" w:space="0" w:color="auto"/>
            </w:tcBorders>
            <w:shd w:val="clear" w:color="auto" w:fill="auto"/>
            <w:vAlign w:val="center"/>
          </w:tcPr>
          <w:p w14:paraId="74F02618" w14:textId="5BCBB23C" w:rsidR="002040E7" w:rsidRPr="00E44F28" w:rsidRDefault="00DA3174" w:rsidP="005C687D">
            <w:pPr>
              <w:spacing w:before="40" w:after="40"/>
              <w:jc w:val="left"/>
              <w:rPr>
                <w:rFonts w:ascii="Arial" w:hAnsi="Arial" w:cs="Arial"/>
                <w:sz w:val="18"/>
                <w:szCs w:val="18"/>
              </w:rPr>
            </w:pPr>
            <w:r w:rsidRPr="00E44F28">
              <w:rPr>
                <w:rFonts w:ascii="Arial" w:hAnsi="Arial" w:cs="Arial"/>
                <w:sz w:val="18"/>
                <w:szCs w:val="18"/>
              </w:rPr>
              <w:t xml:space="preserve">Including weight and height (height at Screening only). </w:t>
            </w:r>
            <w:r w:rsidRPr="00E44F28">
              <w:rPr>
                <w:rFonts w:ascii="Arial" w:hAnsi="Arial"/>
                <w:sz w:val="18"/>
              </w:rPr>
              <w:t xml:space="preserve">See Section </w:t>
            </w:r>
            <w:r w:rsidRPr="00E44F28">
              <w:rPr>
                <w:rFonts w:ascii="Arial" w:hAnsi="Arial"/>
                <w:sz w:val="18"/>
              </w:rPr>
              <w:fldChar w:fldCharType="begin"/>
            </w:r>
            <w:r w:rsidRPr="00E44F28">
              <w:rPr>
                <w:rFonts w:ascii="Arial" w:hAnsi="Arial"/>
                <w:sz w:val="18"/>
              </w:rPr>
              <w:instrText xml:space="preserve"> REF _Ref36564376 \w \h  \* MERGEFORMAT </w:instrText>
            </w:r>
            <w:r w:rsidRPr="00E44F28">
              <w:rPr>
                <w:rFonts w:ascii="Arial" w:hAnsi="Arial"/>
                <w:sz w:val="18"/>
              </w:rPr>
            </w:r>
            <w:r w:rsidRPr="00E44F28">
              <w:rPr>
                <w:rFonts w:ascii="Arial" w:hAnsi="Arial"/>
                <w:sz w:val="18"/>
              </w:rPr>
              <w:fldChar w:fldCharType="separate"/>
            </w:r>
            <w:r w:rsidR="00C548C3" w:rsidRPr="00E44F28">
              <w:rPr>
                <w:rFonts w:ascii="Arial" w:hAnsi="Arial"/>
                <w:sz w:val="18"/>
              </w:rPr>
              <w:t>8.2.2</w:t>
            </w:r>
            <w:r w:rsidRPr="00E44F28">
              <w:rPr>
                <w:rFonts w:ascii="Arial" w:hAnsi="Arial"/>
                <w:sz w:val="18"/>
              </w:rPr>
              <w:fldChar w:fldCharType="end"/>
            </w:r>
            <w:r w:rsidRPr="00E44F28">
              <w:rPr>
                <w:rFonts w:ascii="Arial" w:hAnsi="Arial"/>
                <w:sz w:val="18"/>
              </w:rPr>
              <w:t>.</w:t>
            </w:r>
          </w:p>
        </w:tc>
      </w:tr>
      <w:tr w:rsidR="002108B2" w:rsidRPr="00AF1814" w14:paraId="31D64581" w14:textId="77777777" w:rsidTr="00274652">
        <w:trPr>
          <w:cantSplit/>
          <w:trHeight w:val="431"/>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5D9F9AB0" w14:textId="77777777" w:rsidR="002040E7" w:rsidRPr="00AF1814" w:rsidRDefault="00DA3174" w:rsidP="005C687D">
            <w:pPr>
              <w:spacing w:before="40" w:after="40"/>
              <w:jc w:val="left"/>
              <w:rPr>
                <w:rFonts w:ascii="Arial" w:hAnsi="Arial" w:cs="Arial"/>
                <w:sz w:val="18"/>
                <w:szCs w:val="18"/>
              </w:rPr>
            </w:pPr>
            <w:r w:rsidRPr="00AF1814">
              <w:rPr>
                <w:rFonts w:ascii="Arial" w:hAnsi="Arial" w:cs="Arial"/>
                <w:sz w:val="18"/>
                <w:szCs w:val="18"/>
              </w:rPr>
              <w:t>ECOG PS</w:t>
            </w:r>
          </w:p>
        </w:tc>
        <w:tc>
          <w:tcPr>
            <w:tcW w:w="384" w:type="pct"/>
            <w:tcBorders>
              <w:top w:val="single" w:sz="4" w:space="0" w:color="auto"/>
              <w:left w:val="single" w:sz="4" w:space="0" w:color="auto"/>
              <w:bottom w:val="single" w:sz="4" w:space="0" w:color="auto"/>
              <w:right w:val="single" w:sz="4" w:space="0" w:color="auto"/>
            </w:tcBorders>
            <w:vAlign w:val="center"/>
          </w:tcPr>
          <w:p w14:paraId="4EFE47E0"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shd w:val="clear" w:color="auto" w:fill="auto"/>
            <w:vAlign w:val="center"/>
          </w:tcPr>
          <w:p w14:paraId="0C183279"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auto"/>
            <w:vAlign w:val="center"/>
          </w:tcPr>
          <w:p w14:paraId="1754F41F"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auto"/>
            <w:vAlign w:val="center"/>
          </w:tcPr>
          <w:p w14:paraId="31260A87"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tcPr>
          <w:p w14:paraId="1B6E988A"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8" w:type="pct"/>
            <w:tcBorders>
              <w:top w:val="single" w:sz="4" w:space="0" w:color="auto"/>
              <w:left w:val="single" w:sz="4" w:space="0" w:color="auto"/>
              <w:bottom w:val="single" w:sz="4" w:space="0" w:color="auto"/>
              <w:right w:val="single" w:sz="4" w:space="0" w:color="auto"/>
            </w:tcBorders>
            <w:shd w:val="clear" w:color="auto" w:fill="auto"/>
            <w:vAlign w:val="center"/>
          </w:tcPr>
          <w:p w14:paraId="7CDEA226"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4" w:type="pct"/>
            <w:tcBorders>
              <w:top w:val="single" w:sz="4" w:space="0" w:color="auto"/>
              <w:left w:val="single" w:sz="4" w:space="0" w:color="auto"/>
              <w:bottom w:val="single" w:sz="4" w:space="0" w:color="auto"/>
              <w:right w:val="single" w:sz="4" w:space="0" w:color="auto"/>
            </w:tcBorders>
            <w:shd w:val="clear" w:color="auto" w:fill="auto"/>
            <w:vAlign w:val="center"/>
          </w:tcPr>
          <w:p w14:paraId="03FF789B"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300" w:type="pct"/>
            <w:tcBorders>
              <w:left w:val="single" w:sz="4" w:space="0" w:color="auto"/>
              <w:right w:val="single" w:sz="4" w:space="0" w:color="auto"/>
            </w:tcBorders>
            <w:vAlign w:val="center"/>
          </w:tcPr>
          <w:p w14:paraId="7AC27BE4" w14:textId="77777777" w:rsidR="002040E7" w:rsidRPr="00AF1814" w:rsidRDefault="00DA3174" w:rsidP="00502088">
            <w:pPr>
              <w:spacing w:before="40" w:after="40"/>
              <w:jc w:val="center"/>
              <w:rPr>
                <w:rFonts w:ascii="Arial" w:hAnsi="Arial" w:cs="Arial"/>
                <w:sz w:val="18"/>
                <w:szCs w:val="18"/>
              </w:rPr>
            </w:pPr>
            <w:r w:rsidRPr="00AF1814">
              <w:rPr>
                <w:rFonts w:ascii="Arial" w:hAnsi="Arial" w:cs="Arial"/>
                <w:sz w:val="18"/>
                <w:szCs w:val="18"/>
              </w:rPr>
              <w:t>X</w:t>
            </w:r>
          </w:p>
        </w:tc>
        <w:tc>
          <w:tcPr>
            <w:tcW w:w="663" w:type="pct"/>
            <w:tcBorders>
              <w:left w:val="single" w:sz="4" w:space="0" w:color="auto"/>
              <w:right w:val="single" w:sz="4" w:space="0" w:color="auto"/>
            </w:tcBorders>
            <w:vAlign w:val="center"/>
          </w:tcPr>
          <w:p w14:paraId="1217D2C4" w14:textId="77777777" w:rsidR="002040E7" w:rsidRPr="00AF1814" w:rsidRDefault="00DA3174" w:rsidP="00502088">
            <w:pPr>
              <w:spacing w:before="40" w:after="40"/>
              <w:jc w:val="center"/>
              <w:rPr>
                <w:rFonts w:ascii="Arial" w:hAnsi="Arial" w:cs="Arial"/>
                <w:sz w:val="18"/>
                <w:szCs w:val="18"/>
              </w:rPr>
            </w:pPr>
            <w:r w:rsidRPr="00AF1814">
              <w:rPr>
                <w:rFonts w:ascii="Arial" w:hAnsi="Arial" w:cs="Arial"/>
                <w:sz w:val="18"/>
                <w:szCs w:val="18"/>
              </w:rPr>
              <w:t>X</w:t>
            </w:r>
          </w:p>
        </w:tc>
        <w:tc>
          <w:tcPr>
            <w:tcW w:w="1288" w:type="pct"/>
            <w:gridSpan w:val="2"/>
            <w:tcBorders>
              <w:left w:val="single" w:sz="4" w:space="0" w:color="auto"/>
              <w:right w:val="single" w:sz="4" w:space="0" w:color="auto"/>
            </w:tcBorders>
            <w:shd w:val="clear" w:color="auto" w:fill="BFBFBF" w:themeFill="background1" w:themeFillShade="BF"/>
            <w:vAlign w:val="center"/>
          </w:tcPr>
          <w:p w14:paraId="36FD6346" w14:textId="77777777" w:rsidR="002040E7" w:rsidRPr="00AF1814" w:rsidRDefault="002040E7" w:rsidP="005C687D">
            <w:pPr>
              <w:spacing w:before="40" w:after="40"/>
              <w:jc w:val="left"/>
              <w:rPr>
                <w:rFonts w:ascii="Arial" w:hAnsi="Arial" w:cs="Arial"/>
                <w:sz w:val="18"/>
                <w:szCs w:val="18"/>
              </w:rPr>
            </w:pPr>
          </w:p>
        </w:tc>
      </w:tr>
      <w:tr w:rsidR="002108B2" w:rsidRPr="00AF1814" w14:paraId="7E3664B3" w14:textId="77777777" w:rsidTr="00274652">
        <w:trPr>
          <w:cantSplit/>
          <w:trHeight w:val="449"/>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04352DE0" w14:textId="77777777" w:rsidR="002040E7" w:rsidRPr="00AF1814" w:rsidRDefault="00DA3174" w:rsidP="005C687D">
            <w:pPr>
              <w:spacing w:before="40" w:after="40"/>
              <w:jc w:val="left"/>
              <w:rPr>
                <w:rFonts w:ascii="Arial" w:hAnsi="Arial" w:cs="Arial"/>
                <w:sz w:val="18"/>
                <w:szCs w:val="18"/>
              </w:rPr>
            </w:pPr>
            <w:r w:rsidRPr="00AF1814">
              <w:rPr>
                <w:rFonts w:ascii="Arial" w:hAnsi="Arial" w:cs="Arial"/>
                <w:sz w:val="18"/>
                <w:szCs w:val="18"/>
              </w:rPr>
              <w:t>12-lead ECG</w:t>
            </w:r>
          </w:p>
        </w:tc>
        <w:tc>
          <w:tcPr>
            <w:tcW w:w="384" w:type="pct"/>
            <w:tcBorders>
              <w:top w:val="single" w:sz="4" w:space="0" w:color="auto"/>
              <w:left w:val="single" w:sz="4" w:space="0" w:color="auto"/>
              <w:bottom w:val="single" w:sz="4" w:space="0" w:color="auto"/>
              <w:right w:val="single" w:sz="4" w:space="0" w:color="auto"/>
            </w:tcBorders>
            <w:vAlign w:val="center"/>
          </w:tcPr>
          <w:p w14:paraId="072D8CD9"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9810339" w14:textId="77777777" w:rsidR="002040E7" w:rsidRPr="00AF1814" w:rsidRDefault="002040E7" w:rsidP="005C687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56589DB" w14:textId="77777777" w:rsidR="002040E7" w:rsidRPr="00AF1814" w:rsidRDefault="002040E7" w:rsidP="005C687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6682FC" w14:textId="77777777" w:rsidR="002040E7" w:rsidRPr="00AF1814" w:rsidRDefault="002040E7" w:rsidP="005C687D">
            <w:pPr>
              <w:spacing w:before="40" w:after="40"/>
              <w:jc w:val="center"/>
              <w:rPr>
                <w:rFonts w:ascii="Arial" w:hAnsi="Arial" w:cs="Arial"/>
                <w:sz w:val="18"/>
                <w:szCs w:val="18"/>
              </w:rPr>
            </w:pPr>
          </w:p>
        </w:tc>
        <w:tc>
          <w:tcPr>
            <w:tcW w:w="2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EBBAAA8" w14:textId="77777777" w:rsidR="002040E7" w:rsidRPr="00AF1814" w:rsidRDefault="002040E7" w:rsidP="005C687D">
            <w:pPr>
              <w:spacing w:before="40" w:after="40"/>
              <w:jc w:val="center"/>
              <w:rPr>
                <w:rFonts w:ascii="Arial" w:hAnsi="Arial" w:cs="Arial"/>
                <w:sz w:val="18"/>
                <w:szCs w:val="18"/>
              </w:rPr>
            </w:pP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08EAFD8" w14:textId="77777777" w:rsidR="002040E7" w:rsidRPr="00AF1814" w:rsidRDefault="002040E7" w:rsidP="005C687D">
            <w:pPr>
              <w:spacing w:before="40" w:after="40"/>
              <w:jc w:val="center"/>
              <w:rPr>
                <w:rFonts w:ascii="Arial" w:hAnsi="Arial" w:cs="Arial"/>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FCCFE2" w14:textId="77777777" w:rsidR="002040E7" w:rsidRPr="00AF1814" w:rsidRDefault="002040E7" w:rsidP="005C687D">
            <w:pPr>
              <w:spacing w:before="40" w:after="40"/>
              <w:jc w:val="center"/>
              <w:rPr>
                <w:rFonts w:ascii="Arial" w:hAnsi="Arial" w:cs="Arial"/>
                <w:sz w:val="18"/>
                <w:szCs w:val="18"/>
              </w:rPr>
            </w:pPr>
          </w:p>
        </w:tc>
        <w:tc>
          <w:tcPr>
            <w:tcW w:w="300" w:type="pct"/>
            <w:tcBorders>
              <w:left w:val="single" w:sz="4" w:space="0" w:color="auto"/>
              <w:right w:val="single" w:sz="4" w:space="0" w:color="auto"/>
            </w:tcBorders>
            <w:shd w:val="clear" w:color="auto" w:fill="BFBFBF" w:themeFill="background1" w:themeFillShade="BF"/>
          </w:tcPr>
          <w:p w14:paraId="59BFBF7B" w14:textId="77777777" w:rsidR="002040E7" w:rsidRPr="00AF1814" w:rsidRDefault="002040E7" w:rsidP="005C687D">
            <w:pPr>
              <w:spacing w:before="40" w:after="40"/>
              <w:jc w:val="left"/>
              <w:rPr>
                <w:rFonts w:ascii="Arial" w:hAnsi="Arial" w:cs="Arial"/>
                <w:sz w:val="18"/>
                <w:szCs w:val="18"/>
              </w:rPr>
            </w:pPr>
          </w:p>
        </w:tc>
        <w:tc>
          <w:tcPr>
            <w:tcW w:w="663" w:type="pct"/>
            <w:tcBorders>
              <w:left w:val="single" w:sz="4" w:space="0" w:color="auto"/>
              <w:right w:val="single" w:sz="4" w:space="0" w:color="auto"/>
            </w:tcBorders>
            <w:shd w:val="clear" w:color="auto" w:fill="BFBFBF" w:themeFill="background1" w:themeFillShade="BF"/>
          </w:tcPr>
          <w:p w14:paraId="2C21BC3C" w14:textId="77777777" w:rsidR="002040E7" w:rsidRPr="00AF1814" w:rsidRDefault="002040E7" w:rsidP="005C687D">
            <w:pPr>
              <w:spacing w:before="40" w:after="40"/>
              <w:jc w:val="left"/>
              <w:rPr>
                <w:rFonts w:ascii="Arial" w:hAnsi="Arial" w:cs="Arial"/>
                <w:sz w:val="18"/>
                <w:szCs w:val="18"/>
              </w:rPr>
            </w:pPr>
          </w:p>
        </w:tc>
        <w:tc>
          <w:tcPr>
            <w:tcW w:w="1288" w:type="pct"/>
            <w:gridSpan w:val="2"/>
            <w:tcBorders>
              <w:left w:val="single" w:sz="4" w:space="0" w:color="auto"/>
              <w:right w:val="single" w:sz="4" w:space="0" w:color="auto"/>
            </w:tcBorders>
            <w:shd w:val="clear" w:color="auto" w:fill="BFBFBF" w:themeFill="background1" w:themeFillShade="BF"/>
            <w:vAlign w:val="center"/>
          </w:tcPr>
          <w:p w14:paraId="253F0884" w14:textId="77777777" w:rsidR="002040E7" w:rsidRPr="00AF1814" w:rsidRDefault="002040E7" w:rsidP="005C687D">
            <w:pPr>
              <w:spacing w:before="40" w:after="40"/>
              <w:jc w:val="left"/>
              <w:rPr>
                <w:rFonts w:ascii="Arial" w:hAnsi="Arial" w:cs="Arial"/>
                <w:sz w:val="18"/>
                <w:szCs w:val="18"/>
              </w:rPr>
            </w:pPr>
          </w:p>
        </w:tc>
      </w:tr>
      <w:tr w:rsidR="002108B2" w:rsidRPr="00AF1814" w14:paraId="3DAFDC75" w14:textId="77777777" w:rsidTr="00274652">
        <w:trPr>
          <w:cantSplit/>
          <w:tblHeader/>
          <w:jc w:val="center"/>
        </w:trPr>
        <w:tc>
          <w:tcPr>
            <w:tcW w:w="5000" w:type="pct"/>
            <w:gridSpan w:val="12"/>
            <w:tcBorders>
              <w:top w:val="single" w:sz="4" w:space="0" w:color="auto"/>
              <w:left w:val="single" w:sz="4" w:space="0" w:color="auto"/>
              <w:bottom w:val="single" w:sz="4" w:space="0" w:color="auto"/>
              <w:right w:val="single" w:sz="4" w:space="0" w:color="auto"/>
            </w:tcBorders>
          </w:tcPr>
          <w:p w14:paraId="07C22270" w14:textId="77777777" w:rsidR="002040E7" w:rsidRPr="00AF1814" w:rsidRDefault="00DA3174" w:rsidP="00236AF5">
            <w:pPr>
              <w:keepNext/>
              <w:widowControl w:val="0"/>
              <w:spacing w:before="40" w:after="40"/>
              <w:jc w:val="center"/>
              <w:rPr>
                <w:rFonts w:ascii="Arial" w:hAnsi="Arial" w:cs="Arial"/>
                <w:b/>
                <w:sz w:val="18"/>
                <w:szCs w:val="18"/>
              </w:rPr>
            </w:pPr>
            <w:r w:rsidRPr="00AF1814">
              <w:rPr>
                <w:rFonts w:ascii="Arial" w:hAnsi="Arial" w:cs="Arial"/>
                <w:b/>
                <w:bCs/>
                <w:sz w:val="18"/>
                <w:szCs w:val="18"/>
              </w:rPr>
              <w:lastRenderedPageBreak/>
              <w:t>Laboratory Assessments</w:t>
            </w:r>
          </w:p>
        </w:tc>
      </w:tr>
      <w:tr w:rsidR="002108B2" w:rsidRPr="00AF1814" w14:paraId="3313B7FC" w14:textId="77777777" w:rsidTr="00274652">
        <w:trPr>
          <w:cantSplit/>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1EA95012" w14:textId="77777777" w:rsidR="002040E7" w:rsidRPr="00AF1814" w:rsidRDefault="00DA3174" w:rsidP="00236AF5">
            <w:pPr>
              <w:keepNext/>
              <w:widowControl w:val="0"/>
              <w:spacing w:before="40" w:after="40"/>
              <w:jc w:val="left"/>
              <w:rPr>
                <w:rFonts w:ascii="Arial" w:hAnsi="Arial" w:cs="Arial"/>
                <w:sz w:val="18"/>
                <w:szCs w:val="18"/>
              </w:rPr>
            </w:pPr>
            <w:r w:rsidRPr="00AF1814">
              <w:rPr>
                <w:rFonts w:ascii="Arial" w:hAnsi="Arial" w:cs="Arial"/>
                <w:sz w:val="18"/>
                <w:szCs w:val="18"/>
              </w:rPr>
              <w:t>Virology serology</w:t>
            </w:r>
            <w:r w:rsidRPr="00AF1814">
              <w:br/>
            </w:r>
            <w:r w:rsidRPr="00AF1814">
              <w:rPr>
                <w:rFonts w:ascii="Arial" w:hAnsi="Arial" w:cs="Arial"/>
                <w:sz w:val="18"/>
                <w:szCs w:val="18"/>
              </w:rPr>
              <w:t>(HIV)</w:t>
            </w:r>
          </w:p>
        </w:tc>
        <w:tc>
          <w:tcPr>
            <w:tcW w:w="3087" w:type="pct"/>
            <w:gridSpan w:val="10"/>
            <w:tcBorders>
              <w:top w:val="single" w:sz="4" w:space="0" w:color="auto"/>
              <w:left w:val="single" w:sz="4" w:space="0" w:color="auto"/>
              <w:bottom w:val="single" w:sz="4" w:space="0" w:color="auto"/>
              <w:right w:val="single" w:sz="4" w:space="0" w:color="auto"/>
            </w:tcBorders>
          </w:tcPr>
          <w:p w14:paraId="607174AA" w14:textId="77777777" w:rsidR="002040E7" w:rsidRPr="00AF1814" w:rsidRDefault="00DA3174" w:rsidP="00502088">
            <w:pPr>
              <w:keepNext/>
              <w:widowControl w:val="0"/>
              <w:spacing w:before="40" w:after="40"/>
              <w:jc w:val="center"/>
              <w:rPr>
                <w:rFonts w:ascii="Arial" w:hAnsi="Arial" w:cs="Arial"/>
                <w:sz w:val="18"/>
                <w:szCs w:val="18"/>
              </w:rPr>
            </w:pPr>
            <w:r w:rsidRPr="00AF1814">
              <w:rPr>
                <w:rFonts w:ascii="Arial" w:hAnsi="Arial" w:cs="Arial"/>
                <w:sz w:val="18"/>
                <w:szCs w:val="18"/>
              </w:rPr>
              <w:t>As clinically indicated in participants with a history of HIV infection</w:t>
            </w:r>
          </w:p>
        </w:tc>
        <w:tc>
          <w:tcPr>
            <w:tcW w:w="1282" w:type="pct"/>
            <w:tcBorders>
              <w:left w:val="single" w:sz="4" w:space="0" w:color="auto"/>
              <w:right w:val="single" w:sz="4" w:space="0" w:color="auto"/>
            </w:tcBorders>
            <w:vAlign w:val="center"/>
          </w:tcPr>
          <w:p w14:paraId="7B958B73" w14:textId="77777777" w:rsidR="002040E7" w:rsidRPr="00AF1814" w:rsidRDefault="00DA3174" w:rsidP="00236AF5">
            <w:pPr>
              <w:keepNext/>
              <w:widowControl w:val="0"/>
              <w:spacing w:before="40" w:after="40"/>
              <w:jc w:val="left"/>
              <w:rPr>
                <w:rFonts w:ascii="Arial" w:hAnsi="Arial" w:cs="Arial"/>
                <w:sz w:val="18"/>
                <w:szCs w:val="18"/>
              </w:rPr>
            </w:pPr>
            <w:r w:rsidRPr="00AF1814">
              <w:rPr>
                <w:rFonts w:ascii="Arial" w:hAnsi="Arial" w:cs="Arial"/>
                <w:sz w:val="18"/>
                <w:szCs w:val="18"/>
              </w:rPr>
              <w:t>HIV testing is not mandatory. Previous data should be collected in medical history. If a test is performed at any point at Screening or while on study, a site must consent the participant for HIV testing as per local standard guidance.</w:t>
            </w:r>
          </w:p>
        </w:tc>
      </w:tr>
      <w:tr w:rsidR="002108B2" w:rsidRPr="00AF1814" w14:paraId="2C30C67D" w14:textId="77777777" w:rsidTr="00274652">
        <w:trPr>
          <w:cantSplit/>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1686061B" w14:textId="77777777" w:rsidR="002040E7" w:rsidRPr="00AF1814" w:rsidRDefault="00DA3174" w:rsidP="00236AF5">
            <w:pPr>
              <w:keepNext/>
              <w:widowControl w:val="0"/>
              <w:spacing w:before="40" w:after="40"/>
              <w:jc w:val="left"/>
              <w:rPr>
                <w:rFonts w:ascii="Arial" w:hAnsi="Arial" w:cs="Arial"/>
                <w:sz w:val="18"/>
                <w:szCs w:val="18"/>
              </w:rPr>
            </w:pPr>
            <w:r w:rsidRPr="00AF1814">
              <w:rPr>
                <w:rFonts w:ascii="Arial" w:hAnsi="Arial" w:cs="Arial"/>
                <w:sz w:val="18"/>
                <w:szCs w:val="18"/>
              </w:rPr>
              <w:t>Viral serology</w:t>
            </w:r>
            <w:r w:rsidRPr="00AF1814">
              <w:br/>
            </w:r>
            <w:r w:rsidRPr="00AF1814">
              <w:rPr>
                <w:rFonts w:ascii="Arial" w:hAnsi="Arial" w:cs="Arial"/>
                <w:sz w:val="18"/>
                <w:szCs w:val="18"/>
              </w:rPr>
              <w:t>(HBV and HCV)</w:t>
            </w:r>
          </w:p>
        </w:tc>
        <w:tc>
          <w:tcPr>
            <w:tcW w:w="384" w:type="pct"/>
            <w:tcBorders>
              <w:top w:val="single" w:sz="4" w:space="0" w:color="auto"/>
              <w:left w:val="single" w:sz="4" w:space="0" w:color="auto"/>
              <w:bottom w:val="single" w:sz="4" w:space="0" w:color="auto"/>
              <w:right w:val="single" w:sz="4" w:space="0" w:color="auto"/>
            </w:tcBorders>
            <w:vAlign w:val="center"/>
          </w:tcPr>
          <w:p w14:paraId="2EA4FF32" w14:textId="77777777" w:rsidR="002040E7" w:rsidRPr="00AF1814" w:rsidRDefault="00DA3174" w:rsidP="00236AF5">
            <w:pPr>
              <w:keepNext/>
              <w:widowControl w:val="0"/>
              <w:spacing w:before="40" w:after="40"/>
              <w:jc w:val="center"/>
              <w:rPr>
                <w:rFonts w:ascii="Arial" w:hAnsi="Arial" w:cs="Arial"/>
                <w:sz w:val="18"/>
                <w:szCs w:val="18"/>
              </w:rPr>
            </w:pPr>
            <w:r w:rsidRPr="00AF1814">
              <w:rPr>
                <w:rFonts w:ascii="Arial" w:hAnsi="Arial" w:cs="Arial"/>
                <w:sz w:val="18"/>
                <w:szCs w:val="18"/>
              </w:rPr>
              <w:t>X</w:t>
            </w:r>
          </w:p>
        </w:tc>
        <w:tc>
          <w:tcPr>
            <w:tcW w:w="2703" w:type="pct"/>
            <w:gridSpan w:val="9"/>
            <w:tcBorders>
              <w:top w:val="single" w:sz="4" w:space="0" w:color="auto"/>
              <w:left w:val="single" w:sz="4" w:space="0" w:color="auto"/>
              <w:bottom w:val="single" w:sz="4" w:space="0" w:color="auto"/>
              <w:right w:val="single" w:sz="4" w:space="0" w:color="auto"/>
            </w:tcBorders>
          </w:tcPr>
          <w:p w14:paraId="0ADEDC49" w14:textId="77777777" w:rsidR="002040E7" w:rsidRPr="00AF1814" w:rsidRDefault="00DA3174" w:rsidP="00502088">
            <w:pPr>
              <w:keepNext/>
              <w:widowControl w:val="0"/>
              <w:spacing w:before="40" w:after="40"/>
              <w:jc w:val="center"/>
              <w:rPr>
                <w:rFonts w:ascii="Arial" w:hAnsi="Arial" w:cs="Arial"/>
                <w:sz w:val="18"/>
                <w:szCs w:val="18"/>
              </w:rPr>
            </w:pPr>
            <w:r w:rsidRPr="00AF1814">
              <w:rPr>
                <w:rFonts w:ascii="Arial" w:hAnsi="Arial" w:cs="Arial"/>
                <w:sz w:val="18"/>
                <w:szCs w:val="18"/>
              </w:rPr>
              <w:t>As clinically indicated in participants with a history of HBV or HCV infection</w:t>
            </w:r>
          </w:p>
        </w:tc>
        <w:tc>
          <w:tcPr>
            <w:tcW w:w="1282" w:type="pct"/>
            <w:tcBorders>
              <w:left w:val="single" w:sz="4" w:space="0" w:color="auto"/>
              <w:right w:val="single" w:sz="4" w:space="0" w:color="auto"/>
            </w:tcBorders>
            <w:shd w:val="clear" w:color="auto" w:fill="BFBFBF" w:themeFill="background1" w:themeFillShade="BF"/>
            <w:vAlign w:val="center"/>
          </w:tcPr>
          <w:p w14:paraId="22B59C10" w14:textId="77777777" w:rsidR="002040E7" w:rsidRPr="00AF1814" w:rsidRDefault="002040E7" w:rsidP="00236AF5">
            <w:pPr>
              <w:keepNext/>
              <w:widowControl w:val="0"/>
              <w:spacing w:before="40" w:after="40"/>
              <w:jc w:val="left"/>
              <w:rPr>
                <w:rFonts w:ascii="Arial" w:hAnsi="Arial" w:cs="Arial"/>
                <w:sz w:val="18"/>
                <w:szCs w:val="18"/>
              </w:rPr>
            </w:pPr>
          </w:p>
        </w:tc>
      </w:tr>
      <w:tr w:rsidR="002108B2" w:rsidRPr="00AF1814" w14:paraId="73BF0A41" w14:textId="77777777" w:rsidTr="00274652">
        <w:trPr>
          <w:cantSplit/>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663B777C" w14:textId="77777777" w:rsidR="002040E7" w:rsidRPr="00AF1814" w:rsidRDefault="00DA3174" w:rsidP="005C687D">
            <w:pPr>
              <w:spacing w:before="40" w:after="40"/>
              <w:jc w:val="left"/>
              <w:rPr>
                <w:rFonts w:ascii="Arial" w:hAnsi="Arial" w:cs="Arial"/>
                <w:sz w:val="18"/>
                <w:szCs w:val="18"/>
              </w:rPr>
            </w:pPr>
            <w:r w:rsidRPr="00AF1814">
              <w:rPr>
                <w:rFonts w:ascii="Arial" w:hAnsi="Arial" w:cs="Arial"/>
                <w:sz w:val="18"/>
                <w:szCs w:val="18"/>
              </w:rPr>
              <w:t xml:space="preserve">Hematology </w:t>
            </w:r>
          </w:p>
        </w:tc>
        <w:tc>
          <w:tcPr>
            <w:tcW w:w="384" w:type="pct"/>
            <w:tcBorders>
              <w:top w:val="single" w:sz="4" w:space="0" w:color="auto"/>
              <w:left w:val="single" w:sz="4" w:space="0" w:color="auto"/>
              <w:bottom w:val="single" w:sz="4" w:space="0" w:color="auto"/>
              <w:right w:val="single" w:sz="4" w:space="0" w:color="auto"/>
            </w:tcBorders>
            <w:vAlign w:val="center"/>
          </w:tcPr>
          <w:p w14:paraId="1263B43B" w14:textId="77777777" w:rsidR="002040E7" w:rsidRPr="00AF1814" w:rsidRDefault="00DA3174" w:rsidP="005C687D">
            <w:pPr>
              <w:spacing w:before="40" w:after="40"/>
              <w:jc w:val="center"/>
              <w:rPr>
                <w:rFonts w:ascii="Arial" w:hAnsi="Arial" w:cs="Arial"/>
                <w:b/>
                <w:bCs/>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vAlign w:val="center"/>
          </w:tcPr>
          <w:p w14:paraId="1605E94B" w14:textId="77777777" w:rsidR="002040E7" w:rsidRPr="00AF1814" w:rsidRDefault="00DA3174" w:rsidP="005C687D">
            <w:pPr>
              <w:spacing w:before="40" w:after="40"/>
              <w:jc w:val="center"/>
              <w:rPr>
                <w:rFonts w:ascii="Arial" w:hAnsi="Arial" w:cs="Arial"/>
                <w:b/>
                <w:bCs/>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vAlign w:val="center"/>
          </w:tcPr>
          <w:p w14:paraId="7BD39C03" w14:textId="77777777" w:rsidR="002040E7" w:rsidRPr="00AF1814" w:rsidRDefault="00DA3174" w:rsidP="005C687D">
            <w:pPr>
              <w:spacing w:before="40" w:after="40"/>
              <w:jc w:val="center"/>
              <w:rPr>
                <w:rFonts w:ascii="Arial" w:hAnsi="Arial" w:cs="Arial"/>
                <w:b/>
                <w:bCs/>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vAlign w:val="center"/>
          </w:tcPr>
          <w:p w14:paraId="00152105" w14:textId="77777777" w:rsidR="002040E7" w:rsidRPr="00AF1814" w:rsidRDefault="00DA3174" w:rsidP="005C687D">
            <w:pPr>
              <w:spacing w:before="40" w:after="40"/>
              <w:jc w:val="center"/>
              <w:rPr>
                <w:rFonts w:ascii="Arial" w:hAnsi="Arial" w:cs="Arial"/>
                <w:b/>
                <w:bCs/>
                <w:sz w:val="18"/>
                <w:szCs w:val="18"/>
              </w:rPr>
            </w:pPr>
            <w:r w:rsidRPr="00AF1814">
              <w:rPr>
                <w:rFonts w:ascii="Arial" w:hAnsi="Arial" w:cs="Arial"/>
                <w:sz w:val="18"/>
                <w:szCs w:val="18"/>
              </w:rPr>
              <w:t>X</w:t>
            </w:r>
          </w:p>
        </w:tc>
        <w:tc>
          <w:tcPr>
            <w:tcW w:w="295" w:type="pct"/>
            <w:tcBorders>
              <w:top w:val="single" w:sz="4" w:space="0" w:color="auto"/>
              <w:left w:val="single" w:sz="4" w:space="0" w:color="auto"/>
              <w:bottom w:val="single" w:sz="4" w:space="0" w:color="auto"/>
              <w:right w:val="single" w:sz="4" w:space="0" w:color="auto"/>
            </w:tcBorders>
            <w:vAlign w:val="center"/>
          </w:tcPr>
          <w:p w14:paraId="45A06F18" w14:textId="77777777" w:rsidR="002040E7" w:rsidRPr="00AF1814" w:rsidRDefault="00DA3174" w:rsidP="005C687D">
            <w:pPr>
              <w:spacing w:before="40" w:after="40"/>
              <w:jc w:val="center"/>
              <w:rPr>
                <w:rFonts w:ascii="Arial" w:hAnsi="Arial" w:cs="Arial"/>
                <w:b/>
                <w:bCs/>
                <w:sz w:val="18"/>
                <w:szCs w:val="18"/>
              </w:rPr>
            </w:pPr>
            <w:r w:rsidRPr="00AF1814">
              <w:rPr>
                <w:rFonts w:ascii="Arial" w:hAnsi="Arial" w:cs="Arial"/>
                <w:sz w:val="18"/>
                <w:szCs w:val="18"/>
              </w:rPr>
              <w:t>X</w:t>
            </w:r>
          </w:p>
        </w:tc>
        <w:tc>
          <w:tcPr>
            <w:tcW w:w="298" w:type="pct"/>
            <w:tcBorders>
              <w:top w:val="single" w:sz="4" w:space="0" w:color="auto"/>
              <w:left w:val="single" w:sz="4" w:space="0" w:color="auto"/>
              <w:bottom w:val="single" w:sz="4" w:space="0" w:color="auto"/>
              <w:right w:val="single" w:sz="4" w:space="0" w:color="auto"/>
            </w:tcBorders>
            <w:vAlign w:val="center"/>
          </w:tcPr>
          <w:p w14:paraId="36D2C0FD" w14:textId="77777777" w:rsidR="002040E7" w:rsidRPr="00AF1814" w:rsidRDefault="00DA3174" w:rsidP="005C687D">
            <w:pPr>
              <w:spacing w:before="40" w:after="40"/>
              <w:jc w:val="center"/>
              <w:rPr>
                <w:rFonts w:ascii="Arial" w:hAnsi="Arial" w:cs="Arial"/>
                <w:b/>
                <w:bCs/>
                <w:sz w:val="18"/>
                <w:szCs w:val="18"/>
              </w:rPr>
            </w:pPr>
            <w:r w:rsidRPr="00AF1814">
              <w:rPr>
                <w:rFonts w:ascii="Arial" w:hAnsi="Arial" w:cs="Arial"/>
                <w:sz w:val="18"/>
                <w:szCs w:val="18"/>
              </w:rPr>
              <w:t>X</w:t>
            </w:r>
          </w:p>
        </w:tc>
        <w:tc>
          <w:tcPr>
            <w:tcW w:w="294" w:type="pct"/>
            <w:tcBorders>
              <w:top w:val="single" w:sz="4" w:space="0" w:color="auto"/>
              <w:left w:val="single" w:sz="4" w:space="0" w:color="auto"/>
              <w:bottom w:val="single" w:sz="4" w:space="0" w:color="auto"/>
              <w:right w:val="single" w:sz="4" w:space="0" w:color="auto"/>
            </w:tcBorders>
            <w:vAlign w:val="center"/>
          </w:tcPr>
          <w:p w14:paraId="4E428625" w14:textId="77777777" w:rsidR="002040E7" w:rsidRPr="00AF1814" w:rsidRDefault="00DA3174" w:rsidP="005C687D">
            <w:pPr>
              <w:spacing w:before="40" w:after="40"/>
              <w:jc w:val="center"/>
              <w:rPr>
                <w:rFonts w:ascii="Arial" w:hAnsi="Arial" w:cs="Arial"/>
                <w:b/>
                <w:bCs/>
                <w:sz w:val="18"/>
                <w:szCs w:val="18"/>
              </w:rPr>
            </w:pPr>
            <w:r w:rsidRPr="00AF1814">
              <w:rPr>
                <w:rFonts w:ascii="Arial" w:hAnsi="Arial" w:cs="Arial"/>
                <w:sz w:val="18"/>
                <w:szCs w:val="18"/>
              </w:rPr>
              <w:t>X</w:t>
            </w:r>
          </w:p>
        </w:tc>
        <w:tc>
          <w:tcPr>
            <w:tcW w:w="300" w:type="pct"/>
            <w:tcBorders>
              <w:left w:val="single" w:sz="4" w:space="0" w:color="auto"/>
              <w:right w:val="single" w:sz="4" w:space="0" w:color="auto"/>
            </w:tcBorders>
            <w:shd w:val="clear" w:color="auto" w:fill="FFFFFF" w:themeFill="background1"/>
            <w:vAlign w:val="center"/>
          </w:tcPr>
          <w:p w14:paraId="69212A48" w14:textId="77777777" w:rsidR="002040E7" w:rsidRPr="00AF1814" w:rsidRDefault="00DA3174" w:rsidP="00502088">
            <w:pPr>
              <w:spacing w:before="40" w:after="40"/>
              <w:jc w:val="center"/>
              <w:rPr>
                <w:rFonts w:ascii="Arial" w:hAnsi="Arial" w:cs="Arial"/>
                <w:sz w:val="18"/>
                <w:szCs w:val="18"/>
              </w:rPr>
            </w:pPr>
            <w:r w:rsidRPr="00AF1814">
              <w:rPr>
                <w:rFonts w:ascii="Arial" w:hAnsi="Arial" w:cs="Arial"/>
                <w:sz w:val="18"/>
                <w:szCs w:val="18"/>
              </w:rPr>
              <w:t>X</w:t>
            </w:r>
          </w:p>
        </w:tc>
        <w:tc>
          <w:tcPr>
            <w:tcW w:w="663" w:type="pct"/>
            <w:tcBorders>
              <w:left w:val="single" w:sz="4" w:space="0" w:color="auto"/>
              <w:right w:val="single" w:sz="4" w:space="0" w:color="auto"/>
            </w:tcBorders>
            <w:shd w:val="clear" w:color="auto" w:fill="FFFFFF" w:themeFill="background1"/>
            <w:vAlign w:val="center"/>
          </w:tcPr>
          <w:p w14:paraId="385FFB20" w14:textId="77777777" w:rsidR="002040E7" w:rsidRPr="00AF1814" w:rsidRDefault="00DA3174" w:rsidP="00502088">
            <w:pPr>
              <w:spacing w:before="40" w:after="40"/>
              <w:jc w:val="center"/>
              <w:rPr>
                <w:rFonts w:ascii="Arial" w:hAnsi="Arial"/>
                <w:sz w:val="18"/>
              </w:rPr>
            </w:pPr>
            <w:r w:rsidRPr="00AF1814">
              <w:rPr>
                <w:rFonts w:ascii="Arial" w:hAnsi="Arial" w:cs="Arial"/>
                <w:sz w:val="18"/>
                <w:szCs w:val="18"/>
              </w:rPr>
              <w:t>X</w:t>
            </w:r>
          </w:p>
        </w:tc>
        <w:tc>
          <w:tcPr>
            <w:tcW w:w="1288" w:type="pct"/>
            <w:gridSpan w:val="2"/>
            <w:tcBorders>
              <w:left w:val="single" w:sz="4" w:space="0" w:color="auto"/>
              <w:right w:val="single" w:sz="4" w:space="0" w:color="auto"/>
            </w:tcBorders>
            <w:shd w:val="clear" w:color="auto" w:fill="FFFFFF" w:themeFill="background1"/>
            <w:vAlign w:val="center"/>
          </w:tcPr>
          <w:p w14:paraId="5531D4D6" w14:textId="0911AA03" w:rsidR="002040E7" w:rsidRPr="00AF1814" w:rsidRDefault="00DA3174" w:rsidP="005C687D">
            <w:pPr>
              <w:spacing w:before="40" w:after="40"/>
              <w:jc w:val="left"/>
              <w:rPr>
                <w:rFonts w:ascii="Arial" w:hAnsi="Arial" w:cs="Arial"/>
                <w:sz w:val="18"/>
                <w:szCs w:val="18"/>
              </w:rPr>
            </w:pPr>
            <w:r w:rsidRPr="00AF1814">
              <w:rPr>
                <w:rFonts w:ascii="Arial" w:hAnsi="Arial"/>
                <w:sz w:val="18"/>
              </w:rPr>
              <w:t>Hematology is listed in</w:t>
            </w:r>
            <w:r w:rsidRPr="00AF1814">
              <w:rPr>
                <w:rFonts w:ascii="Arial" w:hAnsi="Arial" w:cs="Arial"/>
                <w:sz w:val="18"/>
                <w:szCs w:val="18"/>
              </w:rPr>
              <w:t xml:space="preserve"> </w:t>
            </w:r>
            <w:hyperlink w:anchor="_Appendix_5_Clinical" w:history="1">
              <w:r w:rsidRPr="00AF1814">
                <w:rPr>
                  <w:rStyle w:val="Hyperlink"/>
                  <w:rFonts w:ascii="Arial" w:hAnsi="Arial"/>
                  <w:sz w:val="18"/>
                </w:rPr>
                <w:t>Appendix 5</w:t>
              </w:r>
            </w:hyperlink>
            <w:r w:rsidRPr="00AF1814">
              <w:rPr>
                <w:rFonts w:ascii="Arial" w:hAnsi="Arial"/>
                <w:sz w:val="18"/>
              </w:rPr>
              <w:t xml:space="preserve"> </w:t>
            </w:r>
            <w:r w:rsidRPr="00AF1814">
              <w:rPr>
                <w:rFonts w:ascii="Arial" w:hAnsi="Arial" w:cs="Arial"/>
                <w:sz w:val="18"/>
                <w:szCs w:val="18"/>
              </w:rPr>
              <w:t xml:space="preserve">for details on blood tests. Samples must also be drawn prior to dosing and results of selected laboratory tests (see </w:t>
            </w:r>
            <w:hyperlink w:anchor="_Appendix_5_Clinical" w:history="1">
              <w:r w:rsidRPr="00AF1814">
                <w:rPr>
                  <w:rStyle w:val="Hyperlink"/>
                  <w:rFonts w:ascii="Arial" w:hAnsi="Arial"/>
                  <w:sz w:val="18"/>
                </w:rPr>
                <w:t>Appendix 5</w:t>
              </w:r>
            </w:hyperlink>
            <w:r w:rsidRPr="00AF1814">
              <w:rPr>
                <w:rFonts w:ascii="Arial" w:hAnsi="Arial" w:cs="Arial"/>
                <w:sz w:val="18"/>
                <w:szCs w:val="18"/>
              </w:rPr>
              <w:t>) must be reviewed within 3 days prior to dosing.</w:t>
            </w:r>
          </w:p>
        </w:tc>
      </w:tr>
      <w:tr w:rsidR="002108B2" w:rsidRPr="00AF1814" w14:paraId="43DA2D1D" w14:textId="77777777" w:rsidTr="00274652">
        <w:trPr>
          <w:cantSplit/>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02F94AC4" w14:textId="77777777" w:rsidR="002040E7" w:rsidRPr="00AF1814" w:rsidRDefault="00DA3174" w:rsidP="005C687D">
            <w:pPr>
              <w:spacing w:before="40" w:after="40"/>
              <w:jc w:val="left"/>
              <w:rPr>
                <w:rFonts w:ascii="Arial" w:hAnsi="Arial" w:cs="Arial"/>
                <w:sz w:val="18"/>
                <w:szCs w:val="18"/>
              </w:rPr>
            </w:pPr>
            <w:r w:rsidRPr="00AF1814">
              <w:rPr>
                <w:rFonts w:ascii="Arial" w:hAnsi="Arial" w:cs="Arial"/>
                <w:sz w:val="18"/>
                <w:szCs w:val="18"/>
              </w:rPr>
              <w:t>Biochemistry</w:t>
            </w:r>
          </w:p>
        </w:tc>
        <w:tc>
          <w:tcPr>
            <w:tcW w:w="384" w:type="pct"/>
            <w:tcBorders>
              <w:top w:val="single" w:sz="4" w:space="0" w:color="auto"/>
              <w:left w:val="single" w:sz="4" w:space="0" w:color="auto"/>
              <w:bottom w:val="single" w:sz="4" w:space="0" w:color="auto"/>
              <w:right w:val="single" w:sz="4" w:space="0" w:color="auto"/>
            </w:tcBorders>
            <w:vAlign w:val="center"/>
          </w:tcPr>
          <w:p w14:paraId="30B5EB17"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vAlign w:val="center"/>
          </w:tcPr>
          <w:p w14:paraId="4E089970"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vAlign w:val="center"/>
          </w:tcPr>
          <w:p w14:paraId="3AF3447D"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vAlign w:val="center"/>
          </w:tcPr>
          <w:p w14:paraId="21975158"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5" w:type="pct"/>
            <w:tcBorders>
              <w:top w:val="single" w:sz="4" w:space="0" w:color="auto"/>
              <w:left w:val="single" w:sz="4" w:space="0" w:color="auto"/>
              <w:bottom w:val="single" w:sz="4" w:space="0" w:color="auto"/>
              <w:right w:val="single" w:sz="4" w:space="0" w:color="auto"/>
            </w:tcBorders>
            <w:vAlign w:val="center"/>
          </w:tcPr>
          <w:p w14:paraId="45185FF4"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8" w:type="pct"/>
            <w:tcBorders>
              <w:top w:val="single" w:sz="4" w:space="0" w:color="auto"/>
              <w:left w:val="single" w:sz="4" w:space="0" w:color="auto"/>
              <w:bottom w:val="single" w:sz="4" w:space="0" w:color="auto"/>
              <w:right w:val="single" w:sz="4" w:space="0" w:color="auto"/>
            </w:tcBorders>
            <w:vAlign w:val="center"/>
          </w:tcPr>
          <w:p w14:paraId="5325FC51"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4" w:type="pct"/>
            <w:tcBorders>
              <w:top w:val="single" w:sz="4" w:space="0" w:color="auto"/>
              <w:left w:val="single" w:sz="4" w:space="0" w:color="auto"/>
              <w:bottom w:val="single" w:sz="4" w:space="0" w:color="auto"/>
              <w:right w:val="single" w:sz="4" w:space="0" w:color="auto"/>
            </w:tcBorders>
            <w:vAlign w:val="center"/>
          </w:tcPr>
          <w:p w14:paraId="734D7FBF"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300" w:type="pct"/>
            <w:tcBorders>
              <w:left w:val="single" w:sz="4" w:space="0" w:color="auto"/>
              <w:right w:val="single" w:sz="4" w:space="0" w:color="auto"/>
            </w:tcBorders>
            <w:shd w:val="clear" w:color="auto" w:fill="FFFFFF" w:themeFill="background1"/>
            <w:vAlign w:val="center"/>
          </w:tcPr>
          <w:p w14:paraId="7F2AB7CC" w14:textId="77777777" w:rsidR="002040E7" w:rsidRPr="00AF1814" w:rsidRDefault="00DA3174" w:rsidP="00502088">
            <w:pPr>
              <w:spacing w:before="40" w:after="40"/>
              <w:jc w:val="center"/>
              <w:rPr>
                <w:rFonts w:ascii="Arial" w:hAnsi="Arial" w:cs="Arial"/>
                <w:sz w:val="18"/>
                <w:szCs w:val="18"/>
              </w:rPr>
            </w:pPr>
            <w:r w:rsidRPr="00AF1814">
              <w:rPr>
                <w:rFonts w:ascii="Arial" w:hAnsi="Arial" w:cs="Arial"/>
                <w:sz w:val="18"/>
                <w:szCs w:val="18"/>
              </w:rPr>
              <w:t>X</w:t>
            </w:r>
          </w:p>
        </w:tc>
        <w:tc>
          <w:tcPr>
            <w:tcW w:w="663" w:type="pct"/>
            <w:tcBorders>
              <w:left w:val="single" w:sz="4" w:space="0" w:color="auto"/>
              <w:right w:val="single" w:sz="4" w:space="0" w:color="auto"/>
            </w:tcBorders>
            <w:shd w:val="clear" w:color="auto" w:fill="FFFFFF" w:themeFill="background1"/>
            <w:vAlign w:val="center"/>
          </w:tcPr>
          <w:p w14:paraId="24D9FF3A" w14:textId="77777777" w:rsidR="002040E7" w:rsidRPr="00AF1814" w:rsidRDefault="00DA3174" w:rsidP="00502088">
            <w:pPr>
              <w:spacing w:before="40" w:after="40"/>
              <w:jc w:val="center"/>
              <w:rPr>
                <w:rFonts w:ascii="Arial" w:hAnsi="Arial" w:cs="Arial"/>
                <w:sz w:val="18"/>
                <w:szCs w:val="18"/>
              </w:rPr>
            </w:pPr>
            <w:r w:rsidRPr="00AF1814">
              <w:rPr>
                <w:rFonts w:ascii="Arial" w:hAnsi="Arial" w:cs="Arial"/>
                <w:sz w:val="18"/>
                <w:szCs w:val="18"/>
              </w:rPr>
              <w:t>X</w:t>
            </w:r>
          </w:p>
        </w:tc>
        <w:tc>
          <w:tcPr>
            <w:tcW w:w="1288" w:type="pct"/>
            <w:gridSpan w:val="2"/>
            <w:tcBorders>
              <w:left w:val="single" w:sz="4" w:space="0" w:color="auto"/>
              <w:right w:val="single" w:sz="4" w:space="0" w:color="auto"/>
            </w:tcBorders>
            <w:shd w:val="clear" w:color="auto" w:fill="FFFFFF" w:themeFill="background1"/>
            <w:vAlign w:val="center"/>
          </w:tcPr>
          <w:p w14:paraId="5A21201F" w14:textId="61DF74FE" w:rsidR="002040E7" w:rsidRPr="00AF1814" w:rsidRDefault="00DA3174" w:rsidP="005C687D">
            <w:pPr>
              <w:spacing w:before="40" w:after="40"/>
              <w:jc w:val="left"/>
              <w:rPr>
                <w:rFonts w:ascii="Arial" w:hAnsi="Arial" w:cs="Arial"/>
                <w:sz w:val="18"/>
                <w:szCs w:val="18"/>
              </w:rPr>
            </w:pPr>
            <w:r w:rsidRPr="00AF1814">
              <w:rPr>
                <w:rFonts w:ascii="Arial" w:hAnsi="Arial" w:cs="Arial"/>
                <w:sz w:val="18"/>
                <w:szCs w:val="18"/>
              </w:rPr>
              <w:t>Biochemistry is listed in</w:t>
            </w:r>
            <w:r w:rsidRPr="00AF1814">
              <w:t xml:space="preserve"> </w:t>
            </w:r>
            <w:hyperlink w:anchor="_Appendix_5_Clinical" w:history="1">
              <w:r w:rsidRPr="00AF1814">
                <w:rPr>
                  <w:rStyle w:val="Hyperlink"/>
                  <w:rFonts w:ascii="Arial" w:hAnsi="Arial"/>
                  <w:sz w:val="18"/>
                </w:rPr>
                <w:t>Appendix 5</w:t>
              </w:r>
            </w:hyperlink>
            <w:r w:rsidRPr="00AF1814">
              <w:rPr>
                <w:rFonts w:ascii="Arial" w:hAnsi="Arial" w:cs="Arial"/>
                <w:sz w:val="18"/>
                <w:szCs w:val="18"/>
              </w:rPr>
              <w:t>. Samples must be drawn prior to dosing and results of selected laboratory tests (see</w:t>
            </w:r>
            <w:r w:rsidRPr="00AF1814">
              <w:t xml:space="preserve"> </w:t>
            </w:r>
            <w:hyperlink w:anchor="_Appendix_5_Clinical" w:history="1">
              <w:r w:rsidRPr="00AF1814">
                <w:rPr>
                  <w:rStyle w:val="Hyperlink"/>
                  <w:rFonts w:ascii="Arial" w:hAnsi="Arial"/>
                  <w:sz w:val="18"/>
                </w:rPr>
                <w:t>Appendix 5</w:t>
              </w:r>
            </w:hyperlink>
            <w:r w:rsidRPr="00AF1814">
              <w:rPr>
                <w:rFonts w:ascii="Arial" w:hAnsi="Arial" w:cs="Arial"/>
                <w:sz w:val="18"/>
                <w:szCs w:val="18"/>
              </w:rPr>
              <w:t>) must be reviewed within 3 days prior to dosing.</w:t>
            </w:r>
          </w:p>
        </w:tc>
      </w:tr>
      <w:tr w:rsidR="002108B2" w:rsidRPr="00AF1814" w14:paraId="7D80B793" w14:textId="77777777" w:rsidTr="00274652">
        <w:trPr>
          <w:cantSplit/>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240181EF" w14:textId="77777777" w:rsidR="002040E7" w:rsidRPr="00AF1814" w:rsidRDefault="00DA3174" w:rsidP="00311F08">
            <w:pPr>
              <w:autoSpaceDE w:val="0"/>
              <w:autoSpaceDN w:val="0"/>
              <w:adjustRightInd w:val="0"/>
              <w:spacing w:before="0"/>
              <w:jc w:val="left"/>
              <w:rPr>
                <w:rFonts w:ascii="Arial" w:hAnsi="Arial" w:cs="Arial"/>
                <w:sz w:val="18"/>
                <w:szCs w:val="18"/>
              </w:rPr>
            </w:pPr>
            <w:r w:rsidRPr="00AF1814">
              <w:rPr>
                <w:rFonts w:ascii="Arial" w:hAnsi="Arial" w:cs="Arial"/>
                <w:sz w:val="18"/>
                <w:szCs w:val="18"/>
                <w:lang w:val="de-DE" w:eastAsia="ja-JP"/>
              </w:rPr>
              <w:t>Coagulation</w:t>
            </w:r>
            <w:r w:rsidRPr="00AF1814">
              <w:br/>
            </w:r>
            <w:r w:rsidRPr="00AF1814">
              <w:rPr>
                <w:rFonts w:ascii="Arial" w:hAnsi="Arial" w:cs="Arial"/>
                <w:sz w:val="18"/>
                <w:szCs w:val="18"/>
                <w:lang w:val="de-DE" w:eastAsia="ja-JP"/>
              </w:rPr>
              <w:t>parameters</w:t>
            </w:r>
          </w:p>
        </w:tc>
        <w:tc>
          <w:tcPr>
            <w:tcW w:w="384" w:type="pct"/>
            <w:tcBorders>
              <w:top w:val="single" w:sz="4" w:space="0" w:color="auto"/>
              <w:left w:val="single" w:sz="4" w:space="0" w:color="auto"/>
              <w:bottom w:val="single" w:sz="4" w:space="0" w:color="auto"/>
              <w:right w:val="single" w:sz="4" w:space="0" w:color="auto"/>
            </w:tcBorders>
            <w:vAlign w:val="center"/>
          </w:tcPr>
          <w:p w14:paraId="68E283D7"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703" w:type="pct"/>
            <w:gridSpan w:val="9"/>
            <w:tcBorders>
              <w:top w:val="single" w:sz="4" w:space="0" w:color="auto"/>
              <w:left w:val="single" w:sz="4" w:space="0" w:color="auto"/>
              <w:bottom w:val="single" w:sz="4" w:space="0" w:color="auto"/>
              <w:right w:val="single" w:sz="4" w:space="0" w:color="auto"/>
            </w:tcBorders>
          </w:tcPr>
          <w:p w14:paraId="54E8BD06" w14:textId="77777777" w:rsidR="002040E7" w:rsidRPr="00AF1814" w:rsidRDefault="00DA3174" w:rsidP="00502088">
            <w:pPr>
              <w:autoSpaceDE w:val="0"/>
              <w:autoSpaceDN w:val="0"/>
              <w:adjustRightInd w:val="0"/>
              <w:spacing w:before="0"/>
              <w:jc w:val="center"/>
              <w:rPr>
                <w:rFonts w:ascii="Arial" w:hAnsi="Arial" w:cs="Arial"/>
                <w:sz w:val="18"/>
                <w:szCs w:val="18"/>
                <w:lang w:eastAsia="ja-JP"/>
              </w:rPr>
            </w:pPr>
            <w:r w:rsidRPr="00AF1814">
              <w:rPr>
                <w:rFonts w:ascii="Arial" w:hAnsi="Arial" w:cs="Arial"/>
                <w:sz w:val="18"/>
                <w:szCs w:val="18"/>
              </w:rPr>
              <w:t>As clinically indicated</w:t>
            </w:r>
          </w:p>
        </w:tc>
        <w:tc>
          <w:tcPr>
            <w:tcW w:w="1282" w:type="pct"/>
            <w:tcBorders>
              <w:left w:val="single" w:sz="4" w:space="0" w:color="auto"/>
              <w:bottom w:val="single" w:sz="4" w:space="0" w:color="auto"/>
              <w:right w:val="single" w:sz="4" w:space="0" w:color="auto"/>
            </w:tcBorders>
            <w:vAlign w:val="center"/>
          </w:tcPr>
          <w:p w14:paraId="7FA87AEC" w14:textId="54982244" w:rsidR="002040E7" w:rsidRPr="00AF1814" w:rsidRDefault="00DA3174" w:rsidP="005C687D">
            <w:pPr>
              <w:autoSpaceDE w:val="0"/>
              <w:autoSpaceDN w:val="0"/>
              <w:adjustRightInd w:val="0"/>
              <w:spacing w:before="0"/>
              <w:jc w:val="left"/>
              <w:rPr>
                <w:rFonts w:ascii="Arial" w:hAnsi="Arial" w:cs="Arial"/>
                <w:sz w:val="18"/>
                <w:szCs w:val="18"/>
                <w:lang w:eastAsia="ja-JP"/>
              </w:rPr>
            </w:pPr>
            <w:r w:rsidRPr="00AF1814">
              <w:rPr>
                <w:rFonts w:ascii="Arial" w:hAnsi="Arial" w:cs="Arial"/>
                <w:sz w:val="18"/>
                <w:szCs w:val="18"/>
                <w:lang w:eastAsia="ja-JP"/>
              </w:rPr>
              <w:t xml:space="preserve">See </w:t>
            </w:r>
            <w:hyperlink w:anchor="_Appendix_5_Clinical" w:history="1">
              <w:r w:rsidRPr="00AF1814">
                <w:rPr>
                  <w:rStyle w:val="Hyperlink"/>
                  <w:rFonts w:ascii="Arial" w:hAnsi="Arial"/>
                  <w:sz w:val="18"/>
                </w:rPr>
                <w:t>Appendix 5</w:t>
              </w:r>
            </w:hyperlink>
            <w:r w:rsidRPr="00AF1814">
              <w:rPr>
                <w:rFonts w:ascii="Arial" w:hAnsi="Arial" w:cs="Arial"/>
                <w:sz w:val="18"/>
                <w:szCs w:val="18"/>
                <w:lang w:eastAsia="ja-JP"/>
              </w:rPr>
              <w:t>.</w:t>
            </w:r>
          </w:p>
        </w:tc>
      </w:tr>
      <w:tr w:rsidR="002108B2" w:rsidRPr="00AF1814" w14:paraId="767EE638" w14:textId="77777777" w:rsidTr="00274652">
        <w:trPr>
          <w:cantSplit/>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4E0F8EBE" w14:textId="77777777" w:rsidR="002040E7" w:rsidRPr="00AF1814" w:rsidRDefault="00DA3174" w:rsidP="005C687D">
            <w:pPr>
              <w:spacing w:before="40" w:after="40"/>
              <w:jc w:val="left"/>
              <w:rPr>
                <w:rFonts w:ascii="Arial" w:hAnsi="Arial" w:cs="Arial"/>
                <w:sz w:val="18"/>
                <w:szCs w:val="18"/>
              </w:rPr>
            </w:pPr>
            <w:r w:rsidRPr="00AF1814">
              <w:rPr>
                <w:rFonts w:ascii="Arial" w:hAnsi="Arial" w:cs="Arial"/>
                <w:sz w:val="18"/>
                <w:szCs w:val="18"/>
              </w:rPr>
              <w:t>Urinalysis</w:t>
            </w:r>
          </w:p>
        </w:tc>
        <w:tc>
          <w:tcPr>
            <w:tcW w:w="384" w:type="pct"/>
            <w:tcBorders>
              <w:top w:val="single" w:sz="4" w:space="0" w:color="auto"/>
              <w:left w:val="single" w:sz="4" w:space="0" w:color="auto"/>
              <w:bottom w:val="single" w:sz="4" w:space="0" w:color="auto"/>
              <w:right w:val="single" w:sz="4" w:space="0" w:color="auto"/>
            </w:tcBorders>
            <w:vAlign w:val="center"/>
          </w:tcPr>
          <w:p w14:paraId="45E3F11B"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703" w:type="pct"/>
            <w:gridSpan w:val="9"/>
            <w:tcBorders>
              <w:top w:val="single" w:sz="4" w:space="0" w:color="auto"/>
              <w:left w:val="single" w:sz="4" w:space="0" w:color="auto"/>
              <w:bottom w:val="single" w:sz="4" w:space="0" w:color="auto"/>
              <w:right w:val="single" w:sz="4" w:space="0" w:color="auto"/>
            </w:tcBorders>
          </w:tcPr>
          <w:p w14:paraId="54A569BB" w14:textId="77777777" w:rsidR="002040E7" w:rsidRPr="00AF1814" w:rsidRDefault="00DA3174" w:rsidP="00725F70">
            <w:pPr>
              <w:autoSpaceDE w:val="0"/>
              <w:autoSpaceDN w:val="0"/>
              <w:adjustRightInd w:val="0"/>
              <w:spacing w:before="0"/>
              <w:jc w:val="center"/>
              <w:rPr>
                <w:rFonts w:ascii="Arial" w:hAnsi="Arial" w:cs="Arial"/>
                <w:sz w:val="18"/>
                <w:szCs w:val="18"/>
                <w:lang w:eastAsia="ja-JP"/>
              </w:rPr>
            </w:pPr>
            <w:r w:rsidRPr="00AF1814">
              <w:rPr>
                <w:rFonts w:ascii="Arial" w:hAnsi="Arial" w:cs="Arial"/>
                <w:sz w:val="18"/>
                <w:szCs w:val="18"/>
              </w:rPr>
              <w:t>As clinically indicated</w:t>
            </w:r>
          </w:p>
        </w:tc>
        <w:tc>
          <w:tcPr>
            <w:tcW w:w="1282" w:type="pct"/>
            <w:tcBorders>
              <w:left w:val="single" w:sz="4" w:space="0" w:color="auto"/>
              <w:bottom w:val="single" w:sz="4" w:space="0" w:color="auto"/>
              <w:right w:val="single" w:sz="4" w:space="0" w:color="auto"/>
            </w:tcBorders>
            <w:vAlign w:val="center"/>
          </w:tcPr>
          <w:p w14:paraId="68D60B5D" w14:textId="6B677D6A" w:rsidR="002040E7" w:rsidRPr="00AF1814" w:rsidRDefault="00DA3174" w:rsidP="005C687D">
            <w:pPr>
              <w:autoSpaceDE w:val="0"/>
              <w:autoSpaceDN w:val="0"/>
              <w:adjustRightInd w:val="0"/>
              <w:spacing w:before="0"/>
              <w:jc w:val="left"/>
              <w:rPr>
                <w:rFonts w:ascii="Arial" w:hAnsi="Arial" w:cs="Arial"/>
                <w:b/>
                <w:bCs/>
                <w:sz w:val="18"/>
                <w:szCs w:val="18"/>
              </w:rPr>
            </w:pPr>
            <w:r w:rsidRPr="00AF1814">
              <w:rPr>
                <w:rFonts w:ascii="Arial" w:hAnsi="Arial" w:cs="Arial"/>
                <w:sz w:val="18"/>
                <w:szCs w:val="18"/>
                <w:lang w:eastAsia="ja-JP"/>
              </w:rPr>
              <w:t>Routine urinalysis at the Screening visit. If the results abnormal, then a microscopic examination and/or culture should be performed as needed (</w:t>
            </w:r>
            <w:r w:rsidRPr="00AF1814">
              <w:rPr>
                <w:rFonts w:ascii="Arial" w:hAnsi="Arial" w:cs="Arial"/>
                <w:sz w:val="18"/>
                <w:szCs w:val="18"/>
              </w:rPr>
              <w:t>s</w:t>
            </w:r>
            <w:r w:rsidRPr="00AF1814">
              <w:rPr>
                <w:rFonts w:ascii="Arial" w:hAnsi="Arial"/>
                <w:sz w:val="18"/>
              </w:rPr>
              <w:t xml:space="preserve">ee </w:t>
            </w:r>
            <w:hyperlink w:anchor="_Appendix_5_Clinical" w:history="1">
              <w:r w:rsidRPr="00AF1814">
                <w:rPr>
                  <w:rStyle w:val="Hyperlink"/>
                  <w:rFonts w:ascii="Arial" w:hAnsi="Arial"/>
                  <w:sz w:val="18"/>
                </w:rPr>
                <w:t>Appendix 5</w:t>
              </w:r>
            </w:hyperlink>
            <w:r w:rsidRPr="00AF1814">
              <w:rPr>
                <w:rStyle w:val="Hyperlink"/>
                <w:rFonts w:ascii="Arial" w:hAnsi="Arial"/>
                <w:color w:val="auto"/>
                <w:sz w:val="18"/>
              </w:rPr>
              <w:t>)</w:t>
            </w:r>
            <w:r w:rsidRPr="00AF1814">
              <w:rPr>
                <w:rFonts w:ascii="Arial" w:hAnsi="Arial" w:cs="Arial"/>
                <w:sz w:val="18"/>
                <w:szCs w:val="18"/>
                <w:lang w:eastAsia="ja-JP"/>
              </w:rPr>
              <w:t>.</w:t>
            </w:r>
          </w:p>
        </w:tc>
      </w:tr>
      <w:tr w:rsidR="002108B2" w:rsidRPr="00AF1814" w14:paraId="48EDAEFB" w14:textId="77777777" w:rsidTr="00274652">
        <w:trPr>
          <w:cantSplit/>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7D52E0B6" w14:textId="77777777" w:rsidR="002040E7" w:rsidRPr="00AF1814" w:rsidRDefault="00DA3174" w:rsidP="005C687D">
            <w:pPr>
              <w:spacing w:before="40" w:after="40"/>
              <w:jc w:val="left"/>
            </w:pPr>
            <w:r w:rsidRPr="00AF1814">
              <w:rPr>
                <w:rFonts w:ascii="Arial" w:hAnsi="Arial" w:cs="Arial"/>
                <w:sz w:val="18"/>
                <w:szCs w:val="18"/>
              </w:rPr>
              <w:lastRenderedPageBreak/>
              <w:t>β-hCG pregnancy test</w:t>
            </w:r>
            <w:r w:rsidRPr="00AF1814">
              <w:br/>
            </w:r>
            <w:r w:rsidRPr="00AF1814">
              <w:rPr>
                <w:rFonts w:ascii="Arial" w:hAnsi="Arial"/>
                <w:sz w:val="18"/>
              </w:rPr>
              <w:t>(WOCBP only)</w:t>
            </w:r>
          </w:p>
        </w:tc>
        <w:tc>
          <w:tcPr>
            <w:tcW w:w="384" w:type="pct"/>
            <w:tcBorders>
              <w:top w:val="single" w:sz="4" w:space="0" w:color="auto"/>
              <w:left w:val="single" w:sz="4" w:space="0" w:color="auto"/>
              <w:bottom w:val="single" w:sz="4" w:space="0" w:color="auto"/>
              <w:right w:val="single" w:sz="4" w:space="0" w:color="auto"/>
            </w:tcBorders>
            <w:vAlign w:val="center"/>
          </w:tcPr>
          <w:p w14:paraId="6F839562" w14:textId="77777777" w:rsidR="002040E7" w:rsidRPr="00AF1814" w:rsidRDefault="00DA3174" w:rsidP="005C687D">
            <w:pPr>
              <w:spacing w:before="40" w:after="40"/>
              <w:jc w:val="center"/>
              <w:rPr>
                <w:rFonts w:ascii="Arial" w:hAnsi="Arial" w:cs="Arial"/>
                <w:b/>
                <w:bCs/>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vAlign w:val="center"/>
          </w:tcPr>
          <w:p w14:paraId="2606C6C4" w14:textId="77777777" w:rsidR="002040E7" w:rsidRPr="00AF1814" w:rsidRDefault="00DA3174" w:rsidP="005C687D">
            <w:pPr>
              <w:spacing w:before="40" w:after="40"/>
              <w:jc w:val="center"/>
              <w:rPr>
                <w:rFonts w:ascii="Arial" w:hAnsi="Arial" w:cs="Arial"/>
                <w:b/>
                <w:bCs/>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0411E9" w14:textId="77777777" w:rsidR="002040E7" w:rsidRPr="00AF1814" w:rsidRDefault="002040E7" w:rsidP="005C687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0300723" w14:textId="77777777" w:rsidR="002040E7" w:rsidRPr="00AF1814" w:rsidRDefault="002040E7" w:rsidP="005C687D">
            <w:pPr>
              <w:spacing w:before="40" w:after="40"/>
              <w:jc w:val="center"/>
              <w:rPr>
                <w:rFonts w:ascii="Arial" w:hAnsi="Arial" w:cs="Arial"/>
                <w:sz w:val="18"/>
                <w:szCs w:val="18"/>
              </w:rPr>
            </w:pP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tcPr>
          <w:p w14:paraId="5D8EAE58"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5C33DA3" w14:textId="77777777" w:rsidR="002040E7" w:rsidRPr="00AF1814" w:rsidRDefault="002040E7" w:rsidP="005C687D">
            <w:pPr>
              <w:spacing w:before="40" w:after="40"/>
              <w:jc w:val="center"/>
              <w:rPr>
                <w:rFonts w:ascii="Arial" w:hAnsi="Arial" w:cs="Arial"/>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E205D9E" w14:textId="77777777" w:rsidR="002040E7" w:rsidRPr="00AF1814" w:rsidRDefault="002040E7" w:rsidP="005C687D">
            <w:pPr>
              <w:spacing w:before="40" w:after="40"/>
              <w:jc w:val="center"/>
              <w:rPr>
                <w:rFonts w:ascii="Arial" w:hAnsi="Arial" w:cs="Arial"/>
                <w:sz w:val="18"/>
                <w:szCs w:val="18"/>
              </w:rPr>
            </w:pPr>
          </w:p>
        </w:tc>
        <w:tc>
          <w:tcPr>
            <w:tcW w:w="300" w:type="pct"/>
            <w:tcBorders>
              <w:top w:val="single" w:sz="4" w:space="0" w:color="auto"/>
              <w:left w:val="single" w:sz="4" w:space="0" w:color="auto"/>
              <w:right w:val="single" w:sz="4" w:space="0" w:color="auto"/>
            </w:tcBorders>
            <w:shd w:val="clear" w:color="auto" w:fill="FFFFFF" w:themeFill="background1"/>
            <w:vAlign w:val="center"/>
          </w:tcPr>
          <w:p w14:paraId="6AB47A92" w14:textId="77777777" w:rsidR="002040E7" w:rsidRPr="00AF1814" w:rsidRDefault="00DA3174" w:rsidP="00725F70">
            <w:pPr>
              <w:keepLines/>
              <w:spacing w:before="40" w:after="40"/>
              <w:jc w:val="center"/>
              <w:rPr>
                <w:rFonts w:ascii="Arial" w:hAnsi="Arial" w:cs="Arial"/>
                <w:sz w:val="18"/>
              </w:rPr>
            </w:pPr>
            <w:r w:rsidRPr="00AF1814">
              <w:rPr>
                <w:rFonts w:ascii="Arial" w:hAnsi="Arial" w:cs="Arial"/>
                <w:sz w:val="18"/>
              </w:rPr>
              <w:t>X</w:t>
            </w:r>
          </w:p>
        </w:tc>
        <w:tc>
          <w:tcPr>
            <w:tcW w:w="663" w:type="pct"/>
            <w:tcBorders>
              <w:top w:val="single" w:sz="4" w:space="0" w:color="auto"/>
              <w:left w:val="single" w:sz="4" w:space="0" w:color="auto"/>
              <w:right w:val="single" w:sz="4" w:space="0" w:color="auto"/>
            </w:tcBorders>
            <w:shd w:val="clear" w:color="auto" w:fill="FFFFFF" w:themeFill="background1"/>
            <w:vAlign w:val="center"/>
          </w:tcPr>
          <w:p w14:paraId="28CF1CC4" w14:textId="77777777" w:rsidR="002040E7" w:rsidRPr="00AF1814" w:rsidRDefault="00DA3174" w:rsidP="00725F70">
            <w:pPr>
              <w:keepLines/>
              <w:spacing w:before="40" w:after="40"/>
              <w:jc w:val="center"/>
              <w:rPr>
                <w:rFonts w:ascii="Arial" w:hAnsi="Arial" w:cs="Arial"/>
                <w:sz w:val="18"/>
              </w:rPr>
            </w:pPr>
            <w:r w:rsidRPr="00AF1814">
              <w:rPr>
                <w:rFonts w:ascii="Arial" w:hAnsi="Arial" w:cs="Arial"/>
                <w:sz w:val="18"/>
              </w:rPr>
              <w:t>X</w:t>
            </w:r>
          </w:p>
        </w:tc>
        <w:tc>
          <w:tcPr>
            <w:tcW w:w="1288" w:type="pct"/>
            <w:gridSpan w:val="2"/>
            <w:tcBorders>
              <w:top w:val="single" w:sz="4" w:space="0" w:color="auto"/>
              <w:left w:val="single" w:sz="4" w:space="0" w:color="auto"/>
              <w:right w:val="single" w:sz="4" w:space="0" w:color="auto"/>
            </w:tcBorders>
            <w:shd w:val="clear" w:color="auto" w:fill="FFFFFF" w:themeFill="background1"/>
            <w:vAlign w:val="center"/>
          </w:tcPr>
          <w:p w14:paraId="2C8F49FF" w14:textId="77777777" w:rsidR="002040E7" w:rsidRPr="00AF1814" w:rsidRDefault="00DA3174" w:rsidP="005C687D">
            <w:pPr>
              <w:keepLines/>
              <w:spacing w:before="40" w:after="40"/>
              <w:jc w:val="left"/>
              <w:rPr>
                <w:rFonts w:ascii="Arial" w:hAnsi="Arial" w:cs="Arial"/>
                <w:sz w:val="18"/>
                <w:szCs w:val="18"/>
              </w:rPr>
            </w:pPr>
            <w:r w:rsidRPr="00AF1814">
              <w:rPr>
                <w:rFonts w:ascii="Arial" w:hAnsi="Arial" w:cs="Arial"/>
                <w:sz w:val="18"/>
              </w:rPr>
              <w:t>β</w:t>
            </w:r>
            <w:r w:rsidRPr="00AF1814">
              <w:rPr>
                <w:rFonts w:ascii="Arial" w:hAnsi="Arial"/>
                <w:sz w:val="18"/>
              </w:rPr>
              <w:t xml:space="preserve">-hCG should be determined at Screening and thereafter from a urine or serum sample. </w:t>
            </w:r>
            <w:r w:rsidRPr="00AF1814">
              <w:rPr>
                <w:rFonts w:ascii="Arial" w:hAnsi="Arial" w:cs="Arial"/>
                <w:sz w:val="18"/>
                <w:szCs w:val="18"/>
              </w:rPr>
              <w:t xml:space="preserve">Results of the most recent pregnancy test should be available prior to dosing of study intervention. </w:t>
            </w:r>
          </w:p>
          <w:p w14:paraId="1016775C" w14:textId="77777777" w:rsidR="002040E7" w:rsidRPr="00AF1814" w:rsidRDefault="00DA3174" w:rsidP="008066A2">
            <w:pPr>
              <w:keepLines/>
              <w:spacing w:before="40" w:after="40"/>
              <w:jc w:val="left"/>
              <w:rPr>
                <w:rFonts w:ascii="Arial" w:hAnsi="Arial" w:cs="Arial"/>
                <w:b/>
                <w:bCs/>
                <w:sz w:val="18"/>
                <w:szCs w:val="18"/>
              </w:rPr>
            </w:pPr>
            <w:r w:rsidRPr="00AF1814">
              <w:rPr>
                <w:rFonts w:ascii="Arial" w:hAnsi="Arial" w:cs="Arial"/>
                <w:sz w:val="18"/>
                <w:szCs w:val="18"/>
              </w:rPr>
              <w:t>If a confirmation of a participant’s postmenopausal status is necessary, follicle</w:t>
            </w:r>
            <w:r w:rsidRPr="00AF1814">
              <w:rPr>
                <w:rFonts w:ascii="Arial" w:hAnsi="Arial" w:cs="Arial"/>
                <w:sz w:val="18"/>
                <w:szCs w:val="18"/>
              </w:rPr>
              <w:noBreakHyphen/>
              <w:t>stimulating hormone and estradiol tests will be performed at Screening.</w:t>
            </w:r>
          </w:p>
        </w:tc>
      </w:tr>
      <w:tr w:rsidR="002108B2" w:rsidRPr="00AF1814" w14:paraId="4C86DB23" w14:textId="77777777" w:rsidTr="00274652">
        <w:trPr>
          <w:cantSplit/>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615EB39D" w14:textId="77777777" w:rsidR="002040E7" w:rsidRPr="00AF1814" w:rsidRDefault="00DA3174" w:rsidP="005C687D">
            <w:pPr>
              <w:spacing w:before="40" w:after="40"/>
              <w:jc w:val="left"/>
              <w:rPr>
                <w:rFonts w:ascii="Arial" w:hAnsi="Arial" w:cs="Arial"/>
                <w:sz w:val="18"/>
                <w:szCs w:val="18"/>
              </w:rPr>
            </w:pPr>
            <w:r w:rsidRPr="00AF1814">
              <w:rPr>
                <w:rFonts w:ascii="Arial" w:hAnsi="Arial" w:cs="Arial"/>
                <w:sz w:val="18"/>
                <w:szCs w:val="18"/>
              </w:rPr>
              <w:t>T4 and TSH</w:t>
            </w:r>
          </w:p>
        </w:tc>
        <w:tc>
          <w:tcPr>
            <w:tcW w:w="384" w:type="pct"/>
            <w:tcBorders>
              <w:top w:val="single" w:sz="4" w:space="0" w:color="auto"/>
              <w:left w:val="single" w:sz="4" w:space="0" w:color="auto"/>
              <w:bottom w:val="single" w:sz="4" w:space="0" w:color="auto"/>
              <w:right w:val="single" w:sz="4" w:space="0" w:color="auto"/>
            </w:tcBorders>
            <w:vAlign w:val="center"/>
          </w:tcPr>
          <w:p w14:paraId="091D8579" w14:textId="77777777" w:rsidR="002040E7" w:rsidRPr="00AF1814" w:rsidRDefault="00DA3174" w:rsidP="005C687D">
            <w:pPr>
              <w:spacing w:before="40" w:after="40"/>
              <w:jc w:val="center"/>
              <w:rPr>
                <w:rFonts w:ascii="Arial" w:hAnsi="Arial" w:cs="Arial"/>
                <w:b/>
                <w:bCs/>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963AF6" w14:textId="77777777" w:rsidR="002040E7" w:rsidRPr="00AF1814" w:rsidRDefault="002040E7" w:rsidP="005C687D">
            <w:pPr>
              <w:spacing w:before="40" w:after="40"/>
              <w:jc w:val="center"/>
              <w:rPr>
                <w:rFonts w:ascii="Arial" w:hAnsi="Arial" w:cs="Arial"/>
                <w:b/>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60DE90" w14:textId="77777777" w:rsidR="002040E7" w:rsidRPr="00AF1814" w:rsidRDefault="002040E7" w:rsidP="005C687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1470312" w14:textId="77777777" w:rsidR="002040E7" w:rsidRPr="00AF1814" w:rsidRDefault="002040E7" w:rsidP="005C687D">
            <w:pPr>
              <w:spacing w:before="40" w:after="40"/>
              <w:jc w:val="center"/>
              <w:rPr>
                <w:rFonts w:ascii="Arial" w:hAnsi="Arial" w:cs="Arial"/>
                <w:sz w:val="18"/>
                <w:szCs w:val="18"/>
              </w:rPr>
            </w:pPr>
          </w:p>
        </w:tc>
        <w:tc>
          <w:tcPr>
            <w:tcW w:w="2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4D8B54" w14:textId="77777777" w:rsidR="002040E7" w:rsidRPr="00AF1814" w:rsidRDefault="002040E7" w:rsidP="005C687D">
            <w:pPr>
              <w:spacing w:before="40" w:after="40"/>
              <w:jc w:val="center"/>
              <w:rPr>
                <w:rFonts w:ascii="Arial" w:hAnsi="Arial" w:cs="Arial"/>
                <w:sz w:val="18"/>
                <w:szCs w:val="18"/>
              </w:rPr>
            </w:pP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5E6DB6D" w14:textId="77777777" w:rsidR="002040E7" w:rsidRPr="00AF1814" w:rsidRDefault="002040E7" w:rsidP="005C687D">
            <w:pPr>
              <w:spacing w:before="40" w:after="40"/>
              <w:jc w:val="center"/>
              <w:rPr>
                <w:rFonts w:ascii="Arial" w:hAnsi="Arial" w:cs="Arial"/>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47CAA21" w14:textId="77777777" w:rsidR="002040E7" w:rsidRPr="00AF1814" w:rsidRDefault="002040E7" w:rsidP="005C687D">
            <w:pPr>
              <w:spacing w:before="40" w:after="40"/>
              <w:jc w:val="center"/>
              <w:rPr>
                <w:rFonts w:ascii="Arial" w:hAnsi="Arial" w:cs="Arial"/>
                <w:sz w:val="18"/>
                <w:szCs w:val="18"/>
              </w:rPr>
            </w:pPr>
          </w:p>
        </w:tc>
        <w:tc>
          <w:tcPr>
            <w:tcW w:w="300" w:type="pct"/>
            <w:tcBorders>
              <w:left w:val="single" w:sz="4" w:space="0" w:color="auto"/>
              <w:right w:val="single" w:sz="4" w:space="0" w:color="auto"/>
            </w:tcBorders>
            <w:shd w:val="clear" w:color="auto" w:fill="BFBFBF" w:themeFill="background1" w:themeFillShade="BF"/>
          </w:tcPr>
          <w:p w14:paraId="4D97A368" w14:textId="77777777" w:rsidR="002040E7" w:rsidRPr="00AF1814" w:rsidRDefault="002040E7" w:rsidP="00725F70">
            <w:pPr>
              <w:keepLines/>
              <w:spacing w:before="40" w:after="40"/>
              <w:jc w:val="center"/>
              <w:rPr>
                <w:rFonts w:ascii="Arial" w:hAnsi="Arial" w:cs="Arial"/>
                <w:sz w:val="18"/>
              </w:rPr>
            </w:pPr>
          </w:p>
        </w:tc>
        <w:tc>
          <w:tcPr>
            <w:tcW w:w="663" w:type="pct"/>
            <w:tcBorders>
              <w:left w:val="single" w:sz="4" w:space="0" w:color="auto"/>
              <w:right w:val="single" w:sz="4" w:space="0" w:color="auto"/>
            </w:tcBorders>
            <w:shd w:val="clear" w:color="auto" w:fill="FFFFFF" w:themeFill="background1"/>
          </w:tcPr>
          <w:p w14:paraId="4D64AA71" w14:textId="77777777" w:rsidR="002040E7" w:rsidRPr="00AF1814" w:rsidRDefault="00DA3174" w:rsidP="00725F70">
            <w:pPr>
              <w:keepLines/>
              <w:spacing w:before="40" w:after="40"/>
              <w:jc w:val="center"/>
              <w:rPr>
                <w:rFonts w:ascii="Arial" w:hAnsi="Arial" w:cs="Arial"/>
                <w:sz w:val="18"/>
                <w:szCs w:val="18"/>
              </w:rPr>
            </w:pPr>
            <w:r w:rsidRPr="00AF1814">
              <w:rPr>
                <w:rFonts w:ascii="Arial" w:hAnsi="Arial" w:cs="Arial"/>
                <w:sz w:val="18"/>
              </w:rPr>
              <w:t>X</w:t>
            </w:r>
          </w:p>
        </w:tc>
        <w:tc>
          <w:tcPr>
            <w:tcW w:w="1288" w:type="pct"/>
            <w:gridSpan w:val="2"/>
            <w:tcBorders>
              <w:left w:val="single" w:sz="4" w:space="0" w:color="auto"/>
              <w:right w:val="single" w:sz="4" w:space="0" w:color="auto"/>
            </w:tcBorders>
            <w:shd w:val="clear" w:color="auto" w:fill="BFBFBF" w:themeFill="background1" w:themeFillShade="BF"/>
            <w:vAlign w:val="center"/>
          </w:tcPr>
          <w:p w14:paraId="29EB8CD7" w14:textId="77777777" w:rsidR="002040E7" w:rsidRPr="00AF1814" w:rsidRDefault="002040E7" w:rsidP="005C687D">
            <w:pPr>
              <w:keepLines/>
              <w:spacing w:before="40" w:after="40"/>
              <w:jc w:val="left"/>
              <w:rPr>
                <w:rFonts w:ascii="Arial" w:hAnsi="Arial" w:cs="Arial"/>
                <w:sz w:val="18"/>
                <w:szCs w:val="18"/>
              </w:rPr>
            </w:pPr>
          </w:p>
        </w:tc>
      </w:tr>
      <w:tr w:rsidR="002108B2" w:rsidRPr="00AF1814" w14:paraId="2BF53754" w14:textId="77777777" w:rsidTr="00274652">
        <w:trPr>
          <w:cantSplit/>
          <w:tblHeader/>
          <w:jc w:val="center"/>
        </w:trPr>
        <w:tc>
          <w:tcPr>
            <w:tcW w:w="5000" w:type="pct"/>
            <w:gridSpan w:val="12"/>
            <w:tcBorders>
              <w:top w:val="single" w:sz="4" w:space="0" w:color="auto"/>
              <w:left w:val="single" w:sz="4" w:space="0" w:color="auto"/>
              <w:bottom w:val="single" w:sz="4" w:space="0" w:color="auto"/>
              <w:right w:val="single" w:sz="4" w:space="0" w:color="auto"/>
            </w:tcBorders>
          </w:tcPr>
          <w:p w14:paraId="6C91AF0B" w14:textId="77777777" w:rsidR="000F44EB" w:rsidRPr="00AF1814" w:rsidRDefault="00DA3174" w:rsidP="00ED3DB3">
            <w:pPr>
              <w:keepNext/>
              <w:keepLines/>
              <w:spacing w:before="40" w:after="40"/>
              <w:jc w:val="center"/>
              <w:rPr>
                <w:rFonts w:ascii="Arial" w:hAnsi="Arial" w:cs="Arial"/>
                <w:sz w:val="18"/>
                <w:szCs w:val="18"/>
              </w:rPr>
            </w:pPr>
            <w:r w:rsidRPr="00AF1814">
              <w:rPr>
                <w:rFonts w:ascii="Arial" w:hAnsi="Arial" w:cs="Arial"/>
                <w:b/>
                <w:sz w:val="18"/>
                <w:szCs w:val="18"/>
              </w:rPr>
              <w:t>Tumor Assessments</w:t>
            </w:r>
          </w:p>
        </w:tc>
      </w:tr>
      <w:tr w:rsidR="002108B2" w:rsidRPr="00AF1814" w14:paraId="37046363" w14:textId="77777777" w:rsidTr="00274652">
        <w:trPr>
          <w:cantSplit/>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79584E94" w14:textId="77777777" w:rsidR="002040E7" w:rsidRPr="00AF1814" w:rsidRDefault="00DA3174" w:rsidP="005C687D">
            <w:pPr>
              <w:keepLines/>
              <w:spacing w:before="40" w:after="40"/>
              <w:jc w:val="left"/>
              <w:rPr>
                <w:rFonts w:ascii="Arial" w:hAnsi="Arial" w:cs="Arial"/>
                <w:sz w:val="18"/>
                <w:szCs w:val="18"/>
              </w:rPr>
            </w:pPr>
            <w:r w:rsidRPr="00AF1814">
              <w:rPr>
                <w:rFonts w:ascii="Arial" w:hAnsi="Arial" w:cs="Arial"/>
                <w:sz w:val="18"/>
                <w:szCs w:val="18"/>
              </w:rPr>
              <w:t>Imaging tumor evaluation</w:t>
            </w:r>
            <w:r w:rsidRPr="00AF1814">
              <w:br/>
            </w:r>
            <w:r w:rsidRPr="00AF1814">
              <w:rPr>
                <w:rFonts w:ascii="Arial" w:hAnsi="Arial" w:cs="Arial"/>
                <w:sz w:val="18"/>
                <w:szCs w:val="18"/>
              </w:rPr>
              <w:t>/staging (CT scan/MRI/</w:t>
            </w:r>
            <w:r w:rsidRPr="00AF1814">
              <w:br/>
            </w:r>
            <w:r w:rsidRPr="00AF1814">
              <w:rPr>
                <w:rFonts w:ascii="Arial" w:hAnsi="Arial" w:cs="Arial"/>
                <w:sz w:val="18"/>
                <w:szCs w:val="18"/>
              </w:rPr>
              <w:t>other established methods)</w:t>
            </w:r>
          </w:p>
        </w:tc>
        <w:tc>
          <w:tcPr>
            <w:tcW w:w="384" w:type="pct"/>
            <w:tcBorders>
              <w:top w:val="single" w:sz="4" w:space="0" w:color="auto"/>
              <w:left w:val="single" w:sz="4" w:space="0" w:color="auto"/>
              <w:bottom w:val="single" w:sz="4" w:space="0" w:color="auto"/>
              <w:right w:val="single" w:sz="4" w:space="0" w:color="auto"/>
            </w:tcBorders>
            <w:vAlign w:val="center"/>
          </w:tcPr>
          <w:p w14:paraId="4BCB8564"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r w:rsidRPr="00AF1814">
              <w:rPr>
                <w:rFonts w:ascii="Arial" w:hAnsi="Arial" w:cs="Arial"/>
                <w:sz w:val="18"/>
                <w:szCs w:val="18"/>
                <w:vertAlign w:val="superscript"/>
              </w:rPr>
              <w:t>a,b</w:t>
            </w:r>
          </w:p>
        </w:tc>
        <w:tc>
          <w:tcPr>
            <w:tcW w:w="2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C93075" w14:textId="77777777" w:rsidR="002040E7" w:rsidRPr="00AF1814" w:rsidRDefault="002040E7" w:rsidP="005C687D">
            <w:pPr>
              <w:spacing w:before="40" w:after="40"/>
              <w:jc w:val="center"/>
              <w:rPr>
                <w:rFonts w:ascii="Arial" w:hAnsi="Arial" w:cs="Arial"/>
                <w:b/>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54DE42" w14:textId="77777777" w:rsidR="002040E7" w:rsidRPr="00AF1814" w:rsidRDefault="002040E7" w:rsidP="005C687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0DF5714" w14:textId="77777777" w:rsidR="002040E7" w:rsidRPr="00AF1814" w:rsidRDefault="002040E7" w:rsidP="005C687D">
            <w:pPr>
              <w:spacing w:before="40" w:after="40"/>
              <w:jc w:val="center"/>
              <w:rPr>
                <w:rFonts w:ascii="Arial" w:hAnsi="Arial" w:cs="Arial"/>
                <w:sz w:val="18"/>
                <w:szCs w:val="18"/>
              </w:rPr>
            </w:pPr>
          </w:p>
        </w:tc>
        <w:tc>
          <w:tcPr>
            <w:tcW w:w="2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31C7096" w14:textId="77777777" w:rsidR="002040E7" w:rsidRPr="00AF1814" w:rsidRDefault="002040E7" w:rsidP="005C687D">
            <w:pPr>
              <w:spacing w:before="40" w:after="40"/>
              <w:jc w:val="center"/>
              <w:rPr>
                <w:rFonts w:ascii="Arial" w:hAnsi="Arial" w:cs="Arial"/>
                <w:sz w:val="18"/>
                <w:szCs w:val="18"/>
              </w:rPr>
            </w:pP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517E790" w14:textId="77777777" w:rsidR="002040E7" w:rsidRPr="00AF1814" w:rsidRDefault="002040E7" w:rsidP="005C687D">
            <w:pPr>
              <w:spacing w:before="40" w:after="40"/>
              <w:jc w:val="center"/>
              <w:rPr>
                <w:rFonts w:ascii="Arial" w:hAnsi="Arial" w:cs="Arial"/>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11B3436" w14:textId="77777777" w:rsidR="002040E7" w:rsidRPr="00AF1814" w:rsidRDefault="002040E7" w:rsidP="005C687D">
            <w:pPr>
              <w:spacing w:before="40" w:after="40"/>
              <w:jc w:val="center"/>
              <w:rPr>
                <w:rFonts w:ascii="Arial" w:hAnsi="Arial" w:cs="Arial"/>
                <w:sz w:val="18"/>
                <w:szCs w:val="18"/>
              </w:rPr>
            </w:pPr>
          </w:p>
        </w:tc>
        <w:tc>
          <w:tcPr>
            <w:tcW w:w="300" w:type="pct"/>
            <w:tcBorders>
              <w:left w:val="single" w:sz="4" w:space="0" w:color="auto"/>
              <w:right w:val="single" w:sz="4" w:space="0" w:color="auto"/>
            </w:tcBorders>
            <w:shd w:val="clear" w:color="auto" w:fill="BFBFBF" w:themeFill="background1" w:themeFillShade="BF"/>
          </w:tcPr>
          <w:p w14:paraId="1BAEDE9A" w14:textId="77777777" w:rsidR="002040E7" w:rsidRPr="00AF1814" w:rsidRDefault="002040E7" w:rsidP="00B33375">
            <w:pPr>
              <w:keepLines/>
              <w:spacing w:before="40" w:after="40"/>
              <w:jc w:val="center"/>
              <w:rPr>
                <w:rFonts w:ascii="Arial" w:hAnsi="Arial"/>
                <w:sz w:val="18"/>
              </w:rPr>
            </w:pPr>
          </w:p>
        </w:tc>
        <w:tc>
          <w:tcPr>
            <w:tcW w:w="663" w:type="pct"/>
            <w:tcBorders>
              <w:left w:val="single" w:sz="4" w:space="0" w:color="auto"/>
              <w:right w:val="single" w:sz="4" w:space="0" w:color="auto"/>
            </w:tcBorders>
            <w:vAlign w:val="center"/>
          </w:tcPr>
          <w:p w14:paraId="1E9E6B66" w14:textId="77777777" w:rsidR="002040E7" w:rsidRPr="00AF1814" w:rsidRDefault="00DA3174" w:rsidP="00B33375">
            <w:pPr>
              <w:keepLines/>
              <w:spacing w:before="40" w:after="40"/>
              <w:jc w:val="center"/>
              <w:rPr>
                <w:rFonts w:ascii="Arial" w:hAnsi="Arial"/>
                <w:sz w:val="18"/>
              </w:rPr>
            </w:pPr>
            <w:r w:rsidRPr="00AF1814">
              <w:rPr>
                <w:rFonts w:ascii="Arial" w:hAnsi="Arial"/>
                <w:sz w:val="18"/>
              </w:rPr>
              <w:t>X</w:t>
            </w:r>
          </w:p>
        </w:tc>
        <w:tc>
          <w:tcPr>
            <w:tcW w:w="1288" w:type="pct"/>
            <w:gridSpan w:val="2"/>
            <w:tcBorders>
              <w:left w:val="single" w:sz="4" w:space="0" w:color="auto"/>
              <w:right w:val="single" w:sz="4" w:space="0" w:color="auto"/>
            </w:tcBorders>
            <w:vAlign w:val="center"/>
          </w:tcPr>
          <w:p w14:paraId="3E8AFD66" w14:textId="72882532" w:rsidR="002040E7" w:rsidRPr="00E44F28" w:rsidRDefault="00DA3174" w:rsidP="006B3296">
            <w:pPr>
              <w:autoSpaceDE w:val="0"/>
              <w:autoSpaceDN w:val="0"/>
              <w:adjustRightInd w:val="0"/>
              <w:spacing w:before="0"/>
              <w:jc w:val="left"/>
              <w:rPr>
                <w:rFonts w:ascii="Arial" w:hAnsi="Arial"/>
                <w:sz w:val="18"/>
              </w:rPr>
            </w:pPr>
            <w:r w:rsidRPr="00AF1814">
              <w:rPr>
                <w:rFonts w:ascii="Arial" w:hAnsi="Arial" w:cs="Arial"/>
                <w:color w:val="000000"/>
                <w:sz w:val="18"/>
                <w:szCs w:val="18"/>
                <w:lang w:eastAsia="ja-JP"/>
              </w:rPr>
              <w:t xml:space="preserve">Confirmation of CR and PD is required as </w:t>
            </w:r>
            <w:r w:rsidRPr="00E44F28">
              <w:rPr>
                <w:rFonts w:ascii="Arial" w:hAnsi="Arial" w:cs="Arial"/>
                <w:sz w:val="18"/>
                <w:szCs w:val="18"/>
                <w:lang w:eastAsia="ja-JP"/>
              </w:rPr>
              <w:t>described in Section </w:t>
            </w:r>
            <w:r w:rsidRPr="00E44F28">
              <w:rPr>
                <w:rFonts w:ascii="Arial" w:hAnsi="Arial"/>
                <w:sz w:val="18"/>
              </w:rPr>
              <w:fldChar w:fldCharType="begin"/>
            </w:r>
            <w:r w:rsidRPr="00E44F28">
              <w:rPr>
                <w:rFonts w:ascii="Arial" w:hAnsi="Arial"/>
                <w:sz w:val="18"/>
              </w:rPr>
              <w:instrText xml:space="preserve"> REF _Ref33102058 \w \h </w:instrText>
            </w:r>
            <w:r w:rsidR="00AF1814" w:rsidRPr="00E44F28">
              <w:rPr>
                <w:rFonts w:ascii="Arial" w:hAnsi="Arial"/>
                <w:sz w:val="18"/>
              </w:rPr>
              <w:instrText xml:space="preserve"> \* MERGEFORMAT </w:instrText>
            </w:r>
            <w:r w:rsidRPr="00E44F28">
              <w:rPr>
                <w:rFonts w:ascii="Arial" w:hAnsi="Arial"/>
                <w:sz w:val="18"/>
              </w:rPr>
            </w:r>
            <w:r w:rsidRPr="00E44F28">
              <w:rPr>
                <w:rFonts w:ascii="Arial" w:hAnsi="Arial"/>
                <w:sz w:val="18"/>
              </w:rPr>
              <w:fldChar w:fldCharType="separate"/>
            </w:r>
            <w:r w:rsidR="00C548C3" w:rsidRPr="00E44F28">
              <w:rPr>
                <w:rFonts w:ascii="Arial" w:hAnsi="Arial"/>
                <w:sz w:val="18"/>
              </w:rPr>
              <w:t>8.1</w:t>
            </w:r>
            <w:r w:rsidRPr="00E44F28">
              <w:rPr>
                <w:rFonts w:ascii="Arial" w:hAnsi="Arial"/>
                <w:sz w:val="18"/>
              </w:rPr>
              <w:fldChar w:fldCharType="end"/>
            </w:r>
            <w:r w:rsidRPr="00E44F28">
              <w:rPr>
                <w:rFonts w:ascii="Arial" w:hAnsi="Arial"/>
                <w:sz w:val="18"/>
              </w:rPr>
              <w:t>.</w:t>
            </w:r>
          </w:p>
          <w:p w14:paraId="7528079F" w14:textId="05DE8D43" w:rsidR="002040E7" w:rsidRPr="00E44F28" w:rsidRDefault="00DA3174" w:rsidP="006B3296">
            <w:pPr>
              <w:autoSpaceDE w:val="0"/>
              <w:autoSpaceDN w:val="0"/>
              <w:adjustRightInd w:val="0"/>
              <w:spacing w:before="0"/>
              <w:jc w:val="left"/>
            </w:pPr>
            <w:r w:rsidRPr="00E44F28">
              <w:rPr>
                <w:rFonts w:ascii="Arial" w:hAnsi="Arial" w:cs="Arial"/>
                <w:sz w:val="18"/>
                <w:szCs w:val="18"/>
                <w:lang w:eastAsia="ja-JP"/>
              </w:rPr>
              <w:t>Confirmation of PR is required as described in Section </w:t>
            </w:r>
            <w:r w:rsidRPr="00E44F28">
              <w:rPr>
                <w:rFonts w:ascii="Arial" w:hAnsi="Arial"/>
                <w:sz w:val="18"/>
              </w:rPr>
              <w:fldChar w:fldCharType="begin"/>
            </w:r>
            <w:r w:rsidRPr="00E44F28">
              <w:rPr>
                <w:rFonts w:ascii="Arial" w:hAnsi="Arial"/>
                <w:sz w:val="18"/>
              </w:rPr>
              <w:instrText xml:space="preserve"> REF _Ref33102058 \w \h </w:instrText>
            </w:r>
            <w:r w:rsidR="00AF1814" w:rsidRPr="00E44F28">
              <w:rPr>
                <w:rFonts w:ascii="Arial" w:hAnsi="Arial"/>
                <w:sz w:val="18"/>
              </w:rPr>
              <w:instrText xml:space="preserve"> \* MERGEFORMAT </w:instrText>
            </w:r>
            <w:r w:rsidRPr="00E44F28">
              <w:rPr>
                <w:rFonts w:ascii="Arial" w:hAnsi="Arial"/>
                <w:sz w:val="18"/>
              </w:rPr>
            </w:r>
            <w:r w:rsidRPr="00E44F28">
              <w:rPr>
                <w:rFonts w:ascii="Arial" w:hAnsi="Arial"/>
                <w:sz w:val="18"/>
              </w:rPr>
              <w:fldChar w:fldCharType="separate"/>
            </w:r>
            <w:r w:rsidR="00C548C3" w:rsidRPr="00E44F28">
              <w:rPr>
                <w:rFonts w:ascii="Arial" w:hAnsi="Arial"/>
                <w:sz w:val="18"/>
              </w:rPr>
              <w:t>8.1</w:t>
            </w:r>
            <w:r w:rsidRPr="00E44F28">
              <w:rPr>
                <w:rFonts w:ascii="Arial" w:hAnsi="Arial"/>
                <w:sz w:val="18"/>
              </w:rPr>
              <w:fldChar w:fldCharType="end"/>
            </w:r>
            <w:r w:rsidRPr="00E44F28">
              <w:rPr>
                <w:rFonts w:ascii="Arial" w:hAnsi="Arial"/>
                <w:sz w:val="18"/>
              </w:rPr>
              <w:t>. for subjects with measurable disease at Baseline.</w:t>
            </w:r>
          </w:p>
          <w:p w14:paraId="1BB9493D" w14:textId="77777777" w:rsidR="002040E7" w:rsidRPr="00E44F28" w:rsidRDefault="00DA3174" w:rsidP="005C687D">
            <w:pPr>
              <w:keepLines/>
              <w:spacing w:before="40" w:after="40"/>
              <w:jc w:val="left"/>
              <w:rPr>
                <w:rFonts w:ascii="Arial" w:hAnsi="Arial"/>
                <w:sz w:val="18"/>
              </w:rPr>
            </w:pPr>
            <w:r w:rsidRPr="00E44F28">
              <w:rPr>
                <w:rFonts w:ascii="Arial" w:hAnsi="Arial"/>
                <w:sz w:val="18"/>
              </w:rPr>
              <w:t>a: A brain CT/MRI scan should be performed if clinically indicated at Baseline or by subsequent development of new specific symptoms.</w:t>
            </w:r>
          </w:p>
          <w:p w14:paraId="2E3B60FC" w14:textId="54582099" w:rsidR="002040E7" w:rsidRPr="00AF1814" w:rsidRDefault="00DA3174" w:rsidP="005C687D">
            <w:pPr>
              <w:keepLines/>
              <w:spacing w:before="40" w:after="40"/>
              <w:jc w:val="left"/>
              <w:rPr>
                <w:rFonts w:ascii="Arial" w:hAnsi="Arial"/>
                <w:sz w:val="18"/>
              </w:rPr>
            </w:pPr>
            <w:r w:rsidRPr="00E44F28">
              <w:rPr>
                <w:rFonts w:ascii="Arial" w:hAnsi="Arial"/>
                <w:sz w:val="18"/>
              </w:rPr>
              <w:t>b:</w:t>
            </w:r>
            <w:r w:rsidRPr="00E44F28">
              <w:t xml:space="preserve"> </w:t>
            </w:r>
            <w:r w:rsidRPr="00E44F28">
              <w:rPr>
                <w:rFonts w:ascii="Arial" w:hAnsi="Arial"/>
                <w:sz w:val="18"/>
              </w:rPr>
              <w:t>Scans performed as per standard of care prior to signing of ICF may be used if they meet imaging requirement as outlined in Section</w:t>
            </w:r>
            <w:r w:rsidR="00D45E80" w:rsidRPr="00E44F28">
              <w:rPr>
                <w:rFonts w:ascii="Arial" w:hAnsi="Arial"/>
                <w:sz w:val="18"/>
              </w:rPr>
              <w:t xml:space="preserve"> </w:t>
            </w:r>
            <w:r w:rsidRPr="00E44F28">
              <w:rPr>
                <w:rFonts w:ascii="Arial" w:hAnsi="Arial"/>
                <w:sz w:val="18"/>
              </w:rPr>
              <w:t xml:space="preserve">8.1, are consistent </w:t>
            </w:r>
            <w:r w:rsidRPr="00AF1814">
              <w:rPr>
                <w:rFonts w:ascii="Arial" w:hAnsi="Arial"/>
                <w:sz w:val="18"/>
              </w:rPr>
              <w:t xml:space="preserve">with the Imaging Guidelines, and were performed within 28 days of planned W1D1. </w:t>
            </w:r>
          </w:p>
        </w:tc>
      </w:tr>
      <w:tr w:rsidR="002108B2" w:rsidRPr="00AF1814" w14:paraId="5B588E8B" w14:textId="77777777" w:rsidTr="00274652">
        <w:trPr>
          <w:cantSplit/>
          <w:tblHeader/>
          <w:jc w:val="center"/>
        </w:trPr>
        <w:tc>
          <w:tcPr>
            <w:tcW w:w="5000" w:type="pct"/>
            <w:gridSpan w:val="12"/>
            <w:tcBorders>
              <w:top w:val="single" w:sz="4" w:space="0" w:color="auto"/>
              <w:left w:val="single" w:sz="4" w:space="0" w:color="auto"/>
              <w:bottom w:val="single" w:sz="4" w:space="0" w:color="auto"/>
              <w:right w:val="single" w:sz="4" w:space="0" w:color="auto"/>
            </w:tcBorders>
          </w:tcPr>
          <w:p w14:paraId="3E659D83" w14:textId="77777777" w:rsidR="000F44EB" w:rsidRPr="00AF1814" w:rsidRDefault="00DA3174" w:rsidP="005C687D">
            <w:pPr>
              <w:keepNext/>
              <w:spacing w:before="40" w:after="40"/>
              <w:jc w:val="center"/>
              <w:rPr>
                <w:rFonts w:ascii="Arial" w:hAnsi="Arial" w:cs="Arial"/>
                <w:sz w:val="18"/>
                <w:szCs w:val="18"/>
              </w:rPr>
            </w:pPr>
            <w:r w:rsidRPr="00AF1814">
              <w:rPr>
                <w:rFonts w:ascii="Arial" w:hAnsi="Arial" w:cs="Arial"/>
                <w:b/>
                <w:bCs/>
                <w:sz w:val="18"/>
                <w:szCs w:val="18"/>
              </w:rPr>
              <w:lastRenderedPageBreak/>
              <w:t xml:space="preserve">PK, ADA, Biomarker </w:t>
            </w:r>
          </w:p>
        </w:tc>
      </w:tr>
      <w:tr w:rsidR="002108B2" w:rsidRPr="00AF1814" w14:paraId="034D947C" w14:textId="77777777" w:rsidTr="00274652">
        <w:trPr>
          <w:cantSplit/>
          <w:trHeight w:val="221"/>
          <w:tblHeader/>
          <w:jc w:val="center"/>
        </w:trPr>
        <w:tc>
          <w:tcPr>
            <w:tcW w:w="5000" w:type="pct"/>
            <w:gridSpan w:val="12"/>
            <w:tcBorders>
              <w:top w:val="single" w:sz="4" w:space="0" w:color="auto"/>
              <w:left w:val="single" w:sz="4" w:space="0" w:color="auto"/>
              <w:bottom w:val="single" w:sz="4" w:space="0" w:color="auto"/>
              <w:right w:val="single" w:sz="4" w:space="0" w:color="auto"/>
            </w:tcBorders>
          </w:tcPr>
          <w:p w14:paraId="6F61502C" w14:textId="758453FC" w:rsidR="000F44EB" w:rsidRPr="00E44F28" w:rsidRDefault="00DA3174" w:rsidP="00ED3DB3">
            <w:pPr>
              <w:keepNext/>
              <w:widowControl w:val="0"/>
              <w:spacing w:before="40" w:after="40"/>
              <w:jc w:val="center"/>
              <w:rPr>
                <w:rFonts w:ascii="Arial" w:hAnsi="Arial" w:cs="Arial"/>
                <w:sz w:val="18"/>
                <w:szCs w:val="18"/>
              </w:rPr>
            </w:pPr>
            <w:r w:rsidRPr="00E44F28">
              <w:rPr>
                <w:rFonts w:ascii="Arial" w:hAnsi="Arial" w:cs="Arial"/>
                <w:sz w:val="18"/>
                <w:szCs w:val="18"/>
              </w:rPr>
              <w:t xml:space="preserve">See </w:t>
            </w:r>
            <w:r w:rsidRPr="00E44F28">
              <w:rPr>
                <w:rFonts w:ascii="Arial" w:hAnsi="Arial" w:cs="Arial"/>
                <w:sz w:val="18"/>
                <w:szCs w:val="18"/>
              </w:rPr>
              <w:fldChar w:fldCharType="begin"/>
            </w:r>
            <w:r w:rsidRPr="00E44F28">
              <w:rPr>
                <w:rFonts w:ascii="Arial" w:hAnsi="Arial" w:cs="Arial"/>
                <w:sz w:val="18"/>
                <w:szCs w:val="18"/>
              </w:rPr>
              <w:instrText xml:space="preserve"> REF _Ref31386662 \h  \* MERGEFORMAT </w:instrText>
            </w:r>
            <w:r w:rsidRPr="00E44F28">
              <w:rPr>
                <w:rFonts w:ascii="Arial" w:hAnsi="Arial" w:cs="Arial"/>
                <w:sz w:val="18"/>
                <w:szCs w:val="18"/>
              </w:rPr>
            </w:r>
            <w:r w:rsidRPr="00E44F28">
              <w:rPr>
                <w:rFonts w:ascii="Arial" w:hAnsi="Arial" w:cs="Arial"/>
                <w:sz w:val="18"/>
                <w:szCs w:val="18"/>
              </w:rPr>
              <w:fldChar w:fldCharType="separate"/>
            </w:r>
            <w:r w:rsidR="00C548C3" w:rsidRPr="00E44F28">
              <w:rPr>
                <w:rFonts w:ascii="Arial" w:hAnsi="Arial" w:cs="Arial"/>
                <w:sz w:val="18"/>
                <w:szCs w:val="18"/>
              </w:rPr>
              <w:t>Table 5</w:t>
            </w:r>
            <w:r w:rsidRPr="00E44F28">
              <w:rPr>
                <w:rFonts w:ascii="Arial" w:hAnsi="Arial" w:cs="Arial"/>
                <w:sz w:val="18"/>
                <w:szCs w:val="18"/>
              </w:rPr>
              <w:fldChar w:fldCharType="end"/>
            </w:r>
            <w:r w:rsidRPr="00E44F28">
              <w:rPr>
                <w:rFonts w:ascii="Arial" w:hAnsi="Arial" w:cs="Arial"/>
                <w:sz w:val="18"/>
                <w:szCs w:val="18"/>
              </w:rPr>
              <w:t xml:space="preserve"> for PK and ADA Sampling Schedule</w:t>
            </w:r>
          </w:p>
        </w:tc>
      </w:tr>
      <w:tr w:rsidR="002108B2" w:rsidRPr="00AF1814" w14:paraId="59C1CC04" w14:textId="77777777" w:rsidTr="00274652">
        <w:trPr>
          <w:cantSplit/>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52460D1F" w14:textId="77777777" w:rsidR="002040E7" w:rsidRPr="00AF1814" w:rsidRDefault="00DA3174" w:rsidP="005C687D">
            <w:pPr>
              <w:spacing w:before="40" w:after="40"/>
              <w:jc w:val="left"/>
              <w:rPr>
                <w:rFonts w:ascii="Arial" w:hAnsi="Arial" w:cs="Arial"/>
                <w:sz w:val="18"/>
                <w:szCs w:val="18"/>
              </w:rPr>
            </w:pPr>
            <w:r w:rsidRPr="00AF1814">
              <w:rPr>
                <w:rFonts w:ascii="Arial" w:hAnsi="Arial" w:cs="Arial"/>
                <w:sz w:val="18"/>
                <w:szCs w:val="18"/>
              </w:rPr>
              <w:t>Tumor tissue collection</w:t>
            </w:r>
          </w:p>
        </w:tc>
        <w:tc>
          <w:tcPr>
            <w:tcW w:w="384" w:type="pct"/>
            <w:tcBorders>
              <w:top w:val="single" w:sz="4" w:space="0" w:color="auto"/>
              <w:left w:val="single" w:sz="4" w:space="0" w:color="auto"/>
              <w:bottom w:val="single" w:sz="4" w:space="0" w:color="auto"/>
              <w:right w:val="single" w:sz="4" w:space="0" w:color="auto"/>
            </w:tcBorders>
            <w:shd w:val="clear" w:color="auto" w:fill="auto"/>
            <w:vAlign w:val="center"/>
          </w:tcPr>
          <w:p w14:paraId="64724151" w14:textId="77777777" w:rsidR="002040E7" w:rsidRPr="00AF1814" w:rsidRDefault="00DA3174" w:rsidP="005C687D">
            <w:pPr>
              <w:spacing w:before="40" w:after="40"/>
              <w:jc w:val="center"/>
              <w:rPr>
                <w:rFonts w:ascii="Arial" w:hAnsi="Arial" w:cs="Arial"/>
                <w:b/>
                <w:bCs/>
                <w:sz w:val="18"/>
                <w:szCs w:val="18"/>
              </w:rPr>
            </w:pPr>
            <w:r w:rsidRPr="00AF1814">
              <w:rPr>
                <w:rFonts w:ascii="Arial" w:hAnsi="Arial" w:cs="Arial"/>
                <w:sz w:val="18"/>
                <w:szCs w:val="18"/>
              </w:rPr>
              <w:t>X</w:t>
            </w:r>
          </w:p>
        </w:tc>
        <w:tc>
          <w:tcPr>
            <w:tcW w:w="2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E40B637" w14:textId="77777777" w:rsidR="002040E7" w:rsidRPr="00AF1814" w:rsidRDefault="002040E7" w:rsidP="005C687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9B2422" w14:textId="77777777" w:rsidR="002040E7" w:rsidRPr="00AF1814" w:rsidRDefault="002040E7" w:rsidP="005C687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1C6297B" w14:textId="77777777" w:rsidR="002040E7" w:rsidRPr="00AF1814" w:rsidRDefault="002040E7" w:rsidP="005C687D">
            <w:pPr>
              <w:spacing w:before="40" w:after="40"/>
              <w:jc w:val="center"/>
              <w:rPr>
                <w:rFonts w:ascii="Arial" w:hAnsi="Arial" w:cs="Arial"/>
                <w:sz w:val="18"/>
                <w:szCs w:val="18"/>
              </w:rPr>
            </w:pPr>
          </w:p>
        </w:tc>
        <w:tc>
          <w:tcPr>
            <w:tcW w:w="2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323A90" w14:textId="77777777" w:rsidR="002040E7" w:rsidRPr="00AF1814" w:rsidRDefault="002040E7" w:rsidP="005C687D">
            <w:pPr>
              <w:spacing w:before="40" w:after="40"/>
              <w:jc w:val="center"/>
              <w:rPr>
                <w:rFonts w:ascii="Arial" w:hAnsi="Arial" w:cs="Arial"/>
                <w:sz w:val="18"/>
                <w:szCs w:val="18"/>
              </w:rPr>
            </w:pP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3FD68DA" w14:textId="77777777" w:rsidR="002040E7" w:rsidRPr="00AF1814" w:rsidRDefault="002040E7" w:rsidP="005C687D">
            <w:pPr>
              <w:spacing w:before="40" w:after="40"/>
              <w:jc w:val="center"/>
              <w:rPr>
                <w:rFonts w:ascii="Arial" w:hAnsi="Arial" w:cs="Arial"/>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AC3210" w14:textId="77777777" w:rsidR="002040E7" w:rsidRPr="00E44F28" w:rsidRDefault="002040E7" w:rsidP="005C687D">
            <w:pPr>
              <w:spacing w:before="40" w:after="40"/>
              <w:jc w:val="center"/>
              <w:rPr>
                <w:rFonts w:ascii="Arial" w:hAnsi="Arial" w:cs="Arial"/>
                <w:sz w:val="18"/>
                <w:szCs w:val="18"/>
              </w:rPr>
            </w:pPr>
          </w:p>
        </w:tc>
        <w:tc>
          <w:tcPr>
            <w:tcW w:w="300" w:type="pct"/>
            <w:tcBorders>
              <w:left w:val="single" w:sz="4" w:space="0" w:color="auto"/>
              <w:right w:val="single" w:sz="4" w:space="0" w:color="auto"/>
            </w:tcBorders>
            <w:shd w:val="clear" w:color="auto" w:fill="BFBFBF" w:themeFill="background1" w:themeFillShade="BF"/>
          </w:tcPr>
          <w:p w14:paraId="38095280" w14:textId="77777777" w:rsidR="002040E7" w:rsidRPr="00E44F28" w:rsidRDefault="002040E7" w:rsidP="005C687D">
            <w:pPr>
              <w:keepLines/>
              <w:spacing w:before="40" w:after="40"/>
              <w:jc w:val="left"/>
              <w:rPr>
                <w:rFonts w:ascii="Arial" w:hAnsi="Arial" w:cs="Arial"/>
                <w:sz w:val="18"/>
                <w:szCs w:val="18"/>
              </w:rPr>
            </w:pPr>
          </w:p>
        </w:tc>
        <w:tc>
          <w:tcPr>
            <w:tcW w:w="663" w:type="pct"/>
            <w:tcBorders>
              <w:left w:val="single" w:sz="4" w:space="0" w:color="auto"/>
              <w:right w:val="single" w:sz="4" w:space="0" w:color="auto"/>
            </w:tcBorders>
            <w:shd w:val="clear" w:color="auto" w:fill="BFBFBF" w:themeFill="background1" w:themeFillShade="BF"/>
          </w:tcPr>
          <w:p w14:paraId="58AEC54D" w14:textId="77777777" w:rsidR="002040E7" w:rsidRPr="00E44F28" w:rsidRDefault="002040E7" w:rsidP="005C687D">
            <w:pPr>
              <w:keepLines/>
              <w:spacing w:before="40" w:after="40"/>
              <w:jc w:val="left"/>
              <w:rPr>
                <w:rFonts w:ascii="Arial" w:hAnsi="Arial" w:cs="Arial"/>
                <w:sz w:val="18"/>
                <w:szCs w:val="18"/>
              </w:rPr>
            </w:pPr>
          </w:p>
        </w:tc>
        <w:tc>
          <w:tcPr>
            <w:tcW w:w="1288" w:type="pct"/>
            <w:gridSpan w:val="2"/>
            <w:tcBorders>
              <w:left w:val="single" w:sz="4" w:space="0" w:color="auto"/>
              <w:right w:val="single" w:sz="4" w:space="0" w:color="auto"/>
            </w:tcBorders>
            <w:shd w:val="clear" w:color="auto" w:fill="FFFFFF" w:themeFill="background1"/>
            <w:vAlign w:val="center"/>
          </w:tcPr>
          <w:p w14:paraId="43D3FBC8" w14:textId="67CCE419" w:rsidR="002040E7" w:rsidRPr="00E44F28" w:rsidRDefault="00DA3174" w:rsidP="005C687D">
            <w:pPr>
              <w:keepLines/>
              <w:spacing w:before="40" w:after="40"/>
              <w:jc w:val="left"/>
              <w:rPr>
                <w:rFonts w:ascii="Arial" w:hAnsi="Arial" w:cs="Arial"/>
                <w:sz w:val="18"/>
                <w:szCs w:val="18"/>
              </w:rPr>
            </w:pPr>
            <w:r w:rsidRPr="00E44F28">
              <w:rPr>
                <w:rFonts w:ascii="Arial" w:hAnsi="Arial" w:cs="Arial"/>
                <w:sz w:val="18"/>
                <w:szCs w:val="18"/>
              </w:rPr>
              <w:t xml:space="preserve">Sample can be archival, newly obtained (preferred) core or excisional biopsy (excluding bone biopsies). See Section </w:t>
            </w:r>
            <w:r w:rsidRPr="00E44F28">
              <w:rPr>
                <w:rFonts w:ascii="Arial" w:hAnsi="Arial" w:cs="Arial"/>
                <w:sz w:val="18"/>
                <w:szCs w:val="18"/>
              </w:rPr>
              <w:fldChar w:fldCharType="begin"/>
            </w:r>
            <w:r w:rsidRPr="00E44F28">
              <w:rPr>
                <w:rFonts w:ascii="Arial" w:hAnsi="Arial" w:cs="Arial"/>
                <w:sz w:val="18"/>
                <w:szCs w:val="18"/>
              </w:rPr>
              <w:instrText xml:space="preserve"> REF _Ref30403423 \r \h  \* MERGEFORMAT </w:instrText>
            </w:r>
            <w:r w:rsidRPr="00E44F28">
              <w:rPr>
                <w:rFonts w:ascii="Arial" w:hAnsi="Arial" w:cs="Arial"/>
                <w:sz w:val="18"/>
                <w:szCs w:val="18"/>
              </w:rPr>
            </w:r>
            <w:r w:rsidRPr="00E44F28">
              <w:rPr>
                <w:rFonts w:ascii="Arial" w:hAnsi="Arial" w:cs="Arial"/>
                <w:sz w:val="18"/>
                <w:szCs w:val="18"/>
              </w:rPr>
              <w:fldChar w:fldCharType="separate"/>
            </w:r>
            <w:r w:rsidR="00C548C3" w:rsidRPr="00E44F28">
              <w:rPr>
                <w:rFonts w:ascii="Arial" w:hAnsi="Arial" w:cs="Arial"/>
                <w:sz w:val="18"/>
                <w:szCs w:val="18"/>
              </w:rPr>
              <w:t>8.8</w:t>
            </w:r>
            <w:r w:rsidRPr="00E44F28">
              <w:rPr>
                <w:rFonts w:ascii="Arial" w:hAnsi="Arial" w:cs="Arial"/>
                <w:sz w:val="18"/>
                <w:szCs w:val="18"/>
              </w:rPr>
              <w:fldChar w:fldCharType="end"/>
            </w:r>
            <w:r w:rsidRPr="00E44F28">
              <w:rPr>
                <w:rFonts w:ascii="Arial" w:hAnsi="Arial" w:cs="Arial"/>
                <w:sz w:val="18"/>
                <w:szCs w:val="18"/>
              </w:rPr>
              <w:t>.</w:t>
            </w:r>
          </w:p>
          <w:p w14:paraId="366EF535" w14:textId="77777777" w:rsidR="002040E7" w:rsidRPr="00E44F28" w:rsidRDefault="00DA3174" w:rsidP="005C687D">
            <w:pPr>
              <w:keepLines/>
              <w:spacing w:before="40" w:after="40"/>
              <w:jc w:val="left"/>
              <w:rPr>
                <w:rFonts w:ascii="Arial" w:hAnsi="Arial" w:cs="Arial"/>
                <w:sz w:val="18"/>
                <w:szCs w:val="18"/>
              </w:rPr>
            </w:pPr>
            <w:r w:rsidRPr="00E44F28">
              <w:rPr>
                <w:rFonts w:ascii="Arial" w:hAnsi="Arial" w:cs="Arial"/>
                <w:sz w:val="18"/>
                <w:szCs w:val="18"/>
              </w:rPr>
              <w:t>Tissue from unscheduled procedures may also be submitted.</w:t>
            </w:r>
          </w:p>
        </w:tc>
      </w:tr>
      <w:tr w:rsidR="002108B2" w:rsidRPr="00AF1814" w14:paraId="6ADD628B" w14:textId="77777777" w:rsidTr="00274652">
        <w:trPr>
          <w:cantSplit/>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7ABCA684" w14:textId="77777777" w:rsidR="002040E7" w:rsidRPr="00AF1814" w:rsidRDefault="00DA3174" w:rsidP="005C687D">
            <w:pPr>
              <w:spacing w:before="40" w:after="40"/>
              <w:jc w:val="left"/>
              <w:rPr>
                <w:rFonts w:ascii="Arial" w:hAnsi="Arial" w:cs="Arial"/>
                <w:b/>
                <w:bCs/>
                <w:sz w:val="18"/>
                <w:szCs w:val="18"/>
              </w:rPr>
            </w:pPr>
            <w:r w:rsidRPr="00AF1814">
              <w:rPr>
                <w:rFonts w:ascii="Arial" w:hAnsi="Arial" w:cs="Arial"/>
                <w:sz w:val="18"/>
                <w:szCs w:val="18"/>
              </w:rPr>
              <w:t>Whole blood for pharmacogenetics (optional)</w:t>
            </w:r>
          </w:p>
        </w:tc>
        <w:tc>
          <w:tcPr>
            <w:tcW w:w="38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4D19D4" w14:textId="77777777" w:rsidR="002040E7" w:rsidRPr="00AF1814" w:rsidRDefault="002040E7" w:rsidP="005C687D">
            <w:pPr>
              <w:spacing w:before="40" w:after="40"/>
              <w:jc w:val="center"/>
              <w:rPr>
                <w:rFonts w:ascii="Arial" w:hAnsi="Arial" w:cs="Arial"/>
                <w:sz w:val="18"/>
                <w:szCs w:val="18"/>
              </w:rPr>
            </w:pPr>
          </w:p>
        </w:tc>
        <w:tc>
          <w:tcPr>
            <w:tcW w:w="277" w:type="pct"/>
            <w:tcBorders>
              <w:top w:val="single" w:sz="4" w:space="0" w:color="auto"/>
              <w:left w:val="single" w:sz="4" w:space="0" w:color="auto"/>
              <w:bottom w:val="single" w:sz="4" w:space="0" w:color="auto"/>
              <w:right w:val="single" w:sz="4" w:space="0" w:color="auto"/>
            </w:tcBorders>
            <w:shd w:val="clear" w:color="auto" w:fill="auto"/>
            <w:vAlign w:val="center"/>
          </w:tcPr>
          <w:p w14:paraId="52E4A7DE"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r w:rsidRPr="00AF1814">
              <w:rPr>
                <w:rFonts w:ascii="Arial" w:hAnsi="Arial" w:cs="Arial"/>
                <w:sz w:val="18"/>
                <w:szCs w:val="18"/>
                <w:vertAlign w:val="superscript"/>
              </w:rPr>
              <w:t>c</w:t>
            </w: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08BEED" w14:textId="77777777" w:rsidR="002040E7" w:rsidRPr="00AF1814" w:rsidRDefault="002040E7" w:rsidP="005C687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914451" w14:textId="77777777" w:rsidR="002040E7" w:rsidRPr="00AF1814" w:rsidRDefault="002040E7" w:rsidP="005C687D">
            <w:pPr>
              <w:spacing w:before="40" w:after="40"/>
              <w:jc w:val="center"/>
              <w:rPr>
                <w:rFonts w:ascii="Arial" w:hAnsi="Arial" w:cs="Arial"/>
                <w:sz w:val="18"/>
                <w:szCs w:val="18"/>
              </w:rPr>
            </w:pPr>
          </w:p>
        </w:tc>
        <w:tc>
          <w:tcPr>
            <w:tcW w:w="2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F6B670" w14:textId="77777777" w:rsidR="002040E7" w:rsidRPr="00AF1814" w:rsidRDefault="002040E7" w:rsidP="005C687D">
            <w:pPr>
              <w:spacing w:before="40" w:after="40"/>
              <w:jc w:val="center"/>
              <w:rPr>
                <w:rFonts w:ascii="Arial" w:hAnsi="Arial" w:cs="Arial"/>
                <w:sz w:val="18"/>
                <w:szCs w:val="18"/>
              </w:rPr>
            </w:pP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DC1A674" w14:textId="77777777" w:rsidR="002040E7" w:rsidRPr="00AF1814" w:rsidRDefault="002040E7" w:rsidP="005C687D">
            <w:pPr>
              <w:spacing w:before="40" w:after="40"/>
              <w:jc w:val="center"/>
              <w:rPr>
                <w:rFonts w:ascii="Arial" w:hAnsi="Arial" w:cs="Arial"/>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1B79B9" w14:textId="77777777" w:rsidR="002040E7" w:rsidRPr="00E44F28" w:rsidRDefault="002040E7" w:rsidP="005C687D">
            <w:pPr>
              <w:spacing w:before="40" w:after="40"/>
              <w:jc w:val="center"/>
              <w:rPr>
                <w:rFonts w:ascii="Arial" w:hAnsi="Arial" w:cs="Arial"/>
                <w:sz w:val="18"/>
                <w:szCs w:val="18"/>
              </w:rPr>
            </w:pPr>
          </w:p>
        </w:tc>
        <w:tc>
          <w:tcPr>
            <w:tcW w:w="300" w:type="pct"/>
            <w:tcBorders>
              <w:left w:val="single" w:sz="4" w:space="0" w:color="auto"/>
              <w:right w:val="single" w:sz="4" w:space="0" w:color="auto"/>
            </w:tcBorders>
            <w:shd w:val="clear" w:color="auto" w:fill="BFBFBF" w:themeFill="background1" w:themeFillShade="BF"/>
          </w:tcPr>
          <w:p w14:paraId="1E196FEC" w14:textId="77777777" w:rsidR="002040E7" w:rsidRPr="00E44F28" w:rsidRDefault="002040E7" w:rsidP="005C687D">
            <w:pPr>
              <w:spacing w:before="40" w:after="40"/>
              <w:jc w:val="left"/>
              <w:rPr>
                <w:rFonts w:ascii="Arial" w:hAnsi="Arial" w:cs="Arial"/>
                <w:sz w:val="18"/>
                <w:szCs w:val="18"/>
              </w:rPr>
            </w:pPr>
          </w:p>
        </w:tc>
        <w:tc>
          <w:tcPr>
            <w:tcW w:w="663" w:type="pct"/>
            <w:tcBorders>
              <w:left w:val="single" w:sz="4" w:space="0" w:color="auto"/>
              <w:right w:val="single" w:sz="4" w:space="0" w:color="auto"/>
            </w:tcBorders>
            <w:shd w:val="clear" w:color="auto" w:fill="BFBFBF" w:themeFill="background1" w:themeFillShade="BF"/>
          </w:tcPr>
          <w:p w14:paraId="50E76FAC" w14:textId="77777777" w:rsidR="002040E7" w:rsidRPr="00E44F28" w:rsidRDefault="002040E7" w:rsidP="005C687D">
            <w:pPr>
              <w:spacing w:before="40" w:after="40"/>
              <w:jc w:val="left"/>
              <w:rPr>
                <w:rFonts w:ascii="Arial" w:hAnsi="Arial" w:cs="Arial"/>
                <w:sz w:val="18"/>
                <w:szCs w:val="18"/>
              </w:rPr>
            </w:pPr>
          </w:p>
        </w:tc>
        <w:tc>
          <w:tcPr>
            <w:tcW w:w="1288" w:type="pct"/>
            <w:gridSpan w:val="2"/>
            <w:tcBorders>
              <w:left w:val="single" w:sz="4" w:space="0" w:color="auto"/>
              <w:right w:val="single" w:sz="4" w:space="0" w:color="auto"/>
            </w:tcBorders>
            <w:shd w:val="clear" w:color="auto" w:fill="FFFFFF" w:themeFill="background1"/>
            <w:vAlign w:val="center"/>
          </w:tcPr>
          <w:p w14:paraId="59B40980" w14:textId="4C9D6A7C" w:rsidR="002040E7" w:rsidRPr="00E44F28" w:rsidRDefault="00DA3174" w:rsidP="005C687D">
            <w:pPr>
              <w:spacing w:before="40" w:after="40"/>
              <w:jc w:val="left"/>
              <w:rPr>
                <w:rFonts w:ascii="Arial" w:hAnsi="Arial" w:cs="Arial"/>
                <w:sz w:val="18"/>
                <w:szCs w:val="18"/>
              </w:rPr>
            </w:pPr>
            <w:r w:rsidRPr="00E44F28">
              <w:rPr>
                <w:rFonts w:ascii="Arial" w:hAnsi="Arial" w:cs="Arial"/>
                <w:sz w:val="18"/>
                <w:szCs w:val="18"/>
              </w:rPr>
              <w:t xml:space="preserve">c: Whole blood sample is optional, participants who provide whole blood sample should sign separate informed consent. If D1 collection is missed, it can be collected at any later time point. See Section </w:t>
            </w:r>
            <w:r w:rsidRPr="00E44F28">
              <w:rPr>
                <w:rFonts w:ascii="Arial" w:hAnsi="Arial" w:cs="Arial"/>
                <w:sz w:val="18"/>
                <w:szCs w:val="18"/>
              </w:rPr>
              <w:fldChar w:fldCharType="begin"/>
            </w:r>
            <w:r w:rsidRPr="00E44F28">
              <w:rPr>
                <w:rFonts w:ascii="Arial" w:hAnsi="Arial" w:cs="Arial"/>
                <w:sz w:val="18"/>
                <w:szCs w:val="18"/>
              </w:rPr>
              <w:instrText xml:space="preserve"> REF _Ref35006347 \w \h  \* MERGEFORMAT </w:instrText>
            </w:r>
            <w:r w:rsidRPr="00E44F28">
              <w:rPr>
                <w:rFonts w:ascii="Arial" w:hAnsi="Arial" w:cs="Arial"/>
                <w:sz w:val="18"/>
                <w:szCs w:val="18"/>
              </w:rPr>
            </w:r>
            <w:r w:rsidRPr="00E44F28">
              <w:rPr>
                <w:rFonts w:ascii="Arial" w:hAnsi="Arial" w:cs="Arial"/>
                <w:sz w:val="18"/>
                <w:szCs w:val="18"/>
              </w:rPr>
              <w:fldChar w:fldCharType="separate"/>
            </w:r>
            <w:r w:rsidR="00C548C3" w:rsidRPr="00E44F28">
              <w:rPr>
                <w:rFonts w:ascii="Arial" w:hAnsi="Arial" w:cs="Arial"/>
                <w:sz w:val="18"/>
                <w:szCs w:val="18"/>
              </w:rPr>
              <w:t>8.7</w:t>
            </w:r>
            <w:r w:rsidRPr="00E44F28">
              <w:rPr>
                <w:rFonts w:ascii="Arial" w:hAnsi="Arial" w:cs="Arial"/>
                <w:sz w:val="18"/>
                <w:szCs w:val="18"/>
              </w:rPr>
              <w:fldChar w:fldCharType="end"/>
            </w:r>
            <w:r w:rsidRPr="00E44F28">
              <w:rPr>
                <w:rFonts w:ascii="Arial" w:hAnsi="Arial" w:cs="Arial"/>
                <w:sz w:val="18"/>
                <w:szCs w:val="18"/>
              </w:rPr>
              <w:t xml:space="preserve">. </w:t>
            </w:r>
          </w:p>
        </w:tc>
      </w:tr>
      <w:tr w:rsidR="002108B2" w:rsidRPr="00AF1814" w14:paraId="3C757221" w14:textId="77777777" w:rsidTr="00274652">
        <w:trPr>
          <w:cantSplit/>
          <w:tblHeader/>
          <w:jc w:val="center"/>
        </w:trPr>
        <w:tc>
          <w:tcPr>
            <w:tcW w:w="631" w:type="pct"/>
            <w:tcBorders>
              <w:top w:val="single" w:sz="4" w:space="0" w:color="auto"/>
              <w:left w:val="single" w:sz="4" w:space="0" w:color="auto"/>
              <w:bottom w:val="single" w:sz="4" w:space="0" w:color="auto"/>
              <w:right w:val="single" w:sz="4" w:space="0" w:color="auto"/>
            </w:tcBorders>
            <w:vAlign w:val="center"/>
          </w:tcPr>
          <w:p w14:paraId="4A1A4FAE" w14:textId="77777777" w:rsidR="002040E7" w:rsidRPr="00AF1814" w:rsidRDefault="00DA3174" w:rsidP="005C687D">
            <w:pPr>
              <w:spacing w:before="40" w:after="40"/>
              <w:jc w:val="left"/>
              <w:rPr>
                <w:rFonts w:ascii="Arial" w:hAnsi="Arial" w:cs="Arial"/>
                <w:sz w:val="18"/>
                <w:szCs w:val="18"/>
              </w:rPr>
            </w:pPr>
            <w:r w:rsidRPr="00AF1814">
              <w:rPr>
                <w:rFonts w:ascii="Arial" w:hAnsi="Arial" w:cs="Arial"/>
                <w:sz w:val="18"/>
                <w:szCs w:val="18"/>
              </w:rPr>
              <w:t>Liquid biopsy (plasma)</w:t>
            </w:r>
          </w:p>
        </w:tc>
        <w:tc>
          <w:tcPr>
            <w:tcW w:w="38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E6F9050" w14:textId="77777777" w:rsidR="002040E7" w:rsidRPr="00AF1814" w:rsidRDefault="002040E7" w:rsidP="005C687D">
            <w:pPr>
              <w:spacing w:before="40" w:after="40"/>
              <w:jc w:val="center"/>
              <w:rPr>
                <w:rFonts w:ascii="Arial" w:hAnsi="Arial" w:cs="Arial"/>
                <w:sz w:val="18"/>
                <w:szCs w:val="18"/>
              </w:rPr>
            </w:pPr>
          </w:p>
        </w:tc>
        <w:tc>
          <w:tcPr>
            <w:tcW w:w="277" w:type="pct"/>
            <w:tcBorders>
              <w:top w:val="single" w:sz="4" w:space="0" w:color="auto"/>
              <w:left w:val="single" w:sz="4" w:space="0" w:color="auto"/>
              <w:bottom w:val="single" w:sz="4" w:space="0" w:color="auto"/>
              <w:right w:val="single" w:sz="4" w:space="0" w:color="auto"/>
            </w:tcBorders>
            <w:shd w:val="clear" w:color="auto" w:fill="auto"/>
            <w:vAlign w:val="center"/>
          </w:tcPr>
          <w:p w14:paraId="49003F8D"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92F30B" w14:textId="77777777" w:rsidR="002040E7" w:rsidRPr="00AF1814" w:rsidRDefault="002040E7" w:rsidP="005C687D">
            <w:pPr>
              <w:spacing w:before="40" w:after="40"/>
              <w:jc w:val="center"/>
              <w:rPr>
                <w:rFonts w:ascii="Arial" w:hAnsi="Arial" w:cs="Arial"/>
                <w:sz w:val="18"/>
                <w:szCs w:val="18"/>
              </w:rPr>
            </w:pPr>
          </w:p>
        </w:tc>
        <w:tc>
          <w:tcPr>
            <w:tcW w:w="2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582B947" w14:textId="77777777" w:rsidR="002040E7" w:rsidRPr="00AF1814" w:rsidRDefault="002040E7" w:rsidP="005C687D">
            <w:pPr>
              <w:spacing w:before="40" w:after="40"/>
              <w:jc w:val="center"/>
              <w:rPr>
                <w:rFonts w:ascii="Arial" w:hAnsi="Arial" w:cs="Arial"/>
                <w:sz w:val="18"/>
                <w:szCs w:val="18"/>
              </w:rPr>
            </w:pPr>
          </w:p>
        </w:tc>
        <w:tc>
          <w:tcPr>
            <w:tcW w:w="295" w:type="pct"/>
            <w:tcBorders>
              <w:top w:val="single" w:sz="4" w:space="0" w:color="auto"/>
              <w:left w:val="single" w:sz="4" w:space="0" w:color="auto"/>
              <w:bottom w:val="single" w:sz="4" w:space="0" w:color="auto"/>
              <w:right w:val="single" w:sz="4" w:space="0" w:color="auto"/>
            </w:tcBorders>
            <w:shd w:val="clear" w:color="auto" w:fill="auto"/>
            <w:vAlign w:val="center"/>
          </w:tcPr>
          <w:p w14:paraId="030A88D3" w14:textId="77777777" w:rsidR="002040E7" w:rsidRPr="00AF1814" w:rsidRDefault="00DA3174" w:rsidP="005C687D">
            <w:pPr>
              <w:spacing w:before="40" w:after="40"/>
              <w:jc w:val="center"/>
              <w:rPr>
                <w:rFonts w:ascii="Arial" w:hAnsi="Arial" w:cs="Arial"/>
                <w:sz w:val="18"/>
                <w:szCs w:val="18"/>
              </w:rPr>
            </w:pPr>
            <w:r w:rsidRPr="00AF1814">
              <w:rPr>
                <w:rFonts w:ascii="Arial" w:hAnsi="Arial" w:cs="Arial"/>
                <w:sz w:val="18"/>
                <w:szCs w:val="18"/>
              </w:rPr>
              <w:t>X</w:t>
            </w:r>
          </w:p>
        </w:tc>
        <w:tc>
          <w:tcPr>
            <w:tcW w:w="2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2FCAB0" w14:textId="77777777" w:rsidR="002040E7" w:rsidRPr="00AF1814" w:rsidRDefault="002040E7" w:rsidP="005C687D">
            <w:pPr>
              <w:spacing w:before="40" w:after="40"/>
              <w:jc w:val="center"/>
              <w:rPr>
                <w:rFonts w:ascii="Arial" w:hAnsi="Arial" w:cs="Arial"/>
                <w:sz w:val="18"/>
                <w:szCs w:val="18"/>
              </w:rPr>
            </w:pPr>
          </w:p>
        </w:tc>
        <w:tc>
          <w:tcPr>
            <w:tcW w:w="29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7F9915" w14:textId="77777777" w:rsidR="002040E7" w:rsidRPr="00AF1814" w:rsidRDefault="002040E7" w:rsidP="005C687D">
            <w:pPr>
              <w:spacing w:before="40" w:after="40"/>
              <w:jc w:val="center"/>
              <w:rPr>
                <w:rFonts w:ascii="Arial" w:hAnsi="Arial" w:cs="Arial"/>
                <w:sz w:val="18"/>
                <w:szCs w:val="18"/>
              </w:rPr>
            </w:pPr>
          </w:p>
        </w:tc>
        <w:tc>
          <w:tcPr>
            <w:tcW w:w="300" w:type="pct"/>
            <w:tcBorders>
              <w:left w:val="single" w:sz="4" w:space="0" w:color="auto"/>
              <w:right w:val="single" w:sz="4" w:space="0" w:color="auto"/>
            </w:tcBorders>
            <w:shd w:val="clear" w:color="auto" w:fill="FFFFFF" w:themeFill="background1"/>
          </w:tcPr>
          <w:p w14:paraId="64208E9F" w14:textId="77777777" w:rsidR="002040E7" w:rsidRPr="00AF1814" w:rsidRDefault="002040E7" w:rsidP="00B33375">
            <w:pPr>
              <w:spacing w:before="40" w:after="40"/>
              <w:jc w:val="center"/>
              <w:rPr>
                <w:rFonts w:ascii="Arial" w:hAnsi="Arial" w:cs="Arial"/>
                <w:sz w:val="18"/>
                <w:szCs w:val="18"/>
              </w:rPr>
            </w:pPr>
          </w:p>
        </w:tc>
        <w:tc>
          <w:tcPr>
            <w:tcW w:w="663" w:type="pct"/>
            <w:tcBorders>
              <w:left w:val="single" w:sz="4" w:space="0" w:color="auto"/>
              <w:right w:val="single" w:sz="4" w:space="0" w:color="auto"/>
            </w:tcBorders>
            <w:shd w:val="clear" w:color="auto" w:fill="FFFFFF" w:themeFill="background1"/>
            <w:vAlign w:val="center"/>
          </w:tcPr>
          <w:p w14:paraId="500C5B5A" w14:textId="77777777" w:rsidR="002040E7" w:rsidRPr="00AF1814" w:rsidRDefault="00DA3174" w:rsidP="00B33375">
            <w:pPr>
              <w:spacing w:before="40" w:after="40"/>
              <w:jc w:val="center"/>
              <w:rPr>
                <w:rFonts w:ascii="Arial" w:hAnsi="Arial" w:cs="Arial"/>
                <w:sz w:val="18"/>
                <w:szCs w:val="18"/>
              </w:rPr>
            </w:pPr>
            <w:r w:rsidRPr="00AF1814">
              <w:rPr>
                <w:rFonts w:ascii="Arial" w:hAnsi="Arial" w:cs="Arial"/>
                <w:sz w:val="18"/>
                <w:szCs w:val="18"/>
              </w:rPr>
              <w:t>X</w:t>
            </w:r>
          </w:p>
        </w:tc>
        <w:tc>
          <w:tcPr>
            <w:tcW w:w="1288" w:type="pct"/>
            <w:gridSpan w:val="2"/>
            <w:tcBorders>
              <w:left w:val="single" w:sz="4" w:space="0" w:color="auto"/>
              <w:right w:val="single" w:sz="4" w:space="0" w:color="auto"/>
            </w:tcBorders>
            <w:shd w:val="clear" w:color="auto" w:fill="FFFFFF" w:themeFill="background1"/>
            <w:vAlign w:val="center"/>
          </w:tcPr>
          <w:p w14:paraId="051973A0" w14:textId="77777777" w:rsidR="002040E7" w:rsidRPr="00AF1814" w:rsidRDefault="00DA3174" w:rsidP="005C687D">
            <w:pPr>
              <w:spacing w:before="40" w:after="40"/>
              <w:jc w:val="left"/>
              <w:rPr>
                <w:rFonts w:ascii="Arial" w:hAnsi="Arial" w:cs="Arial"/>
                <w:sz w:val="18"/>
                <w:szCs w:val="18"/>
              </w:rPr>
            </w:pPr>
            <w:r w:rsidRPr="00AF1814">
              <w:rPr>
                <w:rFonts w:ascii="Arial" w:hAnsi="Arial" w:cs="Arial"/>
                <w:sz w:val="18"/>
                <w:szCs w:val="18"/>
              </w:rPr>
              <w:t>Liquid biopsy (plasma) for genetic profiling should be collected within 2 hours prior to study intervention infusion.</w:t>
            </w:r>
          </w:p>
        </w:tc>
      </w:tr>
      <w:tr w:rsidR="002108B2" w:rsidRPr="00AF1814" w14:paraId="4EF52565" w14:textId="77777777" w:rsidTr="00274652">
        <w:trPr>
          <w:cantSplit/>
          <w:tblHeader/>
          <w:jc w:val="center"/>
        </w:trPr>
        <w:tc>
          <w:tcPr>
            <w:tcW w:w="5000" w:type="pct"/>
            <w:gridSpan w:val="12"/>
            <w:tcBorders>
              <w:top w:val="single" w:sz="4" w:space="0" w:color="auto"/>
              <w:left w:val="single" w:sz="4" w:space="0" w:color="auto"/>
              <w:bottom w:val="single" w:sz="4" w:space="0" w:color="auto"/>
              <w:right w:val="single" w:sz="4" w:space="0" w:color="auto"/>
            </w:tcBorders>
          </w:tcPr>
          <w:p w14:paraId="00A82DE4" w14:textId="77777777" w:rsidR="000F44EB" w:rsidRPr="00AF1814" w:rsidRDefault="00DA3174" w:rsidP="005C687D">
            <w:pPr>
              <w:spacing w:before="40" w:after="40"/>
              <w:jc w:val="left"/>
              <w:rPr>
                <w:rFonts w:ascii="Arial" w:hAnsi="Arial" w:cs="Arial"/>
                <w:sz w:val="18"/>
                <w:szCs w:val="18"/>
              </w:rPr>
            </w:pPr>
            <w:r w:rsidRPr="00AF1814">
              <w:rPr>
                <w:rFonts w:ascii="Arial" w:hAnsi="Arial" w:cs="Arial"/>
                <w:sz w:val="18"/>
                <w:szCs w:val="18"/>
              </w:rPr>
              <w:t>ADA=antidrug antibody, AE=adverse events, β-hCG=β-human chorionic gonadotropin, cCRT=concomitant chemoradiation therapy, CR=complete response, CT=computed tomography,</w:t>
            </w:r>
            <w:r w:rsidRPr="00AF1814">
              <w:rPr>
                <w:rFonts w:ascii="Arial" w:hAnsi="Arial"/>
                <w:sz w:val="18"/>
              </w:rPr>
              <w:t xml:space="preserve"> D=Day,</w:t>
            </w:r>
            <w:r w:rsidRPr="00AF1814">
              <w:rPr>
                <w:rFonts w:ascii="Arial" w:hAnsi="Arial" w:cs="Arial"/>
                <w:sz w:val="18"/>
                <w:szCs w:val="18"/>
              </w:rPr>
              <w:t xml:space="preserve"> ECG=electrocardiogram, ECOG PS=Eastern Cooperative Oncology Group Performance Status, HBV=hepatitis B virus, HCV=hepatitis C virus, HIV=Human immunodeficiency virus, </w:t>
            </w:r>
            <w:r w:rsidRPr="00AF1814">
              <w:rPr>
                <w:rFonts w:ascii="Arial" w:hAnsi="Arial"/>
                <w:sz w:val="18"/>
              </w:rPr>
              <w:t xml:space="preserve">ICF=informed consent form, </w:t>
            </w:r>
            <w:r w:rsidRPr="00AF1814">
              <w:rPr>
                <w:rFonts w:ascii="Arial" w:hAnsi="Arial" w:cs="Arial"/>
                <w:sz w:val="18"/>
                <w:szCs w:val="18"/>
              </w:rPr>
              <w:t>MRI=magnetic resonance imaging, PD=</w:t>
            </w:r>
            <w:r w:rsidRPr="00AF1814">
              <w:rPr>
                <w:rFonts w:ascii="Arial" w:hAnsi="Arial"/>
                <w:sz w:val="18"/>
              </w:rPr>
              <w:t xml:space="preserve">progressive disease, </w:t>
            </w:r>
            <w:r w:rsidRPr="00AF1814">
              <w:rPr>
                <w:rFonts w:ascii="Arial" w:hAnsi="Arial" w:cs="Arial"/>
                <w:sz w:val="18"/>
                <w:szCs w:val="18"/>
              </w:rPr>
              <w:t>PK=pharmacokinetics, PR=partial response, T4=free thyroxine, TSH=thyroid-stimulating hormone, V=visit, W=Week, WOCBP=woman of childbearing potential.</w:t>
            </w:r>
          </w:p>
        </w:tc>
      </w:tr>
    </w:tbl>
    <w:p w14:paraId="2DA87BEB" w14:textId="6B9BB991" w:rsidR="00D124BD" w:rsidRPr="00AF1814" w:rsidRDefault="00DA3174" w:rsidP="003D4EAD">
      <w:pPr>
        <w:pStyle w:val="Caption"/>
        <w:widowControl w:val="0"/>
        <w:ind w:left="0" w:firstLine="0"/>
      </w:pPr>
      <w:bookmarkStart w:id="44" w:name="_Ref31386622"/>
      <w:bookmarkStart w:id="45" w:name="_Toc44601748"/>
      <w:r w:rsidRPr="00AF1814">
        <w:lastRenderedPageBreak/>
        <w:t xml:space="preserve">Table </w:t>
      </w:r>
      <w:r w:rsidR="0093258F" w:rsidRPr="00AF1814">
        <w:fldChar w:fldCharType="begin"/>
      </w:r>
      <w:r w:rsidR="0093258F" w:rsidRPr="00AF1814">
        <w:instrText xml:space="preserve"> SEQ Table \* ARABIC </w:instrText>
      </w:r>
      <w:r w:rsidR="0093258F" w:rsidRPr="00AF1814">
        <w:fldChar w:fldCharType="separate"/>
      </w:r>
      <w:r w:rsidR="00C548C3">
        <w:rPr>
          <w:noProof/>
        </w:rPr>
        <w:t>4</w:t>
      </w:r>
      <w:r w:rsidR="0093258F" w:rsidRPr="00AF1814">
        <w:fldChar w:fldCharType="end"/>
      </w:r>
      <w:bookmarkEnd w:id="44"/>
      <w:r w:rsidRPr="00AF1814">
        <w:tab/>
        <w:t xml:space="preserve">Schedule of </w:t>
      </w:r>
      <w:r w:rsidR="00D13325" w:rsidRPr="00AF1814">
        <w:t>Activities</w:t>
      </w:r>
      <w:r w:rsidRPr="00AF1814">
        <w:t xml:space="preserve"> </w:t>
      </w:r>
      <w:r w:rsidR="002B6AD8" w:rsidRPr="00AF1814">
        <w:t>A</w:t>
      </w:r>
      <w:r w:rsidRPr="00AF1814">
        <w:t>fter cCRT in Cohort 2</w:t>
      </w:r>
      <w:bookmarkEnd w:id="45"/>
    </w:p>
    <w:tbl>
      <w:tblPr>
        <w:tblW w:w="12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312"/>
        <w:gridCol w:w="526"/>
        <w:gridCol w:w="567"/>
        <w:gridCol w:w="567"/>
        <w:gridCol w:w="567"/>
        <w:gridCol w:w="567"/>
        <w:gridCol w:w="567"/>
        <w:gridCol w:w="851"/>
        <w:gridCol w:w="1134"/>
        <w:gridCol w:w="992"/>
        <w:gridCol w:w="1134"/>
        <w:gridCol w:w="1134"/>
        <w:gridCol w:w="3004"/>
      </w:tblGrid>
      <w:tr w:rsidR="002108B2" w:rsidRPr="00AF1814" w14:paraId="6FB5195F" w14:textId="77777777" w:rsidTr="00AD796A">
        <w:trPr>
          <w:cantSplit/>
          <w:tblHeader/>
          <w:jc w:val="center"/>
        </w:trPr>
        <w:tc>
          <w:tcPr>
            <w:tcW w:w="1312" w:type="dxa"/>
            <w:vMerge w:val="restart"/>
            <w:shd w:val="clear" w:color="auto" w:fill="auto"/>
            <w:vAlign w:val="center"/>
            <w:hideMark/>
          </w:tcPr>
          <w:p w14:paraId="33A6BEB6" w14:textId="77777777" w:rsidR="00D124BD" w:rsidRPr="00AF1814" w:rsidRDefault="00DA3174" w:rsidP="003D4EAD">
            <w:pPr>
              <w:keepNext/>
              <w:keepLines/>
              <w:widowControl w:val="0"/>
              <w:spacing w:before="80" w:after="80" w:line="256" w:lineRule="auto"/>
              <w:jc w:val="center"/>
              <w:rPr>
                <w:rFonts w:ascii="Arial" w:eastAsia="Arial" w:hAnsi="Arial" w:cs="Arial"/>
                <w:b/>
                <w:color w:val="365F91" w:themeColor="accent1" w:themeShade="BF"/>
                <w:sz w:val="18"/>
              </w:rPr>
            </w:pPr>
            <w:r w:rsidRPr="00AF1814">
              <w:rPr>
                <w:rFonts w:ascii="Arial" w:hAnsi="Arial" w:cs="Arial"/>
                <w:b/>
                <w:sz w:val="18"/>
                <w:szCs w:val="18"/>
              </w:rPr>
              <w:t>Assessments &amp; Procedures</w:t>
            </w:r>
            <w:r w:rsidR="00B31675" w:rsidRPr="00AF1814">
              <w:rPr>
                <w:rFonts w:ascii="Arial" w:hAnsi="Arial" w:cs="Arial"/>
                <w:b/>
                <w:sz w:val="18"/>
                <w:szCs w:val="18"/>
              </w:rPr>
              <w:t xml:space="preserve"> after cCRT</w:t>
            </w:r>
          </w:p>
        </w:tc>
        <w:tc>
          <w:tcPr>
            <w:tcW w:w="4212" w:type="dxa"/>
            <w:gridSpan w:val="7"/>
            <w:shd w:val="clear" w:color="auto" w:fill="auto"/>
            <w:vAlign w:val="center"/>
            <w:hideMark/>
          </w:tcPr>
          <w:p w14:paraId="1EEF2BE1" w14:textId="77777777" w:rsidR="00D124BD" w:rsidRPr="00AF1814" w:rsidRDefault="00DA3174" w:rsidP="003D4EAD">
            <w:pPr>
              <w:keepNext/>
              <w:keepLines/>
              <w:widowControl w:val="0"/>
              <w:spacing w:before="80" w:after="80"/>
              <w:jc w:val="center"/>
              <w:rPr>
                <w:rFonts w:ascii="Arial" w:eastAsia="Arial" w:hAnsi="Arial" w:cs="Arial"/>
                <w:b/>
                <w:sz w:val="18"/>
              </w:rPr>
            </w:pPr>
            <w:bookmarkStart w:id="46" w:name="_Hlk525829838"/>
            <w:r w:rsidRPr="00AF1814">
              <w:rPr>
                <w:rFonts w:ascii="Arial" w:hAnsi="Arial"/>
                <w:b/>
                <w:sz w:val="18"/>
              </w:rPr>
              <w:t>Intervention Period</w:t>
            </w:r>
            <w:r w:rsidR="00A13C0A" w:rsidRPr="00AF1814">
              <w:rPr>
                <w:rFonts w:ascii="Arial" w:hAnsi="Arial"/>
                <w:b/>
                <w:sz w:val="18"/>
              </w:rPr>
              <w:br/>
            </w:r>
            <w:r w:rsidRPr="00AF1814">
              <w:rPr>
                <w:rFonts w:ascii="Arial" w:hAnsi="Arial"/>
                <w:b/>
                <w:sz w:val="18"/>
              </w:rPr>
              <w:t>after cCRT</w:t>
            </w:r>
            <w:bookmarkEnd w:id="46"/>
            <w:r w:rsidRPr="00AF1814">
              <w:rPr>
                <w:rFonts w:ascii="Arial" w:hAnsi="Arial"/>
                <w:b/>
                <w:sz w:val="18"/>
              </w:rPr>
              <w:br/>
              <w:t>(</w:t>
            </w:r>
            <w:r w:rsidR="008811BD" w:rsidRPr="00AF1814">
              <w:rPr>
                <w:rFonts w:ascii="Arial" w:hAnsi="Arial" w:cs="Arial"/>
                <w:b/>
                <w:sz w:val="18"/>
              </w:rPr>
              <w:t>±</w:t>
            </w:r>
            <w:r w:rsidR="008811BD" w:rsidRPr="00AF1814">
              <w:rPr>
                <w:rFonts w:ascii="Arial" w:hAnsi="Arial"/>
                <w:b/>
                <w:sz w:val="18"/>
              </w:rPr>
              <w:t xml:space="preserve"> </w:t>
            </w:r>
            <w:r w:rsidRPr="00AF1814">
              <w:rPr>
                <w:rFonts w:ascii="Arial" w:hAnsi="Arial"/>
                <w:b/>
                <w:sz w:val="18"/>
              </w:rPr>
              <w:t>3 days)</w:t>
            </w:r>
          </w:p>
        </w:tc>
        <w:tc>
          <w:tcPr>
            <w:tcW w:w="1134" w:type="dxa"/>
            <w:shd w:val="clear" w:color="auto" w:fill="auto"/>
            <w:vAlign w:val="center"/>
            <w:hideMark/>
          </w:tcPr>
          <w:p w14:paraId="58730F75" w14:textId="77777777" w:rsidR="00D124BD"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EoT Visit</w:t>
            </w:r>
          </w:p>
        </w:tc>
        <w:tc>
          <w:tcPr>
            <w:tcW w:w="2126" w:type="dxa"/>
            <w:gridSpan w:val="2"/>
            <w:shd w:val="clear" w:color="auto" w:fill="auto"/>
            <w:vAlign w:val="center"/>
            <w:hideMark/>
          </w:tcPr>
          <w:p w14:paraId="5124E899" w14:textId="77777777" w:rsidR="00D124BD" w:rsidRPr="00AF1814" w:rsidRDefault="00DA3174" w:rsidP="003D4EAD">
            <w:pPr>
              <w:keepNext/>
              <w:keepLines/>
              <w:widowControl w:val="0"/>
              <w:spacing w:before="80" w:after="80" w:line="256" w:lineRule="auto"/>
              <w:jc w:val="center"/>
              <w:rPr>
                <w:rFonts w:ascii="Arial" w:hAnsi="Arial"/>
                <w:b/>
                <w:sz w:val="18"/>
              </w:rPr>
            </w:pPr>
            <w:r w:rsidRPr="00AF1814">
              <w:rPr>
                <w:rFonts w:ascii="Arial" w:hAnsi="Arial"/>
                <w:b/>
                <w:sz w:val="18"/>
              </w:rPr>
              <w:t>Safety Follow-up Visit</w:t>
            </w:r>
          </w:p>
        </w:tc>
        <w:tc>
          <w:tcPr>
            <w:tcW w:w="1134" w:type="dxa"/>
            <w:vAlign w:val="center"/>
          </w:tcPr>
          <w:p w14:paraId="0FFC2168" w14:textId="77777777" w:rsidR="00D124BD" w:rsidRPr="00AF1814" w:rsidRDefault="00DA3174" w:rsidP="003D4EAD">
            <w:pPr>
              <w:keepNext/>
              <w:keepLines/>
              <w:widowControl w:val="0"/>
              <w:spacing w:before="80" w:after="80" w:line="256" w:lineRule="auto"/>
              <w:jc w:val="center"/>
              <w:rPr>
                <w:rFonts w:ascii="Arial" w:hAnsi="Arial"/>
                <w:b/>
                <w:sz w:val="18"/>
              </w:rPr>
            </w:pPr>
            <w:r w:rsidRPr="00AF1814">
              <w:rPr>
                <w:rFonts w:ascii="Arial" w:hAnsi="Arial"/>
                <w:b/>
                <w:sz w:val="18"/>
              </w:rPr>
              <w:t>Long-term Follow-up</w:t>
            </w:r>
          </w:p>
        </w:tc>
        <w:tc>
          <w:tcPr>
            <w:tcW w:w="3004" w:type="dxa"/>
            <w:vMerge w:val="restart"/>
            <w:vAlign w:val="center"/>
          </w:tcPr>
          <w:p w14:paraId="569A54DE" w14:textId="77777777" w:rsidR="00D124BD" w:rsidRPr="00AF1814" w:rsidRDefault="00DA3174" w:rsidP="003D4EAD">
            <w:pPr>
              <w:keepNext/>
              <w:keepLines/>
              <w:widowControl w:val="0"/>
              <w:spacing w:before="80" w:after="80" w:line="256" w:lineRule="auto"/>
              <w:jc w:val="center"/>
              <w:rPr>
                <w:rFonts w:ascii="Arial" w:hAnsi="Arial"/>
                <w:b/>
                <w:sz w:val="18"/>
              </w:rPr>
            </w:pPr>
            <w:r w:rsidRPr="00AF1814">
              <w:rPr>
                <w:rFonts w:ascii="Arial" w:hAnsi="Arial"/>
                <w:b/>
                <w:sz w:val="18"/>
              </w:rPr>
              <w:t>Notes</w:t>
            </w:r>
          </w:p>
          <w:p w14:paraId="79B6AA6D" w14:textId="186656F5" w:rsidR="00D124BD" w:rsidRPr="00AF1814" w:rsidRDefault="00DA3174" w:rsidP="003D4EAD">
            <w:pPr>
              <w:keepNext/>
              <w:keepLines/>
              <w:widowControl w:val="0"/>
              <w:spacing w:before="80" w:after="80" w:line="256" w:lineRule="auto"/>
              <w:rPr>
                <w:rFonts w:ascii="Arial" w:hAnsi="Arial"/>
                <w:b/>
                <w:sz w:val="18"/>
              </w:rPr>
            </w:pPr>
            <w:r w:rsidRPr="00AF1814">
              <w:rPr>
                <w:rFonts w:ascii="Arial" w:eastAsia="Calibri" w:hAnsi="Arial" w:cs="Arial"/>
                <w:sz w:val="18"/>
                <w:szCs w:val="18"/>
              </w:rPr>
              <w:t xml:space="preserve">Overlapping assessments at the </w:t>
            </w:r>
            <w:r w:rsidR="00470DAD" w:rsidRPr="00AF1814">
              <w:rPr>
                <w:rFonts w:ascii="Arial" w:eastAsia="Calibri" w:hAnsi="Arial" w:cs="Arial"/>
                <w:sz w:val="18"/>
                <w:szCs w:val="18"/>
              </w:rPr>
              <w:t>E</w:t>
            </w:r>
            <w:r w:rsidRPr="00AF1814">
              <w:rPr>
                <w:rFonts w:ascii="Arial" w:eastAsia="Calibri" w:hAnsi="Arial" w:cs="Arial"/>
                <w:sz w:val="18"/>
                <w:szCs w:val="18"/>
              </w:rPr>
              <w:t xml:space="preserve">nd-of-cCRT </w:t>
            </w:r>
            <w:r w:rsidR="007B38F5">
              <w:rPr>
                <w:rFonts w:ascii="Arial" w:eastAsia="Calibri" w:hAnsi="Arial" w:cs="Arial"/>
                <w:sz w:val="18"/>
                <w:szCs w:val="18"/>
              </w:rPr>
              <w:t>V</w:t>
            </w:r>
            <w:r w:rsidRPr="00AF1814">
              <w:rPr>
                <w:rFonts w:ascii="Arial" w:eastAsia="Calibri" w:hAnsi="Arial" w:cs="Arial"/>
                <w:sz w:val="18"/>
                <w:szCs w:val="18"/>
              </w:rPr>
              <w:t xml:space="preserve">isit and the </w:t>
            </w:r>
            <w:r w:rsidR="002B6AD8" w:rsidRPr="00AF1814">
              <w:rPr>
                <w:rFonts w:ascii="Arial" w:eastAsia="Calibri" w:hAnsi="Arial" w:cs="Arial"/>
                <w:sz w:val="18"/>
                <w:szCs w:val="18"/>
              </w:rPr>
              <w:t>first</w:t>
            </w:r>
            <w:r w:rsidRPr="00AF1814">
              <w:rPr>
                <w:rFonts w:ascii="Arial" w:eastAsia="Calibri" w:hAnsi="Arial" w:cs="Arial"/>
                <w:sz w:val="18"/>
                <w:szCs w:val="18"/>
              </w:rPr>
              <w:t xml:space="preserve"> visit in maintenance only need to be performed once. </w:t>
            </w:r>
          </w:p>
        </w:tc>
      </w:tr>
      <w:tr w:rsidR="002108B2" w:rsidRPr="00AF1814" w14:paraId="0C3CD37E" w14:textId="77777777" w:rsidTr="00AD796A">
        <w:trPr>
          <w:cantSplit/>
          <w:tblHeader/>
          <w:jc w:val="center"/>
        </w:trPr>
        <w:tc>
          <w:tcPr>
            <w:tcW w:w="1312" w:type="dxa"/>
            <w:vMerge/>
            <w:shd w:val="clear" w:color="auto" w:fill="auto"/>
            <w:vAlign w:val="center"/>
            <w:hideMark/>
          </w:tcPr>
          <w:p w14:paraId="119B426F"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c>
          <w:tcPr>
            <w:tcW w:w="526" w:type="dxa"/>
            <w:shd w:val="clear" w:color="auto" w:fill="auto"/>
            <w:vAlign w:val="center"/>
          </w:tcPr>
          <w:p w14:paraId="0C50459D"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V8</w:t>
            </w:r>
          </w:p>
        </w:tc>
        <w:tc>
          <w:tcPr>
            <w:tcW w:w="567" w:type="dxa"/>
            <w:shd w:val="clear" w:color="auto" w:fill="auto"/>
            <w:vAlign w:val="center"/>
            <w:hideMark/>
          </w:tcPr>
          <w:p w14:paraId="7E8B4EBB"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V9</w:t>
            </w:r>
          </w:p>
        </w:tc>
        <w:tc>
          <w:tcPr>
            <w:tcW w:w="567" w:type="dxa"/>
            <w:shd w:val="clear" w:color="auto" w:fill="auto"/>
            <w:vAlign w:val="center"/>
            <w:hideMark/>
          </w:tcPr>
          <w:p w14:paraId="41584CB3"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V10</w:t>
            </w:r>
          </w:p>
        </w:tc>
        <w:tc>
          <w:tcPr>
            <w:tcW w:w="567" w:type="dxa"/>
            <w:shd w:val="clear" w:color="auto" w:fill="auto"/>
            <w:vAlign w:val="center"/>
            <w:hideMark/>
          </w:tcPr>
          <w:p w14:paraId="7383571A"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V11</w:t>
            </w:r>
          </w:p>
        </w:tc>
        <w:tc>
          <w:tcPr>
            <w:tcW w:w="567" w:type="dxa"/>
            <w:shd w:val="clear" w:color="auto" w:fill="auto"/>
            <w:vAlign w:val="center"/>
            <w:hideMark/>
          </w:tcPr>
          <w:p w14:paraId="10B165C0"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V12</w:t>
            </w:r>
          </w:p>
        </w:tc>
        <w:tc>
          <w:tcPr>
            <w:tcW w:w="567" w:type="dxa"/>
            <w:shd w:val="clear" w:color="auto" w:fill="auto"/>
            <w:vAlign w:val="center"/>
            <w:hideMark/>
          </w:tcPr>
          <w:p w14:paraId="00994069"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V13</w:t>
            </w:r>
          </w:p>
        </w:tc>
        <w:tc>
          <w:tcPr>
            <w:tcW w:w="851" w:type="dxa"/>
            <w:vMerge w:val="restart"/>
            <w:shd w:val="clear" w:color="auto" w:fill="auto"/>
            <w:vAlign w:val="center"/>
            <w:hideMark/>
          </w:tcPr>
          <w:p w14:paraId="12489E77"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 xml:space="preserve">Until </w:t>
            </w:r>
            <w:r w:rsidRPr="00AF1814">
              <w:br/>
            </w:r>
            <w:r w:rsidRPr="00AF1814">
              <w:rPr>
                <w:rFonts w:ascii="Arial" w:hAnsi="Arial"/>
                <w:b/>
                <w:sz w:val="18"/>
              </w:rPr>
              <w:t>EoT</w:t>
            </w:r>
          </w:p>
        </w:tc>
        <w:tc>
          <w:tcPr>
            <w:tcW w:w="1134" w:type="dxa"/>
            <w:vMerge w:val="restart"/>
            <w:shd w:val="clear" w:color="auto" w:fill="auto"/>
            <w:vAlign w:val="center"/>
            <w:hideMark/>
          </w:tcPr>
          <w:p w14:paraId="06F3F60E"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 xml:space="preserve">On the Day of or Within 7 Days of Decision </w:t>
            </w:r>
          </w:p>
        </w:tc>
        <w:tc>
          <w:tcPr>
            <w:tcW w:w="992" w:type="dxa"/>
            <w:vMerge w:val="restart"/>
            <w:shd w:val="clear" w:color="auto" w:fill="auto"/>
            <w:vAlign w:val="center"/>
            <w:hideMark/>
          </w:tcPr>
          <w:p w14:paraId="58332641" w14:textId="77777777" w:rsidR="00AD796A" w:rsidRPr="00AF1814" w:rsidRDefault="00DA3174" w:rsidP="003D4EAD">
            <w:pPr>
              <w:keepNext/>
              <w:keepLines/>
              <w:widowControl w:val="0"/>
              <w:spacing w:before="0" w:line="256" w:lineRule="auto"/>
              <w:jc w:val="center"/>
              <w:rPr>
                <w:rFonts w:ascii="Arial" w:eastAsia="Arial" w:hAnsi="Arial" w:cs="Arial"/>
                <w:b/>
                <w:sz w:val="18"/>
              </w:rPr>
            </w:pPr>
            <w:r w:rsidRPr="00AF1814">
              <w:rPr>
                <w:rFonts w:ascii="Arial" w:hAnsi="Arial"/>
                <w:b/>
                <w:sz w:val="18"/>
              </w:rPr>
              <w:t xml:space="preserve">28 Days </w:t>
            </w:r>
            <w:r w:rsidRPr="00AF1814">
              <w:rPr>
                <w:rFonts w:ascii="Arial" w:hAnsi="Arial"/>
                <w:b/>
                <w:sz w:val="18"/>
              </w:rPr>
              <w:br/>
              <w:t>(± 5 days) after Last Treatment</w:t>
            </w:r>
          </w:p>
        </w:tc>
        <w:tc>
          <w:tcPr>
            <w:tcW w:w="1134" w:type="dxa"/>
            <w:vMerge w:val="restart"/>
            <w:vAlign w:val="center"/>
          </w:tcPr>
          <w:p w14:paraId="3D4F5F6C" w14:textId="77777777" w:rsidR="00AD796A" w:rsidRPr="00AF1814" w:rsidRDefault="00DA3174" w:rsidP="003D4EAD">
            <w:pPr>
              <w:keepNext/>
              <w:keepLines/>
              <w:widowControl w:val="0"/>
              <w:spacing w:before="0" w:line="256" w:lineRule="auto"/>
              <w:jc w:val="center"/>
              <w:rPr>
                <w:rFonts w:ascii="Arial" w:eastAsia="Arial" w:hAnsi="Arial" w:cs="Arial"/>
                <w:b/>
                <w:sz w:val="18"/>
              </w:rPr>
            </w:pPr>
            <w:r w:rsidRPr="00AF1814">
              <w:rPr>
                <w:rFonts w:ascii="Arial" w:hAnsi="Arial"/>
                <w:b/>
                <w:sz w:val="18"/>
              </w:rPr>
              <w:t xml:space="preserve">12 Weeks </w:t>
            </w:r>
            <w:r w:rsidRPr="00AF1814">
              <w:rPr>
                <w:rFonts w:ascii="Arial" w:hAnsi="Arial"/>
                <w:b/>
                <w:sz w:val="18"/>
              </w:rPr>
              <w:br/>
              <w:t>(± 2 weeks) after Last Treatment</w:t>
            </w:r>
          </w:p>
        </w:tc>
        <w:tc>
          <w:tcPr>
            <w:tcW w:w="1134" w:type="dxa"/>
            <w:vMerge w:val="restart"/>
            <w:vAlign w:val="center"/>
          </w:tcPr>
          <w:p w14:paraId="290C7F43" w14:textId="77777777" w:rsidR="00AD796A" w:rsidRPr="00AF1814" w:rsidRDefault="00DA3174" w:rsidP="003D4EAD">
            <w:pPr>
              <w:keepNext/>
              <w:keepLines/>
              <w:widowControl w:val="0"/>
              <w:spacing w:before="0" w:line="256" w:lineRule="auto"/>
              <w:jc w:val="center"/>
              <w:rPr>
                <w:rFonts w:ascii="Arial" w:eastAsia="Arial" w:hAnsi="Arial" w:cs="Arial"/>
                <w:b/>
                <w:sz w:val="18"/>
              </w:rPr>
            </w:pPr>
            <w:r w:rsidRPr="00AF1814">
              <w:rPr>
                <w:rFonts w:ascii="Arial" w:hAnsi="Arial"/>
                <w:b/>
                <w:sz w:val="18"/>
              </w:rPr>
              <w:t xml:space="preserve">Every </w:t>
            </w:r>
            <w:r w:rsidRPr="00AF1814">
              <w:rPr>
                <w:rFonts w:ascii="Arial" w:hAnsi="Arial"/>
                <w:b/>
                <w:sz w:val="18"/>
              </w:rPr>
              <w:br/>
              <w:t>12 weeks</w:t>
            </w:r>
            <w:r w:rsidRPr="00AF1814">
              <w:rPr>
                <w:rFonts w:ascii="Arial" w:hAnsi="Arial"/>
                <w:b/>
                <w:sz w:val="18"/>
              </w:rPr>
              <w:br/>
              <w:t>(± 2 weeks</w:t>
            </w:r>
            <w:r w:rsidRPr="00AF1814">
              <w:rPr>
                <w:rFonts w:ascii="Arial" w:eastAsia="Arial" w:hAnsi="Arial" w:cs="Arial"/>
                <w:b/>
                <w:sz w:val="18"/>
              </w:rPr>
              <w:t>)</w:t>
            </w:r>
          </w:p>
        </w:tc>
        <w:tc>
          <w:tcPr>
            <w:tcW w:w="3004" w:type="dxa"/>
            <w:vMerge/>
          </w:tcPr>
          <w:p w14:paraId="5F7AFCB0"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r>
      <w:tr w:rsidR="002108B2" w:rsidRPr="00AF1814" w14:paraId="47B81EE6" w14:textId="77777777" w:rsidTr="00AD796A">
        <w:trPr>
          <w:cantSplit/>
          <w:tblHeader/>
          <w:jc w:val="center"/>
        </w:trPr>
        <w:tc>
          <w:tcPr>
            <w:tcW w:w="1312" w:type="dxa"/>
            <w:vMerge/>
            <w:shd w:val="clear" w:color="auto" w:fill="auto"/>
            <w:vAlign w:val="center"/>
            <w:hideMark/>
          </w:tcPr>
          <w:p w14:paraId="148A3D4D"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c>
          <w:tcPr>
            <w:tcW w:w="526" w:type="dxa"/>
            <w:shd w:val="clear" w:color="auto" w:fill="auto"/>
            <w:vAlign w:val="center"/>
          </w:tcPr>
          <w:p w14:paraId="165E731D"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W10</w:t>
            </w:r>
          </w:p>
        </w:tc>
        <w:tc>
          <w:tcPr>
            <w:tcW w:w="567" w:type="dxa"/>
            <w:shd w:val="clear" w:color="auto" w:fill="auto"/>
            <w:vAlign w:val="center"/>
            <w:hideMark/>
          </w:tcPr>
          <w:p w14:paraId="4072E598"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W13</w:t>
            </w:r>
          </w:p>
        </w:tc>
        <w:tc>
          <w:tcPr>
            <w:tcW w:w="567" w:type="dxa"/>
            <w:shd w:val="clear" w:color="auto" w:fill="auto"/>
            <w:vAlign w:val="center"/>
            <w:hideMark/>
          </w:tcPr>
          <w:p w14:paraId="12DECBB1"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W16</w:t>
            </w:r>
          </w:p>
        </w:tc>
        <w:tc>
          <w:tcPr>
            <w:tcW w:w="567" w:type="dxa"/>
            <w:shd w:val="clear" w:color="auto" w:fill="auto"/>
            <w:vAlign w:val="center"/>
            <w:hideMark/>
          </w:tcPr>
          <w:p w14:paraId="0839061E"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W19</w:t>
            </w:r>
          </w:p>
        </w:tc>
        <w:tc>
          <w:tcPr>
            <w:tcW w:w="567" w:type="dxa"/>
            <w:shd w:val="clear" w:color="auto" w:fill="auto"/>
            <w:vAlign w:val="center"/>
            <w:hideMark/>
          </w:tcPr>
          <w:p w14:paraId="0EAC64F3"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W22</w:t>
            </w:r>
          </w:p>
        </w:tc>
        <w:tc>
          <w:tcPr>
            <w:tcW w:w="567" w:type="dxa"/>
            <w:shd w:val="clear" w:color="auto" w:fill="auto"/>
            <w:vAlign w:val="center"/>
            <w:hideMark/>
          </w:tcPr>
          <w:p w14:paraId="06A96CA9"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W25</w:t>
            </w:r>
          </w:p>
        </w:tc>
        <w:tc>
          <w:tcPr>
            <w:tcW w:w="851" w:type="dxa"/>
            <w:vMerge/>
            <w:shd w:val="clear" w:color="auto" w:fill="auto"/>
            <w:vAlign w:val="center"/>
            <w:hideMark/>
          </w:tcPr>
          <w:p w14:paraId="2CBA5395"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c>
          <w:tcPr>
            <w:tcW w:w="1134" w:type="dxa"/>
            <w:vMerge/>
            <w:shd w:val="clear" w:color="auto" w:fill="auto"/>
            <w:vAlign w:val="center"/>
            <w:hideMark/>
          </w:tcPr>
          <w:p w14:paraId="032539D9"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c>
          <w:tcPr>
            <w:tcW w:w="992" w:type="dxa"/>
            <w:vMerge/>
            <w:shd w:val="clear" w:color="auto" w:fill="auto"/>
            <w:vAlign w:val="center"/>
            <w:hideMark/>
          </w:tcPr>
          <w:p w14:paraId="4628EE95"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c>
          <w:tcPr>
            <w:tcW w:w="1134" w:type="dxa"/>
            <w:vMerge/>
          </w:tcPr>
          <w:p w14:paraId="2B559F2D"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c>
          <w:tcPr>
            <w:tcW w:w="1134" w:type="dxa"/>
            <w:vMerge/>
          </w:tcPr>
          <w:p w14:paraId="0EC8520C"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c>
          <w:tcPr>
            <w:tcW w:w="3004" w:type="dxa"/>
            <w:vMerge/>
          </w:tcPr>
          <w:p w14:paraId="360061E3"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r>
      <w:tr w:rsidR="002108B2" w:rsidRPr="00AF1814" w14:paraId="26F3A0B4" w14:textId="77777777" w:rsidTr="00AD796A">
        <w:trPr>
          <w:cantSplit/>
          <w:tblHeader/>
          <w:jc w:val="center"/>
        </w:trPr>
        <w:tc>
          <w:tcPr>
            <w:tcW w:w="1312" w:type="dxa"/>
            <w:vMerge/>
            <w:shd w:val="clear" w:color="auto" w:fill="auto"/>
            <w:vAlign w:val="center"/>
            <w:hideMark/>
          </w:tcPr>
          <w:p w14:paraId="7D864ACC"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c>
          <w:tcPr>
            <w:tcW w:w="526" w:type="dxa"/>
            <w:shd w:val="clear" w:color="auto" w:fill="auto"/>
            <w:vAlign w:val="center"/>
          </w:tcPr>
          <w:p w14:paraId="23F06DDF"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D64</w:t>
            </w:r>
          </w:p>
        </w:tc>
        <w:tc>
          <w:tcPr>
            <w:tcW w:w="567" w:type="dxa"/>
            <w:shd w:val="clear" w:color="auto" w:fill="auto"/>
            <w:vAlign w:val="center"/>
            <w:hideMark/>
          </w:tcPr>
          <w:p w14:paraId="59B3BDEE"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D85</w:t>
            </w:r>
          </w:p>
        </w:tc>
        <w:tc>
          <w:tcPr>
            <w:tcW w:w="567" w:type="dxa"/>
            <w:shd w:val="clear" w:color="auto" w:fill="auto"/>
            <w:vAlign w:val="center"/>
            <w:hideMark/>
          </w:tcPr>
          <w:p w14:paraId="5F8A3CF5"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D106</w:t>
            </w:r>
          </w:p>
        </w:tc>
        <w:tc>
          <w:tcPr>
            <w:tcW w:w="567" w:type="dxa"/>
            <w:shd w:val="clear" w:color="auto" w:fill="auto"/>
            <w:vAlign w:val="center"/>
            <w:hideMark/>
          </w:tcPr>
          <w:p w14:paraId="5551799D"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D127</w:t>
            </w:r>
          </w:p>
        </w:tc>
        <w:tc>
          <w:tcPr>
            <w:tcW w:w="567" w:type="dxa"/>
            <w:shd w:val="clear" w:color="auto" w:fill="auto"/>
            <w:vAlign w:val="center"/>
            <w:hideMark/>
          </w:tcPr>
          <w:p w14:paraId="31B36A7B"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D148</w:t>
            </w:r>
          </w:p>
        </w:tc>
        <w:tc>
          <w:tcPr>
            <w:tcW w:w="567" w:type="dxa"/>
            <w:shd w:val="clear" w:color="auto" w:fill="auto"/>
            <w:vAlign w:val="center"/>
            <w:hideMark/>
          </w:tcPr>
          <w:p w14:paraId="4B08C07B" w14:textId="77777777" w:rsidR="00AD796A" w:rsidRPr="00AF1814" w:rsidRDefault="00DA3174" w:rsidP="003D4EAD">
            <w:pPr>
              <w:keepNext/>
              <w:keepLines/>
              <w:widowControl w:val="0"/>
              <w:spacing w:before="80" w:after="80" w:line="256" w:lineRule="auto"/>
              <w:jc w:val="center"/>
              <w:rPr>
                <w:rFonts w:ascii="Arial" w:eastAsia="Arial" w:hAnsi="Arial" w:cs="Arial"/>
                <w:b/>
                <w:sz w:val="18"/>
              </w:rPr>
            </w:pPr>
            <w:r w:rsidRPr="00AF1814">
              <w:rPr>
                <w:rFonts w:ascii="Arial" w:hAnsi="Arial"/>
                <w:b/>
                <w:sz w:val="18"/>
              </w:rPr>
              <w:t>D169</w:t>
            </w:r>
          </w:p>
        </w:tc>
        <w:tc>
          <w:tcPr>
            <w:tcW w:w="851" w:type="dxa"/>
            <w:vMerge/>
            <w:shd w:val="clear" w:color="auto" w:fill="auto"/>
            <w:vAlign w:val="center"/>
            <w:hideMark/>
          </w:tcPr>
          <w:p w14:paraId="29CD19AF"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c>
          <w:tcPr>
            <w:tcW w:w="1134" w:type="dxa"/>
            <w:vMerge/>
            <w:shd w:val="clear" w:color="auto" w:fill="auto"/>
            <w:vAlign w:val="center"/>
            <w:hideMark/>
          </w:tcPr>
          <w:p w14:paraId="3C5F10BD"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c>
          <w:tcPr>
            <w:tcW w:w="992" w:type="dxa"/>
            <w:vMerge/>
            <w:shd w:val="clear" w:color="auto" w:fill="auto"/>
            <w:vAlign w:val="center"/>
            <w:hideMark/>
          </w:tcPr>
          <w:p w14:paraId="2611E50C"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c>
          <w:tcPr>
            <w:tcW w:w="1134" w:type="dxa"/>
            <w:vMerge/>
          </w:tcPr>
          <w:p w14:paraId="178CD4A7"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c>
          <w:tcPr>
            <w:tcW w:w="1134" w:type="dxa"/>
            <w:vMerge/>
          </w:tcPr>
          <w:p w14:paraId="10C6D599"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c>
          <w:tcPr>
            <w:tcW w:w="3004" w:type="dxa"/>
            <w:vMerge/>
          </w:tcPr>
          <w:p w14:paraId="36FD1AA3" w14:textId="77777777" w:rsidR="00AD796A" w:rsidRPr="00AF1814" w:rsidRDefault="00AD796A" w:rsidP="003D4EAD">
            <w:pPr>
              <w:keepNext/>
              <w:keepLines/>
              <w:widowControl w:val="0"/>
              <w:spacing w:before="0" w:line="256" w:lineRule="auto"/>
              <w:jc w:val="left"/>
              <w:rPr>
                <w:rFonts w:ascii="Arial" w:eastAsia="Arial" w:hAnsi="Arial" w:cs="Arial"/>
                <w:b/>
                <w:color w:val="365F91" w:themeColor="accent1" w:themeShade="BF"/>
                <w:sz w:val="18"/>
              </w:rPr>
            </w:pPr>
          </w:p>
        </w:tc>
      </w:tr>
      <w:tr w:rsidR="002108B2" w:rsidRPr="00AF1814" w14:paraId="32DDC067" w14:textId="77777777" w:rsidTr="00F538BA">
        <w:trPr>
          <w:cantSplit/>
          <w:jc w:val="center"/>
        </w:trPr>
        <w:tc>
          <w:tcPr>
            <w:tcW w:w="12922" w:type="dxa"/>
            <w:gridSpan w:val="13"/>
            <w:shd w:val="clear" w:color="auto" w:fill="auto"/>
            <w:vAlign w:val="center"/>
            <w:hideMark/>
          </w:tcPr>
          <w:p w14:paraId="6B68E9C9" w14:textId="77777777" w:rsidR="00D124BD" w:rsidRPr="00AF1814" w:rsidRDefault="00DA3174" w:rsidP="003D4EAD">
            <w:pPr>
              <w:keepNext/>
              <w:keepLines/>
              <w:widowControl w:val="0"/>
              <w:spacing w:before="80" w:after="80" w:line="256" w:lineRule="auto"/>
              <w:jc w:val="center"/>
              <w:rPr>
                <w:rFonts w:ascii="Arial" w:hAnsi="Arial"/>
                <w:b/>
                <w:sz w:val="18"/>
              </w:rPr>
            </w:pPr>
            <w:r w:rsidRPr="00AF1814">
              <w:rPr>
                <w:rFonts w:ascii="Arial" w:hAnsi="Arial"/>
                <w:b/>
                <w:sz w:val="18"/>
              </w:rPr>
              <w:t>Administrative Procedures</w:t>
            </w:r>
          </w:p>
        </w:tc>
      </w:tr>
      <w:tr w:rsidR="002108B2" w:rsidRPr="00AF1814" w14:paraId="34F9545B" w14:textId="77777777" w:rsidTr="00AD796A">
        <w:trPr>
          <w:cantSplit/>
          <w:jc w:val="center"/>
        </w:trPr>
        <w:tc>
          <w:tcPr>
            <w:tcW w:w="1312" w:type="dxa"/>
            <w:shd w:val="clear" w:color="auto" w:fill="auto"/>
            <w:vAlign w:val="center"/>
            <w:hideMark/>
          </w:tcPr>
          <w:p w14:paraId="002AF6FB" w14:textId="77777777" w:rsidR="00AD796A" w:rsidRPr="00AF1814" w:rsidRDefault="00DA3174" w:rsidP="003D4EAD">
            <w:pPr>
              <w:keepNext/>
              <w:keepLines/>
              <w:widowControl w:val="0"/>
              <w:spacing w:before="40" w:after="40" w:line="256" w:lineRule="auto"/>
              <w:jc w:val="left"/>
              <w:rPr>
                <w:rFonts w:ascii="Arial" w:eastAsia="Arial" w:hAnsi="Arial" w:cs="Arial"/>
                <w:sz w:val="18"/>
              </w:rPr>
            </w:pPr>
            <w:r w:rsidRPr="00AF1814">
              <w:rPr>
                <w:rFonts w:ascii="Arial" w:hAnsi="Arial"/>
                <w:sz w:val="18"/>
              </w:rPr>
              <w:t>Documentation of concomitant medication and procedures</w:t>
            </w:r>
          </w:p>
        </w:tc>
        <w:tc>
          <w:tcPr>
            <w:tcW w:w="526" w:type="dxa"/>
            <w:shd w:val="clear" w:color="auto" w:fill="FFFFFF" w:themeFill="background1"/>
            <w:vAlign w:val="center"/>
            <w:hideMark/>
          </w:tcPr>
          <w:p w14:paraId="0B519A35" w14:textId="77777777" w:rsidR="00AD796A" w:rsidRPr="00AF1814" w:rsidRDefault="00DA3174" w:rsidP="003D4EAD">
            <w:pPr>
              <w:keepNext/>
              <w:keepLines/>
              <w:widowControl w:val="0"/>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shd w:val="clear" w:color="auto" w:fill="auto"/>
            <w:vAlign w:val="center"/>
            <w:hideMark/>
          </w:tcPr>
          <w:p w14:paraId="54959E5F" w14:textId="77777777" w:rsidR="00AD796A" w:rsidRPr="00AF1814" w:rsidRDefault="00DA3174" w:rsidP="003D4EAD">
            <w:pPr>
              <w:keepNext/>
              <w:keepLines/>
              <w:widowControl w:val="0"/>
              <w:spacing w:before="40" w:after="40" w:line="256" w:lineRule="auto"/>
              <w:jc w:val="center"/>
              <w:rPr>
                <w:rFonts w:ascii="Arial" w:eastAsia="Arial" w:hAnsi="Arial" w:cs="Arial"/>
                <w:sz w:val="18"/>
              </w:rPr>
            </w:pPr>
            <w:r w:rsidRPr="00AF1814">
              <w:rPr>
                <w:rFonts w:ascii="Arial" w:hAnsi="Arial"/>
                <w:sz w:val="18"/>
              </w:rPr>
              <w:t>X</w:t>
            </w:r>
          </w:p>
        </w:tc>
        <w:tc>
          <w:tcPr>
            <w:tcW w:w="567" w:type="dxa"/>
            <w:shd w:val="clear" w:color="auto" w:fill="auto"/>
            <w:vAlign w:val="center"/>
            <w:hideMark/>
          </w:tcPr>
          <w:p w14:paraId="0AE996CB" w14:textId="77777777" w:rsidR="00AD796A" w:rsidRPr="00AF1814" w:rsidRDefault="00DA3174" w:rsidP="003D4EAD">
            <w:pPr>
              <w:keepNext/>
              <w:keepLines/>
              <w:widowControl w:val="0"/>
              <w:spacing w:before="40" w:after="40" w:line="256" w:lineRule="auto"/>
              <w:jc w:val="center"/>
              <w:rPr>
                <w:rFonts w:ascii="Arial" w:eastAsia="Arial" w:hAnsi="Arial" w:cs="Arial"/>
                <w:sz w:val="18"/>
              </w:rPr>
            </w:pPr>
            <w:r w:rsidRPr="00AF1814">
              <w:rPr>
                <w:rFonts w:ascii="Arial" w:hAnsi="Arial"/>
                <w:sz w:val="18"/>
              </w:rPr>
              <w:t>X</w:t>
            </w:r>
          </w:p>
        </w:tc>
        <w:tc>
          <w:tcPr>
            <w:tcW w:w="567" w:type="dxa"/>
            <w:shd w:val="clear" w:color="auto" w:fill="auto"/>
            <w:vAlign w:val="center"/>
            <w:hideMark/>
          </w:tcPr>
          <w:p w14:paraId="3E4AB0B4" w14:textId="77777777" w:rsidR="00AD796A" w:rsidRPr="00AF1814" w:rsidRDefault="00DA3174" w:rsidP="003D4EAD">
            <w:pPr>
              <w:keepNext/>
              <w:keepLines/>
              <w:widowControl w:val="0"/>
              <w:spacing w:before="40" w:after="40" w:line="256" w:lineRule="auto"/>
              <w:jc w:val="center"/>
              <w:rPr>
                <w:rFonts w:ascii="Arial" w:eastAsia="Arial" w:hAnsi="Arial" w:cs="Arial"/>
                <w:sz w:val="18"/>
              </w:rPr>
            </w:pPr>
            <w:r w:rsidRPr="00AF1814">
              <w:rPr>
                <w:rFonts w:ascii="Arial" w:hAnsi="Arial"/>
                <w:sz w:val="18"/>
              </w:rPr>
              <w:t>X</w:t>
            </w:r>
          </w:p>
        </w:tc>
        <w:tc>
          <w:tcPr>
            <w:tcW w:w="567" w:type="dxa"/>
            <w:shd w:val="clear" w:color="auto" w:fill="auto"/>
            <w:vAlign w:val="center"/>
            <w:hideMark/>
          </w:tcPr>
          <w:p w14:paraId="5269C3C1" w14:textId="77777777" w:rsidR="00AD796A" w:rsidRPr="00AF1814" w:rsidRDefault="00DA3174" w:rsidP="003D4EAD">
            <w:pPr>
              <w:keepNext/>
              <w:keepLines/>
              <w:widowControl w:val="0"/>
              <w:spacing w:before="40" w:after="40" w:line="256" w:lineRule="auto"/>
              <w:jc w:val="center"/>
              <w:rPr>
                <w:rFonts w:ascii="Arial" w:eastAsia="Arial" w:hAnsi="Arial" w:cs="Arial"/>
                <w:sz w:val="18"/>
              </w:rPr>
            </w:pPr>
            <w:r w:rsidRPr="00AF1814">
              <w:rPr>
                <w:rFonts w:ascii="Arial" w:hAnsi="Arial"/>
                <w:sz w:val="18"/>
              </w:rPr>
              <w:t>X</w:t>
            </w:r>
          </w:p>
        </w:tc>
        <w:tc>
          <w:tcPr>
            <w:tcW w:w="567" w:type="dxa"/>
            <w:shd w:val="clear" w:color="auto" w:fill="auto"/>
            <w:vAlign w:val="center"/>
            <w:hideMark/>
          </w:tcPr>
          <w:p w14:paraId="3E879F33" w14:textId="77777777" w:rsidR="00AD796A" w:rsidRPr="00AF1814" w:rsidRDefault="00DA3174" w:rsidP="003D4EAD">
            <w:pPr>
              <w:keepNext/>
              <w:keepLines/>
              <w:widowControl w:val="0"/>
              <w:spacing w:before="40" w:after="40" w:line="256" w:lineRule="auto"/>
              <w:jc w:val="center"/>
              <w:rPr>
                <w:rFonts w:ascii="Arial" w:eastAsia="Arial" w:hAnsi="Arial" w:cs="Arial"/>
                <w:sz w:val="18"/>
              </w:rPr>
            </w:pPr>
            <w:r w:rsidRPr="00AF1814">
              <w:rPr>
                <w:rFonts w:ascii="Arial" w:hAnsi="Arial"/>
                <w:sz w:val="18"/>
              </w:rPr>
              <w:t>X</w:t>
            </w:r>
          </w:p>
        </w:tc>
        <w:tc>
          <w:tcPr>
            <w:tcW w:w="851" w:type="dxa"/>
            <w:shd w:val="clear" w:color="auto" w:fill="auto"/>
            <w:vAlign w:val="center"/>
            <w:hideMark/>
          </w:tcPr>
          <w:p w14:paraId="73F34A6E" w14:textId="77777777" w:rsidR="00AD796A" w:rsidRPr="00AF1814" w:rsidRDefault="00DA3174" w:rsidP="003D4EAD">
            <w:pPr>
              <w:keepNext/>
              <w:keepLines/>
              <w:widowControl w:val="0"/>
              <w:spacing w:before="40" w:after="40" w:line="256" w:lineRule="auto"/>
              <w:jc w:val="center"/>
              <w:rPr>
                <w:rFonts w:ascii="Arial" w:eastAsia="Arial" w:hAnsi="Arial" w:cs="Arial"/>
                <w:sz w:val="18"/>
              </w:rPr>
            </w:pPr>
            <w:r w:rsidRPr="00AF1814">
              <w:rPr>
                <w:rFonts w:ascii="Arial" w:hAnsi="Arial"/>
                <w:sz w:val="18"/>
              </w:rPr>
              <w:t>Every 3 weeks</w:t>
            </w:r>
          </w:p>
        </w:tc>
        <w:tc>
          <w:tcPr>
            <w:tcW w:w="1134" w:type="dxa"/>
            <w:shd w:val="clear" w:color="auto" w:fill="auto"/>
            <w:vAlign w:val="center"/>
            <w:hideMark/>
          </w:tcPr>
          <w:p w14:paraId="577B552C" w14:textId="77777777" w:rsidR="00AD796A" w:rsidRPr="00AF1814" w:rsidRDefault="00DA3174" w:rsidP="003D4EAD">
            <w:pPr>
              <w:keepNext/>
              <w:keepLines/>
              <w:widowControl w:val="0"/>
              <w:spacing w:before="40" w:after="40" w:line="256" w:lineRule="auto"/>
              <w:jc w:val="center"/>
              <w:rPr>
                <w:rFonts w:ascii="Arial" w:eastAsia="Arial" w:hAnsi="Arial" w:cs="Arial"/>
                <w:sz w:val="18"/>
              </w:rPr>
            </w:pPr>
            <w:r w:rsidRPr="00AF1814">
              <w:rPr>
                <w:rFonts w:ascii="Arial" w:hAnsi="Arial"/>
                <w:sz w:val="18"/>
              </w:rPr>
              <w:t>X</w:t>
            </w:r>
          </w:p>
        </w:tc>
        <w:tc>
          <w:tcPr>
            <w:tcW w:w="992" w:type="dxa"/>
            <w:shd w:val="clear" w:color="auto" w:fill="auto"/>
            <w:vAlign w:val="center"/>
          </w:tcPr>
          <w:p w14:paraId="317F5286" w14:textId="77777777" w:rsidR="00AD796A" w:rsidRPr="00AF1814" w:rsidRDefault="00DA3174" w:rsidP="003D4EAD">
            <w:pPr>
              <w:keepNext/>
              <w:keepLines/>
              <w:widowControl w:val="0"/>
              <w:spacing w:before="40" w:after="40" w:line="256" w:lineRule="auto"/>
              <w:jc w:val="center"/>
              <w:rPr>
                <w:rFonts w:ascii="Arial" w:hAnsi="Arial" w:cs="Arial"/>
                <w:bCs/>
                <w:color w:val="365F91" w:themeColor="accent1" w:themeShade="BF"/>
                <w:sz w:val="18"/>
                <w:szCs w:val="18"/>
              </w:rPr>
            </w:pPr>
            <w:r w:rsidRPr="00AF1814">
              <w:rPr>
                <w:rFonts w:ascii="Arial" w:hAnsi="Arial"/>
                <w:sz w:val="18"/>
              </w:rPr>
              <w:t>X</w:t>
            </w:r>
          </w:p>
        </w:tc>
        <w:tc>
          <w:tcPr>
            <w:tcW w:w="1134" w:type="dxa"/>
            <w:shd w:val="clear" w:color="auto" w:fill="auto"/>
            <w:vAlign w:val="center"/>
          </w:tcPr>
          <w:p w14:paraId="7C8DBAD7" w14:textId="77777777" w:rsidR="00AD796A" w:rsidRPr="00AF1814" w:rsidRDefault="00DA3174" w:rsidP="003D4EAD">
            <w:pPr>
              <w:keepNext/>
              <w:keepLines/>
              <w:widowControl w:val="0"/>
              <w:spacing w:before="40" w:after="40" w:line="256" w:lineRule="auto"/>
              <w:jc w:val="center"/>
              <w:rPr>
                <w:rFonts w:ascii="Arial" w:hAnsi="Arial" w:cs="Arial"/>
                <w:bCs/>
                <w:color w:val="365F91" w:themeColor="accent1" w:themeShade="BF"/>
                <w:sz w:val="18"/>
                <w:szCs w:val="18"/>
              </w:rPr>
            </w:pPr>
            <w:r w:rsidRPr="00AF1814">
              <w:rPr>
                <w:rFonts w:ascii="Arial" w:hAnsi="Arial" w:cs="Arial"/>
                <w:bCs/>
                <w:sz w:val="18"/>
                <w:szCs w:val="18"/>
              </w:rPr>
              <w:t>X</w:t>
            </w:r>
          </w:p>
        </w:tc>
        <w:tc>
          <w:tcPr>
            <w:tcW w:w="1134" w:type="dxa"/>
            <w:shd w:val="clear" w:color="auto" w:fill="auto"/>
            <w:vAlign w:val="center"/>
          </w:tcPr>
          <w:p w14:paraId="6445B3FA" w14:textId="77777777" w:rsidR="00AD796A" w:rsidRPr="00AF1814" w:rsidRDefault="00DA3174" w:rsidP="003D4EAD">
            <w:pPr>
              <w:keepNext/>
              <w:keepLines/>
              <w:widowControl w:val="0"/>
              <w:spacing w:before="40" w:after="40" w:line="256" w:lineRule="auto"/>
              <w:jc w:val="center"/>
              <w:rPr>
                <w:rFonts w:ascii="Arial" w:hAnsi="Arial" w:cs="Arial"/>
                <w:bCs/>
                <w:color w:val="365F91" w:themeColor="accent1" w:themeShade="BF"/>
                <w:sz w:val="18"/>
                <w:szCs w:val="18"/>
              </w:rPr>
            </w:pPr>
            <w:r w:rsidRPr="00AF1814">
              <w:rPr>
                <w:rFonts w:ascii="Arial" w:hAnsi="Arial" w:cs="Arial"/>
                <w:bCs/>
                <w:sz w:val="18"/>
                <w:szCs w:val="18"/>
              </w:rPr>
              <w:t>X</w:t>
            </w:r>
          </w:p>
        </w:tc>
        <w:tc>
          <w:tcPr>
            <w:tcW w:w="3004" w:type="dxa"/>
            <w:shd w:val="clear" w:color="auto" w:fill="auto"/>
          </w:tcPr>
          <w:p w14:paraId="611670FC" w14:textId="77777777" w:rsidR="00AD796A" w:rsidRPr="00AF1814" w:rsidRDefault="00DA3174" w:rsidP="003D4EAD">
            <w:pPr>
              <w:keepNext/>
              <w:keepLines/>
              <w:widowControl w:val="0"/>
              <w:spacing w:before="40" w:after="40" w:line="256" w:lineRule="auto"/>
              <w:rPr>
                <w:rFonts w:ascii="Arial" w:hAnsi="Arial" w:cs="Arial"/>
                <w:bCs/>
                <w:color w:val="365F91" w:themeColor="accent1" w:themeShade="BF"/>
                <w:sz w:val="18"/>
                <w:szCs w:val="18"/>
              </w:rPr>
            </w:pPr>
            <w:r w:rsidRPr="00AF1814">
              <w:rPr>
                <w:rFonts w:ascii="Arial" w:hAnsi="Arial" w:cs="Arial"/>
                <w:bCs/>
                <w:sz w:val="18"/>
                <w:szCs w:val="18"/>
              </w:rPr>
              <w:t>The 12-week Safety Follow-up and Long-term Follow-up</w:t>
            </w:r>
            <w:r w:rsidRPr="00AF1814">
              <w:rPr>
                <w:rFonts w:ascii="Arial" w:hAnsi="Arial" w:cs="Arial"/>
                <w:sz w:val="18"/>
                <w:szCs w:val="18"/>
              </w:rPr>
              <w:t xml:space="preserve"> may </w:t>
            </w:r>
            <w:r w:rsidRPr="00AF1814">
              <w:rPr>
                <w:rFonts w:ascii="Arial" w:hAnsi="Arial" w:cs="Arial"/>
                <w:bCs/>
                <w:sz w:val="18"/>
                <w:szCs w:val="18"/>
              </w:rPr>
              <w:t>be conducted via telephone calls or patient chart reviews as necessary unless there is medical necessity requiring a clinical visit.</w:t>
            </w:r>
          </w:p>
        </w:tc>
      </w:tr>
      <w:tr w:rsidR="002108B2" w:rsidRPr="00AF1814" w14:paraId="3725DE70" w14:textId="77777777" w:rsidTr="00F538BA">
        <w:trPr>
          <w:cantSplit/>
          <w:jc w:val="center"/>
        </w:trPr>
        <w:tc>
          <w:tcPr>
            <w:tcW w:w="12922" w:type="dxa"/>
            <w:gridSpan w:val="13"/>
            <w:shd w:val="clear" w:color="auto" w:fill="auto"/>
            <w:vAlign w:val="center"/>
            <w:hideMark/>
          </w:tcPr>
          <w:p w14:paraId="5C25F49C" w14:textId="77777777" w:rsidR="00D124BD" w:rsidRPr="00AF1814" w:rsidRDefault="00DA3174" w:rsidP="003D4EAD">
            <w:pPr>
              <w:keepNext/>
              <w:keepLines/>
              <w:widowControl w:val="0"/>
              <w:spacing w:before="80" w:after="80" w:line="256" w:lineRule="auto"/>
              <w:jc w:val="center"/>
              <w:rPr>
                <w:rFonts w:ascii="Arial" w:hAnsi="Arial"/>
                <w:b/>
                <w:sz w:val="18"/>
              </w:rPr>
            </w:pPr>
            <w:r w:rsidRPr="00AF1814">
              <w:rPr>
                <w:rFonts w:ascii="Arial" w:hAnsi="Arial"/>
                <w:b/>
                <w:sz w:val="18"/>
              </w:rPr>
              <w:t>Drug Administration</w:t>
            </w:r>
          </w:p>
        </w:tc>
      </w:tr>
      <w:tr w:rsidR="002108B2" w:rsidRPr="00AF1814" w14:paraId="5787AFA4" w14:textId="77777777" w:rsidTr="00AD796A">
        <w:trPr>
          <w:cantSplit/>
          <w:jc w:val="center"/>
        </w:trPr>
        <w:tc>
          <w:tcPr>
            <w:tcW w:w="1312" w:type="dxa"/>
            <w:shd w:val="clear" w:color="auto" w:fill="auto"/>
            <w:vAlign w:val="center"/>
            <w:hideMark/>
          </w:tcPr>
          <w:p w14:paraId="42D33964" w14:textId="77777777" w:rsidR="00AD796A" w:rsidRPr="007B38F5" w:rsidRDefault="00DA3174" w:rsidP="003D4EAD">
            <w:pPr>
              <w:keepNext/>
              <w:keepLines/>
              <w:spacing w:before="40" w:after="40" w:line="256" w:lineRule="auto"/>
              <w:ind w:right="-70"/>
              <w:jc w:val="left"/>
              <w:rPr>
                <w:rFonts w:ascii="Arial" w:eastAsia="Arial" w:hAnsi="Arial" w:cs="Arial"/>
                <w:sz w:val="18"/>
              </w:rPr>
            </w:pPr>
            <w:r w:rsidRPr="007B38F5">
              <w:rPr>
                <w:rFonts w:ascii="Arial" w:hAnsi="Arial" w:cs="Arial"/>
                <w:sz w:val="18"/>
              </w:rPr>
              <w:t>Bintrafusp alfa</w:t>
            </w:r>
          </w:p>
        </w:tc>
        <w:tc>
          <w:tcPr>
            <w:tcW w:w="526" w:type="dxa"/>
            <w:shd w:val="clear" w:color="auto" w:fill="auto"/>
            <w:vAlign w:val="center"/>
            <w:hideMark/>
          </w:tcPr>
          <w:p w14:paraId="3C4D8ED7" w14:textId="77777777" w:rsidR="00AD796A" w:rsidRPr="007B38F5" w:rsidRDefault="00DA3174" w:rsidP="003D4EAD">
            <w:pPr>
              <w:keepNext/>
              <w:keepLines/>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066D9BF6" w14:textId="77777777" w:rsidR="00AD796A" w:rsidRPr="007B38F5" w:rsidRDefault="00DA3174" w:rsidP="003D4EAD">
            <w:pPr>
              <w:keepNext/>
              <w:keepLines/>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3604D547" w14:textId="77777777" w:rsidR="00AD796A" w:rsidRPr="007B38F5" w:rsidRDefault="00DA3174" w:rsidP="003D4EAD">
            <w:pPr>
              <w:keepNext/>
              <w:keepLines/>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7276E55F" w14:textId="77777777" w:rsidR="00AD796A" w:rsidRPr="007B38F5" w:rsidRDefault="00DA3174" w:rsidP="003D4EAD">
            <w:pPr>
              <w:keepNext/>
              <w:keepLines/>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564A72E2" w14:textId="77777777" w:rsidR="00AD796A" w:rsidRPr="007B38F5" w:rsidRDefault="00DA3174" w:rsidP="003D4EAD">
            <w:pPr>
              <w:keepNext/>
              <w:keepLines/>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01262E3C" w14:textId="77777777" w:rsidR="00AD796A" w:rsidRPr="007B38F5" w:rsidRDefault="00DA3174" w:rsidP="003D4EAD">
            <w:pPr>
              <w:keepNext/>
              <w:keepLines/>
              <w:spacing w:before="40" w:after="40" w:line="256" w:lineRule="auto"/>
              <w:jc w:val="center"/>
              <w:rPr>
                <w:rFonts w:ascii="Arial" w:eastAsia="Arial" w:hAnsi="Arial" w:cs="Arial"/>
                <w:sz w:val="18"/>
              </w:rPr>
            </w:pPr>
            <w:r w:rsidRPr="007B38F5">
              <w:rPr>
                <w:rFonts w:ascii="Arial" w:hAnsi="Arial"/>
                <w:sz w:val="18"/>
              </w:rPr>
              <w:t>X</w:t>
            </w:r>
          </w:p>
        </w:tc>
        <w:tc>
          <w:tcPr>
            <w:tcW w:w="851" w:type="dxa"/>
            <w:shd w:val="clear" w:color="auto" w:fill="auto"/>
            <w:vAlign w:val="center"/>
            <w:hideMark/>
          </w:tcPr>
          <w:p w14:paraId="30C85704" w14:textId="77777777" w:rsidR="00AD796A" w:rsidRPr="007B38F5" w:rsidRDefault="00DA3174" w:rsidP="003D4EAD">
            <w:pPr>
              <w:keepNext/>
              <w:keepLines/>
              <w:spacing w:before="40" w:after="40" w:line="256" w:lineRule="auto"/>
              <w:jc w:val="center"/>
              <w:rPr>
                <w:rFonts w:ascii="Arial" w:eastAsia="Arial" w:hAnsi="Arial" w:cs="Arial"/>
                <w:sz w:val="18"/>
              </w:rPr>
            </w:pPr>
            <w:r w:rsidRPr="007B38F5">
              <w:rPr>
                <w:rFonts w:ascii="Arial" w:hAnsi="Arial"/>
                <w:sz w:val="18"/>
              </w:rPr>
              <w:t>Every 3 weeks</w:t>
            </w:r>
          </w:p>
        </w:tc>
        <w:tc>
          <w:tcPr>
            <w:tcW w:w="1134" w:type="dxa"/>
            <w:shd w:val="clear" w:color="auto" w:fill="BFBFBF" w:themeFill="background1" w:themeFillShade="BF"/>
            <w:vAlign w:val="center"/>
          </w:tcPr>
          <w:p w14:paraId="10BEF62B" w14:textId="77777777" w:rsidR="00AD796A" w:rsidRPr="007B38F5" w:rsidRDefault="00AD796A" w:rsidP="003D4EAD">
            <w:pPr>
              <w:keepNext/>
              <w:keepLines/>
              <w:spacing w:before="40" w:after="40" w:line="256" w:lineRule="auto"/>
              <w:jc w:val="center"/>
              <w:rPr>
                <w:rFonts w:ascii="Arial" w:hAnsi="Arial" w:cs="Arial"/>
                <w:bCs/>
                <w:sz w:val="18"/>
                <w:szCs w:val="18"/>
              </w:rPr>
            </w:pPr>
          </w:p>
        </w:tc>
        <w:tc>
          <w:tcPr>
            <w:tcW w:w="992" w:type="dxa"/>
            <w:shd w:val="clear" w:color="auto" w:fill="BFBFBF" w:themeFill="background1" w:themeFillShade="BF"/>
            <w:vAlign w:val="center"/>
            <w:hideMark/>
          </w:tcPr>
          <w:p w14:paraId="08F69A11" w14:textId="77777777" w:rsidR="00AD796A" w:rsidRPr="007B38F5" w:rsidRDefault="00AD796A" w:rsidP="003D4EAD">
            <w:pPr>
              <w:keepNext/>
              <w:keepLines/>
              <w:spacing w:before="40" w:after="40" w:line="256" w:lineRule="auto"/>
              <w:jc w:val="left"/>
              <w:rPr>
                <w:rFonts w:ascii="Arial" w:eastAsia="Arial" w:hAnsi="Arial" w:cs="Arial"/>
                <w:sz w:val="18"/>
              </w:rPr>
            </w:pPr>
          </w:p>
        </w:tc>
        <w:tc>
          <w:tcPr>
            <w:tcW w:w="1134" w:type="dxa"/>
            <w:shd w:val="clear" w:color="auto" w:fill="BFBFBF" w:themeFill="background1" w:themeFillShade="BF"/>
          </w:tcPr>
          <w:p w14:paraId="7781301D" w14:textId="77777777" w:rsidR="00AD796A" w:rsidRPr="007B38F5" w:rsidRDefault="00AD796A" w:rsidP="003D4EAD">
            <w:pPr>
              <w:keepNext/>
              <w:keepLines/>
              <w:spacing w:before="40" w:after="40" w:line="256" w:lineRule="auto"/>
              <w:jc w:val="left"/>
              <w:rPr>
                <w:rFonts w:ascii="Arial" w:hAnsi="Arial"/>
                <w:sz w:val="18"/>
              </w:rPr>
            </w:pPr>
          </w:p>
        </w:tc>
        <w:tc>
          <w:tcPr>
            <w:tcW w:w="1134" w:type="dxa"/>
            <w:shd w:val="clear" w:color="auto" w:fill="BFBFBF" w:themeFill="background1" w:themeFillShade="BF"/>
          </w:tcPr>
          <w:p w14:paraId="321FB7FE" w14:textId="77777777" w:rsidR="00AD796A" w:rsidRPr="007B38F5" w:rsidRDefault="00AD796A" w:rsidP="003D4EAD">
            <w:pPr>
              <w:keepNext/>
              <w:keepLines/>
              <w:spacing w:before="40" w:after="40" w:line="256" w:lineRule="auto"/>
              <w:jc w:val="left"/>
              <w:rPr>
                <w:rFonts w:ascii="Arial" w:hAnsi="Arial"/>
                <w:sz w:val="18"/>
              </w:rPr>
            </w:pPr>
          </w:p>
        </w:tc>
        <w:tc>
          <w:tcPr>
            <w:tcW w:w="3004" w:type="dxa"/>
            <w:shd w:val="clear" w:color="auto" w:fill="auto"/>
          </w:tcPr>
          <w:p w14:paraId="05E25947" w14:textId="01384E87" w:rsidR="00AD796A" w:rsidRPr="007B38F5" w:rsidRDefault="00DA3174" w:rsidP="003D4EAD">
            <w:pPr>
              <w:keepNext/>
              <w:keepLines/>
              <w:spacing w:before="40" w:after="40" w:line="256" w:lineRule="auto"/>
              <w:jc w:val="left"/>
              <w:rPr>
                <w:rFonts w:ascii="Arial" w:hAnsi="Arial"/>
                <w:sz w:val="18"/>
              </w:rPr>
            </w:pPr>
            <w:r w:rsidRPr="007B38F5">
              <w:rPr>
                <w:rFonts w:ascii="Arial" w:hAnsi="Arial" w:cs="Arial"/>
                <w:sz w:val="18"/>
              </w:rPr>
              <w:t xml:space="preserve">See Section </w:t>
            </w:r>
            <w:r w:rsidRPr="007B38F5">
              <w:rPr>
                <w:rFonts w:ascii="Arial" w:hAnsi="Arial" w:cs="Arial"/>
                <w:sz w:val="18"/>
              </w:rPr>
              <w:fldChar w:fldCharType="begin"/>
            </w:r>
            <w:r w:rsidRPr="007B38F5">
              <w:rPr>
                <w:rFonts w:ascii="Arial" w:hAnsi="Arial" w:cs="Arial"/>
                <w:sz w:val="18"/>
              </w:rPr>
              <w:instrText xml:space="preserve"> REF _Ref30403455 \r \h  \* MERGEFORMAT </w:instrText>
            </w:r>
            <w:r w:rsidRPr="007B38F5">
              <w:rPr>
                <w:rFonts w:ascii="Arial" w:hAnsi="Arial" w:cs="Arial"/>
                <w:sz w:val="18"/>
              </w:rPr>
            </w:r>
            <w:r w:rsidRPr="007B38F5">
              <w:rPr>
                <w:rFonts w:ascii="Arial" w:hAnsi="Arial" w:cs="Arial"/>
                <w:sz w:val="18"/>
              </w:rPr>
              <w:fldChar w:fldCharType="separate"/>
            </w:r>
            <w:r w:rsidR="00C548C3" w:rsidRPr="007B38F5">
              <w:rPr>
                <w:rFonts w:ascii="Arial" w:hAnsi="Arial" w:cs="Arial"/>
                <w:sz w:val="18"/>
              </w:rPr>
              <w:t>6</w:t>
            </w:r>
            <w:r w:rsidRPr="007B38F5">
              <w:rPr>
                <w:rFonts w:ascii="Arial" w:hAnsi="Arial" w:cs="Arial"/>
                <w:sz w:val="18"/>
              </w:rPr>
              <w:fldChar w:fldCharType="end"/>
            </w:r>
            <w:r w:rsidRPr="007B38F5">
              <w:rPr>
                <w:rFonts w:ascii="Arial" w:hAnsi="Arial" w:cs="Arial"/>
                <w:sz w:val="18"/>
              </w:rPr>
              <w:t xml:space="preserve"> for dosing details. </w:t>
            </w:r>
            <w:r w:rsidRPr="007B38F5">
              <w:rPr>
                <w:rFonts w:ascii="Arial" w:hAnsi="Arial"/>
                <w:sz w:val="18"/>
              </w:rPr>
              <w:t xml:space="preserve">See Section </w:t>
            </w:r>
            <w:r w:rsidRPr="007B38F5">
              <w:rPr>
                <w:rFonts w:ascii="Arial" w:hAnsi="Arial"/>
                <w:sz w:val="18"/>
              </w:rPr>
              <w:fldChar w:fldCharType="begin"/>
            </w:r>
            <w:r w:rsidRPr="007B38F5">
              <w:rPr>
                <w:rFonts w:ascii="Arial" w:hAnsi="Arial"/>
                <w:sz w:val="18"/>
              </w:rPr>
              <w:instrText xml:space="preserve"> REF _Ref30403057 \r \h </w:instrText>
            </w:r>
            <w:r w:rsidR="00AF1814" w:rsidRPr="007B38F5">
              <w:rPr>
                <w:rFonts w:ascii="Arial" w:hAnsi="Arial"/>
                <w:sz w:val="18"/>
              </w:rPr>
              <w:instrText xml:space="preserve"> \* MERGEFORMAT </w:instrText>
            </w:r>
            <w:r w:rsidRPr="007B38F5">
              <w:rPr>
                <w:rFonts w:ascii="Arial" w:hAnsi="Arial"/>
                <w:sz w:val="18"/>
              </w:rPr>
            </w:r>
            <w:r w:rsidRPr="007B38F5">
              <w:rPr>
                <w:rFonts w:ascii="Arial" w:hAnsi="Arial"/>
                <w:sz w:val="18"/>
              </w:rPr>
              <w:fldChar w:fldCharType="separate"/>
            </w:r>
            <w:r w:rsidR="00C548C3" w:rsidRPr="007B38F5">
              <w:rPr>
                <w:rFonts w:ascii="Arial" w:hAnsi="Arial"/>
                <w:sz w:val="18"/>
              </w:rPr>
              <w:t>7</w:t>
            </w:r>
            <w:r w:rsidRPr="007B38F5">
              <w:rPr>
                <w:rFonts w:ascii="Arial" w:hAnsi="Arial"/>
                <w:sz w:val="18"/>
              </w:rPr>
              <w:fldChar w:fldCharType="end"/>
            </w:r>
            <w:r w:rsidRPr="007B38F5">
              <w:rPr>
                <w:rFonts w:ascii="Arial" w:hAnsi="Arial"/>
                <w:sz w:val="18"/>
              </w:rPr>
              <w:t xml:space="preserve"> for stopping study interventions.</w:t>
            </w:r>
          </w:p>
        </w:tc>
      </w:tr>
      <w:tr w:rsidR="002108B2" w:rsidRPr="00AF1814" w14:paraId="7C655D20" w14:textId="77777777" w:rsidTr="00F538BA">
        <w:trPr>
          <w:cantSplit/>
          <w:jc w:val="center"/>
        </w:trPr>
        <w:tc>
          <w:tcPr>
            <w:tcW w:w="12922" w:type="dxa"/>
            <w:gridSpan w:val="13"/>
            <w:shd w:val="clear" w:color="auto" w:fill="auto"/>
            <w:vAlign w:val="center"/>
            <w:hideMark/>
          </w:tcPr>
          <w:p w14:paraId="0B69FEEC" w14:textId="77777777" w:rsidR="00D124BD" w:rsidRPr="00AF1814" w:rsidRDefault="00DA3174" w:rsidP="00355813">
            <w:pPr>
              <w:keepNext/>
              <w:spacing w:before="80" w:after="80" w:line="257" w:lineRule="auto"/>
              <w:jc w:val="center"/>
              <w:rPr>
                <w:rFonts w:ascii="Arial" w:hAnsi="Arial"/>
                <w:b/>
                <w:sz w:val="18"/>
              </w:rPr>
            </w:pPr>
            <w:r w:rsidRPr="00AF1814">
              <w:rPr>
                <w:rFonts w:ascii="Arial" w:hAnsi="Arial"/>
                <w:b/>
                <w:sz w:val="18"/>
              </w:rPr>
              <w:t>Safety Assessments</w:t>
            </w:r>
          </w:p>
        </w:tc>
      </w:tr>
      <w:tr w:rsidR="002108B2" w:rsidRPr="00AF1814" w14:paraId="0A4ABCA4" w14:textId="77777777" w:rsidTr="00AD796A">
        <w:trPr>
          <w:cantSplit/>
          <w:jc w:val="center"/>
        </w:trPr>
        <w:tc>
          <w:tcPr>
            <w:tcW w:w="1312" w:type="dxa"/>
            <w:shd w:val="clear" w:color="auto" w:fill="auto"/>
            <w:vAlign w:val="center"/>
            <w:hideMark/>
          </w:tcPr>
          <w:p w14:paraId="57B29A12" w14:textId="77777777" w:rsidR="00AD796A" w:rsidRPr="00AF1814" w:rsidRDefault="00DA3174" w:rsidP="00D124BD">
            <w:pPr>
              <w:spacing w:before="40" w:after="40" w:line="256" w:lineRule="auto"/>
              <w:ind w:right="-70"/>
              <w:jc w:val="left"/>
              <w:rPr>
                <w:rFonts w:ascii="Arial" w:eastAsia="Arial" w:hAnsi="Arial" w:cs="Arial"/>
                <w:sz w:val="18"/>
              </w:rPr>
            </w:pPr>
            <w:r w:rsidRPr="00AF1814">
              <w:rPr>
                <w:rFonts w:ascii="Arial" w:hAnsi="Arial"/>
                <w:sz w:val="18"/>
              </w:rPr>
              <w:t xml:space="preserve">Documentation of AEs </w:t>
            </w:r>
          </w:p>
        </w:tc>
        <w:tc>
          <w:tcPr>
            <w:tcW w:w="526" w:type="dxa"/>
            <w:tcBorders>
              <w:bottom w:val="single" w:sz="4" w:space="0" w:color="auto"/>
            </w:tcBorders>
            <w:shd w:val="clear" w:color="auto" w:fill="auto"/>
            <w:vAlign w:val="center"/>
            <w:hideMark/>
          </w:tcPr>
          <w:p w14:paraId="79CD91B5" w14:textId="77777777" w:rsidR="00AD796A" w:rsidRPr="00AF1814" w:rsidRDefault="00DA3174" w:rsidP="00B33375">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shd w:val="clear" w:color="auto" w:fill="auto"/>
            <w:vAlign w:val="center"/>
            <w:hideMark/>
          </w:tcPr>
          <w:p w14:paraId="5E5BBF8B"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567" w:type="dxa"/>
            <w:shd w:val="clear" w:color="auto" w:fill="auto"/>
            <w:vAlign w:val="center"/>
            <w:hideMark/>
          </w:tcPr>
          <w:p w14:paraId="00D01BD4"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567" w:type="dxa"/>
            <w:shd w:val="clear" w:color="auto" w:fill="auto"/>
            <w:vAlign w:val="center"/>
            <w:hideMark/>
          </w:tcPr>
          <w:p w14:paraId="4AC84FCF"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567" w:type="dxa"/>
            <w:shd w:val="clear" w:color="auto" w:fill="auto"/>
            <w:vAlign w:val="center"/>
            <w:hideMark/>
          </w:tcPr>
          <w:p w14:paraId="01AA9018"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567" w:type="dxa"/>
            <w:shd w:val="clear" w:color="auto" w:fill="auto"/>
            <w:vAlign w:val="center"/>
            <w:hideMark/>
          </w:tcPr>
          <w:p w14:paraId="0766AA23"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851" w:type="dxa"/>
            <w:shd w:val="clear" w:color="auto" w:fill="auto"/>
            <w:vAlign w:val="center"/>
            <w:hideMark/>
          </w:tcPr>
          <w:p w14:paraId="0899A3CA"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Every 3 weeks</w:t>
            </w:r>
          </w:p>
        </w:tc>
        <w:tc>
          <w:tcPr>
            <w:tcW w:w="1134" w:type="dxa"/>
            <w:shd w:val="clear" w:color="auto" w:fill="auto"/>
            <w:vAlign w:val="center"/>
            <w:hideMark/>
          </w:tcPr>
          <w:p w14:paraId="092D20CB"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992" w:type="dxa"/>
            <w:shd w:val="clear" w:color="auto" w:fill="auto"/>
            <w:vAlign w:val="center"/>
            <w:hideMark/>
          </w:tcPr>
          <w:p w14:paraId="234FBA9B" w14:textId="77777777" w:rsidR="00AD796A" w:rsidRPr="00AF1814" w:rsidRDefault="00DA3174" w:rsidP="00D124BD">
            <w:pPr>
              <w:spacing w:before="40" w:after="40" w:line="256" w:lineRule="auto"/>
              <w:jc w:val="center"/>
              <w:rPr>
                <w:rFonts w:ascii="Arial" w:eastAsia="Arial" w:hAnsi="Arial" w:cs="Arial"/>
                <w:color w:val="365F91" w:themeColor="accent1" w:themeShade="BF"/>
                <w:sz w:val="18"/>
              </w:rPr>
            </w:pPr>
            <w:r w:rsidRPr="00AF1814">
              <w:rPr>
                <w:rFonts w:ascii="Arial" w:hAnsi="Arial"/>
                <w:sz w:val="18"/>
              </w:rPr>
              <w:t>X</w:t>
            </w:r>
          </w:p>
        </w:tc>
        <w:tc>
          <w:tcPr>
            <w:tcW w:w="1134" w:type="dxa"/>
            <w:vAlign w:val="center"/>
          </w:tcPr>
          <w:p w14:paraId="44B69B59" w14:textId="77777777" w:rsidR="00AD796A" w:rsidRPr="00AF1814" w:rsidRDefault="00DA3174" w:rsidP="00D124BD">
            <w:pPr>
              <w:keepLines/>
              <w:spacing w:before="40" w:after="40"/>
              <w:jc w:val="center"/>
              <w:rPr>
                <w:rFonts w:ascii="Arial" w:hAnsi="Arial" w:cs="Arial"/>
                <w:sz w:val="18"/>
                <w:szCs w:val="18"/>
              </w:rPr>
            </w:pPr>
            <w:r w:rsidRPr="00AF1814">
              <w:rPr>
                <w:rFonts w:ascii="Arial" w:hAnsi="Arial"/>
                <w:sz w:val="18"/>
              </w:rPr>
              <w:t>X</w:t>
            </w:r>
            <w:r w:rsidRPr="00AF1814">
              <w:rPr>
                <w:rFonts w:ascii="Arial" w:hAnsi="Arial"/>
                <w:sz w:val="18"/>
                <w:vertAlign w:val="superscript"/>
              </w:rPr>
              <w:t>a</w:t>
            </w:r>
          </w:p>
        </w:tc>
        <w:tc>
          <w:tcPr>
            <w:tcW w:w="1134" w:type="dxa"/>
            <w:vAlign w:val="center"/>
          </w:tcPr>
          <w:p w14:paraId="2C728820" w14:textId="77777777" w:rsidR="00AD796A" w:rsidRPr="00AF1814" w:rsidRDefault="00DA3174" w:rsidP="00D124BD">
            <w:pPr>
              <w:keepLines/>
              <w:spacing w:before="40" w:after="40"/>
              <w:jc w:val="center"/>
              <w:rPr>
                <w:rFonts w:ascii="Arial" w:hAnsi="Arial" w:cs="Arial"/>
                <w:sz w:val="18"/>
                <w:szCs w:val="18"/>
              </w:rPr>
            </w:pPr>
            <w:r w:rsidRPr="00AF1814">
              <w:rPr>
                <w:rFonts w:ascii="Arial" w:hAnsi="Arial"/>
                <w:sz w:val="18"/>
              </w:rPr>
              <w:t>X</w:t>
            </w:r>
            <w:r w:rsidRPr="00AF1814">
              <w:rPr>
                <w:rFonts w:ascii="Arial" w:hAnsi="Arial"/>
                <w:sz w:val="18"/>
                <w:vertAlign w:val="superscript"/>
              </w:rPr>
              <w:t>a</w:t>
            </w:r>
          </w:p>
        </w:tc>
        <w:tc>
          <w:tcPr>
            <w:tcW w:w="3004" w:type="dxa"/>
          </w:tcPr>
          <w:p w14:paraId="40DD0D3D" w14:textId="65F976E5" w:rsidR="00AD796A" w:rsidRPr="00AF1814" w:rsidRDefault="00DA3174" w:rsidP="00D124BD">
            <w:pPr>
              <w:keepLines/>
              <w:spacing w:before="40" w:after="40"/>
              <w:jc w:val="left"/>
              <w:rPr>
                <w:rFonts w:ascii="Arial" w:hAnsi="Arial" w:cs="Arial"/>
                <w:sz w:val="18"/>
                <w:szCs w:val="18"/>
              </w:rPr>
            </w:pPr>
            <w:r w:rsidRPr="00AF1814">
              <w:rPr>
                <w:rFonts w:ascii="Arial" w:hAnsi="Arial" w:cs="Arial"/>
                <w:sz w:val="18"/>
                <w:szCs w:val="18"/>
              </w:rPr>
              <w:t xml:space="preserve">See </w:t>
            </w:r>
            <w:hyperlink w:anchor="_Appendix_4_Adverse" w:history="1">
              <w:r w:rsidRPr="008A3BD4">
                <w:rPr>
                  <w:rStyle w:val="Hyperlink"/>
                  <w:rFonts w:ascii="Arial" w:hAnsi="Arial" w:cs="Arial"/>
                  <w:sz w:val="18"/>
                  <w:szCs w:val="18"/>
                </w:rPr>
                <w:t>Appendix 4</w:t>
              </w:r>
            </w:hyperlink>
            <w:r w:rsidRPr="00AF1814">
              <w:rPr>
                <w:rFonts w:ascii="Arial" w:hAnsi="Arial" w:cs="Arial"/>
                <w:sz w:val="18"/>
                <w:szCs w:val="18"/>
              </w:rPr>
              <w:t xml:space="preserve"> for safety recording and reporting.</w:t>
            </w:r>
          </w:p>
          <w:p w14:paraId="7B51C049" w14:textId="77777777" w:rsidR="00AD796A" w:rsidRPr="00AF1814" w:rsidRDefault="00DA3174" w:rsidP="00D124BD">
            <w:pPr>
              <w:keepLines/>
              <w:spacing w:before="40" w:after="40"/>
              <w:jc w:val="left"/>
              <w:rPr>
                <w:rFonts w:ascii="Arial" w:hAnsi="Arial" w:cs="Arial"/>
                <w:sz w:val="18"/>
                <w:szCs w:val="18"/>
              </w:rPr>
            </w:pPr>
            <w:r w:rsidRPr="00AF1814">
              <w:rPr>
                <w:rFonts w:ascii="Arial" w:hAnsi="Arial" w:cs="Arial"/>
                <w:sz w:val="18"/>
                <w:szCs w:val="18"/>
              </w:rPr>
              <w:t>a: The 12-week Safety Follow-up and Long-term Follow-up may be conducted via telephone calls or patient chart reviews as necessary unless there is medical necessity requiring a clinical visit.</w:t>
            </w:r>
          </w:p>
        </w:tc>
      </w:tr>
      <w:tr w:rsidR="002108B2" w:rsidRPr="00AF1814" w14:paraId="5EED5494" w14:textId="77777777" w:rsidTr="00AD796A">
        <w:trPr>
          <w:cantSplit/>
          <w:jc w:val="center"/>
        </w:trPr>
        <w:tc>
          <w:tcPr>
            <w:tcW w:w="1312" w:type="dxa"/>
            <w:shd w:val="clear" w:color="auto" w:fill="auto"/>
            <w:vAlign w:val="center"/>
            <w:hideMark/>
          </w:tcPr>
          <w:p w14:paraId="70338677" w14:textId="77777777" w:rsidR="00AD796A" w:rsidRPr="00AF1814" w:rsidRDefault="00DA3174" w:rsidP="00D124BD">
            <w:pPr>
              <w:spacing w:before="40" w:after="40" w:line="256" w:lineRule="auto"/>
              <w:ind w:right="-70"/>
              <w:jc w:val="left"/>
              <w:rPr>
                <w:rFonts w:ascii="Arial" w:eastAsia="Arial" w:hAnsi="Arial" w:cs="Arial"/>
                <w:sz w:val="18"/>
              </w:rPr>
            </w:pPr>
            <w:bookmarkStart w:id="47" w:name="_Hlk513193796"/>
            <w:r w:rsidRPr="00AF1814">
              <w:rPr>
                <w:rFonts w:ascii="Arial" w:hAnsi="Arial"/>
                <w:sz w:val="18"/>
              </w:rPr>
              <w:t>Physical examination</w:t>
            </w:r>
          </w:p>
        </w:tc>
        <w:tc>
          <w:tcPr>
            <w:tcW w:w="526" w:type="dxa"/>
            <w:tcBorders>
              <w:bottom w:val="single" w:sz="4" w:space="0" w:color="auto"/>
            </w:tcBorders>
            <w:shd w:val="clear" w:color="auto" w:fill="FFFFFF" w:themeFill="background1"/>
            <w:vAlign w:val="center"/>
            <w:hideMark/>
          </w:tcPr>
          <w:p w14:paraId="03BA677D" w14:textId="77777777" w:rsidR="00AD796A" w:rsidRPr="00AF1814" w:rsidRDefault="00DA3174" w:rsidP="00B33375">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tcBorders>
              <w:bottom w:val="single" w:sz="4" w:space="0" w:color="auto"/>
            </w:tcBorders>
            <w:shd w:val="clear" w:color="auto" w:fill="auto"/>
            <w:vAlign w:val="center"/>
            <w:hideMark/>
          </w:tcPr>
          <w:p w14:paraId="2120DB63"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567" w:type="dxa"/>
            <w:shd w:val="clear" w:color="auto" w:fill="auto"/>
            <w:vAlign w:val="center"/>
            <w:hideMark/>
          </w:tcPr>
          <w:p w14:paraId="048D288E"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567" w:type="dxa"/>
            <w:tcBorders>
              <w:bottom w:val="single" w:sz="4" w:space="0" w:color="auto"/>
            </w:tcBorders>
            <w:shd w:val="clear" w:color="auto" w:fill="auto"/>
            <w:vAlign w:val="center"/>
            <w:hideMark/>
          </w:tcPr>
          <w:p w14:paraId="36597CEB"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567" w:type="dxa"/>
            <w:tcBorders>
              <w:bottom w:val="single" w:sz="4" w:space="0" w:color="auto"/>
            </w:tcBorders>
            <w:shd w:val="clear" w:color="auto" w:fill="auto"/>
            <w:vAlign w:val="center"/>
            <w:hideMark/>
          </w:tcPr>
          <w:p w14:paraId="221A1917"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567" w:type="dxa"/>
            <w:shd w:val="clear" w:color="auto" w:fill="auto"/>
            <w:vAlign w:val="center"/>
            <w:hideMark/>
          </w:tcPr>
          <w:p w14:paraId="5E415967"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851" w:type="dxa"/>
            <w:shd w:val="clear" w:color="auto" w:fill="auto"/>
            <w:vAlign w:val="center"/>
            <w:hideMark/>
          </w:tcPr>
          <w:p w14:paraId="0C0F9A4A"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Every 3 weeks</w:t>
            </w:r>
          </w:p>
        </w:tc>
        <w:tc>
          <w:tcPr>
            <w:tcW w:w="1134" w:type="dxa"/>
            <w:shd w:val="clear" w:color="auto" w:fill="auto"/>
            <w:vAlign w:val="center"/>
            <w:hideMark/>
          </w:tcPr>
          <w:p w14:paraId="4D9EC281"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992" w:type="dxa"/>
            <w:shd w:val="clear" w:color="auto" w:fill="auto"/>
            <w:vAlign w:val="center"/>
            <w:hideMark/>
          </w:tcPr>
          <w:p w14:paraId="5E989C7D"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1134" w:type="dxa"/>
            <w:shd w:val="clear" w:color="auto" w:fill="BFBFBF" w:themeFill="background1" w:themeFillShade="BF"/>
            <w:vAlign w:val="center"/>
          </w:tcPr>
          <w:p w14:paraId="1FB84825" w14:textId="77777777" w:rsidR="00AD796A" w:rsidRPr="00AF1814" w:rsidRDefault="00AD796A" w:rsidP="00D124BD">
            <w:pPr>
              <w:spacing w:before="40" w:after="40" w:line="256" w:lineRule="auto"/>
              <w:jc w:val="center"/>
              <w:rPr>
                <w:rFonts w:ascii="Arial" w:hAnsi="Arial"/>
                <w:sz w:val="18"/>
              </w:rPr>
            </w:pPr>
          </w:p>
        </w:tc>
        <w:tc>
          <w:tcPr>
            <w:tcW w:w="1134" w:type="dxa"/>
            <w:shd w:val="clear" w:color="auto" w:fill="BFBFBF" w:themeFill="background1" w:themeFillShade="BF"/>
            <w:vAlign w:val="center"/>
          </w:tcPr>
          <w:p w14:paraId="7BB47A05" w14:textId="77777777" w:rsidR="00AD796A" w:rsidRPr="00E44F28" w:rsidRDefault="00AD796A" w:rsidP="00D124BD">
            <w:pPr>
              <w:spacing w:before="40" w:after="40" w:line="256" w:lineRule="auto"/>
              <w:jc w:val="center"/>
              <w:rPr>
                <w:rFonts w:ascii="Arial" w:hAnsi="Arial"/>
                <w:sz w:val="18"/>
              </w:rPr>
            </w:pPr>
          </w:p>
        </w:tc>
        <w:tc>
          <w:tcPr>
            <w:tcW w:w="3004" w:type="dxa"/>
          </w:tcPr>
          <w:p w14:paraId="55BA1610" w14:textId="700FC50D" w:rsidR="00AD796A" w:rsidRPr="00E44F28" w:rsidRDefault="00DA3174" w:rsidP="00D124BD">
            <w:pPr>
              <w:spacing w:before="40" w:after="40" w:line="256" w:lineRule="auto"/>
              <w:jc w:val="left"/>
              <w:rPr>
                <w:rFonts w:ascii="Arial" w:hAnsi="Arial"/>
                <w:sz w:val="18"/>
              </w:rPr>
            </w:pPr>
            <w:r w:rsidRPr="00E44F28">
              <w:rPr>
                <w:rFonts w:ascii="Arial" w:hAnsi="Arial"/>
                <w:sz w:val="18"/>
              </w:rPr>
              <w:t>Complete physical examination to be performed at Screening; subsequent focused examinations to be performed as described in Section</w:t>
            </w:r>
            <w:r w:rsidR="00D45E80" w:rsidRPr="00E44F28">
              <w:rPr>
                <w:rFonts w:ascii="Arial" w:hAnsi="Arial"/>
                <w:sz w:val="18"/>
              </w:rPr>
              <w:t> </w:t>
            </w:r>
            <w:r w:rsidRPr="00E44F28">
              <w:rPr>
                <w:rFonts w:ascii="Arial" w:hAnsi="Arial"/>
                <w:sz w:val="18"/>
              </w:rPr>
              <w:fldChar w:fldCharType="begin"/>
            </w:r>
            <w:r w:rsidRPr="00E44F28">
              <w:rPr>
                <w:rFonts w:ascii="Arial" w:hAnsi="Arial"/>
                <w:sz w:val="18"/>
              </w:rPr>
              <w:instrText xml:space="preserve"> REF _Ref30403185 \r \h  \* MERGEFORMAT </w:instrText>
            </w:r>
            <w:r w:rsidRPr="00E44F28">
              <w:rPr>
                <w:rFonts w:ascii="Arial" w:hAnsi="Arial"/>
                <w:sz w:val="18"/>
              </w:rPr>
            </w:r>
            <w:r w:rsidRPr="00E44F28">
              <w:rPr>
                <w:rFonts w:ascii="Arial" w:hAnsi="Arial"/>
                <w:sz w:val="18"/>
              </w:rPr>
              <w:fldChar w:fldCharType="separate"/>
            </w:r>
            <w:r w:rsidR="00C548C3" w:rsidRPr="00E44F28">
              <w:rPr>
                <w:rFonts w:ascii="Arial" w:hAnsi="Arial"/>
                <w:sz w:val="18"/>
              </w:rPr>
              <w:t>8.2.1</w:t>
            </w:r>
            <w:r w:rsidRPr="00E44F28">
              <w:rPr>
                <w:rFonts w:ascii="Arial" w:hAnsi="Arial"/>
                <w:sz w:val="18"/>
              </w:rPr>
              <w:fldChar w:fldCharType="end"/>
            </w:r>
            <w:r w:rsidRPr="00E44F28">
              <w:rPr>
                <w:rFonts w:ascii="Arial" w:hAnsi="Arial"/>
                <w:sz w:val="18"/>
              </w:rPr>
              <w:t>.</w:t>
            </w:r>
          </w:p>
        </w:tc>
      </w:tr>
      <w:bookmarkEnd w:id="47"/>
      <w:tr w:rsidR="002108B2" w:rsidRPr="00AF1814" w14:paraId="3CF31370" w14:textId="77777777" w:rsidTr="00AD796A">
        <w:trPr>
          <w:cantSplit/>
          <w:jc w:val="center"/>
        </w:trPr>
        <w:tc>
          <w:tcPr>
            <w:tcW w:w="1312" w:type="dxa"/>
            <w:shd w:val="clear" w:color="auto" w:fill="auto"/>
            <w:vAlign w:val="center"/>
            <w:hideMark/>
          </w:tcPr>
          <w:p w14:paraId="51D299C4" w14:textId="77777777" w:rsidR="00AD796A" w:rsidRPr="007B38F5" w:rsidRDefault="00DA3174" w:rsidP="00D124BD">
            <w:pPr>
              <w:spacing w:before="40" w:after="40" w:line="256" w:lineRule="auto"/>
              <w:ind w:right="-70"/>
              <w:jc w:val="left"/>
              <w:rPr>
                <w:rFonts w:ascii="Arial" w:eastAsia="Arial" w:hAnsi="Arial" w:cs="Arial"/>
                <w:sz w:val="18"/>
              </w:rPr>
            </w:pPr>
            <w:r w:rsidRPr="007B38F5">
              <w:rPr>
                <w:rFonts w:ascii="Arial" w:hAnsi="Arial"/>
                <w:sz w:val="18"/>
              </w:rPr>
              <w:lastRenderedPageBreak/>
              <w:t>Skin assessment</w:t>
            </w:r>
          </w:p>
        </w:tc>
        <w:tc>
          <w:tcPr>
            <w:tcW w:w="526" w:type="dxa"/>
            <w:shd w:val="clear" w:color="auto" w:fill="BFBFBF" w:themeFill="background1" w:themeFillShade="BF"/>
            <w:vAlign w:val="center"/>
          </w:tcPr>
          <w:p w14:paraId="1761D28A" w14:textId="77777777" w:rsidR="00AD796A" w:rsidRPr="007B38F5" w:rsidRDefault="00AD796A" w:rsidP="00D124BD">
            <w:pPr>
              <w:spacing w:before="40" w:after="40" w:line="256" w:lineRule="auto"/>
              <w:jc w:val="center"/>
              <w:rPr>
                <w:rFonts w:ascii="Arial" w:hAnsi="Arial" w:cs="Arial"/>
                <w:bCs/>
                <w:sz w:val="18"/>
                <w:szCs w:val="18"/>
              </w:rPr>
            </w:pPr>
          </w:p>
        </w:tc>
        <w:tc>
          <w:tcPr>
            <w:tcW w:w="567" w:type="dxa"/>
            <w:shd w:val="clear" w:color="auto" w:fill="auto"/>
            <w:vAlign w:val="center"/>
          </w:tcPr>
          <w:p w14:paraId="1ED6C5E9" w14:textId="77777777" w:rsidR="00AD796A" w:rsidRPr="007B38F5" w:rsidRDefault="00DA3174" w:rsidP="00D124BD">
            <w:pPr>
              <w:spacing w:before="40" w:after="40" w:line="256" w:lineRule="auto"/>
              <w:jc w:val="center"/>
              <w:rPr>
                <w:rFonts w:ascii="Arial" w:hAnsi="Arial" w:cs="Arial"/>
                <w:bCs/>
                <w:sz w:val="18"/>
                <w:szCs w:val="18"/>
              </w:rPr>
            </w:pPr>
            <w:r w:rsidRPr="007B38F5">
              <w:rPr>
                <w:rFonts w:ascii="Arial" w:hAnsi="Arial" w:cs="Arial"/>
                <w:bCs/>
                <w:sz w:val="18"/>
                <w:szCs w:val="18"/>
              </w:rPr>
              <w:t>X</w:t>
            </w:r>
          </w:p>
        </w:tc>
        <w:tc>
          <w:tcPr>
            <w:tcW w:w="567" w:type="dxa"/>
            <w:shd w:val="clear" w:color="auto" w:fill="BFBFBF" w:themeFill="background1" w:themeFillShade="BF"/>
            <w:vAlign w:val="center"/>
            <w:hideMark/>
          </w:tcPr>
          <w:p w14:paraId="307343F4" w14:textId="77777777" w:rsidR="00AD796A" w:rsidRPr="007B38F5" w:rsidRDefault="00AD796A" w:rsidP="00D124BD">
            <w:pPr>
              <w:spacing w:before="40" w:after="40" w:line="256" w:lineRule="auto"/>
              <w:jc w:val="center"/>
              <w:rPr>
                <w:rFonts w:ascii="Arial" w:eastAsia="Arial" w:hAnsi="Arial" w:cs="Arial"/>
                <w:sz w:val="18"/>
              </w:rPr>
            </w:pPr>
          </w:p>
        </w:tc>
        <w:tc>
          <w:tcPr>
            <w:tcW w:w="567" w:type="dxa"/>
            <w:shd w:val="clear" w:color="auto" w:fill="auto"/>
            <w:vAlign w:val="center"/>
          </w:tcPr>
          <w:p w14:paraId="5102A5FB" w14:textId="77777777" w:rsidR="00AD796A" w:rsidRPr="007B38F5" w:rsidRDefault="00DA3174" w:rsidP="00D124BD">
            <w:pPr>
              <w:spacing w:before="40" w:after="40" w:line="256" w:lineRule="auto"/>
              <w:jc w:val="center"/>
              <w:rPr>
                <w:rFonts w:ascii="Arial" w:hAnsi="Arial" w:cs="Arial"/>
                <w:bCs/>
                <w:sz w:val="18"/>
                <w:szCs w:val="18"/>
              </w:rPr>
            </w:pPr>
            <w:r w:rsidRPr="007B38F5">
              <w:rPr>
                <w:rFonts w:ascii="Arial" w:hAnsi="Arial" w:cs="Arial"/>
                <w:bCs/>
                <w:sz w:val="18"/>
                <w:szCs w:val="18"/>
              </w:rPr>
              <w:t>X</w:t>
            </w:r>
          </w:p>
        </w:tc>
        <w:tc>
          <w:tcPr>
            <w:tcW w:w="567" w:type="dxa"/>
            <w:shd w:val="clear" w:color="auto" w:fill="BFBFBF" w:themeFill="background1" w:themeFillShade="BF"/>
            <w:vAlign w:val="center"/>
          </w:tcPr>
          <w:p w14:paraId="6DA66CD1" w14:textId="77777777" w:rsidR="00AD796A" w:rsidRPr="007B38F5" w:rsidRDefault="00AD796A" w:rsidP="00D124BD">
            <w:pPr>
              <w:spacing w:before="40" w:after="40" w:line="256" w:lineRule="auto"/>
              <w:jc w:val="center"/>
              <w:rPr>
                <w:rFonts w:ascii="Arial" w:hAnsi="Arial" w:cs="Arial"/>
                <w:bCs/>
                <w:sz w:val="18"/>
                <w:szCs w:val="18"/>
              </w:rPr>
            </w:pPr>
          </w:p>
        </w:tc>
        <w:tc>
          <w:tcPr>
            <w:tcW w:w="567" w:type="dxa"/>
            <w:shd w:val="clear" w:color="auto" w:fill="auto"/>
            <w:vAlign w:val="center"/>
            <w:hideMark/>
          </w:tcPr>
          <w:p w14:paraId="24A97794"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eastAsia="Arial" w:hAnsi="Arial" w:cs="Arial"/>
                <w:sz w:val="18"/>
              </w:rPr>
              <w:t>X</w:t>
            </w:r>
          </w:p>
        </w:tc>
        <w:tc>
          <w:tcPr>
            <w:tcW w:w="851" w:type="dxa"/>
            <w:shd w:val="clear" w:color="auto" w:fill="auto"/>
            <w:vAlign w:val="center"/>
            <w:hideMark/>
          </w:tcPr>
          <w:p w14:paraId="145D20BD"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Every 6 weeks</w:t>
            </w:r>
          </w:p>
        </w:tc>
        <w:tc>
          <w:tcPr>
            <w:tcW w:w="1134" w:type="dxa"/>
            <w:shd w:val="clear" w:color="auto" w:fill="auto"/>
            <w:vAlign w:val="center"/>
            <w:hideMark/>
          </w:tcPr>
          <w:p w14:paraId="53BDC06F"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992" w:type="dxa"/>
            <w:shd w:val="clear" w:color="auto" w:fill="auto"/>
            <w:vAlign w:val="center"/>
            <w:hideMark/>
          </w:tcPr>
          <w:p w14:paraId="318C50FF"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1134" w:type="dxa"/>
            <w:shd w:val="clear" w:color="auto" w:fill="BFBFBF" w:themeFill="background1" w:themeFillShade="BF"/>
          </w:tcPr>
          <w:p w14:paraId="6F0C04F9" w14:textId="77777777" w:rsidR="00AD796A" w:rsidRPr="007B38F5" w:rsidRDefault="00AD796A" w:rsidP="00D124BD">
            <w:pPr>
              <w:spacing w:before="40" w:after="40" w:line="256" w:lineRule="auto"/>
              <w:jc w:val="center"/>
              <w:rPr>
                <w:rFonts w:ascii="Arial" w:hAnsi="Arial"/>
                <w:sz w:val="18"/>
              </w:rPr>
            </w:pPr>
          </w:p>
        </w:tc>
        <w:tc>
          <w:tcPr>
            <w:tcW w:w="1134" w:type="dxa"/>
            <w:shd w:val="clear" w:color="auto" w:fill="BFBFBF" w:themeFill="background1" w:themeFillShade="BF"/>
          </w:tcPr>
          <w:p w14:paraId="3B27C975" w14:textId="77777777" w:rsidR="00AD796A" w:rsidRPr="007B38F5" w:rsidRDefault="00AD796A" w:rsidP="00D124BD">
            <w:pPr>
              <w:spacing w:before="40" w:after="40" w:line="256" w:lineRule="auto"/>
              <w:jc w:val="center"/>
              <w:rPr>
                <w:rFonts w:ascii="Arial" w:hAnsi="Arial"/>
                <w:sz w:val="18"/>
              </w:rPr>
            </w:pPr>
          </w:p>
        </w:tc>
        <w:tc>
          <w:tcPr>
            <w:tcW w:w="3004" w:type="dxa"/>
          </w:tcPr>
          <w:p w14:paraId="006850DE" w14:textId="515966C7" w:rsidR="00AD796A" w:rsidRPr="007B38F5" w:rsidRDefault="00DA3174" w:rsidP="00D124BD">
            <w:pPr>
              <w:spacing w:before="40" w:after="40" w:line="256" w:lineRule="auto"/>
              <w:jc w:val="left"/>
              <w:rPr>
                <w:rFonts w:ascii="Arial" w:hAnsi="Arial"/>
                <w:sz w:val="18"/>
              </w:rPr>
            </w:pPr>
            <w:r w:rsidRPr="007B38F5">
              <w:rPr>
                <w:rFonts w:ascii="Arial" w:hAnsi="Arial"/>
                <w:sz w:val="18"/>
              </w:rPr>
              <w:t xml:space="preserve">See Section </w:t>
            </w:r>
            <w:r w:rsidRPr="007B38F5">
              <w:rPr>
                <w:rFonts w:ascii="Arial" w:hAnsi="Arial"/>
                <w:sz w:val="18"/>
              </w:rPr>
              <w:fldChar w:fldCharType="begin"/>
            </w:r>
            <w:r w:rsidRPr="007B38F5">
              <w:rPr>
                <w:rFonts w:ascii="Arial" w:hAnsi="Arial"/>
                <w:sz w:val="18"/>
              </w:rPr>
              <w:instrText xml:space="preserve"> REF _Ref13668751 \r \h  \* MERGEFORMAT </w:instrText>
            </w:r>
            <w:r w:rsidRPr="007B38F5">
              <w:rPr>
                <w:rFonts w:ascii="Arial" w:hAnsi="Arial"/>
                <w:sz w:val="18"/>
              </w:rPr>
            </w:r>
            <w:r w:rsidRPr="007B38F5">
              <w:rPr>
                <w:rFonts w:ascii="Arial" w:hAnsi="Arial"/>
                <w:sz w:val="18"/>
              </w:rPr>
              <w:fldChar w:fldCharType="separate"/>
            </w:r>
            <w:r w:rsidR="00C548C3" w:rsidRPr="007B38F5">
              <w:rPr>
                <w:rFonts w:ascii="Arial" w:hAnsi="Arial"/>
                <w:sz w:val="18"/>
              </w:rPr>
              <w:t>8.3.6.3</w:t>
            </w:r>
            <w:r w:rsidRPr="007B38F5">
              <w:rPr>
                <w:rFonts w:ascii="Arial" w:hAnsi="Arial"/>
                <w:sz w:val="18"/>
              </w:rPr>
              <w:fldChar w:fldCharType="end"/>
            </w:r>
            <w:r w:rsidRPr="007B38F5">
              <w:rPr>
                <w:rFonts w:ascii="Arial" w:hAnsi="Arial"/>
                <w:sz w:val="18"/>
              </w:rPr>
              <w:t xml:space="preserve"> for skin assessment.</w:t>
            </w:r>
          </w:p>
        </w:tc>
      </w:tr>
      <w:tr w:rsidR="002108B2" w:rsidRPr="00AF1814" w14:paraId="1B6D17EB" w14:textId="77777777" w:rsidTr="00AD796A">
        <w:trPr>
          <w:cantSplit/>
          <w:jc w:val="center"/>
        </w:trPr>
        <w:tc>
          <w:tcPr>
            <w:tcW w:w="1312" w:type="dxa"/>
            <w:shd w:val="clear" w:color="auto" w:fill="auto"/>
            <w:vAlign w:val="center"/>
            <w:hideMark/>
          </w:tcPr>
          <w:p w14:paraId="543D91C5" w14:textId="77777777" w:rsidR="00AD796A" w:rsidRPr="007B38F5" w:rsidRDefault="00DA3174" w:rsidP="00D124BD">
            <w:pPr>
              <w:spacing w:before="40" w:after="40" w:line="256" w:lineRule="auto"/>
              <w:ind w:right="-70"/>
              <w:jc w:val="left"/>
              <w:rPr>
                <w:rFonts w:ascii="Arial" w:eastAsia="Arial" w:hAnsi="Arial" w:cs="Arial"/>
                <w:sz w:val="18"/>
              </w:rPr>
            </w:pPr>
            <w:r w:rsidRPr="007B38F5">
              <w:rPr>
                <w:rFonts w:ascii="Arial" w:hAnsi="Arial"/>
                <w:sz w:val="18"/>
              </w:rPr>
              <w:t>Vital signs</w:t>
            </w:r>
          </w:p>
        </w:tc>
        <w:tc>
          <w:tcPr>
            <w:tcW w:w="526" w:type="dxa"/>
            <w:shd w:val="clear" w:color="auto" w:fill="FFFFFF" w:themeFill="background1"/>
            <w:vAlign w:val="center"/>
            <w:hideMark/>
          </w:tcPr>
          <w:p w14:paraId="590E11E0" w14:textId="77777777" w:rsidR="00AD796A" w:rsidRPr="007B38F5" w:rsidRDefault="00DA3174" w:rsidP="00B33375">
            <w:pPr>
              <w:spacing w:before="40" w:after="40" w:line="256" w:lineRule="auto"/>
              <w:jc w:val="center"/>
              <w:rPr>
                <w:rFonts w:ascii="Arial" w:eastAsia="Arial" w:hAnsi="Arial" w:cs="Arial"/>
                <w:sz w:val="18"/>
              </w:rPr>
            </w:pPr>
            <w:r w:rsidRPr="007B38F5">
              <w:rPr>
                <w:rFonts w:ascii="Arial" w:eastAsia="Arial" w:hAnsi="Arial" w:cs="Arial"/>
                <w:sz w:val="18"/>
              </w:rPr>
              <w:t>X</w:t>
            </w:r>
          </w:p>
        </w:tc>
        <w:tc>
          <w:tcPr>
            <w:tcW w:w="567" w:type="dxa"/>
            <w:shd w:val="clear" w:color="auto" w:fill="auto"/>
            <w:vAlign w:val="center"/>
            <w:hideMark/>
          </w:tcPr>
          <w:p w14:paraId="0BD09A04"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5CB1448C"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179F9870"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60A7B18A"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1C52E575"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851" w:type="dxa"/>
            <w:shd w:val="clear" w:color="auto" w:fill="auto"/>
            <w:vAlign w:val="center"/>
            <w:hideMark/>
          </w:tcPr>
          <w:p w14:paraId="333989AE"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Every 3 weeks</w:t>
            </w:r>
          </w:p>
        </w:tc>
        <w:tc>
          <w:tcPr>
            <w:tcW w:w="1134" w:type="dxa"/>
            <w:shd w:val="clear" w:color="auto" w:fill="auto"/>
            <w:vAlign w:val="center"/>
            <w:hideMark/>
          </w:tcPr>
          <w:p w14:paraId="41639953"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992" w:type="dxa"/>
            <w:shd w:val="clear" w:color="auto" w:fill="auto"/>
            <w:vAlign w:val="center"/>
            <w:hideMark/>
          </w:tcPr>
          <w:p w14:paraId="24FDD913"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1134" w:type="dxa"/>
            <w:shd w:val="clear" w:color="auto" w:fill="BFBFBF" w:themeFill="background1" w:themeFillShade="BF"/>
          </w:tcPr>
          <w:p w14:paraId="397D722A" w14:textId="77777777" w:rsidR="00AD796A" w:rsidRPr="007B38F5" w:rsidRDefault="00AD796A" w:rsidP="00D124BD">
            <w:pPr>
              <w:spacing w:before="40" w:after="40" w:line="256" w:lineRule="auto"/>
              <w:jc w:val="left"/>
              <w:rPr>
                <w:rFonts w:ascii="Arial" w:hAnsi="Arial"/>
                <w:sz w:val="18"/>
              </w:rPr>
            </w:pPr>
          </w:p>
        </w:tc>
        <w:tc>
          <w:tcPr>
            <w:tcW w:w="1134" w:type="dxa"/>
            <w:shd w:val="clear" w:color="auto" w:fill="BFBFBF" w:themeFill="background1" w:themeFillShade="BF"/>
          </w:tcPr>
          <w:p w14:paraId="1C917AF2" w14:textId="77777777" w:rsidR="00AD796A" w:rsidRPr="007B38F5" w:rsidRDefault="00AD796A" w:rsidP="00D124BD">
            <w:pPr>
              <w:spacing w:before="40" w:after="40" w:line="256" w:lineRule="auto"/>
              <w:jc w:val="left"/>
              <w:rPr>
                <w:rFonts w:ascii="Arial" w:hAnsi="Arial"/>
                <w:sz w:val="18"/>
              </w:rPr>
            </w:pPr>
          </w:p>
        </w:tc>
        <w:tc>
          <w:tcPr>
            <w:tcW w:w="3004" w:type="dxa"/>
          </w:tcPr>
          <w:p w14:paraId="1426468C" w14:textId="4B9339C0" w:rsidR="00AD796A" w:rsidRPr="007B38F5" w:rsidRDefault="00DA3174" w:rsidP="00D124BD">
            <w:pPr>
              <w:spacing w:before="40" w:after="40" w:line="256" w:lineRule="auto"/>
              <w:jc w:val="left"/>
              <w:rPr>
                <w:rFonts w:ascii="Arial" w:hAnsi="Arial"/>
                <w:sz w:val="18"/>
              </w:rPr>
            </w:pPr>
            <w:r w:rsidRPr="007B38F5">
              <w:rPr>
                <w:rFonts w:ascii="Arial" w:hAnsi="Arial"/>
                <w:sz w:val="18"/>
              </w:rPr>
              <w:t>Including weight and height (height at Screening only). See Section </w:t>
            </w:r>
            <w:r w:rsidRPr="007B38F5">
              <w:rPr>
                <w:rFonts w:ascii="Arial" w:hAnsi="Arial"/>
                <w:sz w:val="18"/>
              </w:rPr>
              <w:fldChar w:fldCharType="begin"/>
            </w:r>
            <w:r w:rsidRPr="007B38F5">
              <w:rPr>
                <w:rFonts w:ascii="Arial" w:hAnsi="Arial"/>
                <w:sz w:val="18"/>
              </w:rPr>
              <w:instrText xml:space="preserve"> REF _Ref36564376 \w \h </w:instrText>
            </w:r>
            <w:r w:rsidR="00AF1814" w:rsidRPr="007B38F5">
              <w:rPr>
                <w:rFonts w:ascii="Arial" w:hAnsi="Arial"/>
                <w:sz w:val="18"/>
              </w:rPr>
              <w:instrText xml:space="preserve"> \* MERGEFORMAT </w:instrText>
            </w:r>
            <w:r w:rsidRPr="007B38F5">
              <w:rPr>
                <w:rFonts w:ascii="Arial" w:hAnsi="Arial"/>
                <w:sz w:val="18"/>
              </w:rPr>
            </w:r>
            <w:r w:rsidRPr="007B38F5">
              <w:rPr>
                <w:rFonts w:ascii="Arial" w:hAnsi="Arial"/>
                <w:sz w:val="18"/>
              </w:rPr>
              <w:fldChar w:fldCharType="separate"/>
            </w:r>
            <w:r w:rsidR="00C548C3" w:rsidRPr="007B38F5">
              <w:rPr>
                <w:rFonts w:ascii="Arial" w:hAnsi="Arial"/>
                <w:sz w:val="18"/>
              </w:rPr>
              <w:t>8.2.2</w:t>
            </w:r>
            <w:r w:rsidRPr="007B38F5">
              <w:rPr>
                <w:rFonts w:ascii="Arial" w:hAnsi="Arial"/>
                <w:sz w:val="18"/>
              </w:rPr>
              <w:fldChar w:fldCharType="end"/>
            </w:r>
            <w:r w:rsidRPr="007B38F5">
              <w:rPr>
                <w:rFonts w:ascii="Arial" w:hAnsi="Arial"/>
                <w:sz w:val="18"/>
              </w:rPr>
              <w:t>.</w:t>
            </w:r>
          </w:p>
        </w:tc>
      </w:tr>
      <w:tr w:rsidR="002108B2" w:rsidRPr="00AF1814" w14:paraId="7FCEE3C5" w14:textId="77777777" w:rsidTr="00AD796A">
        <w:trPr>
          <w:cantSplit/>
          <w:jc w:val="center"/>
        </w:trPr>
        <w:tc>
          <w:tcPr>
            <w:tcW w:w="1312" w:type="dxa"/>
            <w:shd w:val="clear" w:color="auto" w:fill="auto"/>
            <w:vAlign w:val="center"/>
            <w:hideMark/>
          </w:tcPr>
          <w:p w14:paraId="433B488B" w14:textId="77777777" w:rsidR="00AD796A" w:rsidRPr="007B38F5" w:rsidRDefault="00DA3174" w:rsidP="00D124BD">
            <w:pPr>
              <w:spacing w:before="40" w:after="40" w:line="256" w:lineRule="auto"/>
              <w:ind w:right="-70"/>
              <w:jc w:val="left"/>
              <w:rPr>
                <w:rFonts w:ascii="Arial" w:eastAsia="Arial" w:hAnsi="Arial" w:cs="Arial"/>
                <w:sz w:val="18"/>
              </w:rPr>
            </w:pPr>
            <w:r w:rsidRPr="007B38F5">
              <w:rPr>
                <w:rFonts w:ascii="Arial" w:hAnsi="Arial"/>
                <w:sz w:val="18"/>
              </w:rPr>
              <w:t>ECOG PS</w:t>
            </w:r>
          </w:p>
        </w:tc>
        <w:tc>
          <w:tcPr>
            <w:tcW w:w="526" w:type="dxa"/>
            <w:shd w:val="clear" w:color="auto" w:fill="FFFFFF" w:themeFill="background1"/>
            <w:vAlign w:val="center"/>
            <w:hideMark/>
          </w:tcPr>
          <w:p w14:paraId="545AE2D9"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3DBD7D51"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297D6824"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4B10ED24"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63666387"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567" w:type="dxa"/>
            <w:shd w:val="clear" w:color="auto" w:fill="auto"/>
            <w:vAlign w:val="center"/>
            <w:hideMark/>
          </w:tcPr>
          <w:p w14:paraId="6A052FFF"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851" w:type="dxa"/>
            <w:shd w:val="clear" w:color="auto" w:fill="auto"/>
            <w:vAlign w:val="center"/>
            <w:hideMark/>
          </w:tcPr>
          <w:p w14:paraId="640F3070"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Every 3 weeks</w:t>
            </w:r>
          </w:p>
        </w:tc>
        <w:tc>
          <w:tcPr>
            <w:tcW w:w="1134" w:type="dxa"/>
            <w:shd w:val="clear" w:color="auto" w:fill="auto"/>
            <w:vAlign w:val="center"/>
            <w:hideMark/>
          </w:tcPr>
          <w:p w14:paraId="35C21A9F" w14:textId="77777777" w:rsidR="00AD796A" w:rsidRPr="007B38F5" w:rsidRDefault="00DA3174" w:rsidP="00D124BD">
            <w:pPr>
              <w:spacing w:before="40" w:after="40" w:line="256" w:lineRule="auto"/>
              <w:jc w:val="center"/>
              <w:rPr>
                <w:rFonts w:ascii="Arial" w:eastAsia="Arial" w:hAnsi="Arial" w:cs="Arial"/>
                <w:sz w:val="18"/>
              </w:rPr>
            </w:pPr>
            <w:r w:rsidRPr="007B38F5">
              <w:rPr>
                <w:rFonts w:ascii="Arial" w:hAnsi="Arial"/>
                <w:sz w:val="18"/>
              </w:rPr>
              <w:t>X</w:t>
            </w:r>
          </w:p>
        </w:tc>
        <w:tc>
          <w:tcPr>
            <w:tcW w:w="992" w:type="dxa"/>
            <w:shd w:val="clear" w:color="auto" w:fill="auto"/>
            <w:vAlign w:val="center"/>
          </w:tcPr>
          <w:p w14:paraId="728408BF" w14:textId="77777777" w:rsidR="00AD796A" w:rsidRPr="007B38F5" w:rsidRDefault="00DA3174" w:rsidP="00D124BD">
            <w:pPr>
              <w:spacing w:before="40" w:after="40" w:line="256" w:lineRule="auto"/>
              <w:jc w:val="center"/>
              <w:rPr>
                <w:rFonts w:ascii="Arial" w:hAnsi="Arial" w:cs="Arial"/>
                <w:bCs/>
                <w:sz w:val="18"/>
                <w:szCs w:val="18"/>
              </w:rPr>
            </w:pPr>
            <w:r w:rsidRPr="007B38F5">
              <w:rPr>
                <w:rFonts w:ascii="Arial" w:hAnsi="Arial"/>
                <w:sz w:val="18"/>
              </w:rPr>
              <w:t>X</w:t>
            </w:r>
          </w:p>
        </w:tc>
        <w:tc>
          <w:tcPr>
            <w:tcW w:w="1134" w:type="dxa"/>
            <w:shd w:val="clear" w:color="auto" w:fill="BFBFBF" w:themeFill="background1" w:themeFillShade="BF"/>
          </w:tcPr>
          <w:p w14:paraId="4E507010" w14:textId="77777777" w:rsidR="00AD796A" w:rsidRPr="007B38F5" w:rsidRDefault="00AD796A" w:rsidP="00D124BD">
            <w:pPr>
              <w:spacing w:before="40" w:after="40" w:line="256" w:lineRule="auto"/>
              <w:jc w:val="center"/>
              <w:rPr>
                <w:rFonts w:ascii="Arial" w:hAnsi="Arial" w:cs="Arial"/>
                <w:bCs/>
                <w:sz w:val="18"/>
                <w:szCs w:val="18"/>
              </w:rPr>
            </w:pPr>
          </w:p>
        </w:tc>
        <w:tc>
          <w:tcPr>
            <w:tcW w:w="1134" w:type="dxa"/>
            <w:shd w:val="clear" w:color="auto" w:fill="BFBFBF" w:themeFill="background1" w:themeFillShade="BF"/>
          </w:tcPr>
          <w:p w14:paraId="7EE7E635" w14:textId="77777777" w:rsidR="00AD796A" w:rsidRPr="007B38F5" w:rsidRDefault="00AD796A" w:rsidP="00D124BD">
            <w:pPr>
              <w:spacing w:before="40" w:after="40" w:line="256" w:lineRule="auto"/>
              <w:jc w:val="center"/>
              <w:rPr>
                <w:rFonts w:ascii="Arial" w:hAnsi="Arial" w:cs="Arial"/>
                <w:bCs/>
                <w:sz w:val="18"/>
                <w:szCs w:val="18"/>
              </w:rPr>
            </w:pPr>
          </w:p>
        </w:tc>
        <w:tc>
          <w:tcPr>
            <w:tcW w:w="3004" w:type="dxa"/>
            <w:shd w:val="clear" w:color="auto" w:fill="BFBFBF" w:themeFill="background1" w:themeFillShade="BF"/>
          </w:tcPr>
          <w:p w14:paraId="21777BA3" w14:textId="77777777" w:rsidR="00AD796A" w:rsidRPr="007B38F5" w:rsidRDefault="00AD796A" w:rsidP="00D124BD">
            <w:pPr>
              <w:spacing w:before="40" w:after="40" w:line="256" w:lineRule="auto"/>
              <w:jc w:val="center"/>
              <w:rPr>
                <w:rFonts w:ascii="Arial" w:hAnsi="Arial" w:cs="Arial"/>
                <w:bCs/>
                <w:sz w:val="18"/>
                <w:szCs w:val="18"/>
              </w:rPr>
            </w:pPr>
          </w:p>
        </w:tc>
      </w:tr>
      <w:tr w:rsidR="002108B2" w:rsidRPr="00AF1814" w14:paraId="09B4F8AB" w14:textId="77777777" w:rsidTr="00AD796A">
        <w:trPr>
          <w:cantSplit/>
          <w:jc w:val="center"/>
        </w:trPr>
        <w:tc>
          <w:tcPr>
            <w:tcW w:w="1312" w:type="dxa"/>
            <w:shd w:val="clear" w:color="auto" w:fill="auto"/>
            <w:vAlign w:val="center"/>
          </w:tcPr>
          <w:p w14:paraId="3F04E850" w14:textId="77777777" w:rsidR="00D124BD" w:rsidRPr="007B38F5" w:rsidRDefault="00DA3174" w:rsidP="00D124BD">
            <w:pPr>
              <w:spacing w:before="40" w:after="40" w:line="256" w:lineRule="auto"/>
              <w:ind w:right="-70"/>
              <w:jc w:val="left"/>
              <w:rPr>
                <w:rFonts w:ascii="Arial" w:hAnsi="Arial"/>
                <w:sz w:val="18"/>
              </w:rPr>
            </w:pPr>
            <w:r w:rsidRPr="007B38F5">
              <w:rPr>
                <w:rFonts w:ascii="Arial" w:hAnsi="Arial"/>
                <w:sz w:val="18"/>
              </w:rPr>
              <w:t>12-lead ECG</w:t>
            </w:r>
          </w:p>
        </w:tc>
        <w:tc>
          <w:tcPr>
            <w:tcW w:w="6338" w:type="dxa"/>
            <w:gridSpan w:val="9"/>
            <w:shd w:val="clear" w:color="auto" w:fill="FFFFFF" w:themeFill="background1"/>
            <w:vAlign w:val="center"/>
          </w:tcPr>
          <w:p w14:paraId="3A5126B2" w14:textId="77777777" w:rsidR="00D124BD" w:rsidRPr="007B38F5" w:rsidRDefault="00DA3174" w:rsidP="00D124BD">
            <w:pPr>
              <w:spacing w:before="40" w:after="40" w:line="256" w:lineRule="auto"/>
              <w:jc w:val="center"/>
              <w:rPr>
                <w:rFonts w:ascii="Arial" w:hAnsi="Arial"/>
                <w:sz w:val="18"/>
              </w:rPr>
            </w:pPr>
            <w:r w:rsidRPr="007B38F5">
              <w:rPr>
                <w:rFonts w:ascii="Arial" w:hAnsi="Arial"/>
                <w:sz w:val="18"/>
              </w:rPr>
              <w:t>12-lead ECG will be repeated if clinically indicated</w:t>
            </w:r>
          </w:p>
        </w:tc>
        <w:tc>
          <w:tcPr>
            <w:tcW w:w="1134" w:type="dxa"/>
            <w:shd w:val="clear" w:color="auto" w:fill="BFBFBF" w:themeFill="background1" w:themeFillShade="BF"/>
          </w:tcPr>
          <w:p w14:paraId="56464824" w14:textId="77777777" w:rsidR="00D124BD" w:rsidRPr="007B38F5" w:rsidRDefault="00D124BD" w:rsidP="00D124BD">
            <w:pPr>
              <w:spacing w:before="40" w:after="40" w:line="256" w:lineRule="auto"/>
              <w:jc w:val="center"/>
              <w:rPr>
                <w:rFonts w:ascii="Arial" w:hAnsi="Arial" w:cs="Arial"/>
                <w:bCs/>
                <w:sz w:val="18"/>
                <w:szCs w:val="18"/>
              </w:rPr>
            </w:pPr>
          </w:p>
        </w:tc>
        <w:tc>
          <w:tcPr>
            <w:tcW w:w="1134" w:type="dxa"/>
            <w:shd w:val="clear" w:color="auto" w:fill="BFBFBF" w:themeFill="background1" w:themeFillShade="BF"/>
          </w:tcPr>
          <w:p w14:paraId="614A5FDF" w14:textId="77777777" w:rsidR="00D124BD" w:rsidRPr="007B38F5" w:rsidRDefault="00D124BD" w:rsidP="00D124BD">
            <w:pPr>
              <w:spacing w:before="40" w:after="40" w:line="256" w:lineRule="auto"/>
              <w:jc w:val="center"/>
              <w:rPr>
                <w:rFonts w:ascii="Arial" w:hAnsi="Arial" w:cs="Arial"/>
                <w:bCs/>
                <w:sz w:val="18"/>
                <w:szCs w:val="18"/>
              </w:rPr>
            </w:pPr>
          </w:p>
        </w:tc>
        <w:tc>
          <w:tcPr>
            <w:tcW w:w="3004" w:type="dxa"/>
            <w:shd w:val="clear" w:color="auto" w:fill="BFBFBF" w:themeFill="background1" w:themeFillShade="BF"/>
          </w:tcPr>
          <w:p w14:paraId="7D4CE332" w14:textId="77777777" w:rsidR="00D124BD" w:rsidRPr="007B38F5" w:rsidRDefault="00D124BD" w:rsidP="00D124BD">
            <w:pPr>
              <w:spacing w:before="40" w:after="40" w:line="256" w:lineRule="auto"/>
              <w:jc w:val="center"/>
              <w:rPr>
                <w:rFonts w:ascii="Arial" w:hAnsi="Arial" w:cs="Arial"/>
                <w:bCs/>
                <w:sz w:val="18"/>
                <w:szCs w:val="18"/>
              </w:rPr>
            </w:pPr>
          </w:p>
        </w:tc>
      </w:tr>
      <w:tr w:rsidR="002108B2" w:rsidRPr="00AF1814" w14:paraId="694EACBC" w14:textId="77777777" w:rsidTr="00F538BA">
        <w:trPr>
          <w:cantSplit/>
          <w:jc w:val="center"/>
        </w:trPr>
        <w:tc>
          <w:tcPr>
            <w:tcW w:w="12922" w:type="dxa"/>
            <w:gridSpan w:val="13"/>
            <w:shd w:val="clear" w:color="auto" w:fill="auto"/>
            <w:vAlign w:val="center"/>
            <w:hideMark/>
          </w:tcPr>
          <w:p w14:paraId="7EB46334" w14:textId="77777777" w:rsidR="00D124BD" w:rsidRPr="007B38F5" w:rsidRDefault="00DA3174" w:rsidP="00355813">
            <w:pPr>
              <w:keepNext/>
              <w:spacing w:before="40" w:after="40" w:line="257" w:lineRule="auto"/>
              <w:jc w:val="center"/>
              <w:rPr>
                <w:rFonts w:ascii="Arial" w:hAnsi="Arial"/>
                <w:b/>
                <w:bCs/>
                <w:sz w:val="18"/>
              </w:rPr>
            </w:pPr>
            <w:r w:rsidRPr="007B38F5">
              <w:rPr>
                <w:rFonts w:ascii="Arial" w:hAnsi="Arial"/>
                <w:b/>
                <w:bCs/>
                <w:sz w:val="18"/>
              </w:rPr>
              <w:t>Laboratory Assessments</w:t>
            </w:r>
          </w:p>
        </w:tc>
      </w:tr>
      <w:tr w:rsidR="002108B2" w:rsidRPr="00AF1814" w14:paraId="15045E79" w14:textId="77777777" w:rsidTr="00AD796A">
        <w:trPr>
          <w:cantSplit/>
          <w:jc w:val="center"/>
        </w:trPr>
        <w:tc>
          <w:tcPr>
            <w:tcW w:w="1312" w:type="dxa"/>
            <w:shd w:val="clear" w:color="auto" w:fill="auto"/>
            <w:vAlign w:val="center"/>
          </w:tcPr>
          <w:p w14:paraId="0A45A967" w14:textId="77777777" w:rsidR="00D124BD" w:rsidRPr="007B38F5" w:rsidRDefault="00DA3174" w:rsidP="00D124BD">
            <w:pPr>
              <w:keepLines/>
              <w:widowControl w:val="0"/>
              <w:spacing w:before="40" w:after="40"/>
              <w:jc w:val="left"/>
              <w:rPr>
                <w:rFonts w:ascii="Arial" w:hAnsi="Arial"/>
                <w:sz w:val="18"/>
              </w:rPr>
            </w:pPr>
            <w:r w:rsidRPr="007B38F5">
              <w:rPr>
                <w:rFonts w:ascii="Arial" w:hAnsi="Arial"/>
                <w:sz w:val="18"/>
              </w:rPr>
              <w:t>Virology serology</w:t>
            </w:r>
          </w:p>
          <w:p w14:paraId="2D80869F" w14:textId="77777777" w:rsidR="00D124BD" w:rsidRPr="007B38F5" w:rsidRDefault="00DA3174" w:rsidP="00D124BD">
            <w:pPr>
              <w:spacing w:before="40" w:after="40" w:line="256" w:lineRule="auto"/>
              <w:ind w:right="-70"/>
              <w:jc w:val="left"/>
              <w:rPr>
                <w:rFonts w:ascii="Arial" w:hAnsi="Arial"/>
                <w:sz w:val="18"/>
              </w:rPr>
            </w:pPr>
            <w:r w:rsidRPr="007B38F5">
              <w:rPr>
                <w:rFonts w:ascii="Arial" w:hAnsi="Arial"/>
                <w:sz w:val="18"/>
              </w:rPr>
              <w:t>(HIV)</w:t>
            </w:r>
          </w:p>
        </w:tc>
        <w:tc>
          <w:tcPr>
            <w:tcW w:w="6338" w:type="dxa"/>
            <w:gridSpan w:val="9"/>
            <w:shd w:val="clear" w:color="auto" w:fill="FFFFFF" w:themeFill="background1"/>
            <w:vAlign w:val="center"/>
          </w:tcPr>
          <w:p w14:paraId="36B95010" w14:textId="77777777" w:rsidR="00D124BD" w:rsidRPr="007B38F5" w:rsidRDefault="00DA3174" w:rsidP="00CC71B7">
            <w:pPr>
              <w:spacing w:before="40" w:after="40" w:line="256" w:lineRule="auto"/>
              <w:jc w:val="center"/>
              <w:rPr>
                <w:rFonts w:ascii="Arial" w:hAnsi="Arial"/>
                <w:sz w:val="18"/>
              </w:rPr>
            </w:pPr>
            <w:r w:rsidRPr="007B38F5">
              <w:rPr>
                <w:rFonts w:ascii="Arial" w:hAnsi="Arial"/>
                <w:sz w:val="18"/>
              </w:rPr>
              <w:t>As clinically indicated in participants with a history of HIV infection</w:t>
            </w:r>
          </w:p>
        </w:tc>
        <w:tc>
          <w:tcPr>
            <w:tcW w:w="1134" w:type="dxa"/>
            <w:shd w:val="clear" w:color="auto" w:fill="BFBFBF" w:themeFill="background1" w:themeFillShade="BF"/>
          </w:tcPr>
          <w:p w14:paraId="7E414888" w14:textId="77777777" w:rsidR="00D124BD" w:rsidRPr="007B38F5" w:rsidRDefault="00D124BD" w:rsidP="00D124BD">
            <w:pPr>
              <w:spacing w:before="40" w:after="40" w:line="256" w:lineRule="auto"/>
              <w:jc w:val="left"/>
              <w:rPr>
                <w:rFonts w:ascii="Arial" w:hAnsi="Arial"/>
                <w:sz w:val="18"/>
              </w:rPr>
            </w:pPr>
          </w:p>
        </w:tc>
        <w:tc>
          <w:tcPr>
            <w:tcW w:w="1134" w:type="dxa"/>
            <w:shd w:val="clear" w:color="auto" w:fill="BFBFBF" w:themeFill="background1" w:themeFillShade="BF"/>
          </w:tcPr>
          <w:p w14:paraId="298877A1" w14:textId="77777777" w:rsidR="00D124BD" w:rsidRPr="007B38F5" w:rsidRDefault="00D124BD" w:rsidP="00D124BD">
            <w:pPr>
              <w:spacing w:before="40" w:after="40" w:line="256" w:lineRule="auto"/>
              <w:jc w:val="left"/>
              <w:rPr>
                <w:rFonts w:ascii="Arial" w:hAnsi="Arial"/>
                <w:sz w:val="18"/>
              </w:rPr>
            </w:pPr>
          </w:p>
        </w:tc>
        <w:tc>
          <w:tcPr>
            <w:tcW w:w="3004" w:type="dxa"/>
            <w:shd w:val="clear" w:color="auto" w:fill="auto"/>
          </w:tcPr>
          <w:p w14:paraId="73621674" w14:textId="77777777" w:rsidR="00D124BD" w:rsidRPr="007B38F5" w:rsidRDefault="00DA3174" w:rsidP="00D124BD">
            <w:pPr>
              <w:spacing w:before="40" w:after="40" w:line="256" w:lineRule="auto"/>
              <w:jc w:val="left"/>
              <w:rPr>
                <w:rFonts w:ascii="Arial" w:hAnsi="Arial"/>
                <w:sz w:val="18"/>
              </w:rPr>
            </w:pPr>
            <w:r w:rsidRPr="007B38F5">
              <w:rPr>
                <w:rFonts w:ascii="Arial" w:hAnsi="Arial" w:cs="Arial"/>
                <w:sz w:val="18"/>
                <w:szCs w:val="18"/>
              </w:rPr>
              <w:t>HIV testing is not mandatory. Previous data should be collected in medical history. If a test is performed at any point at Screening or while on study, a site must consent the participant for HIV testing as per local standard guidance.</w:t>
            </w:r>
          </w:p>
        </w:tc>
      </w:tr>
      <w:tr w:rsidR="002108B2" w:rsidRPr="00AF1814" w14:paraId="52A8D9DB" w14:textId="77777777" w:rsidTr="00AD796A">
        <w:trPr>
          <w:cantSplit/>
          <w:jc w:val="center"/>
        </w:trPr>
        <w:tc>
          <w:tcPr>
            <w:tcW w:w="1312" w:type="dxa"/>
            <w:shd w:val="clear" w:color="auto" w:fill="auto"/>
            <w:vAlign w:val="center"/>
          </w:tcPr>
          <w:p w14:paraId="63A90506" w14:textId="77777777" w:rsidR="00D124BD" w:rsidRPr="007B38F5" w:rsidRDefault="00DA3174" w:rsidP="00D124BD">
            <w:pPr>
              <w:keepLines/>
              <w:widowControl w:val="0"/>
              <w:spacing w:before="40" w:after="40"/>
              <w:jc w:val="left"/>
              <w:rPr>
                <w:rFonts w:ascii="Arial" w:hAnsi="Arial"/>
                <w:sz w:val="18"/>
              </w:rPr>
            </w:pPr>
            <w:r w:rsidRPr="007B38F5">
              <w:rPr>
                <w:rFonts w:ascii="Arial" w:hAnsi="Arial"/>
                <w:sz w:val="18"/>
              </w:rPr>
              <w:t>Viral serology</w:t>
            </w:r>
          </w:p>
          <w:p w14:paraId="66329271" w14:textId="77777777" w:rsidR="00D124BD" w:rsidRPr="007B38F5" w:rsidRDefault="00DA3174" w:rsidP="00D124BD">
            <w:pPr>
              <w:spacing w:before="40" w:after="40" w:line="256" w:lineRule="auto"/>
              <w:ind w:right="-70"/>
              <w:jc w:val="left"/>
              <w:rPr>
                <w:rFonts w:ascii="Arial" w:hAnsi="Arial"/>
                <w:sz w:val="18"/>
              </w:rPr>
            </w:pPr>
            <w:r w:rsidRPr="007B38F5">
              <w:rPr>
                <w:rFonts w:ascii="Arial" w:hAnsi="Arial"/>
                <w:sz w:val="18"/>
              </w:rPr>
              <w:t>(HBV and HCV)</w:t>
            </w:r>
          </w:p>
        </w:tc>
        <w:tc>
          <w:tcPr>
            <w:tcW w:w="6338" w:type="dxa"/>
            <w:gridSpan w:val="9"/>
            <w:shd w:val="clear" w:color="auto" w:fill="FFFFFF" w:themeFill="background1"/>
            <w:vAlign w:val="center"/>
          </w:tcPr>
          <w:p w14:paraId="3D28DC08" w14:textId="77777777" w:rsidR="00D124BD" w:rsidRPr="007B38F5" w:rsidRDefault="00DA3174" w:rsidP="00CC71B7">
            <w:pPr>
              <w:spacing w:before="40" w:after="40" w:line="256" w:lineRule="auto"/>
              <w:jc w:val="center"/>
              <w:rPr>
                <w:rFonts w:ascii="Arial" w:hAnsi="Arial"/>
                <w:sz w:val="18"/>
              </w:rPr>
            </w:pPr>
            <w:r w:rsidRPr="007B38F5">
              <w:rPr>
                <w:rFonts w:ascii="Arial" w:hAnsi="Arial"/>
                <w:sz w:val="18"/>
              </w:rPr>
              <w:t>As clinically indicated in participants with a history of</w:t>
            </w:r>
            <w:r w:rsidR="00783EBC" w:rsidRPr="007B38F5">
              <w:rPr>
                <w:rFonts w:ascii="Arial" w:hAnsi="Arial"/>
                <w:sz w:val="18"/>
              </w:rPr>
              <w:t xml:space="preserve"> </w:t>
            </w:r>
            <w:r w:rsidR="00783EBC" w:rsidRPr="007B38F5">
              <w:rPr>
                <w:rFonts w:ascii="Arial" w:hAnsi="Arial" w:cs="Arial"/>
                <w:sz w:val="18"/>
                <w:szCs w:val="18"/>
                <w:lang w:eastAsia="ja-JP"/>
              </w:rPr>
              <w:t>HBV or HCV infection</w:t>
            </w:r>
          </w:p>
        </w:tc>
        <w:tc>
          <w:tcPr>
            <w:tcW w:w="1134" w:type="dxa"/>
            <w:shd w:val="clear" w:color="auto" w:fill="BFBFBF" w:themeFill="background1" w:themeFillShade="BF"/>
          </w:tcPr>
          <w:p w14:paraId="638DF6B8" w14:textId="77777777" w:rsidR="00D124BD" w:rsidRPr="007B38F5" w:rsidRDefault="00D124BD" w:rsidP="00D124BD">
            <w:pPr>
              <w:spacing w:before="40" w:after="40" w:line="256" w:lineRule="auto"/>
              <w:jc w:val="left"/>
              <w:rPr>
                <w:rFonts w:ascii="Arial" w:hAnsi="Arial"/>
                <w:sz w:val="18"/>
              </w:rPr>
            </w:pPr>
          </w:p>
        </w:tc>
        <w:tc>
          <w:tcPr>
            <w:tcW w:w="1134" w:type="dxa"/>
            <w:shd w:val="clear" w:color="auto" w:fill="BFBFBF" w:themeFill="background1" w:themeFillShade="BF"/>
          </w:tcPr>
          <w:p w14:paraId="583EEC8D" w14:textId="77777777" w:rsidR="00D124BD" w:rsidRPr="007B38F5" w:rsidRDefault="00D124BD" w:rsidP="00D124BD">
            <w:pPr>
              <w:spacing w:before="40" w:after="40" w:line="256" w:lineRule="auto"/>
              <w:jc w:val="left"/>
              <w:rPr>
                <w:rFonts w:ascii="Arial" w:hAnsi="Arial"/>
                <w:sz w:val="18"/>
              </w:rPr>
            </w:pPr>
          </w:p>
        </w:tc>
        <w:tc>
          <w:tcPr>
            <w:tcW w:w="3004" w:type="dxa"/>
            <w:shd w:val="clear" w:color="auto" w:fill="BFBFBF" w:themeFill="background1" w:themeFillShade="BF"/>
          </w:tcPr>
          <w:p w14:paraId="0105B2CC" w14:textId="77777777" w:rsidR="00D124BD" w:rsidRPr="007B38F5" w:rsidRDefault="00D124BD" w:rsidP="00D124BD">
            <w:pPr>
              <w:spacing w:before="40" w:after="40" w:line="256" w:lineRule="auto"/>
              <w:jc w:val="left"/>
              <w:rPr>
                <w:rFonts w:ascii="Arial" w:hAnsi="Arial"/>
                <w:sz w:val="18"/>
              </w:rPr>
            </w:pPr>
          </w:p>
        </w:tc>
      </w:tr>
      <w:tr w:rsidR="002108B2" w:rsidRPr="00AF1814" w14:paraId="56EAE246" w14:textId="77777777" w:rsidTr="00AD796A">
        <w:trPr>
          <w:cantSplit/>
          <w:jc w:val="center"/>
        </w:trPr>
        <w:tc>
          <w:tcPr>
            <w:tcW w:w="1312" w:type="dxa"/>
            <w:shd w:val="clear" w:color="auto" w:fill="auto"/>
            <w:vAlign w:val="center"/>
            <w:hideMark/>
          </w:tcPr>
          <w:p w14:paraId="32BA84AC" w14:textId="77777777" w:rsidR="00AD796A" w:rsidRPr="00AF1814" w:rsidRDefault="00DA3174" w:rsidP="00D124BD">
            <w:pPr>
              <w:spacing w:before="40" w:after="40" w:line="256" w:lineRule="auto"/>
              <w:ind w:right="-70"/>
              <w:jc w:val="left"/>
              <w:rPr>
                <w:rFonts w:ascii="Arial" w:eastAsia="Arial" w:hAnsi="Arial" w:cs="Arial"/>
                <w:color w:val="365F91" w:themeColor="accent1" w:themeShade="BF"/>
                <w:sz w:val="18"/>
              </w:rPr>
            </w:pPr>
            <w:r w:rsidRPr="00AF1814">
              <w:rPr>
                <w:rFonts w:ascii="Arial" w:hAnsi="Arial"/>
                <w:sz w:val="18"/>
              </w:rPr>
              <w:t>Hematology</w:t>
            </w:r>
          </w:p>
        </w:tc>
        <w:tc>
          <w:tcPr>
            <w:tcW w:w="526" w:type="dxa"/>
            <w:shd w:val="clear" w:color="auto" w:fill="FFFFFF" w:themeFill="background1"/>
            <w:vAlign w:val="center"/>
            <w:hideMark/>
          </w:tcPr>
          <w:p w14:paraId="38807ED2"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shd w:val="clear" w:color="auto" w:fill="auto"/>
            <w:vAlign w:val="center"/>
          </w:tcPr>
          <w:p w14:paraId="348E0AF1"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shd w:val="clear" w:color="auto" w:fill="auto"/>
            <w:vAlign w:val="center"/>
          </w:tcPr>
          <w:p w14:paraId="4846926C"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shd w:val="clear" w:color="auto" w:fill="auto"/>
            <w:vAlign w:val="center"/>
          </w:tcPr>
          <w:p w14:paraId="566C0F07"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shd w:val="clear" w:color="auto" w:fill="auto"/>
            <w:vAlign w:val="center"/>
          </w:tcPr>
          <w:p w14:paraId="0A895890"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shd w:val="clear" w:color="auto" w:fill="auto"/>
            <w:vAlign w:val="center"/>
          </w:tcPr>
          <w:p w14:paraId="521737B2"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851" w:type="dxa"/>
            <w:shd w:val="clear" w:color="auto" w:fill="auto"/>
            <w:vAlign w:val="center"/>
          </w:tcPr>
          <w:p w14:paraId="5FC08805"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Every 3 weeks</w:t>
            </w:r>
          </w:p>
        </w:tc>
        <w:tc>
          <w:tcPr>
            <w:tcW w:w="1134" w:type="dxa"/>
            <w:shd w:val="clear" w:color="auto" w:fill="auto"/>
            <w:vAlign w:val="center"/>
            <w:hideMark/>
          </w:tcPr>
          <w:p w14:paraId="782F1848"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992" w:type="dxa"/>
            <w:shd w:val="clear" w:color="auto" w:fill="auto"/>
            <w:vAlign w:val="center"/>
            <w:hideMark/>
          </w:tcPr>
          <w:p w14:paraId="41C374A6"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X</w:t>
            </w:r>
          </w:p>
        </w:tc>
        <w:tc>
          <w:tcPr>
            <w:tcW w:w="1134" w:type="dxa"/>
            <w:shd w:val="clear" w:color="auto" w:fill="BFBFBF" w:themeFill="background1" w:themeFillShade="BF"/>
          </w:tcPr>
          <w:p w14:paraId="025ECCC4" w14:textId="77777777" w:rsidR="00AD796A" w:rsidRPr="00AF1814" w:rsidRDefault="00AD796A" w:rsidP="00D124BD">
            <w:pPr>
              <w:spacing w:before="40" w:after="40" w:line="256" w:lineRule="auto"/>
              <w:jc w:val="left"/>
              <w:rPr>
                <w:rFonts w:ascii="Arial" w:hAnsi="Arial"/>
                <w:sz w:val="18"/>
              </w:rPr>
            </w:pPr>
          </w:p>
        </w:tc>
        <w:tc>
          <w:tcPr>
            <w:tcW w:w="1134" w:type="dxa"/>
            <w:shd w:val="clear" w:color="auto" w:fill="BFBFBF" w:themeFill="background1" w:themeFillShade="BF"/>
          </w:tcPr>
          <w:p w14:paraId="09E2211F" w14:textId="77777777" w:rsidR="00AD796A" w:rsidRPr="00AF1814" w:rsidRDefault="00AD796A" w:rsidP="00D124BD">
            <w:pPr>
              <w:spacing w:before="40" w:after="40" w:line="256" w:lineRule="auto"/>
              <w:jc w:val="left"/>
              <w:rPr>
                <w:rFonts w:ascii="Arial" w:hAnsi="Arial"/>
                <w:sz w:val="18"/>
              </w:rPr>
            </w:pPr>
          </w:p>
        </w:tc>
        <w:tc>
          <w:tcPr>
            <w:tcW w:w="3004" w:type="dxa"/>
          </w:tcPr>
          <w:p w14:paraId="431D524B" w14:textId="1CC82FFD" w:rsidR="00AD796A" w:rsidRPr="00AF1814" w:rsidRDefault="00DA3174" w:rsidP="00D124BD">
            <w:pPr>
              <w:spacing w:before="40" w:after="40" w:line="256" w:lineRule="auto"/>
              <w:jc w:val="left"/>
              <w:rPr>
                <w:rFonts w:ascii="Arial" w:hAnsi="Arial"/>
                <w:sz w:val="18"/>
              </w:rPr>
            </w:pPr>
            <w:r w:rsidRPr="00AF1814">
              <w:rPr>
                <w:rFonts w:ascii="Arial" w:hAnsi="Arial"/>
                <w:sz w:val="18"/>
              </w:rPr>
              <w:t xml:space="preserve">Hematology is listed in </w:t>
            </w:r>
            <w:hyperlink w:anchor="_Appendix_5_Clinical" w:history="1">
              <w:r w:rsidRPr="00AF1814">
                <w:rPr>
                  <w:rStyle w:val="Hyperlink"/>
                  <w:rFonts w:ascii="Arial" w:hAnsi="Arial"/>
                  <w:sz w:val="18"/>
                </w:rPr>
                <w:t>Appendix 5</w:t>
              </w:r>
            </w:hyperlink>
            <w:r w:rsidRPr="00AF1814">
              <w:rPr>
                <w:rFonts w:ascii="Arial" w:hAnsi="Arial"/>
                <w:sz w:val="18"/>
              </w:rPr>
              <w:t xml:space="preserve"> for details on blood tests. Samples must also be drawn prior to dosing and results of selected laboratory tests (see </w:t>
            </w:r>
            <w:hyperlink w:anchor="_Appendix_5_Clinical" w:history="1">
              <w:r w:rsidRPr="00AF1814">
                <w:rPr>
                  <w:rStyle w:val="Hyperlink"/>
                  <w:rFonts w:ascii="Arial" w:hAnsi="Arial"/>
                  <w:sz w:val="18"/>
                </w:rPr>
                <w:t>Appendix 5</w:t>
              </w:r>
            </w:hyperlink>
            <w:r w:rsidRPr="00AF1814">
              <w:rPr>
                <w:rFonts w:ascii="Arial" w:hAnsi="Arial"/>
                <w:sz w:val="18"/>
              </w:rPr>
              <w:t>) must be reviewed within 3 days prior to dosing.</w:t>
            </w:r>
          </w:p>
        </w:tc>
      </w:tr>
      <w:tr w:rsidR="002108B2" w:rsidRPr="00AF1814" w14:paraId="460F791A" w14:textId="77777777" w:rsidTr="00AD796A">
        <w:trPr>
          <w:cantSplit/>
          <w:jc w:val="center"/>
        </w:trPr>
        <w:tc>
          <w:tcPr>
            <w:tcW w:w="1312" w:type="dxa"/>
            <w:shd w:val="clear" w:color="auto" w:fill="auto"/>
            <w:vAlign w:val="center"/>
          </w:tcPr>
          <w:p w14:paraId="0BF77C96" w14:textId="77777777" w:rsidR="00AD796A" w:rsidRPr="00AF1814" w:rsidRDefault="00DA3174" w:rsidP="00D124BD">
            <w:pPr>
              <w:spacing w:before="40" w:after="40" w:line="256" w:lineRule="auto"/>
              <w:ind w:right="-70"/>
              <w:jc w:val="left"/>
              <w:rPr>
                <w:rFonts w:ascii="Arial" w:hAnsi="Arial"/>
                <w:color w:val="365F91" w:themeColor="accent1" w:themeShade="BF"/>
                <w:sz w:val="18"/>
              </w:rPr>
            </w:pPr>
            <w:r w:rsidRPr="00AF1814">
              <w:rPr>
                <w:rFonts w:ascii="Arial" w:hAnsi="Arial"/>
                <w:sz w:val="18"/>
              </w:rPr>
              <w:lastRenderedPageBreak/>
              <w:t>Biochemistry</w:t>
            </w:r>
          </w:p>
        </w:tc>
        <w:tc>
          <w:tcPr>
            <w:tcW w:w="526" w:type="dxa"/>
            <w:shd w:val="clear" w:color="auto" w:fill="FFFFFF" w:themeFill="background1"/>
            <w:vAlign w:val="center"/>
          </w:tcPr>
          <w:p w14:paraId="30734236"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shd w:val="clear" w:color="auto" w:fill="auto"/>
            <w:vAlign w:val="center"/>
          </w:tcPr>
          <w:p w14:paraId="50BFE28A"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shd w:val="clear" w:color="auto" w:fill="auto"/>
            <w:vAlign w:val="center"/>
          </w:tcPr>
          <w:p w14:paraId="6C62A890"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shd w:val="clear" w:color="auto" w:fill="auto"/>
            <w:vAlign w:val="center"/>
          </w:tcPr>
          <w:p w14:paraId="1FE993C0"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shd w:val="clear" w:color="auto" w:fill="auto"/>
            <w:vAlign w:val="center"/>
          </w:tcPr>
          <w:p w14:paraId="5ED5F4E8"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shd w:val="clear" w:color="auto" w:fill="auto"/>
            <w:vAlign w:val="center"/>
          </w:tcPr>
          <w:p w14:paraId="51213F0C"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851" w:type="dxa"/>
            <w:shd w:val="clear" w:color="auto" w:fill="auto"/>
            <w:vAlign w:val="center"/>
          </w:tcPr>
          <w:p w14:paraId="037C963D" w14:textId="77777777" w:rsidR="00AD796A" w:rsidRPr="00AF1814" w:rsidRDefault="00DA3174" w:rsidP="00D124BD">
            <w:pPr>
              <w:spacing w:before="40" w:after="40" w:line="256" w:lineRule="auto"/>
              <w:jc w:val="center"/>
              <w:rPr>
                <w:rFonts w:ascii="Arial" w:hAnsi="Arial"/>
                <w:sz w:val="18"/>
              </w:rPr>
            </w:pPr>
            <w:r w:rsidRPr="00AF1814">
              <w:rPr>
                <w:rFonts w:ascii="Arial" w:hAnsi="Arial"/>
                <w:sz w:val="18"/>
              </w:rPr>
              <w:t>Every 3 weeks</w:t>
            </w:r>
          </w:p>
        </w:tc>
        <w:tc>
          <w:tcPr>
            <w:tcW w:w="1134" w:type="dxa"/>
            <w:shd w:val="clear" w:color="auto" w:fill="auto"/>
            <w:vAlign w:val="center"/>
          </w:tcPr>
          <w:p w14:paraId="5D9C64B2" w14:textId="77777777" w:rsidR="00AD796A" w:rsidRPr="00AF1814" w:rsidRDefault="00DA3174" w:rsidP="00D124BD">
            <w:pPr>
              <w:spacing w:before="40" w:after="40" w:line="256" w:lineRule="auto"/>
              <w:jc w:val="center"/>
              <w:rPr>
                <w:rFonts w:ascii="Arial" w:hAnsi="Arial"/>
                <w:sz w:val="18"/>
              </w:rPr>
            </w:pPr>
            <w:r w:rsidRPr="00AF1814">
              <w:rPr>
                <w:rFonts w:ascii="Arial" w:hAnsi="Arial"/>
                <w:sz w:val="18"/>
              </w:rPr>
              <w:t>X</w:t>
            </w:r>
          </w:p>
        </w:tc>
        <w:tc>
          <w:tcPr>
            <w:tcW w:w="992" w:type="dxa"/>
            <w:shd w:val="clear" w:color="auto" w:fill="auto"/>
            <w:vAlign w:val="center"/>
          </w:tcPr>
          <w:p w14:paraId="53CFE5E4" w14:textId="77777777" w:rsidR="00AD796A" w:rsidRPr="00AF1814" w:rsidRDefault="00DA3174" w:rsidP="00D124BD">
            <w:pPr>
              <w:spacing w:before="40" w:after="40" w:line="256" w:lineRule="auto"/>
              <w:jc w:val="center"/>
              <w:rPr>
                <w:rFonts w:ascii="Arial" w:hAnsi="Arial"/>
                <w:sz w:val="18"/>
              </w:rPr>
            </w:pPr>
            <w:r w:rsidRPr="00AF1814">
              <w:rPr>
                <w:rFonts w:ascii="Arial" w:hAnsi="Arial"/>
                <w:sz w:val="18"/>
              </w:rPr>
              <w:t>X</w:t>
            </w:r>
          </w:p>
        </w:tc>
        <w:tc>
          <w:tcPr>
            <w:tcW w:w="1134" w:type="dxa"/>
            <w:shd w:val="clear" w:color="auto" w:fill="BFBFBF" w:themeFill="background1" w:themeFillShade="BF"/>
          </w:tcPr>
          <w:p w14:paraId="69B344E0" w14:textId="77777777" w:rsidR="00AD796A" w:rsidRPr="00AF1814" w:rsidRDefault="00AD796A" w:rsidP="00D124BD">
            <w:pPr>
              <w:spacing w:before="40" w:after="40" w:line="256" w:lineRule="auto"/>
              <w:jc w:val="left"/>
              <w:rPr>
                <w:rFonts w:ascii="Arial" w:hAnsi="Arial"/>
                <w:sz w:val="18"/>
              </w:rPr>
            </w:pPr>
          </w:p>
        </w:tc>
        <w:tc>
          <w:tcPr>
            <w:tcW w:w="1134" w:type="dxa"/>
            <w:shd w:val="clear" w:color="auto" w:fill="BFBFBF" w:themeFill="background1" w:themeFillShade="BF"/>
          </w:tcPr>
          <w:p w14:paraId="1D66388B" w14:textId="77777777" w:rsidR="00AD796A" w:rsidRPr="00AF1814" w:rsidRDefault="00AD796A" w:rsidP="00D124BD">
            <w:pPr>
              <w:spacing w:before="40" w:after="40" w:line="256" w:lineRule="auto"/>
              <w:jc w:val="left"/>
              <w:rPr>
                <w:rFonts w:ascii="Arial" w:hAnsi="Arial"/>
                <w:sz w:val="18"/>
              </w:rPr>
            </w:pPr>
          </w:p>
        </w:tc>
        <w:tc>
          <w:tcPr>
            <w:tcW w:w="3004" w:type="dxa"/>
          </w:tcPr>
          <w:p w14:paraId="7593E6F0" w14:textId="77DFD2C7" w:rsidR="00AD796A" w:rsidRPr="00AF1814" w:rsidRDefault="00DA3174" w:rsidP="00D124BD">
            <w:pPr>
              <w:spacing w:before="40" w:after="40" w:line="256" w:lineRule="auto"/>
              <w:jc w:val="left"/>
              <w:rPr>
                <w:rFonts w:ascii="Arial" w:hAnsi="Arial"/>
                <w:sz w:val="18"/>
              </w:rPr>
            </w:pPr>
            <w:r w:rsidRPr="00AF1814">
              <w:rPr>
                <w:rFonts w:ascii="Arial" w:hAnsi="Arial"/>
                <w:sz w:val="18"/>
              </w:rPr>
              <w:t>Biochemistry is listed in</w:t>
            </w:r>
            <w:r w:rsidRPr="00AF1814">
              <w:t xml:space="preserve"> </w:t>
            </w:r>
            <w:hyperlink w:anchor="_Appendix_5_Clinical" w:history="1">
              <w:r w:rsidRPr="00AF1814">
                <w:rPr>
                  <w:rStyle w:val="Hyperlink"/>
                  <w:rFonts w:ascii="Arial" w:hAnsi="Arial"/>
                  <w:sz w:val="18"/>
                </w:rPr>
                <w:t>Appendix 5</w:t>
              </w:r>
            </w:hyperlink>
            <w:r w:rsidRPr="00AF1814">
              <w:rPr>
                <w:rFonts w:ascii="Arial" w:hAnsi="Arial"/>
                <w:sz w:val="18"/>
              </w:rPr>
              <w:t>. Samples must be drawn prior to dosing and results of selected laboratory tests (see</w:t>
            </w:r>
            <w:r w:rsidRPr="00AF1814">
              <w:t xml:space="preserve"> </w:t>
            </w:r>
            <w:hyperlink w:anchor="_Appendix_5_Clinical" w:history="1">
              <w:r w:rsidRPr="00AF1814">
                <w:rPr>
                  <w:rStyle w:val="Hyperlink"/>
                  <w:rFonts w:ascii="Arial" w:hAnsi="Arial"/>
                  <w:sz w:val="18"/>
                </w:rPr>
                <w:t>Appendix 5</w:t>
              </w:r>
            </w:hyperlink>
            <w:r w:rsidRPr="00AF1814">
              <w:rPr>
                <w:rFonts w:ascii="Arial" w:hAnsi="Arial"/>
                <w:sz w:val="18"/>
              </w:rPr>
              <w:t>) must be reviewed within 3 days prior to dosing.</w:t>
            </w:r>
          </w:p>
        </w:tc>
      </w:tr>
      <w:tr w:rsidR="002108B2" w:rsidRPr="00AF1814" w14:paraId="0BC77897" w14:textId="77777777" w:rsidTr="00AD796A">
        <w:trPr>
          <w:cantSplit/>
          <w:jc w:val="center"/>
        </w:trPr>
        <w:tc>
          <w:tcPr>
            <w:tcW w:w="1312" w:type="dxa"/>
            <w:shd w:val="clear" w:color="auto" w:fill="auto"/>
            <w:vAlign w:val="center"/>
          </w:tcPr>
          <w:p w14:paraId="5AA5B448" w14:textId="77777777" w:rsidR="006C40E9" w:rsidRPr="00AF1814" w:rsidRDefault="00DA3174" w:rsidP="00D124BD">
            <w:pPr>
              <w:spacing w:before="40" w:after="40" w:line="256" w:lineRule="auto"/>
              <w:ind w:right="-70"/>
              <w:jc w:val="left"/>
              <w:rPr>
                <w:rFonts w:ascii="Arial" w:hAnsi="Arial"/>
                <w:sz w:val="18"/>
              </w:rPr>
            </w:pPr>
            <w:r w:rsidRPr="00AF1814">
              <w:rPr>
                <w:rFonts w:ascii="Arial" w:hAnsi="Arial"/>
                <w:sz w:val="18"/>
              </w:rPr>
              <w:t>Coagulation parameters</w:t>
            </w:r>
          </w:p>
        </w:tc>
        <w:tc>
          <w:tcPr>
            <w:tcW w:w="6338" w:type="dxa"/>
            <w:gridSpan w:val="9"/>
            <w:shd w:val="clear" w:color="auto" w:fill="auto"/>
            <w:vAlign w:val="center"/>
          </w:tcPr>
          <w:p w14:paraId="22022632" w14:textId="77777777" w:rsidR="006C40E9" w:rsidRPr="00AF1814" w:rsidRDefault="00DA3174" w:rsidP="00D124BD">
            <w:pPr>
              <w:spacing w:before="40" w:after="40" w:line="256" w:lineRule="auto"/>
              <w:jc w:val="center"/>
              <w:rPr>
                <w:rFonts w:ascii="Arial" w:hAnsi="Arial"/>
                <w:sz w:val="18"/>
              </w:rPr>
            </w:pPr>
            <w:r w:rsidRPr="00AF1814">
              <w:rPr>
                <w:rFonts w:ascii="Arial" w:hAnsi="Arial" w:cs="Arial"/>
                <w:sz w:val="18"/>
                <w:szCs w:val="18"/>
              </w:rPr>
              <w:t>As clinically indicated</w:t>
            </w:r>
          </w:p>
        </w:tc>
        <w:tc>
          <w:tcPr>
            <w:tcW w:w="1134" w:type="dxa"/>
            <w:shd w:val="clear" w:color="auto" w:fill="BFBFBF" w:themeFill="background1" w:themeFillShade="BF"/>
          </w:tcPr>
          <w:p w14:paraId="477FFF31" w14:textId="77777777" w:rsidR="006C40E9" w:rsidRPr="00AF1814" w:rsidRDefault="006C40E9" w:rsidP="00D124BD">
            <w:pPr>
              <w:spacing w:before="40" w:after="40" w:line="256" w:lineRule="auto"/>
              <w:jc w:val="left"/>
              <w:rPr>
                <w:rFonts w:ascii="Arial" w:hAnsi="Arial"/>
                <w:sz w:val="18"/>
              </w:rPr>
            </w:pPr>
          </w:p>
        </w:tc>
        <w:tc>
          <w:tcPr>
            <w:tcW w:w="1134" w:type="dxa"/>
            <w:shd w:val="clear" w:color="auto" w:fill="BFBFBF" w:themeFill="background1" w:themeFillShade="BF"/>
          </w:tcPr>
          <w:p w14:paraId="146DC907" w14:textId="77777777" w:rsidR="006C40E9" w:rsidRPr="00AF1814" w:rsidRDefault="006C40E9" w:rsidP="00D124BD">
            <w:pPr>
              <w:spacing w:before="40" w:after="40" w:line="256" w:lineRule="auto"/>
              <w:jc w:val="left"/>
              <w:rPr>
                <w:rFonts w:ascii="Arial" w:hAnsi="Arial"/>
                <w:sz w:val="18"/>
              </w:rPr>
            </w:pPr>
          </w:p>
        </w:tc>
        <w:tc>
          <w:tcPr>
            <w:tcW w:w="3004" w:type="dxa"/>
            <w:shd w:val="clear" w:color="auto" w:fill="FFFFFF" w:themeFill="background1"/>
            <w:vAlign w:val="center"/>
          </w:tcPr>
          <w:p w14:paraId="52C5DD4B" w14:textId="60A60471" w:rsidR="006C40E9" w:rsidRPr="00AF1814" w:rsidRDefault="00DA3174" w:rsidP="0035444A">
            <w:pPr>
              <w:keepLines/>
              <w:spacing w:before="40" w:after="40"/>
              <w:jc w:val="left"/>
              <w:rPr>
                <w:rFonts w:ascii="Arial" w:hAnsi="Arial" w:cs="Arial"/>
                <w:sz w:val="18"/>
                <w:szCs w:val="18"/>
                <w:lang w:eastAsia="ja-JP"/>
              </w:rPr>
            </w:pPr>
            <w:r w:rsidRPr="00AF1814">
              <w:rPr>
                <w:rFonts w:ascii="Arial" w:hAnsi="Arial"/>
                <w:sz w:val="18"/>
              </w:rPr>
              <w:t xml:space="preserve">See </w:t>
            </w:r>
            <w:hyperlink w:anchor="_Appendix_6_Clinical" w:history="1">
              <w:r w:rsidRPr="00AF1814">
                <w:rPr>
                  <w:rStyle w:val="Hyperlink"/>
                  <w:rFonts w:ascii="Arial" w:hAnsi="Arial"/>
                  <w:sz w:val="18"/>
                </w:rPr>
                <w:t>Appendix 5</w:t>
              </w:r>
            </w:hyperlink>
            <w:r w:rsidRPr="00AF1814">
              <w:rPr>
                <w:rFonts w:ascii="Arial" w:hAnsi="Arial"/>
                <w:sz w:val="18"/>
              </w:rPr>
              <w:t>.</w:t>
            </w:r>
          </w:p>
        </w:tc>
      </w:tr>
      <w:tr w:rsidR="002108B2" w:rsidRPr="00AF1814" w14:paraId="7B4CBCE6" w14:textId="77777777" w:rsidTr="00AD796A">
        <w:trPr>
          <w:cantSplit/>
          <w:jc w:val="center"/>
        </w:trPr>
        <w:tc>
          <w:tcPr>
            <w:tcW w:w="1312" w:type="dxa"/>
            <w:shd w:val="clear" w:color="auto" w:fill="auto"/>
            <w:vAlign w:val="center"/>
            <w:hideMark/>
          </w:tcPr>
          <w:p w14:paraId="7E69F35F" w14:textId="77777777" w:rsidR="00D124BD" w:rsidRPr="00AF1814" w:rsidRDefault="00DA3174" w:rsidP="00D124BD">
            <w:pPr>
              <w:spacing w:before="40" w:after="40" w:line="256" w:lineRule="auto"/>
              <w:ind w:right="-70"/>
              <w:jc w:val="left"/>
              <w:rPr>
                <w:rFonts w:ascii="Arial" w:eastAsia="Arial" w:hAnsi="Arial" w:cs="Arial"/>
                <w:sz w:val="18"/>
              </w:rPr>
            </w:pPr>
            <w:r w:rsidRPr="00AF1814">
              <w:rPr>
                <w:rFonts w:ascii="Arial" w:hAnsi="Arial"/>
                <w:sz w:val="18"/>
              </w:rPr>
              <w:t>Urinalysis</w:t>
            </w:r>
          </w:p>
        </w:tc>
        <w:tc>
          <w:tcPr>
            <w:tcW w:w="6338" w:type="dxa"/>
            <w:gridSpan w:val="9"/>
            <w:shd w:val="clear" w:color="auto" w:fill="auto"/>
            <w:vAlign w:val="center"/>
          </w:tcPr>
          <w:p w14:paraId="41AA7E65" w14:textId="77777777" w:rsidR="00D124BD"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As clinically indicated</w:t>
            </w:r>
          </w:p>
        </w:tc>
        <w:tc>
          <w:tcPr>
            <w:tcW w:w="1134" w:type="dxa"/>
            <w:shd w:val="clear" w:color="auto" w:fill="BFBFBF" w:themeFill="background1" w:themeFillShade="BF"/>
          </w:tcPr>
          <w:p w14:paraId="44BFBE56" w14:textId="77777777" w:rsidR="00D124BD" w:rsidRPr="00AF1814" w:rsidRDefault="00D124BD" w:rsidP="00D124BD">
            <w:pPr>
              <w:spacing w:before="40" w:after="40" w:line="256" w:lineRule="auto"/>
              <w:jc w:val="left"/>
              <w:rPr>
                <w:rFonts w:ascii="Arial" w:hAnsi="Arial"/>
                <w:sz w:val="18"/>
              </w:rPr>
            </w:pPr>
          </w:p>
        </w:tc>
        <w:tc>
          <w:tcPr>
            <w:tcW w:w="1134" w:type="dxa"/>
            <w:shd w:val="clear" w:color="auto" w:fill="BFBFBF" w:themeFill="background1" w:themeFillShade="BF"/>
          </w:tcPr>
          <w:p w14:paraId="0AF5B453" w14:textId="77777777" w:rsidR="00D124BD" w:rsidRPr="00AF1814" w:rsidRDefault="00D124BD" w:rsidP="00D124BD">
            <w:pPr>
              <w:spacing w:before="40" w:after="40" w:line="256" w:lineRule="auto"/>
              <w:jc w:val="left"/>
              <w:rPr>
                <w:rFonts w:ascii="Arial" w:hAnsi="Arial"/>
                <w:sz w:val="18"/>
              </w:rPr>
            </w:pPr>
          </w:p>
        </w:tc>
        <w:tc>
          <w:tcPr>
            <w:tcW w:w="3004" w:type="dxa"/>
          </w:tcPr>
          <w:p w14:paraId="0F1387C8" w14:textId="5C054F78" w:rsidR="00D124BD" w:rsidRPr="00AF1814" w:rsidRDefault="00DA3174" w:rsidP="00CC71B7">
            <w:pPr>
              <w:autoSpaceDE w:val="0"/>
              <w:autoSpaceDN w:val="0"/>
              <w:adjustRightInd w:val="0"/>
              <w:spacing w:before="0"/>
              <w:jc w:val="left"/>
              <w:rPr>
                <w:rFonts w:ascii="Arial" w:hAnsi="Arial"/>
                <w:sz w:val="18"/>
              </w:rPr>
            </w:pPr>
            <w:r w:rsidRPr="00AF1814">
              <w:rPr>
                <w:rFonts w:ascii="Arial" w:hAnsi="Arial" w:cs="Arial"/>
                <w:sz w:val="18"/>
                <w:szCs w:val="18"/>
                <w:lang w:eastAsia="ja-JP"/>
              </w:rPr>
              <w:t>Routine</w:t>
            </w:r>
            <w:r w:rsidR="00BB2D02" w:rsidRPr="00AF1814">
              <w:rPr>
                <w:rFonts w:ascii="Arial" w:hAnsi="Arial" w:cs="Arial"/>
                <w:sz w:val="18"/>
                <w:szCs w:val="18"/>
                <w:lang w:eastAsia="ja-JP"/>
              </w:rPr>
              <w:t xml:space="preserve"> </w:t>
            </w:r>
            <w:r w:rsidRPr="00AF1814">
              <w:rPr>
                <w:rFonts w:ascii="Arial" w:hAnsi="Arial" w:cs="Arial"/>
                <w:sz w:val="18"/>
                <w:szCs w:val="18"/>
                <w:lang w:eastAsia="ja-JP"/>
              </w:rPr>
              <w:t>urinalysis at the</w:t>
            </w:r>
            <w:r w:rsidR="00CC71B7" w:rsidRPr="00AF1814">
              <w:rPr>
                <w:rFonts w:ascii="Arial" w:hAnsi="Arial" w:cs="Arial"/>
                <w:sz w:val="18"/>
                <w:szCs w:val="18"/>
                <w:lang w:eastAsia="ja-JP"/>
              </w:rPr>
              <w:t xml:space="preserve"> </w:t>
            </w:r>
            <w:r w:rsidRPr="00AF1814">
              <w:rPr>
                <w:rFonts w:ascii="Arial" w:hAnsi="Arial" w:cs="Arial"/>
                <w:sz w:val="18"/>
                <w:szCs w:val="18"/>
                <w:lang w:eastAsia="ja-JP"/>
              </w:rPr>
              <w:t>Screening visit. If the result</w:t>
            </w:r>
            <w:r w:rsidR="00BD4882" w:rsidRPr="00AF1814">
              <w:rPr>
                <w:rFonts w:ascii="Arial" w:hAnsi="Arial" w:cs="Arial"/>
                <w:sz w:val="18"/>
                <w:szCs w:val="18"/>
                <w:lang w:eastAsia="ja-JP"/>
              </w:rPr>
              <w:t xml:space="preserve"> </w:t>
            </w:r>
            <w:r w:rsidRPr="00AF1814">
              <w:rPr>
                <w:rFonts w:ascii="Arial" w:hAnsi="Arial" w:cs="Arial"/>
                <w:sz w:val="18"/>
                <w:szCs w:val="18"/>
                <w:lang w:eastAsia="ja-JP"/>
              </w:rPr>
              <w:t>is abnormal, then a microscopic examination and/or culture should be performed as needed</w:t>
            </w:r>
            <w:r w:rsidR="003F12E2" w:rsidRPr="00AF1814">
              <w:rPr>
                <w:rFonts w:ascii="Arial" w:hAnsi="Arial" w:cs="Arial"/>
                <w:sz w:val="18"/>
                <w:szCs w:val="18"/>
                <w:lang w:eastAsia="ja-JP"/>
              </w:rPr>
              <w:t xml:space="preserve"> (</w:t>
            </w:r>
            <w:r w:rsidR="003F12E2" w:rsidRPr="00AF1814">
              <w:rPr>
                <w:rFonts w:ascii="Arial" w:hAnsi="Arial" w:cs="Arial"/>
                <w:sz w:val="18"/>
                <w:szCs w:val="18"/>
              </w:rPr>
              <w:t>s</w:t>
            </w:r>
            <w:r w:rsidR="003F12E2" w:rsidRPr="00AF1814">
              <w:rPr>
                <w:rFonts w:ascii="Arial" w:hAnsi="Arial"/>
                <w:sz w:val="18"/>
              </w:rPr>
              <w:t xml:space="preserve">ee </w:t>
            </w:r>
            <w:hyperlink w:anchor="_Appendix_5_Clinical" w:history="1">
              <w:r w:rsidR="003F12E2" w:rsidRPr="00AF1814">
                <w:rPr>
                  <w:rStyle w:val="Hyperlink"/>
                  <w:rFonts w:ascii="Arial" w:hAnsi="Arial"/>
                  <w:sz w:val="18"/>
                </w:rPr>
                <w:t>Appendix 5</w:t>
              </w:r>
            </w:hyperlink>
            <w:r w:rsidR="003F12E2" w:rsidRPr="00AF1814">
              <w:rPr>
                <w:rStyle w:val="Hyperlink"/>
                <w:rFonts w:ascii="Arial" w:hAnsi="Arial"/>
                <w:color w:val="auto"/>
                <w:sz w:val="18"/>
              </w:rPr>
              <w:t>)</w:t>
            </w:r>
            <w:r w:rsidRPr="00AF1814">
              <w:rPr>
                <w:rFonts w:ascii="Arial" w:hAnsi="Arial" w:cs="Arial"/>
                <w:sz w:val="18"/>
                <w:szCs w:val="18"/>
                <w:lang w:eastAsia="ja-JP"/>
              </w:rPr>
              <w:t>.</w:t>
            </w:r>
          </w:p>
        </w:tc>
      </w:tr>
      <w:tr w:rsidR="002108B2" w:rsidRPr="00AF1814" w14:paraId="2F271300" w14:textId="77777777" w:rsidTr="00AD796A">
        <w:trPr>
          <w:cantSplit/>
          <w:jc w:val="center"/>
        </w:trPr>
        <w:tc>
          <w:tcPr>
            <w:tcW w:w="1312" w:type="dxa"/>
            <w:shd w:val="clear" w:color="auto" w:fill="auto"/>
            <w:vAlign w:val="center"/>
            <w:hideMark/>
          </w:tcPr>
          <w:p w14:paraId="49F7BB11" w14:textId="77777777" w:rsidR="00AD796A" w:rsidRPr="00AF1814" w:rsidRDefault="00DA3174" w:rsidP="00D124BD">
            <w:pPr>
              <w:spacing w:before="40" w:after="40" w:line="256" w:lineRule="auto"/>
              <w:ind w:right="-70"/>
              <w:jc w:val="left"/>
              <w:rPr>
                <w:rFonts w:ascii="Arial" w:hAnsi="Arial"/>
                <w:sz w:val="18"/>
              </w:rPr>
            </w:pPr>
            <w:r w:rsidRPr="00AF1814">
              <w:rPr>
                <w:rFonts w:ascii="Arial" w:hAnsi="Arial"/>
                <w:sz w:val="18"/>
              </w:rPr>
              <w:t>β-hCG pregnancy test</w:t>
            </w:r>
          </w:p>
          <w:p w14:paraId="3FD04A3A" w14:textId="77777777" w:rsidR="00AD796A" w:rsidRPr="00AF1814" w:rsidRDefault="00DA3174" w:rsidP="00D124BD">
            <w:pPr>
              <w:spacing w:before="40" w:after="40" w:line="256" w:lineRule="auto"/>
              <w:ind w:right="-70"/>
              <w:jc w:val="left"/>
              <w:rPr>
                <w:rFonts w:ascii="Arial" w:eastAsia="Arial" w:hAnsi="Arial" w:cs="Arial"/>
                <w:sz w:val="18"/>
              </w:rPr>
            </w:pPr>
            <w:r w:rsidRPr="00AF1814">
              <w:rPr>
                <w:rFonts w:ascii="Arial" w:hAnsi="Arial"/>
                <w:sz w:val="18"/>
              </w:rPr>
              <w:t xml:space="preserve">(WOCBP only) </w:t>
            </w:r>
          </w:p>
        </w:tc>
        <w:tc>
          <w:tcPr>
            <w:tcW w:w="526" w:type="dxa"/>
            <w:tcBorders>
              <w:bottom w:val="single" w:sz="4" w:space="0" w:color="auto"/>
            </w:tcBorders>
            <w:shd w:val="clear" w:color="auto" w:fill="FFFFFF" w:themeFill="background1"/>
            <w:vAlign w:val="center"/>
          </w:tcPr>
          <w:p w14:paraId="34BC5EC0" w14:textId="77777777" w:rsidR="00AD796A" w:rsidRPr="00AF1814" w:rsidRDefault="00DA3174" w:rsidP="00B33375">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tcBorders>
              <w:bottom w:val="single" w:sz="4" w:space="0" w:color="auto"/>
            </w:tcBorders>
            <w:shd w:val="clear" w:color="auto" w:fill="FFFFFF" w:themeFill="background1"/>
            <w:vAlign w:val="center"/>
          </w:tcPr>
          <w:p w14:paraId="398BB0C2"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tcBorders>
              <w:bottom w:val="single" w:sz="4" w:space="0" w:color="auto"/>
            </w:tcBorders>
            <w:shd w:val="clear" w:color="auto" w:fill="FFFFFF" w:themeFill="background1"/>
            <w:vAlign w:val="center"/>
          </w:tcPr>
          <w:p w14:paraId="3F08E77B"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tcBorders>
              <w:bottom w:val="single" w:sz="4" w:space="0" w:color="auto"/>
            </w:tcBorders>
            <w:shd w:val="clear" w:color="auto" w:fill="FFFFFF" w:themeFill="background1"/>
            <w:vAlign w:val="center"/>
          </w:tcPr>
          <w:p w14:paraId="53A52DD4"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tcBorders>
              <w:bottom w:val="single" w:sz="4" w:space="0" w:color="auto"/>
            </w:tcBorders>
            <w:shd w:val="clear" w:color="auto" w:fill="FFFFFF" w:themeFill="background1"/>
            <w:vAlign w:val="center"/>
          </w:tcPr>
          <w:p w14:paraId="02DBF72F"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567" w:type="dxa"/>
            <w:tcBorders>
              <w:bottom w:val="single" w:sz="4" w:space="0" w:color="auto"/>
            </w:tcBorders>
            <w:shd w:val="clear" w:color="auto" w:fill="FFFFFF" w:themeFill="background1"/>
            <w:vAlign w:val="center"/>
          </w:tcPr>
          <w:p w14:paraId="4BA67F65"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851" w:type="dxa"/>
            <w:tcBorders>
              <w:bottom w:val="single" w:sz="4" w:space="0" w:color="auto"/>
            </w:tcBorders>
            <w:shd w:val="clear" w:color="auto" w:fill="FFFFFF" w:themeFill="background1"/>
            <w:vAlign w:val="center"/>
          </w:tcPr>
          <w:p w14:paraId="4D721DCF"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Every 3 weeks</w:t>
            </w:r>
          </w:p>
        </w:tc>
        <w:tc>
          <w:tcPr>
            <w:tcW w:w="1134" w:type="dxa"/>
            <w:tcBorders>
              <w:bottom w:val="single" w:sz="4" w:space="0" w:color="auto"/>
            </w:tcBorders>
            <w:shd w:val="clear" w:color="auto" w:fill="BFBFBF" w:themeFill="background1" w:themeFillShade="BF"/>
            <w:vAlign w:val="center"/>
          </w:tcPr>
          <w:p w14:paraId="2DEE700F" w14:textId="77777777" w:rsidR="00AD796A" w:rsidRPr="00AF1814" w:rsidRDefault="00AD796A" w:rsidP="00D124BD">
            <w:pPr>
              <w:spacing w:before="40" w:after="40" w:line="256" w:lineRule="auto"/>
              <w:jc w:val="center"/>
              <w:rPr>
                <w:rFonts w:ascii="Arial" w:hAnsi="Arial" w:cs="Arial"/>
                <w:bCs/>
                <w:color w:val="365F91" w:themeColor="accent1" w:themeShade="BF"/>
                <w:sz w:val="18"/>
                <w:szCs w:val="18"/>
              </w:rPr>
            </w:pPr>
          </w:p>
        </w:tc>
        <w:tc>
          <w:tcPr>
            <w:tcW w:w="992" w:type="dxa"/>
            <w:tcBorders>
              <w:bottom w:val="single" w:sz="4" w:space="0" w:color="auto"/>
            </w:tcBorders>
            <w:shd w:val="clear" w:color="auto" w:fill="auto"/>
            <w:vAlign w:val="center"/>
            <w:hideMark/>
          </w:tcPr>
          <w:p w14:paraId="2F4DAB78" w14:textId="77777777" w:rsidR="00AD796A" w:rsidRPr="00AF1814" w:rsidRDefault="00DA3174" w:rsidP="00D124BD">
            <w:pPr>
              <w:spacing w:before="40" w:after="40" w:line="256" w:lineRule="auto"/>
              <w:jc w:val="center"/>
              <w:rPr>
                <w:rFonts w:ascii="Arial" w:eastAsia="Arial" w:hAnsi="Arial" w:cs="Arial"/>
                <w:color w:val="365F91" w:themeColor="accent1" w:themeShade="BF"/>
                <w:sz w:val="18"/>
              </w:rPr>
            </w:pPr>
            <w:r w:rsidRPr="00AF1814">
              <w:rPr>
                <w:rFonts w:ascii="Arial" w:hAnsi="Arial"/>
                <w:sz w:val="18"/>
              </w:rPr>
              <w:t>X</w:t>
            </w:r>
          </w:p>
        </w:tc>
        <w:tc>
          <w:tcPr>
            <w:tcW w:w="1134" w:type="dxa"/>
            <w:tcBorders>
              <w:bottom w:val="single" w:sz="4" w:space="0" w:color="auto"/>
            </w:tcBorders>
            <w:vAlign w:val="center"/>
          </w:tcPr>
          <w:p w14:paraId="51B7E107" w14:textId="77777777" w:rsidR="00AD796A" w:rsidRPr="00AF1814" w:rsidRDefault="00DA3174" w:rsidP="00D124BD">
            <w:pPr>
              <w:keepLines/>
              <w:spacing w:before="40" w:after="40"/>
              <w:jc w:val="center"/>
              <w:rPr>
                <w:rFonts w:ascii="Arial" w:hAnsi="Arial"/>
                <w:sz w:val="18"/>
              </w:rPr>
            </w:pPr>
            <w:r w:rsidRPr="00AF1814">
              <w:rPr>
                <w:rFonts w:ascii="Arial" w:hAnsi="Arial"/>
                <w:sz w:val="18"/>
              </w:rPr>
              <w:t>X</w:t>
            </w:r>
            <w:r w:rsidRPr="00AF1814">
              <w:rPr>
                <w:rFonts w:ascii="Arial" w:hAnsi="Arial"/>
                <w:sz w:val="18"/>
                <w:vertAlign w:val="superscript"/>
              </w:rPr>
              <w:t>b</w:t>
            </w:r>
          </w:p>
        </w:tc>
        <w:tc>
          <w:tcPr>
            <w:tcW w:w="1134" w:type="dxa"/>
            <w:tcBorders>
              <w:bottom w:val="single" w:sz="4" w:space="0" w:color="auto"/>
            </w:tcBorders>
            <w:shd w:val="clear" w:color="auto" w:fill="BFBFBF" w:themeFill="background1" w:themeFillShade="BF"/>
          </w:tcPr>
          <w:p w14:paraId="1640997F" w14:textId="77777777" w:rsidR="00AD796A" w:rsidRPr="00AF1814" w:rsidRDefault="00AD796A" w:rsidP="00D124BD">
            <w:pPr>
              <w:keepLines/>
              <w:spacing w:before="40" w:after="40"/>
              <w:jc w:val="left"/>
              <w:rPr>
                <w:rFonts w:ascii="Arial" w:hAnsi="Arial"/>
                <w:sz w:val="18"/>
              </w:rPr>
            </w:pPr>
          </w:p>
        </w:tc>
        <w:tc>
          <w:tcPr>
            <w:tcW w:w="3004" w:type="dxa"/>
            <w:tcBorders>
              <w:bottom w:val="single" w:sz="4" w:space="0" w:color="auto"/>
            </w:tcBorders>
          </w:tcPr>
          <w:p w14:paraId="474D4958" w14:textId="77777777" w:rsidR="00AD796A" w:rsidRPr="00AF1814" w:rsidRDefault="00DA3174" w:rsidP="00D124BD">
            <w:pPr>
              <w:keepLines/>
              <w:spacing w:before="40" w:after="40"/>
              <w:jc w:val="left"/>
              <w:rPr>
                <w:rFonts w:ascii="Arial" w:hAnsi="Arial"/>
                <w:sz w:val="18"/>
              </w:rPr>
            </w:pPr>
            <w:r w:rsidRPr="00AF1814">
              <w:rPr>
                <w:rFonts w:ascii="Arial" w:hAnsi="Arial" w:cs="Arial"/>
                <w:sz w:val="18"/>
              </w:rPr>
              <w:t>β</w:t>
            </w:r>
            <w:r w:rsidRPr="00AF1814">
              <w:rPr>
                <w:rFonts w:ascii="Arial" w:hAnsi="Arial"/>
                <w:sz w:val="18"/>
              </w:rPr>
              <w:t xml:space="preserve">-hCG should be determined at Screening and thereafter from a urine or serum sample. Results of the most recent pregnancy test should be available prior to dosing of study intervention. </w:t>
            </w:r>
          </w:p>
          <w:p w14:paraId="7B039540" w14:textId="77777777" w:rsidR="00AD796A" w:rsidRPr="00AF1814" w:rsidRDefault="00DA3174" w:rsidP="00D124BD">
            <w:pPr>
              <w:keepLines/>
              <w:spacing w:before="40" w:after="40"/>
              <w:jc w:val="left"/>
              <w:rPr>
                <w:rFonts w:ascii="Arial" w:hAnsi="Arial"/>
                <w:sz w:val="18"/>
              </w:rPr>
            </w:pPr>
            <w:r w:rsidRPr="00AF1814">
              <w:rPr>
                <w:rFonts w:ascii="Arial" w:hAnsi="Arial"/>
                <w:sz w:val="18"/>
              </w:rPr>
              <w:t>If a confirmation of a participant’s postmenopausal status is necessary, follicle-stimulating hormone and estradiol tests will be performed at Screening.</w:t>
            </w:r>
          </w:p>
          <w:p w14:paraId="5381A1C0" w14:textId="77777777" w:rsidR="00AD796A" w:rsidRPr="00AF1814" w:rsidRDefault="00DA3174" w:rsidP="00D124BD">
            <w:pPr>
              <w:keepLines/>
              <w:spacing w:before="40" w:after="40"/>
              <w:jc w:val="left"/>
              <w:rPr>
                <w:rFonts w:ascii="Arial" w:hAnsi="Arial"/>
                <w:sz w:val="18"/>
              </w:rPr>
            </w:pPr>
            <w:r w:rsidRPr="00AF1814">
              <w:rPr>
                <w:rFonts w:ascii="Arial" w:hAnsi="Arial"/>
                <w:sz w:val="18"/>
              </w:rPr>
              <w:t>b: Participants may go to local laboratory to perform pregnancy test. Clinical visit is not required.</w:t>
            </w:r>
          </w:p>
        </w:tc>
      </w:tr>
      <w:tr w:rsidR="002108B2" w:rsidRPr="00AF1814" w14:paraId="13A90432" w14:textId="77777777" w:rsidTr="00AD796A">
        <w:trPr>
          <w:cantSplit/>
          <w:jc w:val="center"/>
        </w:trPr>
        <w:tc>
          <w:tcPr>
            <w:tcW w:w="1312" w:type="dxa"/>
            <w:shd w:val="clear" w:color="auto" w:fill="auto"/>
            <w:vAlign w:val="center"/>
            <w:hideMark/>
          </w:tcPr>
          <w:p w14:paraId="0910AF16" w14:textId="77777777" w:rsidR="00AD796A" w:rsidRPr="00AF1814" w:rsidRDefault="00DA3174" w:rsidP="00D124BD">
            <w:pPr>
              <w:spacing w:before="40" w:after="40" w:line="256" w:lineRule="auto"/>
              <w:ind w:right="-70"/>
              <w:jc w:val="left"/>
              <w:rPr>
                <w:rFonts w:ascii="Arial" w:eastAsia="Arial" w:hAnsi="Arial" w:cs="Arial"/>
                <w:sz w:val="18"/>
              </w:rPr>
            </w:pPr>
            <w:r w:rsidRPr="00AF1814">
              <w:rPr>
                <w:rFonts w:ascii="Arial" w:hAnsi="Arial"/>
                <w:sz w:val="18"/>
              </w:rPr>
              <w:t>T4 and TSH</w:t>
            </w:r>
          </w:p>
        </w:tc>
        <w:tc>
          <w:tcPr>
            <w:tcW w:w="526" w:type="dxa"/>
            <w:shd w:val="clear" w:color="auto" w:fill="BFBFBF" w:themeFill="background1" w:themeFillShade="BF"/>
            <w:vAlign w:val="center"/>
          </w:tcPr>
          <w:p w14:paraId="6019886D" w14:textId="77777777" w:rsidR="00AD796A" w:rsidRPr="00AF1814" w:rsidRDefault="00AD796A" w:rsidP="00D124BD">
            <w:pPr>
              <w:spacing w:before="40" w:after="40" w:line="256" w:lineRule="auto"/>
              <w:jc w:val="center"/>
              <w:rPr>
                <w:rFonts w:ascii="Arial" w:hAnsi="Arial" w:cs="Arial"/>
                <w:bCs/>
                <w:sz w:val="18"/>
                <w:szCs w:val="18"/>
              </w:rPr>
            </w:pPr>
          </w:p>
        </w:tc>
        <w:tc>
          <w:tcPr>
            <w:tcW w:w="567" w:type="dxa"/>
            <w:shd w:val="clear" w:color="auto" w:fill="auto"/>
            <w:vAlign w:val="center"/>
          </w:tcPr>
          <w:p w14:paraId="4E93A898" w14:textId="77777777" w:rsidR="00AD796A" w:rsidRPr="00AF1814" w:rsidRDefault="00DA3174" w:rsidP="00D124BD">
            <w:pPr>
              <w:spacing w:before="40" w:after="40" w:line="256" w:lineRule="auto"/>
              <w:jc w:val="center"/>
              <w:rPr>
                <w:rFonts w:ascii="Arial" w:hAnsi="Arial" w:cs="Arial"/>
                <w:bCs/>
                <w:sz w:val="18"/>
                <w:szCs w:val="18"/>
              </w:rPr>
            </w:pPr>
            <w:r w:rsidRPr="00AF1814">
              <w:rPr>
                <w:rFonts w:ascii="Arial" w:hAnsi="Arial" w:cs="Arial"/>
                <w:bCs/>
                <w:sz w:val="18"/>
                <w:szCs w:val="18"/>
              </w:rPr>
              <w:t>X</w:t>
            </w:r>
          </w:p>
        </w:tc>
        <w:tc>
          <w:tcPr>
            <w:tcW w:w="567" w:type="dxa"/>
            <w:shd w:val="clear" w:color="auto" w:fill="BFBFBF" w:themeFill="background1" w:themeFillShade="BF"/>
            <w:vAlign w:val="center"/>
            <w:hideMark/>
          </w:tcPr>
          <w:p w14:paraId="11B7B7BF" w14:textId="77777777" w:rsidR="00AD796A" w:rsidRPr="00AF1814" w:rsidRDefault="00AD796A" w:rsidP="00D124BD">
            <w:pPr>
              <w:spacing w:before="40" w:after="40" w:line="256" w:lineRule="auto"/>
              <w:jc w:val="center"/>
              <w:rPr>
                <w:rFonts w:ascii="Arial" w:eastAsia="Arial" w:hAnsi="Arial" w:cs="Arial"/>
                <w:sz w:val="18"/>
              </w:rPr>
            </w:pPr>
          </w:p>
        </w:tc>
        <w:tc>
          <w:tcPr>
            <w:tcW w:w="567" w:type="dxa"/>
            <w:shd w:val="clear" w:color="auto" w:fill="FFFFFF" w:themeFill="background1"/>
            <w:vAlign w:val="center"/>
          </w:tcPr>
          <w:p w14:paraId="5010DCC6" w14:textId="77777777" w:rsidR="00AD796A" w:rsidRPr="00AF1814" w:rsidRDefault="00DA3174" w:rsidP="00D124BD">
            <w:pPr>
              <w:spacing w:before="40" w:after="40" w:line="256" w:lineRule="auto"/>
              <w:jc w:val="center"/>
              <w:rPr>
                <w:rFonts w:ascii="Arial" w:hAnsi="Arial" w:cs="Arial"/>
                <w:bCs/>
                <w:sz w:val="18"/>
                <w:szCs w:val="18"/>
              </w:rPr>
            </w:pPr>
            <w:r w:rsidRPr="00AF1814">
              <w:rPr>
                <w:rFonts w:ascii="Arial" w:hAnsi="Arial" w:cs="Arial"/>
                <w:bCs/>
                <w:sz w:val="18"/>
                <w:szCs w:val="18"/>
              </w:rPr>
              <w:t>X</w:t>
            </w:r>
          </w:p>
        </w:tc>
        <w:tc>
          <w:tcPr>
            <w:tcW w:w="567" w:type="dxa"/>
            <w:shd w:val="clear" w:color="auto" w:fill="BFBFBF" w:themeFill="background1" w:themeFillShade="BF"/>
            <w:vAlign w:val="center"/>
          </w:tcPr>
          <w:p w14:paraId="31F26F39" w14:textId="77777777" w:rsidR="00AD796A" w:rsidRPr="00AF1814" w:rsidRDefault="00AD796A" w:rsidP="00D124BD">
            <w:pPr>
              <w:spacing w:before="40" w:after="40" w:line="256" w:lineRule="auto"/>
              <w:jc w:val="center"/>
              <w:rPr>
                <w:rFonts w:ascii="Arial" w:hAnsi="Arial" w:cs="Arial"/>
                <w:bCs/>
                <w:sz w:val="18"/>
                <w:szCs w:val="18"/>
              </w:rPr>
            </w:pPr>
          </w:p>
        </w:tc>
        <w:tc>
          <w:tcPr>
            <w:tcW w:w="567" w:type="dxa"/>
            <w:shd w:val="clear" w:color="auto" w:fill="FFFFFF" w:themeFill="background1"/>
            <w:vAlign w:val="center"/>
            <w:hideMark/>
          </w:tcPr>
          <w:p w14:paraId="3CA1A8A3"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eastAsia="Arial" w:hAnsi="Arial" w:cs="Arial"/>
                <w:sz w:val="18"/>
              </w:rPr>
              <w:t>X</w:t>
            </w:r>
          </w:p>
        </w:tc>
        <w:tc>
          <w:tcPr>
            <w:tcW w:w="851" w:type="dxa"/>
            <w:shd w:val="clear" w:color="auto" w:fill="auto"/>
            <w:vAlign w:val="center"/>
            <w:hideMark/>
          </w:tcPr>
          <w:p w14:paraId="20CF4145" w14:textId="77777777" w:rsidR="00AD796A" w:rsidRPr="00AF1814" w:rsidRDefault="00DA3174" w:rsidP="00D124BD">
            <w:pPr>
              <w:spacing w:before="40" w:after="40" w:line="256" w:lineRule="auto"/>
              <w:jc w:val="center"/>
              <w:rPr>
                <w:rFonts w:ascii="Arial" w:eastAsia="Arial" w:hAnsi="Arial" w:cs="Arial"/>
                <w:sz w:val="18"/>
              </w:rPr>
            </w:pPr>
            <w:r w:rsidRPr="00AF1814">
              <w:rPr>
                <w:rFonts w:ascii="Arial" w:hAnsi="Arial"/>
                <w:sz w:val="18"/>
              </w:rPr>
              <w:t>Every 6 weeks</w:t>
            </w:r>
          </w:p>
        </w:tc>
        <w:tc>
          <w:tcPr>
            <w:tcW w:w="1134" w:type="dxa"/>
            <w:shd w:val="clear" w:color="auto" w:fill="BFBFBF" w:themeFill="background1" w:themeFillShade="BF"/>
            <w:vAlign w:val="center"/>
          </w:tcPr>
          <w:p w14:paraId="4A07B58E" w14:textId="77777777" w:rsidR="00AD796A" w:rsidRPr="00AF1814" w:rsidRDefault="00AD796A" w:rsidP="00D124BD">
            <w:pPr>
              <w:spacing w:before="40" w:after="40" w:line="256" w:lineRule="auto"/>
              <w:jc w:val="center"/>
              <w:rPr>
                <w:rFonts w:ascii="Arial" w:hAnsi="Arial" w:cs="Arial"/>
                <w:bCs/>
                <w:sz w:val="18"/>
                <w:szCs w:val="18"/>
              </w:rPr>
            </w:pPr>
          </w:p>
        </w:tc>
        <w:tc>
          <w:tcPr>
            <w:tcW w:w="992" w:type="dxa"/>
            <w:shd w:val="clear" w:color="auto" w:fill="auto"/>
            <w:vAlign w:val="center"/>
          </w:tcPr>
          <w:p w14:paraId="24CCD8FC" w14:textId="77777777" w:rsidR="00AD796A" w:rsidRPr="00AF1814" w:rsidRDefault="00DA3174" w:rsidP="00D124BD">
            <w:pPr>
              <w:spacing w:before="40" w:after="40" w:line="256" w:lineRule="auto"/>
              <w:jc w:val="center"/>
              <w:rPr>
                <w:rFonts w:ascii="Arial" w:hAnsi="Arial" w:cs="Arial"/>
                <w:bCs/>
                <w:sz w:val="18"/>
                <w:szCs w:val="18"/>
              </w:rPr>
            </w:pPr>
            <w:r w:rsidRPr="00AF1814">
              <w:rPr>
                <w:rFonts w:ascii="Arial" w:hAnsi="Arial"/>
                <w:sz w:val="18"/>
              </w:rPr>
              <w:t>X</w:t>
            </w:r>
          </w:p>
        </w:tc>
        <w:tc>
          <w:tcPr>
            <w:tcW w:w="1134" w:type="dxa"/>
            <w:shd w:val="clear" w:color="auto" w:fill="BFBFBF" w:themeFill="background1" w:themeFillShade="BF"/>
          </w:tcPr>
          <w:p w14:paraId="61AD1190" w14:textId="77777777" w:rsidR="00AD796A" w:rsidRPr="00AF1814" w:rsidRDefault="00AD796A" w:rsidP="00D124BD">
            <w:pPr>
              <w:spacing w:before="40" w:after="40" w:line="256" w:lineRule="auto"/>
              <w:jc w:val="center"/>
              <w:rPr>
                <w:rFonts w:ascii="Arial" w:hAnsi="Arial" w:cs="Arial"/>
                <w:bCs/>
                <w:color w:val="365F91" w:themeColor="accent1" w:themeShade="BF"/>
                <w:sz w:val="18"/>
                <w:szCs w:val="18"/>
              </w:rPr>
            </w:pPr>
          </w:p>
        </w:tc>
        <w:tc>
          <w:tcPr>
            <w:tcW w:w="1134" w:type="dxa"/>
            <w:shd w:val="clear" w:color="auto" w:fill="BFBFBF" w:themeFill="background1" w:themeFillShade="BF"/>
          </w:tcPr>
          <w:p w14:paraId="4787AF3B" w14:textId="77777777" w:rsidR="00AD796A" w:rsidRPr="00AF1814" w:rsidRDefault="00AD796A" w:rsidP="00D124BD">
            <w:pPr>
              <w:spacing w:before="40" w:after="40" w:line="256" w:lineRule="auto"/>
              <w:jc w:val="center"/>
              <w:rPr>
                <w:rFonts w:ascii="Arial" w:hAnsi="Arial" w:cs="Arial"/>
                <w:bCs/>
                <w:color w:val="365F91" w:themeColor="accent1" w:themeShade="BF"/>
                <w:sz w:val="18"/>
                <w:szCs w:val="18"/>
              </w:rPr>
            </w:pPr>
          </w:p>
        </w:tc>
        <w:tc>
          <w:tcPr>
            <w:tcW w:w="3004" w:type="dxa"/>
            <w:shd w:val="clear" w:color="auto" w:fill="BFBFBF" w:themeFill="background1" w:themeFillShade="BF"/>
          </w:tcPr>
          <w:p w14:paraId="3B5A562E" w14:textId="77777777" w:rsidR="00AD796A" w:rsidRPr="00AF1814" w:rsidRDefault="00AD796A" w:rsidP="00D124BD">
            <w:pPr>
              <w:spacing w:before="40" w:after="40" w:line="256" w:lineRule="auto"/>
              <w:jc w:val="center"/>
              <w:rPr>
                <w:rFonts w:ascii="Arial" w:hAnsi="Arial" w:cs="Arial"/>
                <w:bCs/>
                <w:color w:val="365F91" w:themeColor="accent1" w:themeShade="BF"/>
                <w:sz w:val="18"/>
                <w:szCs w:val="18"/>
              </w:rPr>
            </w:pPr>
          </w:p>
        </w:tc>
      </w:tr>
      <w:tr w:rsidR="002108B2" w:rsidRPr="00AF1814" w14:paraId="38BA78A3" w14:textId="77777777" w:rsidTr="00AD796A">
        <w:trPr>
          <w:cantSplit/>
          <w:jc w:val="center"/>
        </w:trPr>
        <w:tc>
          <w:tcPr>
            <w:tcW w:w="1312" w:type="dxa"/>
            <w:shd w:val="clear" w:color="auto" w:fill="auto"/>
            <w:vAlign w:val="center"/>
          </w:tcPr>
          <w:p w14:paraId="5612B1B4" w14:textId="77777777" w:rsidR="00B33375" w:rsidRPr="00AF1814" w:rsidRDefault="00DA3174" w:rsidP="00D124BD">
            <w:pPr>
              <w:spacing w:before="40" w:after="40" w:line="256" w:lineRule="auto"/>
              <w:ind w:right="-70"/>
              <w:jc w:val="left"/>
              <w:rPr>
                <w:rFonts w:ascii="Arial" w:hAnsi="Arial"/>
                <w:sz w:val="18"/>
              </w:rPr>
            </w:pPr>
            <w:r w:rsidRPr="00AF1814">
              <w:rPr>
                <w:rFonts w:ascii="Arial" w:hAnsi="Arial"/>
                <w:sz w:val="18"/>
              </w:rPr>
              <w:lastRenderedPageBreak/>
              <w:t>Survival Follow</w:t>
            </w:r>
            <w:r w:rsidRPr="00AF1814">
              <w:rPr>
                <w:rFonts w:ascii="Arial" w:hAnsi="Arial"/>
                <w:sz w:val="18"/>
              </w:rPr>
              <w:noBreakHyphen/>
              <w:t>up</w:t>
            </w:r>
          </w:p>
        </w:tc>
        <w:tc>
          <w:tcPr>
            <w:tcW w:w="526" w:type="dxa"/>
            <w:shd w:val="clear" w:color="auto" w:fill="BFBFBF" w:themeFill="background1" w:themeFillShade="BF"/>
            <w:vAlign w:val="center"/>
          </w:tcPr>
          <w:p w14:paraId="2638216E" w14:textId="77777777" w:rsidR="00B33375" w:rsidRPr="00AF1814" w:rsidRDefault="00B33375" w:rsidP="00D124BD">
            <w:pPr>
              <w:spacing w:before="40" w:after="40" w:line="256" w:lineRule="auto"/>
              <w:jc w:val="center"/>
              <w:rPr>
                <w:rFonts w:ascii="Arial" w:hAnsi="Arial"/>
                <w:caps/>
                <w:sz w:val="18"/>
              </w:rPr>
            </w:pPr>
          </w:p>
        </w:tc>
        <w:tc>
          <w:tcPr>
            <w:tcW w:w="567" w:type="dxa"/>
            <w:shd w:val="clear" w:color="auto" w:fill="BFBFBF" w:themeFill="background1" w:themeFillShade="BF"/>
            <w:vAlign w:val="center"/>
          </w:tcPr>
          <w:p w14:paraId="52674709" w14:textId="77777777" w:rsidR="00B33375" w:rsidRPr="00AF1814" w:rsidRDefault="00B33375" w:rsidP="00D124BD">
            <w:pPr>
              <w:spacing w:before="40" w:after="40" w:line="256" w:lineRule="auto"/>
              <w:jc w:val="center"/>
              <w:rPr>
                <w:rFonts w:ascii="Arial" w:hAnsi="Arial" w:cs="Arial"/>
                <w:bCs/>
                <w:sz w:val="18"/>
                <w:szCs w:val="18"/>
              </w:rPr>
            </w:pPr>
          </w:p>
        </w:tc>
        <w:tc>
          <w:tcPr>
            <w:tcW w:w="567" w:type="dxa"/>
            <w:shd w:val="clear" w:color="auto" w:fill="BFBFBF" w:themeFill="background1" w:themeFillShade="BF"/>
            <w:vAlign w:val="center"/>
          </w:tcPr>
          <w:p w14:paraId="5F1D0872" w14:textId="77777777" w:rsidR="00B33375" w:rsidRPr="00AF1814" w:rsidRDefault="00B33375" w:rsidP="00D124BD">
            <w:pPr>
              <w:spacing w:before="40" w:after="40" w:line="256" w:lineRule="auto"/>
              <w:jc w:val="center"/>
              <w:rPr>
                <w:rFonts w:ascii="Arial" w:hAnsi="Arial"/>
                <w:caps/>
                <w:sz w:val="18"/>
              </w:rPr>
            </w:pPr>
          </w:p>
        </w:tc>
        <w:tc>
          <w:tcPr>
            <w:tcW w:w="567" w:type="dxa"/>
            <w:shd w:val="clear" w:color="auto" w:fill="BFBFBF" w:themeFill="background1" w:themeFillShade="BF"/>
            <w:vAlign w:val="center"/>
          </w:tcPr>
          <w:p w14:paraId="77D9F7FE" w14:textId="77777777" w:rsidR="00B33375" w:rsidRPr="00AF1814" w:rsidRDefault="00B33375" w:rsidP="00D124BD">
            <w:pPr>
              <w:spacing w:before="40" w:after="40" w:line="256" w:lineRule="auto"/>
              <w:jc w:val="center"/>
              <w:rPr>
                <w:rFonts w:ascii="Arial" w:hAnsi="Arial" w:cs="Arial"/>
                <w:bCs/>
                <w:sz w:val="18"/>
                <w:szCs w:val="18"/>
              </w:rPr>
            </w:pPr>
          </w:p>
        </w:tc>
        <w:tc>
          <w:tcPr>
            <w:tcW w:w="567" w:type="dxa"/>
            <w:shd w:val="clear" w:color="auto" w:fill="BFBFBF" w:themeFill="background1" w:themeFillShade="BF"/>
            <w:vAlign w:val="center"/>
          </w:tcPr>
          <w:p w14:paraId="000BD1C6" w14:textId="77777777" w:rsidR="00B33375" w:rsidRPr="00AF1814" w:rsidRDefault="00B33375" w:rsidP="00D124BD">
            <w:pPr>
              <w:spacing w:before="40" w:after="40" w:line="256" w:lineRule="auto"/>
              <w:jc w:val="center"/>
              <w:rPr>
                <w:rFonts w:ascii="Arial" w:hAnsi="Arial"/>
                <w:caps/>
                <w:sz w:val="18"/>
              </w:rPr>
            </w:pPr>
          </w:p>
        </w:tc>
        <w:tc>
          <w:tcPr>
            <w:tcW w:w="567" w:type="dxa"/>
            <w:shd w:val="clear" w:color="auto" w:fill="BFBFBF" w:themeFill="background1" w:themeFillShade="BF"/>
            <w:vAlign w:val="center"/>
          </w:tcPr>
          <w:p w14:paraId="607B4E34" w14:textId="77777777" w:rsidR="00B33375" w:rsidRPr="00AF1814" w:rsidRDefault="00B33375" w:rsidP="00D124BD">
            <w:pPr>
              <w:spacing w:before="40" w:after="40" w:line="256" w:lineRule="auto"/>
              <w:jc w:val="center"/>
              <w:rPr>
                <w:rFonts w:ascii="Arial" w:eastAsia="Arial" w:hAnsi="Arial" w:cs="Arial"/>
                <w:sz w:val="18"/>
              </w:rPr>
            </w:pPr>
          </w:p>
        </w:tc>
        <w:tc>
          <w:tcPr>
            <w:tcW w:w="851" w:type="dxa"/>
            <w:shd w:val="clear" w:color="auto" w:fill="BFBFBF" w:themeFill="background1" w:themeFillShade="BF"/>
            <w:vAlign w:val="center"/>
          </w:tcPr>
          <w:p w14:paraId="75740059" w14:textId="77777777" w:rsidR="00B33375" w:rsidRPr="00AF1814" w:rsidRDefault="00B33375" w:rsidP="00D124BD">
            <w:pPr>
              <w:spacing w:before="40" w:after="40" w:line="256" w:lineRule="auto"/>
              <w:jc w:val="center"/>
              <w:rPr>
                <w:rFonts w:ascii="Arial" w:hAnsi="Arial"/>
                <w:sz w:val="18"/>
              </w:rPr>
            </w:pPr>
          </w:p>
        </w:tc>
        <w:tc>
          <w:tcPr>
            <w:tcW w:w="1134" w:type="dxa"/>
            <w:shd w:val="clear" w:color="auto" w:fill="BFBFBF" w:themeFill="background1" w:themeFillShade="BF"/>
            <w:vAlign w:val="center"/>
          </w:tcPr>
          <w:p w14:paraId="7E3E4D8A" w14:textId="77777777" w:rsidR="00B33375" w:rsidRPr="00AF1814" w:rsidRDefault="00B33375" w:rsidP="00D124BD">
            <w:pPr>
              <w:spacing w:before="40" w:after="40" w:line="256" w:lineRule="auto"/>
              <w:jc w:val="center"/>
              <w:rPr>
                <w:rFonts w:ascii="Arial" w:hAnsi="Arial" w:cs="Arial"/>
                <w:bCs/>
                <w:sz w:val="18"/>
                <w:szCs w:val="18"/>
              </w:rPr>
            </w:pPr>
          </w:p>
        </w:tc>
        <w:tc>
          <w:tcPr>
            <w:tcW w:w="992" w:type="dxa"/>
            <w:shd w:val="clear" w:color="auto" w:fill="BFBFBF" w:themeFill="background1" w:themeFillShade="BF"/>
            <w:vAlign w:val="center"/>
          </w:tcPr>
          <w:p w14:paraId="3731A709" w14:textId="77777777" w:rsidR="00B33375" w:rsidRPr="00AF1814" w:rsidRDefault="00B33375" w:rsidP="00D124BD">
            <w:pPr>
              <w:spacing w:before="40" w:after="40" w:line="256" w:lineRule="auto"/>
              <w:jc w:val="center"/>
              <w:rPr>
                <w:rFonts w:ascii="Arial" w:hAnsi="Arial"/>
                <w:sz w:val="18"/>
              </w:rPr>
            </w:pPr>
          </w:p>
        </w:tc>
        <w:tc>
          <w:tcPr>
            <w:tcW w:w="1134" w:type="dxa"/>
            <w:shd w:val="clear" w:color="auto" w:fill="BFBFBF" w:themeFill="background1" w:themeFillShade="BF"/>
            <w:vAlign w:val="center"/>
          </w:tcPr>
          <w:p w14:paraId="06E1E083" w14:textId="77777777" w:rsidR="00B33375" w:rsidRPr="00AF1814" w:rsidRDefault="00B33375" w:rsidP="00D124BD">
            <w:pPr>
              <w:spacing w:before="40" w:after="40" w:line="256" w:lineRule="auto"/>
              <w:jc w:val="center"/>
              <w:rPr>
                <w:rFonts w:ascii="Arial" w:hAnsi="Arial" w:cs="Arial"/>
                <w:bCs/>
                <w:color w:val="365F91" w:themeColor="accent1" w:themeShade="BF"/>
                <w:sz w:val="18"/>
                <w:szCs w:val="18"/>
              </w:rPr>
            </w:pPr>
          </w:p>
        </w:tc>
        <w:tc>
          <w:tcPr>
            <w:tcW w:w="1134" w:type="dxa"/>
            <w:shd w:val="clear" w:color="auto" w:fill="auto"/>
            <w:vAlign w:val="center"/>
          </w:tcPr>
          <w:p w14:paraId="226EA5B5" w14:textId="77777777" w:rsidR="00B33375" w:rsidRPr="00AF1814" w:rsidRDefault="00DA3174" w:rsidP="00D124BD">
            <w:pPr>
              <w:spacing w:before="40" w:after="40" w:line="256" w:lineRule="auto"/>
              <w:jc w:val="center"/>
              <w:rPr>
                <w:rFonts w:ascii="Arial" w:hAnsi="Arial" w:cs="Arial"/>
                <w:bCs/>
                <w:color w:val="365F91" w:themeColor="accent1" w:themeShade="BF"/>
                <w:sz w:val="18"/>
                <w:szCs w:val="18"/>
              </w:rPr>
            </w:pPr>
            <w:r w:rsidRPr="00AF1814">
              <w:rPr>
                <w:rFonts w:ascii="Arial" w:hAnsi="Arial"/>
                <w:sz w:val="18"/>
              </w:rPr>
              <w:t>X</w:t>
            </w:r>
          </w:p>
        </w:tc>
        <w:tc>
          <w:tcPr>
            <w:tcW w:w="3004" w:type="dxa"/>
            <w:shd w:val="clear" w:color="auto" w:fill="auto"/>
          </w:tcPr>
          <w:p w14:paraId="09D7D95D" w14:textId="77777777" w:rsidR="00B33375" w:rsidRPr="00AF1814" w:rsidRDefault="00DA3174" w:rsidP="00D124BD">
            <w:pPr>
              <w:spacing w:before="40" w:after="40" w:line="256" w:lineRule="auto"/>
              <w:rPr>
                <w:rFonts w:ascii="Arial" w:hAnsi="Arial" w:cs="Arial"/>
                <w:bCs/>
                <w:color w:val="365F91" w:themeColor="accent1" w:themeShade="BF"/>
                <w:sz w:val="18"/>
                <w:szCs w:val="18"/>
              </w:rPr>
            </w:pPr>
            <w:r w:rsidRPr="00AF1814">
              <w:rPr>
                <w:rFonts w:ascii="Arial" w:hAnsi="Arial" w:cs="Arial"/>
                <w:bCs/>
                <w:sz w:val="18"/>
                <w:szCs w:val="18"/>
              </w:rPr>
              <w:t>Conducted via telephone calls unless there is medical necessity requiring a clinical visit.</w:t>
            </w:r>
          </w:p>
        </w:tc>
      </w:tr>
      <w:tr w:rsidR="002108B2" w:rsidRPr="00AF1814" w14:paraId="3B6381EF" w14:textId="77777777" w:rsidTr="00F538BA">
        <w:trPr>
          <w:cantSplit/>
          <w:jc w:val="center"/>
        </w:trPr>
        <w:tc>
          <w:tcPr>
            <w:tcW w:w="12922" w:type="dxa"/>
            <w:gridSpan w:val="13"/>
            <w:shd w:val="clear" w:color="auto" w:fill="auto"/>
            <w:vAlign w:val="center"/>
            <w:hideMark/>
          </w:tcPr>
          <w:p w14:paraId="64B2D35D" w14:textId="77777777" w:rsidR="00D124BD" w:rsidRPr="00AF1814" w:rsidRDefault="00DA3174" w:rsidP="00D124BD">
            <w:pPr>
              <w:keepNext/>
              <w:spacing w:before="80" w:after="80" w:line="257" w:lineRule="auto"/>
              <w:jc w:val="center"/>
              <w:rPr>
                <w:rFonts w:ascii="Arial" w:hAnsi="Arial"/>
                <w:b/>
                <w:sz w:val="18"/>
              </w:rPr>
            </w:pPr>
            <w:r w:rsidRPr="00AF1814">
              <w:rPr>
                <w:rFonts w:ascii="Arial" w:hAnsi="Arial"/>
                <w:b/>
                <w:sz w:val="18"/>
              </w:rPr>
              <w:t>Tumor Assessments</w:t>
            </w:r>
          </w:p>
        </w:tc>
      </w:tr>
      <w:tr w:rsidR="002108B2" w:rsidRPr="00AF1814" w14:paraId="3B28DFC9" w14:textId="77777777" w:rsidTr="00AD796A">
        <w:trPr>
          <w:cantSplit/>
          <w:jc w:val="center"/>
        </w:trPr>
        <w:tc>
          <w:tcPr>
            <w:tcW w:w="1312" w:type="dxa"/>
            <w:shd w:val="clear" w:color="auto" w:fill="auto"/>
            <w:vAlign w:val="center"/>
          </w:tcPr>
          <w:p w14:paraId="737C7DEB" w14:textId="77777777" w:rsidR="00AD796A" w:rsidRPr="00AF1814" w:rsidRDefault="00DA3174" w:rsidP="00D124BD">
            <w:pPr>
              <w:keepLines/>
              <w:spacing w:before="40" w:after="40"/>
              <w:jc w:val="left"/>
              <w:rPr>
                <w:rFonts w:ascii="Arial" w:hAnsi="Arial"/>
                <w:sz w:val="18"/>
              </w:rPr>
            </w:pPr>
            <w:r w:rsidRPr="00AF1814">
              <w:rPr>
                <w:rFonts w:ascii="Arial" w:hAnsi="Arial"/>
                <w:sz w:val="18"/>
              </w:rPr>
              <w:t>Imaging tumor evaluation</w:t>
            </w:r>
          </w:p>
          <w:p w14:paraId="09F7A73F" w14:textId="77777777" w:rsidR="00AD796A" w:rsidRPr="00AF1814" w:rsidRDefault="00DA3174" w:rsidP="00D124BD">
            <w:pPr>
              <w:keepLines/>
              <w:spacing w:before="40" w:after="40"/>
              <w:jc w:val="left"/>
              <w:rPr>
                <w:rFonts w:ascii="Arial" w:hAnsi="Arial"/>
                <w:sz w:val="18"/>
              </w:rPr>
            </w:pPr>
            <w:r w:rsidRPr="00AF1814">
              <w:rPr>
                <w:rFonts w:ascii="Arial" w:hAnsi="Arial"/>
                <w:sz w:val="18"/>
              </w:rPr>
              <w:t>/staging (CT scan/MRI/</w:t>
            </w:r>
          </w:p>
          <w:p w14:paraId="7CD7CD90" w14:textId="77777777" w:rsidR="00AD796A" w:rsidRPr="00AF1814" w:rsidRDefault="00DA3174" w:rsidP="00D124BD">
            <w:pPr>
              <w:spacing w:before="40" w:after="40" w:line="256" w:lineRule="auto"/>
              <w:jc w:val="left"/>
              <w:rPr>
                <w:rFonts w:ascii="Arial" w:eastAsia="Arial" w:hAnsi="Arial" w:cs="Arial"/>
                <w:color w:val="365F91" w:themeColor="accent1" w:themeShade="BF"/>
                <w:sz w:val="18"/>
              </w:rPr>
            </w:pPr>
            <w:r w:rsidRPr="00AF1814">
              <w:rPr>
                <w:rFonts w:ascii="Arial" w:hAnsi="Arial"/>
                <w:sz w:val="18"/>
              </w:rPr>
              <w:t>other established methods)</w:t>
            </w:r>
          </w:p>
        </w:tc>
        <w:tc>
          <w:tcPr>
            <w:tcW w:w="526" w:type="dxa"/>
            <w:shd w:val="clear" w:color="auto" w:fill="BFBFBF" w:themeFill="background1" w:themeFillShade="BF"/>
            <w:vAlign w:val="center"/>
          </w:tcPr>
          <w:p w14:paraId="7DF5F78F" w14:textId="77777777" w:rsidR="00AD796A" w:rsidRPr="00AF1814" w:rsidRDefault="00AD796A" w:rsidP="00D124BD">
            <w:pPr>
              <w:pStyle w:val="BodyText"/>
              <w:jc w:val="center"/>
              <w:rPr>
                <w:rFonts w:ascii="Arial" w:hAnsi="Arial" w:cs="Arial"/>
                <w:color w:val="365F91" w:themeColor="accent1" w:themeShade="BF"/>
                <w:sz w:val="18"/>
                <w:szCs w:val="18"/>
              </w:rPr>
            </w:pPr>
          </w:p>
        </w:tc>
        <w:tc>
          <w:tcPr>
            <w:tcW w:w="567" w:type="dxa"/>
            <w:shd w:val="clear" w:color="auto" w:fill="BFBFBF" w:themeFill="background1" w:themeFillShade="BF"/>
            <w:vAlign w:val="center"/>
          </w:tcPr>
          <w:p w14:paraId="602718AA" w14:textId="77777777" w:rsidR="00AD796A" w:rsidRPr="00AF1814" w:rsidRDefault="00AD796A" w:rsidP="00D124BD">
            <w:pPr>
              <w:pStyle w:val="BodyText"/>
              <w:jc w:val="center"/>
              <w:rPr>
                <w:rFonts w:ascii="Arial" w:hAnsi="Arial" w:cs="Arial"/>
                <w:color w:val="365F91" w:themeColor="accent1" w:themeShade="BF"/>
                <w:sz w:val="18"/>
                <w:szCs w:val="18"/>
              </w:rPr>
            </w:pPr>
          </w:p>
        </w:tc>
        <w:tc>
          <w:tcPr>
            <w:tcW w:w="567" w:type="dxa"/>
            <w:shd w:val="clear" w:color="auto" w:fill="auto"/>
            <w:vAlign w:val="center"/>
          </w:tcPr>
          <w:p w14:paraId="56EA2B5E" w14:textId="77777777" w:rsidR="00AD796A" w:rsidRPr="00AF1814" w:rsidRDefault="00DA3174" w:rsidP="00D124BD">
            <w:pPr>
              <w:pStyle w:val="BodyText"/>
              <w:jc w:val="center"/>
              <w:rPr>
                <w:rFonts w:ascii="Arial" w:hAnsi="Arial" w:cs="Arial"/>
                <w:color w:val="365F91" w:themeColor="accent1" w:themeShade="BF"/>
                <w:sz w:val="18"/>
                <w:szCs w:val="18"/>
              </w:rPr>
            </w:pPr>
            <w:r w:rsidRPr="00AF1814">
              <w:rPr>
                <w:rFonts w:ascii="Arial" w:hAnsi="Arial" w:cs="Arial"/>
                <w:sz w:val="18"/>
                <w:szCs w:val="18"/>
              </w:rPr>
              <w:t>X</w:t>
            </w:r>
          </w:p>
        </w:tc>
        <w:tc>
          <w:tcPr>
            <w:tcW w:w="567" w:type="dxa"/>
            <w:shd w:val="clear" w:color="auto" w:fill="BFBFBF" w:themeFill="background1" w:themeFillShade="BF"/>
            <w:vAlign w:val="center"/>
          </w:tcPr>
          <w:p w14:paraId="708E876B" w14:textId="77777777" w:rsidR="00AD796A" w:rsidRPr="00AF1814" w:rsidRDefault="00AD796A" w:rsidP="00D124BD">
            <w:pPr>
              <w:pStyle w:val="BodyText"/>
              <w:jc w:val="center"/>
              <w:rPr>
                <w:rFonts w:ascii="Arial" w:eastAsia="Arial" w:hAnsi="Arial" w:cs="Arial"/>
                <w:color w:val="365F91" w:themeColor="accent1" w:themeShade="BF"/>
                <w:sz w:val="18"/>
                <w:szCs w:val="18"/>
              </w:rPr>
            </w:pPr>
          </w:p>
        </w:tc>
        <w:tc>
          <w:tcPr>
            <w:tcW w:w="567" w:type="dxa"/>
            <w:shd w:val="clear" w:color="auto" w:fill="BFBFBF" w:themeFill="background1" w:themeFillShade="BF"/>
            <w:vAlign w:val="center"/>
          </w:tcPr>
          <w:p w14:paraId="26EDFEA5" w14:textId="77777777" w:rsidR="00AD796A" w:rsidRPr="00AF1814" w:rsidRDefault="00AD796A" w:rsidP="00D124BD">
            <w:pPr>
              <w:pStyle w:val="BodyText"/>
              <w:jc w:val="center"/>
              <w:rPr>
                <w:rFonts w:ascii="Arial" w:hAnsi="Arial" w:cs="Arial"/>
                <w:color w:val="365F91" w:themeColor="accent1" w:themeShade="BF"/>
                <w:sz w:val="18"/>
                <w:szCs w:val="18"/>
              </w:rPr>
            </w:pPr>
          </w:p>
        </w:tc>
        <w:tc>
          <w:tcPr>
            <w:tcW w:w="567" w:type="dxa"/>
            <w:shd w:val="clear" w:color="auto" w:fill="auto"/>
            <w:vAlign w:val="center"/>
          </w:tcPr>
          <w:p w14:paraId="134ED3A4" w14:textId="77777777" w:rsidR="00AD796A" w:rsidRPr="00AF1814" w:rsidRDefault="00DA3174" w:rsidP="00D124BD">
            <w:pPr>
              <w:pStyle w:val="BodyText"/>
              <w:jc w:val="center"/>
              <w:rPr>
                <w:rFonts w:ascii="Arial" w:hAnsi="Arial" w:cs="Arial"/>
                <w:color w:val="365F91" w:themeColor="accent1" w:themeShade="BF"/>
                <w:sz w:val="18"/>
                <w:szCs w:val="18"/>
              </w:rPr>
            </w:pPr>
            <w:r w:rsidRPr="00AF1814">
              <w:rPr>
                <w:rFonts w:ascii="Arial" w:hAnsi="Arial" w:cs="Arial"/>
                <w:sz w:val="18"/>
                <w:szCs w:val="18"/>
              </w:rPr>
              <w:t>X</w:t>
            </w:r>
          </w:p>
        </w:tc>
        <w:tc>
          <w:tcPr>
            <w:tcW w:w="851" w:type="dxa"/>
            <w:shd w:val="clear" w:color="auto" w:fill="auto"/>
            <w:vAlign w:val="center"/>
          </w:tcPr>
          <w:p w14:paraId="5219E9EF" w14:textId="77777777" w:rsidR="00AD796A" w:rsidRPr="00AF1814" w:rsidRDefault="00DA3174" w:rsidP="00D124BD">
            <w:pPr>
              <w:spacing w:before="40" w:after="40" w:line="256" w:lineRule="auto"/>
              <w:jc w:val="center"/>
              <w:rPr>
                <w:rFonts w:ascii="Arial" w:eastAsia="Arial" w:hAnsi="Arial" w:cs="Arial"/>
                <w:color w:val="365F91" w:themeColor="accent1" w:themeShade="BF"/>
                <w:sz w:val="18"/>
              </w:rPr>
            </w:pPr>
            <w:r w:rsidRPr="00AF1814">
              <w:rPr>
                <w:rFonts w:ascii="Arial" w:hAnsi="Arial"/>
                <w:sz w:val="18"/>
              </w:rPr>
              <w:t>Every 9 weeks up to 12 months, then every12 weeks</w:t>
            </w:r>
          </w:p>
        </w:tc>
        <w:tc>
          <w:tcPr>
            <w:tcW w:w="1134" w:type="dxa"/>
            <w:shd w:val="clear" w:color="auto" w:fill="BFBFBF" w:themeFill="background1" w:themeFillShade="BF"/>
            <w:vAlign w:val="center"/>
          </w:tcPr>
          <w:p w14:paraId="473047DF" w14:textId="77777777" w:rsidR="00AD796A" w:rsidRPr="00AF1814" w:rsidRDefault="00AD796A" w:rsidP="00D124BD">
            <w:pPr>
              <w:rPr>
                <w:rFonts w:eastAsia="Arial" w:cs="Arial"/>
                <w:color w:val="365F91" w:themeColor="accent1" w:themeShade="BF"/>
              </w:rPr>
            </w:pPr>
          </w:p>
        </w:tc>
        <w:tc>
          <w:tcPr>
            <w:tcW w:w="3260" w:type="dxa"/>
            <w:gridSpan w:val="3"/>
            <w:tcBorders>
              <w:bottom w:val="single" w:sz="4" w:space="0" w:color="auto"/>
            </w:tcBorders>
            <w:shd w:val="clear" w:color="auto" w:fill="auto"/>
            <w:vAlign w:val="center"/>
          </w:tcPr>
          <w:p w14:paraId="22420BE2" w14:textId="77777777" w:rsidR="00AD796A" w:rsidRPr="00AF1814" w:rsidRDefault="00DA3174" w:rsidP="00D124BD">
            <w:pPr>
              <w:spacing w:before="40" w:after="40" w:line="256" w:lineRule="auto"/>
              <w:jc w:val="left"/>
              <w:rPr>
                <w:rFonts w:ascii="Arial" w:eastAsia="Arial" w:hAnsi="Arial" w:cs="Arial"/>
                <w:color w:val="365F91" w:themeColor="accent1" w:themeShade="BF"/>
                <w:sz w:val="18"/>
              </w:rPr>
            </w:pPr>
            <w:r w:rsidRPr="00AF1814">
              <w:rPr>
                <w:rFonts w:ascii="Arial" w:hAnsi="Arial"/>
                <w:sz w:val="18"/>
              </w:rPr>
              <w:t xml:space="preserve"> </w:t>
            </w:r>
          </w:p>
          <w:p w14:paraId="5ACE96B8" w14:textId="77777777" w:rsidR="00AD796A" w:rsidRPr="00AF1814" w:rsidRDefault="00DA3174" w:rsidP="00D124BD">
            <w:pPr>
              <w:keepLines/>
              <w:spacing w:before="40" w:after="40"/>
              <w:jc w:val="center"/>
              <w:rPr>
                <w:rFonts w:ascii="Arial" w:hAnsi="Arial"/>
                <w:sz w:val="18"/>
              </w:rPr>
            </w:pPr>
            <w:r w:rsidRPr="00AF1814">
              <w:rPr>
                <w:rFonts w:ascii="Arial" w:hAnsi="Arial"/>
                <w:sz w:val="18"/>
              </w:rPr>
              <w:t>X</w:t>
            </w:r>
            <w:r w:rsidRPr="00AF1814">
              <w:rPr>
                <w:rFonts w:ascii="Arial" w:hAnsi="Arial"/>
                <w:sz w:val="18"/>
                <w:vertAlign w:val="superscript"/>
              </w:rPr>
              <w:t>c</w:t>
            </w:r>
          </w:p>
        </w:tc>
        <w:tc>
          <w:tcPr>
            <w:tcW w:w="3004" w:type="dxa"/>
            <w:tcBorders>
              <w:bottom w:val="single" w:sz="4" w:space="0" w:color="auto"/>
            </w:tcBorders>
          </w:tcPr>
          <w:p w14:paraId="427904D5" w14:textId="388B53DE" w:rsidR="00AD796A" w:rsidRPr="00E44F28" w:rsidRDefault="00DA3174" w:rsidP="008E5434">
            <w:pPr>
              <w:autoSpaceDE w:val="0"/>
              <w:autoSpaceDN w:val="0"/>
              <w:adjustRightInd w:val="0"/>
              <w:spacing w:before="0"/>
              <w:jc w:val="left"/>
              <w:rPr>
                <w:rFonts w:ascii="Arial" w:hAnsi="Arial"/>
                <w:sz w:val="18"/>
              </w:rPr>
            </w:pPr>
            <w:r w:rsidRPr="00E44F28">
              <w:rPr>
                <w:rFonts w:ascii="Arial" w:hAnsi="Arial" w:cs="Arial"/>
                <w:sz w:val="18"/>
                <w:szCs w:val="18"/>
                <w:lang w:eastAsia="ja-JP"/>
              </w:rPr>
              <w:t>Confirmation of CR</w:t>
            </w:r>
            <w:r w:rsidR="001822E5" w:rsidRPr="00E44F28">
              <w:rPr>
                <w:rFonts w:ascii="Arial" w:hAnsi="Arial" w:cs="Arial"/>
                <w:sz w:val="18"/>
                <w:szCs w:val="18"/>
                <w:lang w:eastAsia="ja-JP"/>
              </w:rPr>
              <w:t xml:space="preserve"> </w:t>
            </w:r>
            <w:r w:rsidRPr="00E44F28">
              <w:rPr>
                <w:rFonts w:ascii="Arial" w:hAnsi="Arial" w:cs="Arial"/>
                <w:sz w:val="18"/>
                <w:szCs w:val="18"/>
                <w:lang w:eastAsia="ja-JP"/>
              </w:rPr>
              <w:t>and PD is required as described in Section </w:t>
            </w:r>
            <w:r w:rsidRPr="00E44F28">
              <w:rPr>
                <w:rFonts w:ascii="Arial" w:hAnsi="Arial"/>
                <w:sz w:val="18"/>
              </w:rPr>
              <w:fldChar w:fldCharType="begin"/>
            </w:r>
            <w:r w:rsidRPr="00E44F28">
              <w:rPr>
                <w:rFonts w:ascii="Arial" w:hAnsi="Arial"/>
                <w:sz w:val="18"/>
              </w:rPr>
              <w:instrText xml:space="preserve"> REF _Ref33102058 \w \h  \* MERGEFORMAT </w:instrText>
            </w:r>
            <w:r w:rsidRPr="00E44F28">
              <w:rPr>
                <w:rFonts w:ascii="Arial" w:hAnsi="Arial"/>
                <w:sz w:val="18"/>
              </w:rPr>
            </w:r>
            <w:r w:rsidRPr="00E44F28">
              <w:rPr>
                <w:rFonts w:ascii="Arial" w:hAnsi="Arial"/>
                <w:sz w:val="18"/>
              </w:rPr>
              <w:fldChar w:fldCharType="separate"/>
            </w:r>
            <w:r w:rsidR="00C548C3" w:rsidRPr="00E44F28">
              <w:rPr>
                <w:rFonts w:ascii="Arial" w:hAnsi="Arial"/>
                <w:sz w:val="18"/>
              </w:rPr>
              <w:t>8.1</w:t>
            </w:r>
            <w:r w:rsidRPr="00E44F28">
              <w:rPr>
                <w:rFonts w:ascii="Arial" w:hAnsi="Arial"/>
                <w:sz w:val="18"/>
              </w:rPr>
              <w:fldChar w:fldCharType="end"/>
            </w:r>
            <w:r w:rsidRPr="00E44F28">
              <w:rPr>
                <w:rFonts w:ascii="Arial" w:hAnsi="Arial"/>
                <w:sz w:val="18"/>
              </w:rPr>
              <w:t>.</w:t>
            </w:r>
          </w:p>
          <w:p w14:paraId="37BB401D" w14:textId="0324D0E5" w:rsidR="00AD796A" w:rsidRPr="00E44F28" w:rsidRDefault="00DA3174">
            <w:pPr>
              <w:autoSpaceDE w:val="0"/>
              <w:autoSpaceDN w:val="0"/>
              <w:adjustRightInd w:val="0"/>
              <w:spacing w:before="0"/>
              <w:jc w:val="left"/>
              <w:rPr>
                <w:rFonts w:ascii="Arial" w:hAnsi="Arial"/>
                <w:sz w:val="18"/>
              </w:rPr>
            </w:pPr>
            <w:r w:rsidRPr="00E44F28">
              <w:rPr>
                <w:rFonts w:ascii="Arial" w:hAnsi="Arial" w:cs="Arial"/>
                <w:sz w:val="18"/>
                <w:szCs w:val="18"/>
                <w:lang w:eastAsia="ja-JP"/>
              </w:rPr>
              <w:t>Confirmation of PR is required as described in Section </w:t>
            </w:r>
            <w:r w:rsidRPr="00E44F28">
              <w:rPr>
                <w:rFonts w:ascii="Arial" w:hAnsi="Arial"/>
                <w:sz w:val="18"/>
              </w:rPr>
              <w:fldChar w:fldCharType="begin"/>
            </w:r>
            <w:r w:rsidRPr="00E44F28">
              <w:rPr>
                <w:rFonts w:ascii="Arial" w:hAnsi="Arial"/>
                <w:sz w:val="18"/>
              </w:rPr>
              <w:instrText xml:space="preserve"> REF _Ref33102058 \w \h  \* MERGEFORMAT </w:instrText>
            </w:r>
            <w:r w:rsidRPr="00E44F28">
              <w:rPr>
                <w:rFonts w:ascii="Arial" w:hAnsi="Arial"/>
                <w:sz w:val="18"/>
              </w:rPr>
            </w:r>
            <w:r w:rsidRPr="00E44F28">
              <w:rPr>
                <w:rFonts w:ascii="Arial" w:hAnsi="Arial"/>
                <w:sz w:val="18"/>
              </w:rPr>
              <w:fldChar w:fldCharType="separate"/>
            </w:r>
            <w:r w:rsidR="00C548C3" w:rsidRPr="00E44F28">
              <w:rPr>
                <w:rFonts w:ascii="Arial" w:hAnsi="Arial"/>
                <w:sz w:val="18"/>
              </w:rPr>
              <w:t>8.1</w:t>
            </w:r>
            <w:r w:rsidRPr="00E44F28">
              <w:rPr>
                <w:rFonts w:ascii="Arial" w:hAnsi="Arial"/>
                <w:sz w:val="18"/>
              </w:rPr>
              <w:fldChar w:fldCharType="end"/>
            </w:r>
            <w:r w:rsidRPr="00E44F28">
              <w:rPr>
                <w:rFonts w:ascii="Arial" w:hAnsi="Arial"/>
                <w:sz w:val="18"/>
              </w:rPr>
              <w:t>. for subjects with measurable disease at Baseline.</w:t>
            </w:r>
          </w:p>
          <w:p w14:paraId="25975F1F" w14:textId="77777777" w:rsidR="00AD796A" w:rsidRPr="00E44F28" w:rsidRDefault="00DA3174" w:rsidP="00B5532C">
            <w:pPr>
              <w:keepLines/>
              <w:spacing w:before="40" w:after="40"/>
              <w:jc w:val="left"/>
              <w:rPr>
                <w:rFonts w:ascii="Arial" w:hAnsi="Arial"/>
                <w:sz w:val="18"/>
              </w:rPr>
            </w:pPr>
            <w:r w:rsidRPr="00E44F28">
              <w:rPr>
                <w:rFonts w:ascii="Arial" w:hAnsi="Arial"/>
                <w:sz w:val="18"/>
              </w:rPr>
              <w:t xml:space="preserve">c: For participants discontinuing treatment due to reason other than PD, perform tumor evaluation every 9 weeks from W1D1 until 12 months (e.g., W49), then q12w until confirmed PD or study discontinuation.  </w:t>
            </w:r>
          </w:p>
        </w:tc>
      </w:tr>
      <w:tr w:rsidR="002108B2" w:rsidRPr="00AF1814" w14:paraId="0CB061F7" w14:textId="77777777" w:rsidTr="00AD796A">
        <w:trPr>
          <w:cantSplit/>
          <w:jc w:val="center"/>
        </w:trPr>
        <w:tc>
          <w:tcPr>
            <w:tcW w:w="1312" w:type="dxa"/>
            <w:shd w:val="clear" w:color="auto" w:fill="auto"/>
            <w:vAlign w:val="center"/>
          </w:tcPr>
          <w:p w14:paraId="2A1DEC5A" w14:textId="08D9F34C" w:rsidR="00B33375" w:rsidRPr="00AF1814" w:rsidRDefault="00DA3174" w:rsidP="00D124BD">
            <w:pPr>
              <w:keepLines/>
              <w:spacing w:before="40" w:after="40"/>
              <w:jc w:val="left"/>
              <w:rPr>
                <w:rFonts w:ascii="Arial" w:hAnsi="Arial"/>
                <w:sz w:val="18"/>
              </w:rPr>
            </w:pPr>
            <w:r w:rsidRPr="00AF1814">
              <w:rPr>
                <w:rFonts w:ascii="Arial" w:hAnsi="Arial"/>
                <w:sz w:val="18"/>
              </w:rPr>
              <w:t>Subsequent anti</w:t>
            </w:r>
            <w:r w:rsidR="00D77787">
              <w:rPr>
                <w:rFonts w:ascii="Arial" w:hAnsi="Arial"/>
                <w:sz w:val="18"/>
              </w:rPr>
              <w:noBreakHyphen/>
            </w:r>
            <w:r w:rsidRPr="00AF1814">
              <w:rPr>
                <w:rFonts w:ascii="Arial" w:hAnsi="Arial"/>
                <w:sz w:val="18"/>
              </w:rPr>
              <w:t>cancer therapy (any line)</w:t>
            </w:r>
          </w:p>
        </w:tc>
        <w:tc>
          <w:tcPr>
            <w:tcW w:w="526" w:type="dxa"/>
            <w:shd w:val="clear" w:color="auto" w:fill="BFBFBF" w:themeFill="background1" w:themeFillShade="BF"/>
            <w:vAlign w:val="center"/>
          </w:tcPr>
          <w:p w14:paraId="5900F35D" w14:textId="77777777" w:rsidR="00B33375" w:rsidRPr="00AF1814" w:rsidRDefault="00B33375" w:rsidP="00D124BD">
            <w:pPr>
              <w:spacing w:before="40" w:after="40" w:line="256" w:lineRule="auto"/>
              <w:jc w:val="center"/>
              <w:rPr>
                <w:rFonts w:ascii="Arial" w:hAnsi="Arial" w:cs="Arial"/>
                <w:bCs/>
                <w:caps/>
                <w:color w:val="365F91" w:themeColor="accent1" w:themeShade="BF"/>
                <w:sz w:val="18"/>
                <w:szCs w:val="18"/>
              </w:rPr>
            </w:pPr>
          </w:p>
        </w:tc>
        <w:tc>
          <w:tcPr>
            <w:tcW w:w="567" w:type="dxa"/>
            <w:shd w:val="clear" w:color="auto" w:fill="BFBFBF" w:themeFill="background1" w:themeFillShade="BF"/>
            <w:vAlign w:val="center"/>
          </w:tcPr>
          <w:p w14:paraId="1485193E" w14:textId="77777777" w:rsidR="00B33375" w:rsidRPr="00AF1814" w:rsidRDefault="00B33375" w:rsidP="00D124BD">
            <w:pPr>
              <w:spacing w:before="40" w:after="40" w:line="256" w:lineRule="auto"/>
              <w:jc w:val="center"/>
              <w:rPr>
                <w:rFonts w:ascii="Arial" w:hAnsi="Arial" w:cs="Arial"/>
                <w:bCs/>
                <w:caps/>
                <w:color w:val="365F91" w:themeColor="accent1" w:themeShade="BF"/>
                <w:sz w:val="18"/>
                <w:szCs w:val="18"/>
              </w:rPr>
            </w:pPr>
          </w:p>
        </w:tc>
        <w:tc>
          <w:tcPr>
            <w:tcW w:w="567" w:type="dxa"/>
            <w:shd w:val="clear" w:color="auto" w:fill="BFBFBF" w:themeFill="background1" w:themeFillShade="BF"/>
            <w:vAlign w:val="center"/>
          </w:tcPr>
          <w:p w14:paraId="51262CEC" w14:textId="77777777" w:rsidR="00B33375" w:rsidRPr="00AF1814" w:rsidRDefault="00B33375" w:rsidP="00D124BD">
            <w:pPr>
              <w:rPr>
                <w:rFonts w:cs="Arial"/>
                <w:bCs/>
                <w:caps/>
                <w:color w:val="365F91" w:themeColor="accent1" w:themeShade="BF"/>
                <w:szCs w:val="18"/>
              </w:rPr>
            </w:pPr>
          </w:p>
        </w:tc>
        <w:tc>
          <w:tcPr>
            <w:tcW w:w="567" w:type="dxa"/>
            <w:shd w:val="clear" w:color="auto" w:fill="BFBFBF" w:themeFill="background1" w:themeFillShade="BF"/>
            <w:vAlign w:val="center"/>
          </w:tcPr>
          <w:p w14:paraId="40964BED" w14:textId="77777777" w:rsidR="00B33375" w:rsidRPr="00AF1814" w:rsidRDefault="00B33375" w:rsidP="00D124BD">
            <w:pPr>
              <w:spacing w:before="40" w:after="40" w:line="256" w:lineRule="auto"/>
              <w:jc w:val="center"/>
              <w:rPr>
                <w:rFonts w:ascii="Arial" w:eastAsia="Arial" w:hAnsi="Arial" w:cs="Arial"/>
                <w:caps/>
                <w:color w:val="365F91" w:themeColor="accent1" w:themeShade="BF"/>
                <w:sz w:val="18"/>
              </w:rPr>
            </w:pPr>
          </w:p>
        </w:tc>
        <w:tc>
          <w:tcPr>
            <w:tcW w:w="567" w:type="dxa"/>
            <w:shd w:val="clear" w:color="auto" w:fill="BFBFBF" w:themeFill="background1" w:themeFillShade="BF"/>
            <w:vAlign w:val="center"/>
          </w:tcPr>
          <w:p w14:paraId="60EB960B" w14:textId="77777777" w:rsidR="00B33375" w:rsidRPr="00AF1814" w:rsidRDefault="00B33375" w:rsidP="00D124BD">
            <w:pPr>
              <w:spacing w:before="40" w:after="40" w:line="256" w:lineRule="auto"/>
              <w:jc w:val="center"/>
              <w:rPr>
                <w:rFonts w:ascii="Arial" w:hAnsi="Arial" w:cs="Arial"/>
                <w:bCs/>
                <w:caps/>
                <w:color w:val="365F91" w:themeColor="accent1" w:themeShade="BF"/>
                <w:sz w:val="18"/>
                <w:szCs w:val="18"/>
              </w:rPr>
            </w:pPr>
          </w:p>
        </w:tc>
        <w:tc>
          <w:tcPr>
            <w:tcW w:w="567" w:type="dxa"/>
            <w:shd w:val="clear" w:color="auto" w:fill="BFBFBF" w:themeFill="background1" w:themeFillShade="BF"/>
            <w:vAlign w:val="center"/>
          </w:tcPr>
          <w:p w14:paraId="48E800C2" w14:textId="77777777" w:rsidR="00B33375" w:rsidRPr="00AF1814" w:rsidRDefault="00B33375" w:rsidP="00D124BD">
            <w:pPr>
              <w:rPr>
                <w:rFonts w:cs="Arial"/>
                <w:bCs/>
                <w:caps/>
                <w:color w:val="365F91" w:themeColor="accent1" w:themeShade="BF"/>
                <w:szCs w:val="18"/>
              </w:rPr>
            </w:pPr>
          </w:p>
        </w:tc>
        <w:tc>
          <w:tcPr>
            <w:tcW w:w="851" w:type="dxa"/>
            <w:shd w:val="clear" w:color="auto" w:fill="BFBFBF" w:themeFill="background1" w:themeFillShade="BF"/>
            <w:vAlign w:val="center"/>
          </w:tcPr>
          <w:p w14:paraId="0771E760" w14:textId="77777777" w:rsidR="00B33375" w:rsidRPr="00AF1814" w:rsidRDefault="00B33375" w:rsidP="00D124BD">
            <w:pPr>
              <w:spacing w:before="40" w:after="40" w:line="256" w:lineRule="auto"/>
              <w:jc w:val="center"/>
              <w:rPr>
                <w:rFonts w:ascii="Arial" w:eastAsia="Arial" w:hAnsi="Arial" w:cs="Arial"/>
                <w:color w:val="365F91" w:themeColor="accent1" w:themeShade="BF"/>
                <w:sz w:val="18"/>
              </w:rPr>
            </w:pPr>
          </w:p>
        </w:tc>
        <w:tc>
          <w:tcPr>
            <w:tcW w:w="1134" w:type="dxa"/>
            <w:shd w:val="clear" w:color="auto" w:fill="BFBFBF" w:themeFill="background1" w:themeFillShade="BF"/>
            <w:vAlign w:val="center"/>
          </w:tcPr>
          <w:p w14:paraId="37C5F9A2" w14:textId="77777777" w:rsidR="00B33375" w:rsidRPr="00AF1814" w:rsidRDefault="00B33375" w:rsidP="00D124BD">
            <w:pPr>
              <w:rPr>
                <w:rFonts w:eastAsia="Arial" w:cs="Arial"/>
                <w:color w:val="365F91" w:themeColor="accent1" w:themeShade="BF"/>
              </w:rPr>
            </w:pPr>
          </w:p>
        </w:tc>
        <w:tc>
          <w:tcPr>
            <w:tcW w:w="992" w:type="dxa"/>
            <w:tcBorders>
              <w:bottom w:val="single" w:sz="4" w:space="0" w:color="auto"/>
            </w:tcBorders>
            <w:shd w:val="clear" w:color="auto" w:fill="auto"/>
            <w:vAlign w:val="center"/>
          </w:tcPr>
          <w:p w14:paraId="410698B0" w14:textId="77777777" w:rsidR="00B33375" w:rsidRPr="00AF1814" w:rsidRDefault="00DA3174" w:rsidP="00D124BD">
            <w:pPr>
              <w:keepLines/>
              <w:spacing w:before="40" w:after="40"/>
              <w:jc w:val="center"/>
              <w:rPr>
                <w:rFonts w:ascii="Arial" w:hAnsi="Arial"/>
                <w:sz w:val="18"/>
              </w:rPr>
            </w:pPr>
            <w:r w:rsidRPr="00AF1814">
              <w:rPr>
                <w:rFonts w:ascii="Arial" w:hAnsi="Arial"/>
                <w:sz w:val="18"/>
              </w:rPr>
              <w:t>X</w:t>
            </w:r>
          </w:p>
        </w:tc>
        <w:tc>
          <w:tcPr>
            <w:tcW w:w="1134" w:type="dxa"/>
            <w:tcBorders>
              <w:bottom w:val="single" w:sz="4" w:space="0" w:color="auto"/>
            </w:tcBorders>
            <w:vAlign w:val="center"/>
          </w:tcPr>
          <w:p w14:paraId="351C73CD" w14:textId="77777777" w:rsidR="00B33375" w:rsidRPr="00AF1814" w:rsidRDefault="00DA3174" w:rsidP="00D124BD">
            <w:pPr>
              <w:keepLines/>
              <w:spacing w:before="40" w:after="40"/>
              <w:jc w:val="center"/>
              <w:rPr>
                <w:rFonts w:ascii="Arial" w:hAnsi="Arial"/>
                <w:sz w:val="18"/>
              </w:rPr>
            </w:pPr>
            <w:r w:rsidRPr="00AF1814">
              <w:rPr>
                <w:rFonts w:ascii="Arial" w:hAnsi="Arial"/>
                <w:sz w:val="18"/>
              </w:rPr>
              <w:t>X</w:t>
            </w:r>
          </w:p>
        </w:tc>
        <w:tc>
          <w:tcPr>
            <w:tcW w:w="1134" w:type="dxa"/>
            <w:tcBorders>
              <w:bottom w:val="single" w:sz="4" w:space="0" w:color="auto"/>
            </w:tcBorders>
            <w:vAlign w:val="center"/>
          </w:tcPr>
          <w:p w14:paraId="1F934D7A" w14:textId="77777777" w:rsidR="00B33375" w:rsidRPr="00AF1814" w:rsidRDefault="00DA3174" w:rsidP="00D124BD">
            <w:pPr>
              <w:keepLines/>
              <w:spacing w:before="40" w:after="40"/>
              <w:jc w:val="center"/>
              <w:rPr>
                <w:rFonts w:ascii="Arial" w:hAnsi="Arial"/>
                <w:sz w:val="18"/>
              </w:rPr>
            </w:pPr>
            <w:r w:rsidRPr="00AF1814">
              <w:rPr>
                <w:rFonts w:ascii="Arial" w:hAnsi="Arial" w:cs="Arial"/>
                <w:bCs/>
                <w:sz w:val="18"/>
                <w:szCs w:val="18"/>
              </w:rPr>
              <w:t>X</w:t>
            </w:r>
          </w:p>
        </w:tc>
        <w:tc>
          <w:tcPr>
            <w:tcW w:w="3004" w:type="dxa"/>
            <w:tcBorders>
              <w:bottom w:val="single" w:sz="4" w:space="0" w:color="auto"/>
            </w:tcBorders>
            <w:shd w:val="clear" w:color="auto" w:fill="BFBFBF" w:themeFill="background1" w:themeFillShade="BF"/>
          </w:tcPr>
          <w:p w14:paraId="710FF82A" w14:textId="77777777" w:rsidR="00B33375" w:rsidRPr="00E44F28" w:rsidRDefault="00B33375" w:rsidP="00D124BD">
            <w:pPr>
              <w:keepLines/>
              <w:spacing w:before="40" w:after="40"/>
              <w:jc w:val="left"/>
              <w:rPr>
                <w:rFonts w:ascii="Arial" w:hAnsi="Arial"/>
                <w:sz w:val="18"/>
              </w:rPr>
            </w:pPr>
          </w:p>
        </w:tc>
      </w:tr>
      <w:tr w:rsidR="002108B2" w:rsidRPr="00AF1814" w14:paraId="6B4D5C94" w14:textId="77777777" w:rsidTr="00F538BA">
        <w:trPr>
          <w:cantSplit/>
          <w:jc w:val="center"/>
        </w:trPr>
        <w:tc>
          <w:tcPr>
            <w:tcW w:w="12922" w:type="dxa"/>
            <w:gridSpan w:val="13"/>
            <w:shd w:val="clear" w:color="auto" w:fill="auto"/>
            <w:vAlign w:val="center"/>
            <w:hideMark/>
          </w:tcPr>
          <w:p w14:paraId="65AAFA33" w14:textId="77777777" w:rsidR="00D124BD" w:rsidRPr="00E44F28" w:rsidRDefault="00DA3174" w:rsidP="00D124BD">
            <w:pPr>
              <w:keepNext/>
              <w:spacing w:before="80" w:after="80" w:line="257" w:lineRule="auto"/>
              <w:jc w:val="center"/>
              <w:rPr>
                <w:rFonts w:ascii="Arial" w:hAnsi="Arial"/>
                <w:b/>
                <w:sz w:val="18"/>
              </w:rPr>
            </w:pPr>
            <w:r w:rsidRPr="00E44F28">
              <w:rPr>
                <w:rFonts w:ascii="Arial" w:hAnsi="Arial"/>
                <w:b/>
                <w:sz w:val="18"/>
              </w:rPr>
              <w:t xml:space="preserve">PK, ADA and Biomarker </w:t>
            </w:r>
          </w:p>
        </w:tc>
      </w:tr>
      <w:tr w:rsidR="002108B2" w:rsidRPr="00AF1814" w14:paraId="2CD578EF" w14:textId="77777777" w:rsidTr="00F538BA">
        <w:trPr>
          <w:cantSplit/>
          <w:jc w:val="center"/>
        </w:trPr>
        <w:tc>
          <w:tcPr>
            <w:tcW w:w="12922" w:type="dxa"/>
            <w:gridSpan w:val="13"/>
            <w:shd w:val="clear" w:color="auto" w:fill="auto"/>
            <w:vAlign w:val="center"/>
          </w:tcPr>
          <w:p w14:paraId="11E582BE" w14:textId="690B8810" w:rsidR="00D124BD" w:rsidRPr="00E44F28" w:rsidRDefault="00DA3174" w:rsidP="00D124BD">
            <w:pPr>
              <w:spacing w:before="40" w:after="40" w:line="256" w:lineRule="auto"/>
              <w:jc w:val="center"/>
              <w:rPr>
                <w:rFonts w:ascii="Arial" w:eastAsia="Arial" w:hAnsi="Arial" w:cs="Arial"/>
                <w:sz w:val="18"/>
              </w:rPr>
            </w:pPr>
            <w:r w:rsidRPr="00E44F28">
              <w:rPr>
                <w:rFonts w:ascii="Arial" w:hAnsi="Arial" w:cs="Arial"/>
                <w:sz w:val="18"/>
                <w:szCs w:val="18"/>
              </w:rPr>
              <w:t xml:space="preserve">See </w:t>
            </w:r>
            <w:r w:rsidR="0028431E" w:rsidRPr="00E44F28">
              <w:rPr>
                <w:rFonts w:ascii="Arial" w:hAnsi="Arial" w:cs="Arial"/>
                <w:sz w:val="18"/>
                <w:szCs w:val="18"/>
              </w:rPr>
              <w:fldChar w:fldCharType="begin"/>
            </w:r>
            <w:r w:rsidR="0028431E" w:rsidRPr="00E44F28">
              <w:rPr>
                <w:rFonts w:ascii="Arial" w:hAnsi="Arial" w:cs="Arial"/>
                <w:sz w:val="18"/>
                <w:szCs w:val="18"/>
              </w:rPr>
              <w:instrText xml:space="preserve"> REF _Ref31386662 \h </w:instrText>
            </w:r>
            <w:r w:rsidR="00CC71B7" w:rsidRPr="00E44F28">
              <w:rPr>
                <w:rFonts w:ascii="Arial" w:hAnsi="Arial" w:cs="Arial"/>
                <w:sz w:val="18"/>
                <w:szCs w:val="18"/>
              </w:rPr>
              <w:instrText xml:space="preserve"> \* MERGEFORMAT </w:instrText>
            </w:r>
            <w:r w:rsidR="0028431E" w:rsidRPr="00E44F28">
              <w:rPr>
                <w:rFonts w:ascii="Arial" w:hAnsi="Arial" w:cs="Arial"/>
                <w:sz w:val="18"/>
                <w:szCs w:val="18"/>
              </w:rPr>
            </w:r>
            <w:r w:rsidR="0028431E" w:rsidRPr="00E44F28">
              <w:rPr>
                <w:rFonts w:ascii="Arial" w:hAnsi="Arial" w:cs="Arial"/>
                <w:sz w:val="18"/>
                <w:szCs w:val="18"/>
              </w:rPr>
              <w:fldChar w:fldCharType="separate"/>
            </w:r>
            <w:r w:rsidR="00C548C3" w:rsidRPr="00E44F28">
              <w:rPr>
                <w:rFonts w:ascii="Arial" w:hAnsi="Arial" w:cs="Arial"/>
                <w:sz w:val="18"/>
                <w:szCs w:val="18"/>
              </w:rPr>
              <w:t xml:space="preserve">Table </w:t>
            </w:r>
            <w:r w:rsidR="00C548C3" w:rsidRPr="00E44F28">
              <w:rPr>
                <w:rFonts w:ascii="Arial" w:hAnsi="Arial" w:cs="Arial"/>
                <w:noProof/>
                <w:sz w:val="18"/>
                <w:szCs w:val="18"/>
              </w:rPr>
              <w:t>5</w:t>
            </w:r>
            <w:r w:rsidR="0028431E" w:rsidRPr="00E44F28">
              <w:rPr>
                <w:rFonts w:ascii="Arial" w:hAnsi="Arial" w:cs="Arial"/>
                <w:sz w:val="18"/>
                <w:szCs w:val="18"/>
              </w:rPr>
              <w:fldChar w:fldCharType="end"/>
            </w:r>
            <w:r w:rsidR="0028431E" w:rsidRPr="00E44F28">
              <w:rPr>
                <w:rFonts w:ascii="Arial" w:hAnsi="Arial" w:cs="Arial"/>
                <w:sz w:val="18"/>
                <w:szCs w:val="18"/>
              </w:rPr>
              <w:t xml:space="preserve"> </w:t>
            </w:r>
            <w:r w:rsidRPr="00E44F28">
              <w:rPr>
                <w:rFonts w:ascii="Arial" w:hAnsi="Arial" w:cs="Arial"/>
                <w:sz w:val="18"/>
                <w:szCs w:val="18"/>
              </w:rPr>
              <w:t>for PK and ADA Sampling Schedule</w:t>
            </w:r>
          </w:p>
        </w:tc>
      </w:tr>
      <w:tr w:rsidR="002108B2" w:rsidRPr="00AF1814" w14:paraId="329890D8" w14:textId="77777777" w:rsidTr="00AD796A">
        <w:trPr>
          <w:cantSplit/>
          <w:jc w:val="center"/>
        </w:trPr>
        <w:tc>
          <w:tcPr>
            <w:tcW w:w="1312" w:type="dxa"/>
            <w:shd w:val="clear" w:color="auto" w:fill="auto"/>
            <w:vAlign w:val="center"/>
          </w:tcPr>
          <w:p w14:paraId="148D2E5C" w14:textId="77777777" w:rsidR="00AD796A" w:rsidRPr="00AF1814" w:rsidRDefault="00DA3174" w:rsidP="00D124BD">
            <w:pPr>
              <w:spacing w:before="40" w:after="40" w:line="256" w:lineRule="auto"/>
              <w:ind w:right="-70"/>
              <w:jc w:val="left"/>
              <w:rPr>
                <w:rFonts w:ascii="Arial" w:eastAsia="Arial" w:hAnsi="Arial" w:cs="Arial"/>
                <w:color w:val="365F91" w:themeColor="accent1" w:themeShade="BF"/>
                <w:sz w:val="18"/>
              </w:rPr>
            </w:pPr>
            <w:r w:rsidRPr="00AF1814">
              <w:rPr>
                <w:rFonts w:ascii="Arial" w:hAnsi="Arial"/>
                <w:sz w:val="18"/>
              </w:rPr>
              <w:t>Tumor tissue collection</w:t>
            </w:r>
          </w:p>
        </w:tc>
        <w:tc>
          <w:tcPr>
            <w:tcW w:w="526" w:type="dxa"/>
            <w:tcBorders>
              <w:bottom w:val="single" w:sz="4" w:space="0" w:color="auto"/>
            </w:tcBorders>
            <w:shd w:val="clear" w:color="auto" w:fill="BFBFBF" w:themeFill="background1" w:themeFillShade="BF"/>
            <w:vAlign w:val="center"/>
          </w:tcPr>
          <w:p w14:paraId="0738487B" w14:textId="77777777" w:rsidR="00AD796A" w:rsidRPr="00AF1814" w:rsidRDefault="00AD796A" w:rsidP="00D124BD">
            <w:pPr>
              <w:spacing w:before="40" w:after="40" w:line="256" w:lineRule="auto"/>
              <w:jc w:val="center"/>
              <w:rPr>
                <w:rFonts w:ascii="Arial" w:hAnsi="Arial" w:cs="Arial"/>
                <w:bCs/>
                <w:color w:val="365F91" w:themeColor="accent1" w:themeShade="BF"/>
                <w:sz w:val="18"/>
                <w:szCs w:val="18"/>
              </w:rPr>
            </w:pPr>
          </w:p>
        </w:tc>
        <w:tc>
          <w:tcPr>
            <w:tcW w:w="567" w:type="dxa"/>
            <w:tcBorders>
              <w:bottom w:val="single" w:sz="4" w:space="0" w:color="auto"/>
            </w:tcBorders>
            <w:shd w:val="clear" w:color="auto" w:fill="BFBFBF" w:themeFill="background1" w:themeFillShade="BF"/>
            <w:vAlign w:val="center"/>
          </w:tcPr>
          <w:p w14:paraId="15414DFC" w14:textId="77777777" w:rsidR="00AD796A" w:rsidRPr="00AF1814" w:rsidRDefault="00AD796A" w:rsidP="00D124BD">
            <w:pPr>
              <w:spacing w:before="40" w:after="40" w:line="256" w:lineRule="auto"/>
              <w:jc w:val="center"/>
              <w:rPr>
                <w:rFonts w:ascii="Arial" w:hAnsi="Arial" w:cs="Arial"/>
                <w:bCs/>
                <w:color w:val="365F91" w:themeColor="accent1" w:themeShade="BF"/>
                <w:sz w:val="18"/>
                <w:szCs w:val="18"/>
              </w:rPr>
            </w:pPr>
          </w:p>
        </w:tc>
        <w:tc>
          <w:tcPr>
            <w:tcW w:w="567" w:type="dxa"/>
            <w:tcBorders>
              <w:bottom w:val="single" w:sz="4" w:space="0" w:color="auto"/>
            </w:tcBorders>
            <w:shd w:val="clear" w:color="auto" w:fill="BFBFBF" w:themeFill="background1" w:themeFillShade="BF"/>
            <w:vAlign w:val="center"/>
          </w:tcPr>
          <w:p w14:paraId="055971FA" w14:textId="77777777" w:rsidR="00AD796A" w:rsidRPr="00AF1814" w:rsidRDefault="00AD796A" w:rsidP="00D124BD">
            <w:pPr>
              <w:spacing w:before="40" w:after="40" w:line="256" w:lineRule="auto"/>
              <w:jc w:val="center"/>
              <w:rPr>
                <w:rFonts w:ascii="Arial" w:hAnsi="Arial" w:cs="Arial"/>
                <w:bCs/>
                <w:color w:val="365F91" w:themeColor="accent1" w:themeShade="BF"/>
                <w:sz w:val="18"/>
                <w:szCs w:val="18"/>
              </w:rPr>
            </w:pPr>
          </w:p>
        </w:tc>
        <w:tc>
          <w:tcPr>
            <w:tcW w:w="567" w:type="dxa"/>
            <w:shd w:val="clear" w:color="auto" w:fill="BFBFBF" w:themeFill="background1" w:themeFillShade="BF"/>
            <w:vAlign w:val="center"/>
          </w:tcPr>
          <w:p w14:paraId="5376247D" w14:textId="77777777" w:rsidR="00AD796A" w:rsidRPr="00AF1814" w:rsidRDefault="00AD796A" w:rsidP="00D124BD">
            <w:pPr>
              <w:spacing w:before="40" w:after="40" w:line="256" w:lineRule="auto"/>
              <w:jc w:val="center"/>
              <w:rPr>
                <w:rFonts w:ascii="Arial" w:hAnsi="Arial" w:cs="Arial"/>
                <w:bCs/>
                <w:color w:val="365F91" w:themeColor="accent1" w:themeShade="BF"/>
                <w:sz w:val="18"/>
                <w:szCs w:val="18"/>
              </w:rPr>
            </w:pPr>
          </w:p>
        </w:tc>
        <w:tc>
          <w:tcPr>
            <w:tcW w:w="567" w:type="dxa"/>
            <w:shd w:val="clear" w:color="auto" w:fill="BFBFBF" w:themeFill="background1" w:themeFillShade="BF"/>
            <w:vAlign w:val="center"/>
          </w:tcPr>
          <w:p w14:paraId="7662B0BD" w14:textId="77777777" w:rsidR="00AD796A" w:rsidRPr="00AF1814" w:rsidRDefault="00AD796A" w:rsidP="00D124BD">
            <w:pPr>
              <w:spacing w:before="40" w:after="40" w:line="256" w:lineRule="auto"/>
              <w:jc w:val="center"/>
              <w:rPr>
                <w:rFonts w:ascii="Arial" w:hAnsi="Arial" w:cs="Arial"/>
                <w:bCs/>
                <w:color w:val="365F91" w:themeColor="accent1" w:themeShade="BF"/>
                <w:sz w:val="18"/>
                <w:szCs w:val="18"/>
              </w:rPr>
            </w:pPr>
          </w:p>
        </w:tc>
        <w:tc>
          <w:tcPr>
            <w:tcW w:w="567" w:type="dxa"/>
            <w:shd w:val="clear" w:color="auto" w:fill="BFBFBF" w:themeFill="background1" w:themeFillShade="BF"/>
            <w:vAlign w:val="center"/>
          </w:tcPr>
          <w:p w14:paraId="432340FD" w14:textId="77777777" w:rsidR="00AD796A" w:rsidRPr="00AF1814" w:rsidRDefault="00AD796A" w:rsidP="00D124BD">
            <w:pPr>
              <w:spacing w:before="40" w:after="40" w:line="256" w:lineRule="auto"/>
              <w:jc w:val="center"/>
              <w:rPr>
                <w:rFonts w:ascii="Arial" w:eastAsia="Arial" w:hAnsi="Arial" w:cs="Arial"/>
                <w:color w:val="365F91" w:themeColor="accent1" w:themeShade="BF"/>
                <w:sz w:val="18"/>
              </w:rPr>
            </w:pPr>
          </w:p>
        </w:tc>
        <w:tc>
          <w:tcPr>
            <w:tcW w:w="851" w:type="dxa"/>
            <w:shd w:val="clear" w:color="auto" w:fill="BFBFBF" w:themeFill="background1" w:themeFillShade="BF"/>
            <w:vAlign w:val="center"/>
          </w:tcPr>
          <w:p w14:paraId="3A810D57" w14:textId="77777777" w:rsidR="00AD796A" w:rsidRPr="00AF1814" w:rsidRDefault="00AD796A" w:rsidP="00D124BD">
            <w:pPr>
              <w:spacing w:before="40" w:after="40" w:line="256" w:lineRule="auto"/>
              <w:jc w:val="center"/>
              <w:rPr>
                <w:rFonts w:ascii="Arial" w:hAnsi="Arial" w:cs="Arial"/>
                <w:bCs/>
                <w:color w:val="365F91" w:themeColor="accent1" w:themeShade="BF"/>
                <w:sz w:val="18"/>
                <w:szCs w:val="18"/>
              </w:rPr>
            </w:pPr>
          </w:p>
        </w:tc>
        <w:tc>
          <w:tcPr>
            <w:tcW w:w="1134" w:type="dxa"/>
            <w:shd w:val="clear" w:color="auto" w:fill="auto"/>
            <w:vAlign w:val="center"/>
          </w:tcPr>
          <w:p w14:paraId="03E99DDF" w14:textId="77777777" w:rsidR="00AD796A" w:rsidRPr="00AF1814" w:rsidRDefault="00DA3174" w:rsidP="00D124BD">
            <w:pPr>
              <w:spacing w:before="40" w:after="40" w:line="256" w:lineRule="auto"/>
              <w:jc w:val="center"/>
              <w:rPr>
                <w:rFonts w:ascii="Arial" w:eastAsia="Arial" w:hAnsi="Arial" w:cs="Arial"/>
                <w:color w:val="365F91" w:themeColor="accent1" w:themeShade="BF"/>
                <w:sz w:val="18"/>
              </w:rPr>
            </w:pPr>
            <w:r w:rsidRPr="00AF1814">
              <w:rPr>
                <w:rFonts w:ascii="Arial" w:eastAsia="Arial" w:hAnsi="Arial" w:cs="Arial"/>
                <w:sz w:val="18"/>
              </w:rPr>
              <w:t>X</w:t>
            </w:r>
            <w:r w:rsidRPr="00AF1814">
              <w:rPr>
                <w:rFonts w:ascii="Arial" w:eastAsia="Arial" w:hAnsi="Arial" w:cs="Arial"/>
                <w:sz w:val="18"/>
                <w:vertAlign w:val="superscript"/>
              </w:rPr>
              <w:t>d</w:t>
            </w:r>
          </w:p>
        </w:tc>
        <w:tc>
          <w:tcPr>
            <w:tcW w:w="992" w:type="dxa"/>
            <w:shd w:val="clear" w:color="auto" w:fill="BFBFBF" w:themeFill="background1" w:themeFillShade="BF"/>
            <w:vAlign w:val="center"/>
          </w:tcPr>
          <w:p w14:paraId="345A30A1" w14:textId="77777777" w:rsidR="00AD796A" w:rsidRPr="00AF1814" w:rsidRDefault="00AD796A" w:rsidP="00D124BD">
            <w:pPr>
              <w:spacing w:before="40" w:after="40" w:line="256" w:lineRule="auto"/>
              <w:jc w:val="left"/>
              <w:rPr>
                <w:rFonts w:ascii="Arial" w:eastAsia="Arial" w:hAnsi="Arial" w:cs="Arial"/>
                <w:color w:val="365F91" w:themeColor="accent1" w:themeShade="BF"/>
                <w:sz w:val="18"/>
              </w:rPr>
            </w:pPr>
          </w:p>
        </w:tc>
        <w:tc>
          <w:tcPr>
            <w:tcW w:w="1134" w:type="dxa"/>
            <w:shd w:val="clear" w:color="auto" w:fill="BFBFBF" w:themeFill="background1" w:themeFillShade="BF"/>
          </w:tcPr>
          <w:p w14:paraId="0308684F" w14:textId="77777777" w:rsidR="00AD796A" w:rsidRPr="00AF1814" w:rsidRDefault="00AD796A" w:rsidP="00D124BD">
            <w:pPr>
              <w:spacing w:before="40" w:after="40" w:line="256" w:lineRule="auto"/>
              <w:jc w:val="left"/>
              <w:rPr>
                <w:rFonts w:ascii="Arial" w:eastAsia="Arial" w:hAnsi="Arial" w:cs="Arial"/>
                <w:color w:val="365F91" w:themeColor="accent1" w:themeShade="BF"/>
                <w:sz w:val="18"/>
              </w:rPr>
            </w:pPr>
          </w:p>
        </w:tc>
        <w:tc>
          <w:tcPr>
            <w:tcW w:w="1134" w:type="dxa"/>
            <w:shd w:val="clear" w:color="auto" w:fill="BFBFBF" w:themeFill="background1" w:themeFillShade="BF"/>
          </w:tcPr>
          <w:p w14:paraId="74964DAD" w14:textId="77777777" w:rsidR="00AD796A" w:rsidRPr="00AF1814" w:rsidRDefault="00AD796A" w:rsidP="00D124BD">
            <w:pPr>
              <w:spacing w:before="40" w:after="40" w:line="256" w:lineRule="auto"/>
              <w:jc w:val="left"/>
              <w:rPr>
                <w:rFonts w:ascii="Arial" w:eastAsia="Arial" w:hAnsi="Arial" w:cs="Arial"/>
                <w:color w:val="365F91" w:themeColor="accent1" w:themeShade="BF"/>
                <w:sz w:val="18"/>
              </w:rPr>
            </w:pPr>
          </w:p>
        </w:tc>
        <w:tc>
          <w:tcPr>
            <w:tcW w:w="3004" w:type="dxa"/>
            <w:shd w:val="clear" w:color="auto" w:fill="auto"/>
          </w:tcPr>
          <w:p w14:paraId="452EE1C8" w14:textId="2D002F7B" w:rsidR="00AD796A" w:rsidRPr="00E44F28" w:rsidRDefault="00DA3174" w:rsidP="00F538BA">
            <w:pPr>
              <w:spacing w:before="40" w:after="40" w:line="256" w:lineRule="auto"/>
              <w:jc w:val="left"/>
              <w:rPr>
                <w:rFonts w:ascii="Arial" w:eastAsia="Arial" w:hAnsi="Arial" w:cs="Arial"/>
                <w:sz w:val="18"/>
              </w:rPr>
            </w:pPr>
            <w:r w:rsidRPr="00E44F28">
              <w:rPr>
                <w:rFonts w:ascii="Arial" w:eastAsia="Arial" w:hAnsi="Arial" w:cs="Arial"/>
                <w:sz w:val="18"/>
              </w:rPr>
              <w:t>d: End-of-Treatment biopsies are optional. Tissue from unscheduled procedures may also be submitted.</w:t>
            </w:r>
            <w:r w:rsidRPr="00E44F28">
              <w:t xml:space="preserve"> </w:t>
            </w:r>
            <w:r w:rsidRPr="00E44F28">
              <w:rPr>
                <w:rFonts w:ascii="Arial" w:eastAsia="Arial" w:hAnsi="Arial" w:cs="Arial"/>
                <w:sz w:val="18"/>
              </w:rPr>
              <w:t xml:space="preserve">See Section </w:t>
            </w:r>
            <w:r w:rsidRPr="00E44F28">
              <w:rPr>
                <w:rFonts w:ascii="Arial" w:eastAsia="Arial" w:hAnsi="Arial" w:cs="Arial"/>
                <w:sz w:val="18"/>
              </w:rPr>
              <w:fldChar w:fldCharType="begin"/>
            </w:r>
            <w:r w:rsidRPr="00E44F28">
              <w:rPr>
                <w:rFonts w:ascii="Arial" w:eastAsia="Arial" w:hAnsi="Arial" w:cs="Arial"/>
                <w:sz w:val="18"/>
              </w:rPr>
              <w:instrText xml:space="preserve"> REF _Ref30403279 \w \h </w:instrText>
            </w:r>
            <w:r w:rsidR="00AF1814" w:rsidRPr="00E44F28">
              <w:rPr>
                <w:rFonts w:ascii="Arial" w:eastAsia="Arial" w:hAnsi="Arial" w:cs="Arial"/>
                <w:sz w:val="18"/>
              </w:rPr>
              <w:instrText xml:space="preserve"> \* MERGEFORMAT </w:instrText>
            </w:r>
            <w:r w:rsidRPr="00E44F28">
              <w:rPr>
                <w:rFonts w:ascii="Arial" w:eastAsia="Arial" w:hAnsi="Arial" w:cs="Arial"/>
                <w:sz w:val="18"/>
              </w:rPr>
            </w:r>
            <w:r w:rsidRPr="00E44F28">
              <w:rPr>
                <w:rFonts w:ascii="Arial" w:eastAsia="Arial" w:hAnsi="Arial" w:cs="Arial"/>
                <w:sz w:val="18"/>
              </w:rPr>
              <w:fldChar w:fldCharType="separate"/>
            </w:r>
            <w:r w:rsidR="00C548C3" w:rsidRPr="00E44F28">
              <w:rPr>
                <w:rFonts w:ascii="Arial" w:eastAsia="Arial" w:hAnsi="Arial" w:cs="Arial"/>
                <w:sz w:val="18"/>
              </w:rPr>
              <w:t>8.8</w:t>
            </w:r>
            <w:r w:rsidRPr="00E44F28">
              <w:rPr>
                <w:rFonts w:ascii="Arial" w:eastAsia="Arial" w:hAnsi="Arial" w:cs="Arial"/>
                <w:sz w:val="18"/>
              </w:rPr>
              <w:fldChar w:fldCharType="end"/>
            </w:r>
            <w:r w:rsidRPr="00E44F28">
              <w:rPr>
                <w:rFonts w:ascii="Arial" w:eastAsia="Arial" w:hAnsi="Arial" w:cs="Arial"/>
                <w:sz w:val="18"/>
              </w:rPr>
              <w:t>.</w:t>
            </w:r>
          </w:p>
        </w:tc>
      </w:tr>
      <w:tr w:rsidR="002108B2" w:rsidRPr="00AF1814" w14:paraId="044D529A" w14:textId="77777777" w:rsidTr="00AD796A">
        <w:trPr>
          <w:cantSplit/>
          <w:jc w:val="center"/>
        </w:trPr>
        <w:tc>
          <w:tcPr>
            <w:tcW w:w="1312" w:type="dxa"/>
            <w:shd w:val="clear" w:color="auto" w:fill="auto"/>
            <w:vAlign w:val="center"/>
            <w:hideMark/>
          </w:tcPr>
          <w:p w14:paraId="21F98A7C" w14:textId="77777777" w:rsidR="00B322F1" w:rsidRPr="00AF1814" w:rsidRDefault="00DA3174" w:rsidP="00D124BD">
            <w:pPr>
              <w:spacing w:before="40" w:after="40" w:line="256" w:lineRule="auto"/>
              <w:ind w:right="-70"/>
              <w:jc w:val="left"/>
              <w:rPr>
                <w:rFonts w:ascii="Arial" w:eastAsia="Arial" w:hAnsi="Arial" w:cs="Arial"/>
                <w:color w:val="365F91" w:themeColor="accent1" w:themeShade="BF"/>
                <w:sz w:val="18"/>
              </w:rPr>
            </w:pPr>
            <w:r w:rsidRPr="00AF1814">
              <w:rPr>
                <w:rFonts w:ascii="Arial" w:hAnsi="Arial"/>
                <w:sz w:val="18"/>
              </w:rPr>
              <w:lastRenderedPageBreak/>
              <w:t>Liquid biopsy (plasma)</w:t>
            </w:r>
          </w:p>
        </w:tc>
        <w:tc>
          <w:tcPr>
            <w:tcW w:w="4212" w:type="dxa"/>
            <w:gridSpan w:val="7"/>
            <w:shd w:val="clear" w:color="auto" w:fill="auto"/>
            <w:vAlign w:val="center"/>
          </w:tcPr>
          <w:p w14:paraId="7D426C9E" w14:textId="77777777" w:rsidR="00B322F1" w:rsidRPr="00AF1814" w:rsidRDefault="00DA3174" w:rsidP="001710E0">
            <w:pPr>
              <w:spacing w:before="40" w:after="40" w:line="256" w:lineRule="auto"/>
              <w:jc w:val="center"/>
              <w:rPr>
                <w:rFonts w:ascii="Arial" w:hAnsi="Arial" w:cs="Arial"/>
                <w:bCs/>
                <w:color w:val="365F91" w:themeColor="accent1" w:themeShade="BF"/>
                <w:sz w:val="18"/>
                <w:szCs w:val="18"/>
              </w:rPr>
            </w:pPr>
            <w:r w:rsidRPr="00AF1814">
              <w:rPr>
                <w:rFonts w:ascii="Arial" w:hAnsi="Arial"/>
                <w:sz w:val="18"/>
              </w:rPr>
              <w:t>Every 12 weeks</w:t>
            </w:r>
          </w:p>
        </w:tc>
        <w:tc>
          <w:tcPr>
            <w:tcW w:w="1134" w:type="dxa"/>
            <w:shd w:val="clear" w:color="auto" w:fill="auto"/>
            <w:vAlign w:val="center"/>
          </w:tcPr>
          <w:p w14:paraId="784DE4BA" w14:textId="77777777" w:rsidR="00B322F1" w:rsidRPr="00AF1814" w:rsidRDefault="00DA3174" w:rsidP="00D124BD">
            <w:pPr>
              <w:spacing w:before="40" w:after="40" w:line="256" w:lineRule="auto"/>
              <w:jc w:val="center"/>
              <w:rPr>
                <w:rFonts w:ascii="Arial" w:eastAsia="Arial" w:hAnsi="Arial" w:cs="Arial"/>
                <w:color w:val="365F91" w:themeColor="accent1" w:themeShade="BF"/>
                <w:sz w:val="18"/>
              </w:rPr>
            </w:pPr>
            <w:r w:rsidRPr="00AF1814">
              <w:rPr>
                <w:rFonts w:ascii="Arial" w:hAnsi="Arial"/>
                <w:sz w:val="18"/>
              </w:rPr>
              <w:t>X</w:t>
            </w:r>
          </w:p>
        </w:tc>
        <w:tc>
          <w:tcPr>
            <w:tcW w:w="992" w:type="dxa"/>
            <w:shd w:val="clear" w:color="auto" w:fill="BFBFBF" w:themeFill="background1" w:themeFillShade="BF"/>
            <w:vAlign w:val="center"/>
            <w:hideMark/>
          </w:tcPr>
          <w:p w14:paraId="5F4CB32C" w14:textId="77777777" w:rsidR="00B322F1" w:rsidRPr="00AF1814" w:rsidRDefault="00B322F1" w:rsidP="00D124BD">
            <w:pPr>
              <w:spacing w:before="40" w:after="40" w:line="256" w:lineRule="auto"/>
              <w:jc w:val="left"/>
              <w:rPr>
                <w:rFonts w:ascii="Arial" w:eastAsia="Arial" w:hAnsi="Arial" w:cs="Arial"/>
                <w:color w:val="365F91" w:themeColor="accent1" w:themeShade="BF"/>
                <w:sz w:val="18"/>
              </w:rPr>
            </w:pPr>
          </w:p>
        </w:tc>
        <w:tc>
          <w:tcPr>
            <w:tcW w:w="1134" w:type="dxa"/>
            <w:shd w:val="clear" w:color="auto" w:fill="BFBFBF" w:themeFill="background1" w:themeFillShade="BF"/>
          </w:tcPr>
          <w:p w14:paraId="1C8285B7" w14:textId="77777777" w:rsidR="00B322F1" w:rsidRPr="00AF1814" w:rsidRDefault="00B322F1" w:rsidP="00D124BD">
            <w:pPr>
              <w:spacing w:before="40" w:after="40" w:line="256" w:lineRule="auto"/>
              <w:jc w:val="left"/>
              <w:rPr>
                <w:rFonts w:ascii="Arial" w:eastAsia="Arial" w:hAnsi="Arial" w:cs="Arial"/>
                <w:color w:val="365F91" w:themeColor="accent1" w:themeShade="BF"/>
                <w:sz w:val="18"/>
              </w:rPr>
            </w:pPr>
          </w:p>
        </w:tc>
        <w:tc>
          <w:tcPr>
            <w:tcW w:w="1134" w:type="dxa"/>
            <w:shd w:val="clear" w:color="auto" w:fill="BFBFBF" w:themeFill="background1" w:themeFillShade="BF"/>
          </w:tcPr>
          <w:p w14:paraId="56507214" w14:textId="77777777" w:rsidR="00B322F1" w:rsidRPr="00AF1814" w:rsidRDefault="00B322F1" w:rsidP="00D124BD">
            <w:pPr>
              <w:spacing w:before="40" w:after="40" w:line="256" w:lineRule="auto"/>
              <w:jc w:val="left"/>
              <w:rPr>
                <w:rFonts w:ascii="Arial" w:eastAsia="Arial" w:hAnsi="Arial" w:cs="Arial"/>
                <w:color w:val="365F91" w:themeColor="accent1" w:themeShade="BF"/>
                <w:sz w:val="18"/>
              </w:rPr>
            </w:pPr>
          </w:p>
        </w:tc>
        <w:tc>
          <w:tcPr>
            <w:tcW w:w="3004" w:type="dxa"/>
          </w:tcPr>
          <w:p w14:paraId="673556BC" w14:textId="77777777" w:rsidR="00B322F1" w:rsidRPr="00AF1814" w:rsidRDefault="00DA3174" w:rsidP="00D124BD">
            <w:pPr>
              <w:spacing w:before="40" w:after="40" w:line="256" w:lineRule="auto"/>
              <w:jc w:val="left"/>
              <w:rPr>
                <w:rFonts w:ascii="Arial" w:eastAsia="Arial" w:hAnsi="Arial" w:cs="Arial"/>
                <w:color w:val="365F91" w:themeColor="accent1" w:themeShade="BF"/>
                <w:sz w:val="18"/>
              </w:rPr>
            </w:pPr>
            <w:r w:rsidRPr="00AF1814">
              <w:rPr>
                <w:rFonts w:ascii="Arial" w:eastAsia="Arial" w:hAnsi="Arial" w:cs="Arial"/>
                <w:sz w:val="18"/>
              </w:rPr>
              <w:t>Liquid biopsy (plasma) for genetic profiling should be collected within 2 hours prior to study intervention infusion.</w:t>
            </w:r>
          </w:p>
        </w:tc>
      </w:tr>
      <w:tr w:rsidR="002108B2" w:rsidRPr="00AF1814" w14:paraId="69FFB840" w14:textId="77777777" w:rsidTr="00F538BA">
        <w:trPr>
          <w:cantSplit/>
          <w:jc w:val="center"/>
        </w:trPr>
        <w:tc>
          <w:tcPr>
            <w:tcW w:w="12922" w:type="dxa"/>
            <w:gridSpan w:val="13"/>
            <w:shd w:val="clear" w:color="auto" w:fill="auto"/>
            <w:vAlign w:val="center"/>
          </w:tcPr>
          <w:p w14:paraId="25668B6E" w14:textId="77777777" w:rsidR="00D124BD" w:rsidRPr="00AF1814" w:rsidRDefault="00DA3174" w:rsidP="00D124BD">
            <w:pPr>
              <w:pStyle w:val="CommentText"/>
            </w:pPr>
            <w:r w:rsidRPr="00AF1814">
              <w:rPr>
                <w:rFonts w:ascii="Arial" w:hAnsi="Arial"/>
                <w:sz w:val="18"/>
              </w:rPr>
              <w:t>ADA=</w:t>
            </w:r>
            <w:bookmarkStart w:id="48" w:name="_Hlk36650922"/>
            <w:r w:rsidRPr="00AF1814">
              <w:rPr>
                <w:rFonts w:ascii="Arial" w:hAnsi="Arial"/>
                <w:sz w:val="18"/>
              </w:rPr>
              <w:t>antidrug antibody</w:t>
            </w:r>
            <w:bookmarkEnd w:id="48"/>
            <w:r w:rsidRPr="00AF1814">
              <w:rPr>
                <w:rFonts w:ascii="Arial" w:hAnsi="Arial"/>
                <w:sz w:val="18"/>
              </w:rPr>
              <w:t>, AE=adverse events, β-</w:t>
            </w:r>
            <w:r w:rsidR="00EC5160" w:rsidRPr="00AF1814">
              <w:rPr>
                <w:rFonts w:ascii="Arial" w:hAnsi="Arial"/>
                <w:sz w:val="18"/>
              </w:rPr>
              <w:t>hCG</w:t>
            </w:r>
            <w:r w:rsidRPr="00AF1814">
              <w:rPr>
                <w:rFonts w:ascii="Arial" w:hAnsi="Arial"/>
                <w:sz w:val="18"/>
              </w:rPr>
              <w:t>=β-human chorionic gonadotropin, cCRT=concomitant chemoradiation therapy, CT=computed tomography,</w:t>
            </w:r>
            <w:r w:rsidR="00A13C0A" w:rsidRPr="00AF1814">
              <w:rPr>
                <w:rFonts w:ascii="Arial" w:hAnsi="Arial"/>
                <w:sz w:val="18"/>
              </w:rPr>
              <w:t xml:space="preserve"> </w:t>
            </w:r>
            <w:r w:rsidR="00FA33FA" w:rsidRPr="00AF1814">
              <w:rPr>
                <w:rFonts w:ascii="Arial" w:hAnsi="Arial"/>
                <w:sz w:val="18"/>
              </w:rPr>
              <w:t xml:space="preserve">CR=complete response, </w:t>
            </w:r>
            <w:r w:rsidR="00A13C0A" w:rsidRPr="00AF1814">
              <w:rPr>
                <w:rFonts w:ascii="Arial" w:hAnsi="Arial"/>
                <w:sz w:val="18"/>
              </w:rPr>
              <w:t xml:space="preserve">D=Day, </w:t>
            </w:r>
            <w:r w:rsidRPr="00AF1814">
              <w:rPr>
                <w:rFonts w:ascii="Arial" w:hAnsi="Arial"/>
                <w:sz w:val="18"/>
              </w:rPr>
              <w:t xml:space="preserve">ECG=electrocardiogram, ECOG PS=Eastern Cooperative Oncology Group Performance Status, </w:t>
            </w:r>
            <w:r w:rsidR="00A13C0A" w:rsidRPr="00AF1814">
              <w:rPr>
                <w:rFonts w:ascii="Arial" w:hAnsi="Arial"/>
                <w:sz w:val="18"/>
              </w:rPr>
              <w:t>EoT=</w:t>
            </w:r>
            <w:r w:rsidR="00F00CB7" w:rsidRPr="00AF1814">
              <w:rPr>
                <w:rFonts w:ascii="Arial" w:hAnsi="Arial"/>
                <w:sz w:val="18"/>
              </w:rPr>
              <w:t>E</w:t>
            </w:r>
            <w:r w:rsidR="00A13C0A" w:rsidRPr="00AF1814">
              <w:rPr>
                <w:rFonts w:ascii="Arial" w:hAnsi="Arial"/>
                <w:sz w:val="18"/>
              </w:rPr>
              <w:t>nd</w:t>
            </w:r>
            <w:r w:rsidR="00F00CB7" w:rsidRPr="00AF1814">
              <w:rPr>
                <w:rFonts w:ascii="Arial" w:hAnsi="Arial"/>
                <w:sz w:val="18"/>
              </w:rPr>
              <w:t>-</w:t>
            </w:r>
            <w:r w:rsidR="00A13C0A" w:rsidRPr="00AF1814">
              <w:rPr>
                <w:rFonts w:ascii="Arial" w:hAnsi="Arial"/>
                <w:sz w:val="18"/>
              </w:rPr>
              <w:t>of</w:t>
            </w:r>
            <w:r w:rsidR="00F00CB7" w:rsidRPr="00AF1814">
              <w:rPr>
                <w:rFonts w:ascii="Arial" w:hAnsi="Arial"/>
                <w:sz w:val="18"/>
              </w:rPr>
              <w:t>-T</w:t>
            </w:r>
            <w:r w:rsidR="00A13C0A" w:rsidRPr="00AF1814">
              <w:rPr>
                <w:rFonts w:ascii="Arial" w:hAnsi="Arial"/>
                <w:sz w:val="18"/>
              </w:rPr>
              <w:t xml:space="preserve">reatment, </w:t>
            </w:r>
            <w:r w:rsidRPr="00AF1814">
              <w:rPr>
                <w:rFonts w:ascii="Arial" w:hAnsi="Arial"/>
                <w:sz w:val="18"/>
              </w:rPr>
              <w:t xml:space="preserve">HBV=hepatitis B virus, HCV=hepatitis C virus, HIV=Human immunodeficiency virus, MRI=magnetic resonance imaging, </w:t>
            </w:r>
            <w:r w:rsidR="004364AA" w:rsidRPr="00AF1814">
              <w:rPr>
                <w:rFonts w:ascii="Arial" w:hAnsi="Arial"/>
                <w:sz w:val="18"/>
              </w:rPr>
              <w:t>PD=progressi</w:t>
            </w:r>
            <w:r w:rsidR="00A07DEE" w:rsidRPr="00AF1814">
              <w:rPr>
                <w:rFonts w:ascii="Arial" w:hAnsi="Arial"/>
                <w:sz w:val="18"/>
              </w:rPr>
              <w:t>ve</w:t>
            </w:r>
            <w:r w:rsidR="008A0A7D" w:rsidRPr="00AF1814">
              <w:rPr>
                <w:rFonts w:ascii="Arial" w:hAnsi="Arial"/>
                <w:sz w:val="18"/>
              </w:rPr>
              <w:t xml:space="preserve"> </w:t>
            </w:r>
            <w:r w:rsidR="004364AA" w:rsidRPr="00AF1814">
              <w:rPr>
                <w:rFonts w:ascii="Arial" w:hAnsi="Arial"/>
                <w:sz w:val="18"/>
              </w:rPr>
              <w:t xml:space="preserve">disease, </w:t>
            </w:r>
            <w:r w:rsidRPr="00AF1814">
              <w:rPr>
                <w:rFonts w:ascii="Arial" w:hAnsi="Arial"/>
                <w:sz w:val="18"/>
              </w:rPr>
              <w:t>PK=pharmacokinetics,</w:t>
            </w:r>
            <w:r w:rsidR="00A13C0A" w:rsidRPr="00AF1814">
              <w:rPr>
                <w:rFonts w:ascii="Arial" w:hAnsi="Arial"/>
                <w:sz w:val="18"/>
              </w:rPr>
              <w:t xml:space="preserve"> </w:t>
            </w:r>
            <w:r w:rsidR="00FA33FA" w:rsidRPr="00AF1814">
              <w:rPr>
                <w:rFonts w:ascii="Arial" w:hAnsi="Arial"/>
                <w:sz w:val="18"/>
              </w:rPr>
              <w:t xml:space="preserve">PR=partial response, </w:t>
            </w:r>
            <w:r w:rsidR="000B2E33" w:rsidRPr="00AF1814">
              <w:rPr>
                <w:rFonts w:ascii="Arial" w:hAnsi="Arial"/>
                <w:sz w:val="18"/>
              </w:rPr>
              <w:t>q</w:t>
            </w:r>
            <w:r w:rsidR="00A13C0A" w:rsidRPr="00AF1814">
              <w:rPr>
                <w:rFonts w:ascii="Arial" w:hAnsi="Arial"/>
                <w:sz w:val="18"/>
              </w:rPr>
              <w:t>12</w:t>
            </w:r>
            <w:r w:rsidR="00F538BA" w:rsidRPr="00AF1814">
              <w:rPr>
                <w:rFonts w:ascii="Arial" w:hAnsi="Arial"/>
                <w:sz w:val="18"/>
              </w:rPr>
              <w:t>w</w:t>
            </w:r>
            <w:r w:rsidR="00A13C0A" w:rsidRPr="00AF1814">
              <w:rPr>
                <w:rFonts w:ascii="Arial" w:hAnsi="Arial"/>
                <w:sz w:val="18"/>
              </w:rPr>
              <w:t>=every 12 weeks,</w:t>
            </w:r>
            <w:r w:rsidR="00F538BA" w:rsidRPr="00AF1814">
              <w:rPr>
                <w:rFonts w:ascii="Arial" w:hAnsi="Arial"/>
                <w:sz w:val="18"/>
              </w:rPr>
              <w:t xml:space="preserve"> </w:t>
            </w:r>
            <w:r w:rsidRPr="00AF1814">
              <w:rPr>
                <w:rFonts w:ascii="Arial" w:hAnsi="Arial"/>
                <w:sz w:val="18"/>
              </w:rPr>
              <w:t>T4=free thyroxine, TSH=thyroid</w:t>
            </w:r>
            <w:r w:rsidRPr="00AF1814">
              <w:rPr>
                <w:rFonts w:ascii="Arial" w:hAnsi="Arial"/>
                <w:sz w:val="18"/>
              </w:rPr>
              <w:noBreakHyphen/>
              <w:t>stimulating hormone, V=visit, W=Week</w:t>
            </w:r>
            <w:r w:rsidR="006D5C32" w:rsidRPr="00AF1814">
              <w:rPr>
                <w:rFonts w:ascii="Arial" w:hAnsi="Arial"/>
                <w:sz w:val="18"/>
              </w:rPr>
              <w:t>, WOCBP=woman of childbearing potential.</w:t>
            </w:r>
          </w:p>
        </w:tc>
      </w:tr>
    </w:tbl>
    <w:p w14:paraId="124C5F6C" w14:textId="39A67625" w:rsidR="00D124BD" w:rsidRPr="00AF1814" w:rsidRDefault="00DA3174" w:rsidP="00D124BD">
      <w:pPr>
        <w:pStyle w:val="Caption"/>
      </w:pPr>
      <w:bookmarkStart w:id="49" w:name="_Ref31386662"/>
      <w:bookmarkStart w:id="50" w:name="_Toc44601749"/>
      <w:r w:rsidRPr="00AF1814">
        <w:lastRenderedPageBreak/>
        <w:t xml:space="preserve">Table </w:t>
      </w:r>
      <w:r w:rsidR="0093258F" w:rsidRPr="00AF1814">
        <w:fldChar w:fldCharType="begin"/>
      </w:r>
      <w:r w:rsidR="0093258F" w:rsidRPr="00AF1814">
        <w:instrText xml:space="preserve"> SEQ Table \* ARABIC </w:instrText>
      </w:r>
      <w:r w:rsidR="0093258F" w:rsidRPr="00AF1814">
        <w:fldChar w:fldCharType="separate"/>
      </w:r>
      <w:r w:rsidR="00C548C3">
        <w:rPr>
          <w:noProof/>
        </w:rPr>
        <w:t>5</w:t>
      </w:r>
      <w:r w:rsidR="0093258F" w:rsidRPr="00AF1814">
        <w:fldChar w:fldCharType="end"/>
      </w:r>
      <w:bookmarkEnd w:id="49"/>
      <w:r w:rsidRPr="00AF1814">
        <w:tab/>
        <w:t>Schedule of Activities for PK and ADA Sampling in Cohort 2</w:t>
      </w:r>
      <w:bookmarkEnd w:id="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217"/>
        <w:gridCol w:w="727"/>
        <w:gridCol w:w="376"/>
        <w:gridCol w:w="376"/>
        <w:gridCol w:w="387"/>
        <w:gridCol w:w="427"/>
        <w:gridCol w:w="427"/>
        <w:gridCol w:w="427"/>
        <w:gridCol w:w="427"/>
        <w:gridCol w:w="487"/>
        <w:gridCol w:w="487"/>
        <w:gridCol w:w="794"/>
        <w:gridCol w:w="874"/>
        <w:gridCol w:w="1274"/>
        <w:gridCol w:w="4245"/>
      </w:tblGrid>
      <w:tr w:rsidR="002108B2" w:rsidRPr="00AF1814" w14:paraId="417D8A19" w14:textId="77777777" w:rsidTr="004A4C32">
        <w:trPr>
          <w:trHeight w:val="143"/>
          <w:tblHeader/>
        </w:trPr>
        <w:tc>
          <w:tcPr>
            <w:tcW w:w="417" w:type="pct"/>
            <w:vMerge w:val="restart"/>
            <w:tcBorders>
              <w:top w:val="single" w:sz="4" w:space="0" w:color="auto"/>
              <w:left w:val="single" w:sz="4" w:space="0" w:color="auto"/>
              <w:right w:val="single" w:sz="4" w:space="0" w:color="auto"/>
            </w:tcBorders>
            <w:shd w:val="clear" w:color="auto" w:fill="auto"/>
            <w:vAlign w:val="center"/>
          </w:tcPr>
          <w:p w14:paraId="16F5627E" w14:textId="77777777" w:rsidR="00AD796A" w:rsidRPr="00AF1814" w:rsidRDefault="00DA3174" w:rsidP="004A4C32">
            <w:pPr>
              <w:pStyle w:val="Tableheading"/>
              <w:keepNext w:val="0"/>
              <w:keepLines w:val="0"/>
              <w:widowControl w:val="0"/>
            </w:pPr>
            <w:r w:rsidRPr="00AF1814">
              <w:t>Assessments &amp; Procedures</w:t>
            </w:r>
          </w:p>
        </w:tc>
        <w:tc>
          <w:tcPr>
            <w:tcW w:w="997" w:type="pct"/>
            <w:gridSpan w:val="6"/>
            <w:tcBorders>
              <w:top w:val="single" w:sz="4" w:space="0" w:color="auto"/>
              <w:left w:val="single" w:sz="4" w:space="0" w:color="auto"/>
              <w:bottom w:val="single" w:sz="4" w:space="0" w:color="auto"/>
              <w:right w:val="single" w:sz="4" w:space="0" w:color="auto"/>
            </w:tcBorders>
            <w:shd w:val="clear" w:color="auto" w:fill="auto"/>
            <w:hideMark/>
          </w:tcPr>
          <w:p w14:paraId="5ED02E59" w14:textId="77777777" w:rsidR="00AD796A" w:rsidRPr="00AF1814" w:rsidRDefault="00DA3174" w:rsidP="004A4C32">
            <w:pPr>
              <w:widowControl w:val="0"/>
              <w:spacing w:before="80" w:after="80"/>
              <w:jc w:val="center"/>
              <w:rPr>
                <w:rFonts w:ascii="Arial" w:hAnsi="Arial"/>
                <w:b/>
                <w:sz w:val="18"/>
              </w:rPr>
            </w:pPr>
            <w:r w:rsidRPr="00AF1814">
              <w:rPr>
                <w:rFonts w:ascii="Arial" w:hAnsi="Arial"/>
                <w:b/>
                <w:sz w:val="18"/>
              </w:rPr>
              <w:t xml:space="preserve">cCRT-based Treatment </w:t>
            </w:r>
            <w:r w:rsidRPr="00AF1814">
              <w:rPr>
                <w:rFonts w:ascii="Arial" w:hAnsi="Arial"/>
                <w:b/>
                <w:sz w:val="18"/>
              </w:rPr>
              <w:br/>
              <w:t xml:space="preserve"> (-3 / +3 days)</w:t>
            </w:r>
          </w:p>
        </w:tc>
        <w:tc>
          <w:tcPr>
            <w:tcW w:w="711" w:type="pct"/>
            <w:gridSpan w:val="4"/>
            <w:tcBorders>
              <w:top w:val="single" w:sz="4" w:space="0" w:color="auto"/>
              <w:left w:val="single" w:sz="4" w:space="0" w:color="auto"/>
              <w:right w:val="single" w:sz="4" w:space="0" w:color="auto"/>
            </w:tcBorders>
            <w:shd w:val="clear" w:color="auto" w:fill="auto"/>
          </w:tcPr>
          <w:p w14:paraId="738EFD79" w14:textId="77777777" w:rsidR="00AD796A" w:rsidRPr="00AF1814" w:rsidRDefault="00DA3174" w:rsidP="004A4C32">
            <w:pPr>
              <w:widowControl w:val="0"/>
              <w:spacing w:before="80" w:after="80"/>
              <w:jc w:val="center"/>
              <w:rPr>
                <w:vertAlign w:val="superscript"/>
              </w:rPr>
            </w:pPr>
            <w:r w:rsidRPr="00AF1814">
              <w:rPr>
                <w:rFonts w:ascii="Arial" w:hAnsi="Arial"/>
                <w:b/>
                <w:sz w:val="18"/>
              </w:rPr>
              <w:t>Intervention Period</w:t>
            </w:r>
            <w:r w:rsidRPr="00AF1814">
              <w:br/>
            </w:r>
            <w:r w:rsidRPr="00AF1814">
              <w:rPr>
                <w:rFonts w:ascii="Arial" w:hAnsi="Arial"/>
                <w:b/>
                <w:sz w:val="18"/>
              </w:rPr>
              <w:t xml:space="preserve"> after cCRT</w:t>
            </w:r>
            <w:r w:rsidRPr="00AF1814">
              <w:rPr>
                <w:rFonts w:ascii="Arial" w:hAnsi="Arial"/>
                <w:b/>
                <w:sz w:val="18"/>
              </w:rPr>
              <w:br/>
              <w:t>(-3 / +3 days)</w:t>
            </w:r>
          </w:p>
        </w:tc>
        <w:tc>
          <w:tcPr>
            <w:tcW w:w="355" w:type="pct"/>
            <w:vMerge w:val="restart"/>
            <w:tcBorders>
              <w:top w:val="single" w:sz="4" w:space="0" w:color="auto"/>
              <w:left w:val="single" w:sz="4" w:space="0" w:color="auto"/>
              <w:right w:val="single" w:sz="4" w:space="0" w:color="auto"/>
            </w:tcBorders>
            <w:shd w:val="clear" w:color="auto" w:fill="auto"/>
            <w:vAlign w:val="center"/>
          </w:tcPr>
          <w:p w14:paraId="4F9EEF6F" w14:textId="77777777" w:rsidR="00AD796A" w:rsidRPr="00AF1814" w:rsidRDefault="00DA3174" w:rsidP="004A4C32">
            <w:pPr>
              <w:pStyle w:val="Tableheading"/>
              <w:keepNext w:val="0"/>
              <w:keepLines w:val="0"/>
              <w:widowControl w:val="0"/>
              <w:rPr>
                <w:vertAlign w:val="superscript"/>
              </w:rPr>
            </w:pPr>
            <w:r w:rsidRPr="00AF1814">
              <w:t xml:space="preserve">Until </w:t>
            </w:r>
            <w:r w:rsidRPr="00AF1814">
              <w:br/>
              <w:t>EoT</w:t>
            </w:r>
          </w:p>
        </w:tc>
        <w:tc>
          <w:tcPr>
            <w:tcW w:w="355" w:type="pct"/>
            <w:vMerge w:val="restart"/>
            <w:tcBorders>
              <w:top w:val="single" w:sz="4" w:space="0" w:color="auto"/>
              <w:left w:val="single" w:sz="4" w:space="0" w:color="auto"/>
              <w:right w:val="single" w:sz="4" w:space="0" w:color="auto"/>
            </w:tcBorders>
            <w:shd w:val="clear" w:color="auto" w:fill="auto"/>
          </w:tcPr>
          <w:p w14:paraId="1F54657F" w14:textId="77777777" w:rsidR="00AD796A" w:rsidRPr="00AF1814" w:rsidRDefault="00DA3174" w:rsidP="004A4C32">
            <w:pPr>
              <w:pStyle w:val="Tableheading"/>
              <w:keepNext w:val="0"/>
              <w:keepLines w:val="0"/>
              <w:widowControl w:val="0"/>
            </w:pPr>
            <w:r w:rsidRPr="00AF1814">
              <w:t>EoT Visit</w:t>
            </w:r>
          </w:p>
        </w:tc>
        <w:tc>
          <w:tcPr>
            <w:tcW w:w="509" w:type="pct"/>
            <w:vMerge w:val="restart"/>
            <w:tcBorders>
              <w:top w:val="single" w:sz="4" w:space="0" w:color="auto"/>
              <w:left w:val="single" w:sz="4" w:space="0" w:color="auto"/>
              <w:right w:val="single" w:sz="4" w:space="0" w:color="auto"/>
            </w:tcBorders>
            <w:shd w:val="clear" w:color="auto" w:fill="auto"/>
          </w:tcPr>
          <w:p w14:paraId="03C66965" w14:textId="77777777" w:rsidR="00AD796A" w:rsidRPr="00AF1814" w:rsidRDefault="00DA3174" w:rsidP="004A4C32">
            <w:pPr>
              <w:pStyle w:val="Tableheading"/>
              <w:keepNext w:val="0"/>
              <w:keepLines w:val="0"/>
              <w:widowControl w:val="0"/>
            </w:pPr>
            <w:r w:rsidRPr="00AF1814">
              <w:t>Safety Follow</w:t>
            </w:r>
            <w:r w:rsidRPr="00AF1814">
              <w:noBreakHyphen/>
              <w:t>up Visit</w:t>
            </w:r>
          </w:p>
        </w:tc>
        <w:tc>
          <w:tcPr>
            <w:tcW w:w="1656" w:type="pct"/>
            <w:vMerge w:val="restart"/>
            <w:tcBorders>
              <w:top w:val="single" w:sz="4" w:space="0" w:color="auto"/>
              <w:left w:val="single" w:sz="4" w:space="0" w:color="auto"/>
              <w:right w:val="single" w:sz="4" w:space="0" w:color="auto"/>
            </w:tcBorders>
            <w:vAlign w:val="center"/>
            <w:hideMark/>
          </w:tcPr>
          <w:p w14:paraId="6DC5FA44" w14:textId="77777777" w:rsidR="00AD796A" w:rsidRPr="00AF1814" w:rsidRDefault="00DA3174" w:rsidP="004A4C32">
            <w:pPr>
              <w:pStyle w:val="Tableheading"/>
              <w:keepNext w:val="0"/>
              <w:keepLines w:val="0"/>
              <w:widowControl w:val="0"/>
            </w:pPr>
            <w:r w:rsidRPr="00AF1814">
              <w:t>Notes</w:t>
            </w:r>
          </w:p>
          <w:p w14:paraId="5F1EF3D8" w14:textId="77777777" w:rsidR="00AD796A" w:rsidRPr="00AF1814" w:rsidRDefault="00AD796A" w:rsidP="004A4C32">
            <w:pPr>
              <w:pStyle w:val="Tableheading"/>
              <w:keepNext w:val="0"/>
              <w:keepLines w:val="0"/>
              <w:widowControl w:val="0"/>
            </w:pPr>
          </w:p>
        </w:tc>
      </w:tr>
      <w:tr w:rsidR="002108B2" w:rsidRPr="00AF1814" w14:paraId="73E4D329" w14:textId="77777777" w:rsidTr="004A4C32">
        <w:trPr>
          <w:trHeight w:val="142"/>
          <w:tblHeader/>
        </w:trPr>
        <w:tc>
          <w:tcPr>
            <w:tcW w:w="417" w:type="pct"/>
            <w:vMerge/>
            <w:tcBorders>
              <w:left w:val="single" w:sz="4" w:space="0" w:color="auto"/>
              <w:right w:val="single" w:sz="4" w:space="0" w:color="auto"/>
            </w:tcBorders>
            <w:shd w:val="clear" w:color="auto" w:fill="auto"/>
            <w:vAlign w:val="center"/>
          </w:tcPr>
          <w:p w14:paraId="0827B8C0" w14:textId="77777777" w:rsidR="00AD796A" w:rsidRPr="00AF1814" w:rsidRDefault="00AD796A" w:rsidP="004A4C32">
            <w:pPr>
              <w:pStyle w:val="Tableheading"/>
              <w:keepNext w:val="0"/>
              <w:keepLines w:val="0"/>
              <w:widowControl w:val="0"/>
            </w:pPr>
          </w:p>
        </w:tc>
        <w:tc>
          <w:tcPr>
            <w:tcW w:w="326" w:type="pct"/>
            <w:gridSpan w:val="2"/>
            <w:tcBorders>
              <w:top w:val="single" w:sz="4" w:space="0" w:color="auto"/>
              <w:left w:val="single" w:sz="4" w:space="0" w:color="auto"/>
              <w:bottom w:val="single" w:sz="4" w:space="0" w:color="auto"/>
              <w:right w:val="single" w:sz="4" w:space="0" w:color="auto"/>
            </w:tcBorders>
            <w:shd w:val="clear" w:color="auto" w:fill="auto"/>
          </w:tcPr>
          <w:p w14:paraId="76E76527" w14:textId="77777777" w:rsidR="00AD796A" w:rsidRPr="00AF1814" w:rsidRDefault="00DA3174" w:rsidP="004A4C32">
            <w:pPr>
              <w:pStyle w:val="Tableheading"/>
              <w:keepNext w:val="0"/>
              <w:keepLines w:val="0"/>
              <w:widowControl w:val="0"/>
              <w:rPr>
                <w:rFonts w:cs="Arial"/>
                <w:szCs w:val="18"/>
              </w:rPr>
            </w:pPr>
            <w:r w:rsidRPr="00AF1814">
              <w:rPr>
                <w:rFonts w:cs="Arial"/>
                <w:szCs w:val="18"/>
              </w:rPr>
              <w:t>V1</w:t>
            </w:r>
          </w:p>
        </w:tc>
        <w:tc>
          <w:tcPr>
            <w:tcW w:w="163" w:type="pct"/>
            <w:tcBorders>
              <w:top w:val="single" w:sz="4" w:space="0" w:color="auto"/>
              <w:left w:val="single" w:sz="4" w:space="0" w:color="auto"/>
              <w:bottom w:val="single" w:sz="4" w:space="0" w:color="auto"/>
              <w:right w:val="single" w:sz="4" w:space="0" w:color="auto"/>
            </w:tcBorders>
            <w:shd w:val="clear" w:color="auto" w:fill="auto"/>
          </w:tcPr>
          <w:p w14:paraId="26208D58" w14:textId="77777777" w:rsidR="00AD796A" w:rsidRPr="00AF1814" w:rsidRDefault="00DA3174" w:rsidP="004A4C32">
            <w:pPr>
              <w:pStyle w:val="Tableheading"/>
              <w:keepNext w:val="0"/>
              <w:keepLines w:val="0"/>
              <w:widowControl w:val="0"/>
              <w:rPr>
                <w:rFonts w:cs="Arial"/>
                <w:szCs w:val="18"/>
              </w:rPr>
            </w:pPr>
            <w:r w:rsidRPr="00AF1814">
              <w:rPr>
                <w:rFonts w:cs="Arial"/>
                <w:szCs w:val="18"/>
              </w:rPr>
              <w:t>V2</w:t>
            </w:r>
          </w:p>
        </w:tc>
        <w:tc>
          <w:tcPr>
            <w:tcW w:w="163" w:type="pct"/>
            <w:tcBorders>
              <w:top w:val="single" w:sz="4" w:space="0" w:color="auto"/>
              <w:left w:val="single" w:sz="4" w:space="0" w:color="auto"/>
              <w:bottom w:val="single" w:sz="4" w:space="0" w:color="auto"/>
              <w:right w:val="single" w:sz="4" w:space="0" w:color="auto"/>
            </w:tcBorders>
            <w:shd w:val="clear" w:color="auto" w:fill="auto"/>
          </w:tcPr>
          <w:p w14:paraId="49DB2C54" w14:textId="77777777" w:rsidR="00AD796A" w:rsidRPr="00AF1814" w:rsidRDefault="00DA3174" w:rsidP="004A4C32">
            <w:pPr>
              <w:pStyle w:val="Tableheading"/>
              <w:keepNext w:val="0"/>
              <w:keepLines w:val="0"/>
              <w:widowControl w:val="0"/>
              <w:rPr>
                <w:rFonts w:cs="Arial"/>
                <w:szCs w:val="18"/>
              </w:rPr>
            </w:pPr>
            <w:r w:rsidRPr="00AF1814">
              <w:rPr>
                <w:rFonts w:cs="Arial"/>
                <w:szCs w:val="18"/>
              </w:rPr>
              <w:t>V3</w:t>
            </w:r>
          </w:p>
        </w:tc>
        <w:tc>
          <w:tcPr>
            <w:tcW w:w="173" w:type="pct"/>
            <w:tcBorders>
              <w:top w:val="single" w:sz="4" w:space="0" w:color="auto"/>
              <w:left w:val="single" w:sz="4" w:space="0" w:color="auto"/>
              <w:bottom w:val="single" w:sz="4" w:space="0" w:color="auto"/>
              <w:right w:val="single" w:sz="4" w:space="0" w:color="auto"/>
            </w:tcBorders>
            <w:shd w:val="clear" w:color="auto" w:fill="auto"/>
          </w:tcPr>
          <w:p w14:paraId="784077AA" w14:textId="77777777" w:rsidR="00AD796A" w:rsidRPr="00AF1814" w:rsidRDefault="00DA3174" w:rsidP="004A4C32">
            <w:pPr>
              <w:pStyle w:val="Tableheading"/>
              <w:keepNext w:val="0"/>
              <w:keepLines w:val="0"/>
              <w:widowControl w:val="0"/>
              <w:rPr>
                <w:rFonts w:cs="Arial"/>
                <w:szCs w:val="18"/>
              </w:rPr>
            </w:pPr>
            <w:r w:rsidRPr="00AF1814">
              <w:rPr>
                <w:rFonts w:cs="Arial"/>
                <w:szCs w:val="18"/>
              </w:rPr>
              <w:t>V4</w:t>
            </w:r>
          </w:p>
        </w:tc>
        <w:tc>
          <w:tcPr>
            <w:tcW w:w="172" w:type="pct"/>
            <w:tcBorders>
              <w:left w:val="single" w:sz="4" w:space="0" w:color="auto"/>
              <w:bottom w:val="single" w:sz="4" w:space="0" w:color="auto"/>
              <w:right w:val="single" w:sz="4" w:space="0" w:color="auto"/>
            </w:tcBorders>
          </w:tcPr>
          <w:p w14:paraId="5C3BBD33" w14:textId="77777777" w:rsidR="00AD796A" w:rsidRPr="00AF1814" w:rsidRDefault="00DA3174" w:rsidP="004A4C32">
            <w:pPr>
              <w:widowControl w:val="0"/>
              <w:spacing w:before="80" w:after="80"/>
              <w:jc w:val="center"/>
              <w:rPr>
                <w:rFonts w:ascii="Arial" w:hAnsi="Arial"/>
                <w:b/>
                <w:sz w:val="18"/>
              </w:rPr>
            </w:pPr>
            <w:r w:rsidRPr="00AF1814">
              <w:rPr>
                <w:rFonts w:ascii="Arial" w:hAnsi="Arial"/>
                <w:b/>
                <w:sz w:val="18"/>
              </w:rPr>
              <w:t>V7</w:t>
            </w:r>
          </w:p>
        </w:tc>
        <w:tc>
          <w:tcPr>
            <w:tcW w:w="153" w:type="pct"/>
            <w:tcBorders>
              <w:left w:val="single" w:sz="4" w:space="0" w:color="auto"/>
              <w:bottom w:val="single" w:sz="4" w:space="0" w:color="auto"/>
              <w:right w:val="single" w:sz="4" w:space="0" w:color="auto"/>
            </w:tcBorders>
            <w:shd w:val="clear" w:color="auto" w:fill="auto"/>
          </w:tcPr>
          <w:p w14:paraId="7AD644E3" w14:textId="77777777" w:rsidR="00AD796A" w:rsidRPr="00AF1814" w:rsidRDefault="00DA3174" w:rsidP="004A4C32">
            <w:pPr>
              <w:widowControl w:val="0"/>
              <w:spacing w:before="80" w:after="80"/>
              <w:jc w:val="center"/>
              <w:rPr>
                <w:rFonts w:ascii="Arial" w:hAnsi="Arial"/>
                <w:b/>
                <w:sz w:val="18"/>
              </w:rPr>
            </w:pPr>
            <w:r w:rsidRPr="00AF1814">
              <w:rPr>
                <w:rFonts w:ascii="Arial" w:hAnsi="Arial"/>
                <w:b/>
                <w:sz w:val="18"/>
              </w:rPr>
              <w:t>V8</w:t>
            </w:r>
          </w:p>
        </w:tc>
        <w:tc>
          <w:tcPr>
            <w:tcW w:w="153" w:type="pct"/>
            <w:tcBorders>
              <w:left w:val="single" w:sz="4" w:space="0" w:color="auto"/>
              <w:bottom w:val="single" w:sz="4" w:space="0" w:color="auto"/>
              <w:right w:val="single" w:sz="4" w:space="0" w:color="auto"/>
            </w:tcBorders>
            <w:shd w:val="clear" w:color="auto" w:fill="auto"/>
          </w:tcPr>
          <w:p w14:paraId="091D9FDF" w14:textId="77777777" w:rsidR="00AD796A" w:rsidRPr="00AF1814" w:rsidRDefault="00DA3174" w:rsidP="004A4C32">
            <w:pPr>
              <w:widowControl w:val="0"/>
              <w:spacing w:before="80" w:after="80"/>
              <w:jc w:val="center"/>
              <w:rPr>
                <w:rFonts w:ascii="Arial" w:hAnsi="Arial"/>
                <w:b/>
                <w:sz w:val="18"/>
              </w:rPr>
            </w:pPr>
            <w:r w:rsidRPr="00AF1814">
              <w:rPr>
                <w:rFonts w:ascii="Arial" w:hAnsi="Arial"/>
                <w:b/>
                <w:sz w:val="18"/>
              </w:rPr>
              <w:t>V9</w:t>
            </w:r>
          </w:p>
        </w:tc>
        <w:tc>
          <w:tcPr>
            <w:tcW w:w="203" w:type="pct"/>
            <w:tcBorders>
              <w:left w:val="single" w:sz="4" w:space="0" w:color="auto"/>
              <w:bottom w:val="single" w:sz="4" w:space="0" w:color="auto"/>
              <w:right w:val="single" w:sz="4" w:space="0" w:color="auto"/>
            </w:tcBorders>
            <w:shd w:val="clear" w:color="auto" w:fill="auto"/>
          </w:tcPr>
          <w:p w14:paraId="508AD499" w14:textId="77777777" w:rsidR="00AD796A" w:rsidRPr="00AF1814" w:rsidRDefault="00DA3174" w:rsidP="004A4C32">
            <w:pPr>
              <w:widowControl w:val="0"/>
              <w:spacing w:before="80" w:after="80"/>
              <w:jc w:val="center"/>
              <w:rPr>
                <w:rFonts w:ascii="Arial" w:hAnsi="Arial"/>
                <w:b/>
                <w:sz w:val="18"/>
              </w:rPr>
            </w:pPr>
            <w:r w:rsidRPr="00AF1814">
              <w:rPr>
                <w:rFonts w:ascii="Arial" w:hAnsi="Arial"/>
                <w:b/>
                <w:sz w:val="18"/>
              </w:rPr>
              <w:t>V11</w:t>
            </w:r>
          </w:p>
        </w:tc>
        <w:tc>
          <w:tcPr>
            <w:tcW w:w="202" w:type="pct"/>
            <w:tcBorders>
              <w:left w:val="single" w:sz="4" w:space="0" w:color="auto"/>
              <w:bottom w:val="single" w:sz="4" w:space="0" w:color="auto"/>
              <w:right w:val="single" w:sz="4" w:space="0" w:color="auto"/>
            </w:tcBorders>
            <w:shd w:val="clear" w:color="auto" w:fill="auto"/>
          </w:tcPr>
          <w:p w14:paraId="790AE053" w14:textId="77777777" w:rsidR="00AD796A" w:rsidRPr="00AF1814" w:rsidRDefault="00DA3174" w:rsidP="004A4C32">
            <w:pPr>
              <w:widowControl w:val="0"/>
              <w:spacing w:before="80" w:after="80"/>
              <w:jc w:val="center"/>
              <w:rPr>
                <w:rFonts w:ascii="Arial" w:hAnsi="Arial"/>
                <w:b/>
                <w:sz w:val="18"/>
              </w:rPr>
            </w:pPr>
            <w:r w:rsidRPr="00AF1814">
              <w:rPr>
                <w:rFonts w:ascii="Arial" w:hAnsi="Arial"/>
                <w:b/>
                <w:sz w:val="18"/>
              </w:rPr>
              <w:t>V13</w:t>
            </w:r>
          </w:p>
        </w:tc>
        <w:tc>
          <w:tcPr>
            <w:tcW w:w="355" w:type="pct"/>
            <w:vMerge/>
            <w:tcBorders>
              <w:left w:val="single" w:sz="4" w:space="0" w:color="auto"/>
              <w:right w:val="single" w:sz="4" w:space="0" w:color="auto"/>
            </w:tcBorders>
            <w:shd w:val="clear" w:color="auto" w:fill="auto"/>
            <w:vAlign w:val="center"/>
          </w:tcPr>
          <w:p w14:paraId="314CBBD3" w14:textId="77777777" w:rsidR="00AD796A" w:rsidRPr="00AF1814" w:rsidRDefault="00AD796A" w:rsidP="004A4C32">
            <w:pPr>
              <w:pStyle w:val="Tableheading"/>
              <w:keepNext w:val="0"/>
              <w:keepLines w:val="0"/>
              <w:widowControl w:val="0"/>
            </w:pPr>
          </w:p>
        </w:tc>
        <w:tc>
          <w:tcPr>
            <w:tcW w:w="355" w:type="pct"/>
            <w:vMerge/>
            <w:tcBorders>
              <w:left w:val="single" w:sz="4" w:space="0" w:color="auto"/>
              <w:right w:val="single" w:sz="4" w:space="0" w:color="auto"/>
            </w:tcBorders>
            <w:shd w:val="clear" w:color="auto" w:fill="auto"/>
          </w:tcPr>
          <w:p w14:paraId="67CE683D" w14:textId="77777777" w:rsidR="00AD796A" w:rsidRPr="00AF1814" w:rsidRDefault="00AD796A" w:rsidP="004A4C32">
            <w:pPr>
              <w:pStyle w:val="Tableheading"/>
              <w:keepNext w:val="0"/>
              <w:keepLines w:val="0"/>
              <w:widowControl w:val="0"/>
            </w:pPr>
          </w:p>
        </w:tc>
        <w:tc>
          <w:tcPr>
            <w:tcW w:w="509" w:type="pct"/>
            <w:vMerge/>
            <w:tcBorders>
              <w:left w:val="single" w:sz="4" w:space="0" w:color="auto"/>
              <w:right w:val="single" w:sz="4" w:space="0" w:color="auto"/>
            </w:tcBorders>
            <w:shd w:val="clear" w:color="auto" w:fill="auto"/>
          </w:tcPr>
          <w:p w14:paraId="7481DD26" w14:textId="77777777" w:rsidR="00AD796A" w:rsidRPr="00AF1814" w:rsidRDefault="00AD796A" w:rsidP="004A4C32">
            <w:pPr>
              <w:pStyle w:val="Tableheading"/>
              <w:keepNext w:val="0"/>
              <w:keepLines w:val="0"/>
              <w:widowControl w:val="0"/>
            </w:pPr>
          </w:p>
        </w:tc>
        <w:tc>
          <w:tcPr>
            <w:tcW w:w="1656" w:type="pct"/>
            <w:vMerge/>
            <w:tcBorders>
              <w:left w:val="single" w:sz="4" w:space="0" w:color="auto"/>
              <w:right w:val="single" w:sz="4" w:space="0" w:color="auto"/>
            </w:tcBorders>
            <w:vAlign w:val="center"/>
          </w:tcPr>
          <w:p w14:paraId="350DF7B6" w14:textId="77777777" w:rsidR="00AD796A" w:rsidRPr="00AF1814" w:rsidRDefault="00AD796A" w:rsidP="004A4C32">
            <w:pPr>
              <w:pStyle w:val="Tableheading"/>
              <w:keepNext w:val="0"/>
              <w:keepLines w:val="0"/>
              <w:widowControl w:val="0"/>
            </w:pPr>
          </w:p>
        </w:tc>
      </w:tr>
      <w:tr w:rsidR="002108B2" w:rsidRPr="00AF1814" w14:paraId="36811BCA" w14:textId="77777777" w:rsidTr="004A4C32">
        <w:trPr>
          <w:trHeight w:val="387"/>
          <w:tblHeader/>
        </w:trPr>
        <w:tc>
          <w:tcPr>
            <w:tcW w:w="417" w:type="pct"/>
            <w:vMerge/>
            <w:tcBorders>
              <w:left w:val="single" w:sz="4" w:space="0" w:color="auto"/>
              <w:right w:val="single" w:sz="4" w:space="0" w:color="auto"/>
            </w:tcBorders>
            <w:shd w:val="clear" w:color="auto" w:fill="auto"/>
          </w:tcPr>
          <w:p w14:paraId="2C85C821" w14:textId="77777777" w:rsidR="00AD796A" w:rsidRPr="00AF1814" w:rsidRDefault="00AD796A" w:rsidP="004A4C32">
            <w:pPr>
              <w:pStyle w:val="Tableheading"/>
              <w:keepNext w:val="0"/>
              <w:keepLines w:val="0"/>
              <w:widowControl w:val="0"/>
            </w:pPr>
          </w:p>
        </w:tc>
        <w:tc>
          <w:tcPr>
            <w:tcW w:w="32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35B53C3" w14:textId="77777777" w:rsidR="00AD796A" w:rsidRPr="00AF1814" w:rsidRDefault="00DA3174" w:rsidP="004A4C32">
            <w:pPr>
              <w:pStyle w:val="Tableheading"/>
              <w:keepNext w:val="0"/>
              <w:keepLines w:val="0"/>
              <w:widowControl w:val="0"/>
            </w:pPr>
            <w:r w:rsidRPr="00AF1814">
              <w:t>W1</w:t>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14:paraId="01A9150B" w14:textId="77777777" w:rsidR="00AD796A" w:rsidRPr="00AF1814" w:rsidRDefault="00DA3174" w:rsidP="004A4C32">
            <w:pPr>
              <w:pStyle w:val="Tableheading"/>
              <w:keepNext w:val="0"/>
              <w:keepLines w:val="0"/>
              <w:widowControl w:val="0"/>
            </w:pPr>
            <w:r w:rsidRPr="00AF1814">
              <w:t>W2</w:t>
            </w:r>
          </w:p>
        </w:tc>
        <w:tc>
          <w:tcPr>
            <w:tcW w:w="163" w:type="pct"/>
            <w:tcBorders>
              <w:top w:val="single" w:sz="4" w:space="0" w:color="auto"/>
              <w:left w:val="single" w:sz="4" w:space="0" w:color="auto"/>
              <w:bottom w:val="single" w:sz="4" w:space="0" w:color="auto"/>
              <w:right w:val="single" w:sz="4" w:space="0" w:color="auto"/>
            </w:tcBorders>
            <w:shd w:val="clear" w:color="auto" w:fill="auto"/>
            <w:vAlign w:val="center"/>
          </w:tcPr>
          <w:p w14:paraId="4E98F91F" w14:textId="77777777" w:rsidR="00AD796A" w:rsidRPr="00AF1814" w:rsidRDefault="00DA3174" w:rsidP="004A4C32">
            <w:pPr>
              <w:pStyle w:val="Tableheading"/>
              <w:keepNext w:val="0"/>
              <w:keepLines w:val="0"/>
              <w:widowControl w:val="0"/>
            </w:pPr>
            <w:r w:rsidRPr="00AF1814">
              <w:t>W3</w:t>
            </w:r>
          </w:p>
        </w:tc>
        <w:tc>
          <w:tcPr>
            <w:tcW w:w="173" w:type="pct"/>
            <w:tcBorders>
              <w:top w:val="single" w:sz="4" w:space="0" w:color="auto"/>
              <w:left w:val="single" w:sz="4" w:space="0" w:color="auto"/>
              <w:bottom w:val="single" w:sz="4" w:space="0" w:color="auto"/>
              <w:right w:val="single" w:sz="4" w:space="0" w:color="auto"/>
            </w:tcBorders>
            <w:shd w:val="clear" w:color="auto" w:fill="auto"/>
            <w:vAlign w:val="center"/>
          </w:tcPr>
          <w:p w14:paraId="5D9A07F5" w14:textId="77777777" w:rsidR="00AD796A" w:rsidRPr="00AF1814" w:rsidRDefault="00DA3174" w:rsidP="004A4C32">
            <w:pPr>
              <w:pStyle w:val="Tableheading"/>
              <w:keepNext w:val="0"/>
              <w:keepLines w:val="0"/>
              <w:widowControl w:val="0"/>
            </w:pPr>
            <w:r w:rsidRPr="00AF1814">
              <w:t>W4</w:t>
            </w:r>
          </w:p>
        </w:tc>
        <w:tc>
          <w:tcPr>
            <w:tcW w:w="172" w:type="pct"/>
            <w:tcBorders>
              <w:top w:val="single" w:sz="4" w:space="0" w:color="auto"/>
              <w:left w:val="single" w:sz="4" w:space="0" w:color="auto"/>
              <w:bottom w:val="single" w:sz="4" w:space="0" w:color="auto"/>
              <w:right w:val="single" w:sz="4" w:space="0" w:color="auto"/>
            </w:tcBorders>
          </w:tcPr>
          <w:p w14:paraId="7930244F" w14:textId="77777777" w:rsidR="00AD796A" w:rsidRPr="00AF1814" w:rsidRDefault="00DA3174" w:rsidP="004A4C32">
            <w:pPr>
              <w:pStyle w:val="Tableheading"/>
              <w:keepNext w:val="0"/>
              <w:keepLines w:val="0"/>
              <w:widowControl w:val="0"/>
            </w:pPr>
            <w:r w:rsidRPr="00AF1814">
              <w:t>W7</w:t>
            </w:r>
          </w:p>
        </w:tc>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46EDD087" w14:textId="77777777" w:rsidR="00AD796A" w:rsidRPr="00AF1814" w:rsidRDefault="00DA3174" w:rsidP="004A4C32">
            <w:pPr>
              <w:pStyle w:val="Tableheading"/>
              <w:keepNext w:val="0"/>
              <w:keepLines w:val="0"/>
              <w:widowControl w:val="0"/>
            </w:pPr>
            <w:r w:rsidRPr="00AF1814">
              <w:t>W10</w:t>
            </w:r>
          </w:p>
        </w:tc>
        <w:tc>
          <w:tcPr>
            <w:tcW w:w="153" w:type="pct"/>
            <w:tcBorders>
              <w:top w:val="single" w:sz="4" w:space="0" w:color="auto"/>
              <w:left w:val="single" w:sz="4" w:space="0" w:color="auto"/>
              <w:bottom w:val="single" w:sz="4" w:space="0" w:color="auto"/>
              <w:right w:val="single" w:sz="4" w:space="0" w:color="auto"/>
            </w:tcBorders>
            <w:shd w:val="clear" w:color="auto" w:fill="auto"/>
            <w:vAlign w:val="center"/>
          </w:tcPr>
          <w:p w14:paraId="2C659F30" w14:textId="77777777" w:rsidR="00AD796A" w:rsidRPr="00AF1814" w:rsidRDefault="00DA3174" w:rsidP="004A4C32">
            <w:pPr>
              <w:pStyle w:val="Tableheading"/>
              <w:keepNext w:val="0"/>
              <w:keepLines w:val="0"/>
              <w:widowControl w:val="0"/>
            </w:pPr>
            <w:r w:rsidRPr="00AF1814">
              <w:t>W13</w:t>
            </w:r>
          </w:p>
        </w:tc>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14:paraId="5198CD9A" w14:textId="77777777" w:rsidR="00AD796A" w:rsidRPr="00AF1814" w:rsidRDefault="00DA3174" w:rsidP="004A4C32">
            <w:pPr>
              <w:pStyle w:val="Tableheading"/>
              <w:keepNext w:val="0"/>
              <w:keepLines w:val="0"/>
              <w:widowControl w:val="0"/>
            </w:pPr>
            <w:r w:rsidRPr="00AF1814">
              <w:t>W19</w:t>
            </w:r>
          </w:p>
        </w:tc>
        <w:tc>
          <w:tcPr>
            <w:tcW w:w="202" w:type="pct"/>
            <w:tcBorders>
              <w:top w:val="single" w:sz="4" w:space="0" w:color="auto"/>
              <w:left w:val="single" w:sz="4" w:space="0" w:color="auto"/>
              <w:bottom w:val="single" w:sz="4" w:space="0" w:color="auto"/>
              <w:right w:val="single" w:sz="4" w:space="0" w:color="auto"/>
            </w:tcBorders>
            <w:shd w:val="clear" w:color="auto" w:fill="auto"/>
            <w:vAlign w:val="center"/>
          </w:tcPr>
          <w:p w14:paraId="6E146CA0" w14:textId="77777777" w:rsidR="00AD796A" w:rsidRPr="00AF1814" w:rsidRDefault="00DA3174" w:rsidP="004A4C32">
            <w:pPr>
              <w:pStyle w:val="Tableheading"/>
              <w:keepNext w:val="0"/>
              <w:keepLines w:val="0"/>
              <w:widowControl w:val="0"/>
            </w:pPr>
            <w:r w:rsidRPr="00AF1814">
              <w:t>W25</w:t>
            </w:r>
          </w:p>
        </w:tc>
        <w:tc>
          <w:tcPr>
            <w:tcW w:w="355" w:type="pct"/>
            <w:vMerge/>
            <w:tcBorders>
              <w:left w:val="single" w:sz="4" w:space="0" w:color="auto"/>
              <w:right w:val="single" w:sz="4" w:space="0" w:color="auto"/>
            </w:tcBorders>
            <w:shd w:val="clear" w:color="auto" w:fill="auto"/>
          </w:tcPr>
          <w:p w14:paraId="2098349B" w14:textId="77777777" w:rsidR="00AD796A" w:rsidRPr="00AF1814" w:rsidRDefault="00AD796A" w:rsidP="004A4C32">
            <w:pPr>
              <w:pStyle w:val="Tableheading"/>
              <w:keepNext w:val="0"/>
              <w:keepLines w:val="0"/>
              <w:widowControl w:val="0"/>
            </w:pPr>
          </w:p>
        </w:tc>
        <w:tc>
          <w:tcPr>
            <w:tcW w:w="355" w:type="pct"/>
            <w:vMerge w:val="restart"/>
            <w:tcBorders>
              <w:left w:val="single" w:sz="4" w:space="0" w:color="auto"/>
              <w:right w:val="single" w:sz="4" w:space="0" w:color="auto"/>
            </w:tcBorders>
            <w:shd w:val="clear" w:color="auto" w:fill="auto"/>
          </w:tcPr>
          <w:p w14:paraId="0A26E92A" w14:textId="77777777" w:rsidR="00AD796A" w:rsidRPr="00AF1814" w:rsidRDefault="00DA3174" w:rsidP="004A4C32">
            <w:pPr>
              <w:pStyle w:val="Tableheading"/>
              <w:keepNext w:val="0"/>
              <w:keepLines w:val="0"/>
              <w:widowControl w:val="0"/>
            </w:pPr>
            <w:r w:rsidRPr="00AF1814">
              <w:t>On Day of or Within 7 Days of Decision</w:t>
            </w:r>
          </w:p>
        </w:tc>
        <w:tc>
          <w:tcPr>
            <w:tcW w:w="509" w:type="pct"/>
            <w:vMerge w:val="restart"/>
            <w:tcBorders>
              <w:left w:val="single" w:sz="4" w:space="0" w:color="auto"/>
              <w:right w:val="single" w:sz="4" w:space="0" w:color="auto"/>
            </w:tcBorders>
            <w:shd w:val="clear" w:color="auto" w:fill="auto"/>
          </w:tcPr>
          <w:p w14:paraId="11CBB558" w14:textId="77777777" w:rsidR="00AD796A" w:rsidRPr="00AF1814" w:rsidRDefault="00DA3174" w:rsidP="004A4C32">
            <w:pPr>
              <w:pStyle w:val="Tableheading"/>
              <w:keepNext w:val="0"/>
              <w:keepLines w:val="0"/>
              <w:widowControl w:val="0"/>
            </w:pPr>
            <w:r w:rsidRPr="00AF1814">
              <w:t>28 (± 5) Days After Last Treatment</w:t>
            </w:r>
          </w:p>
        </w:tc>
        <w:tc>
          <w:tcPr>
            <w:tcW w:w="1656" w:type="pct"/>
            <w:vMerge/>
            <w:tcBorders>
              <w:left w:val="single" w:sz="4" w:space="0" w:color="auto"/>
              <w:right w:val="single" w:sz="4" w:space="0" w:color="auto"/>
            </w:tcBorders>
            <w:vAlign w:val="bottom"/>
          </w:tcPr>
          <w:p w14:paraId="4EF8B694" w14:textId="77777777" w:rsidR="00AD796A" w:rsidRPr="00AF1814" w:rsidRDefault="00AD796A" w:rsidP="004A4C32">
            <w:pPr>
              <w:pStyle w:val="Tableheading"/>
              <w:keepNext w:val="0"/>
              <w:keepLines w:val="0"/>
              <w:widowControl w:val="0"/>
            </w:pPr>
          </w:p>
        </w:tc>
      </w:tr>
      <w:tr w:rsidR="002108B2" w:rsidRPr="00AF1814" w14:paraId="15F0AA19" w14:textId="77777777" w:rsidTr="004A4C32">
        <w:trPr>
          <w:trHeight w:val="283"/>
          <w:tblHeader/>
        </w:trPr>
        <w:tc>
          <w:tcPr>
            <w:tcW w:w="417" w:type="pct"/>
            <w:vMerge/>
            <w:tcBorders>
              <w:left w:val="single" w:sz="4" w:space="0" w:color="auto"/>
              <w:bottom w:val="single" w:sz="4" w:space="0" w:color="auto"/>
              <w:right w:val="single" w:sz="4" w:space="0" w:color="auto"/>
            </w:tcBorders>
            <w:shd w:val="clear" w:color="auto" w:fill="auto"/>
          </w:tcPr>
          <w:p w14:paraId="1213EDED" w14:textId="77777777" w:rsidR="00AD796A" w:rsidRPr="00AF1814" w:rsidRDefault="00AD796A" w:rsidP="004A4C32">
            <w:pPr>
              <w:pStyle w:val="Tableheading"/>
              <w:keepNext w:val="0"/>
              <w:keepLines w:val="0"/>
              <w:widowControl w:val="0"/>
            </w:pPr>
          </w:p>
        </w:tc>
        <w:tc>
          <w:tcPr>
            <w:tcW w:w="163" w:type="pct"/>
            <w:tcBorders>
              <w:top w:val="single" w:sz="4" w:space="0" w:color="auto"/>
              <w:left w:val="single" w:sz="4" w:space="0" w:color="auto"/>
              <w:right w:val="single" w:sz="4" w:space="0" w:color="auto"/>
            </w:tcBorders>
            <w:shd w:val="clear" w:color="auto" w:fill="auto"/>
            <w:vAlign w:val="center"/>
          </w:tcPr>
          <w:p w14:paraId="219B52E6" w14:textId="77777777" w:rsidR="00AD796A" w:rsidRPr="00AF1814" w:rsidRDefault="00DA3174" w:rsidP="004A4C32">
            <w:pPr>
              <w:pStyle w:val="Tableheading"/>
              <w:keepNext w:val="0"/>
              <w:keepLines w:val="0"/>
              <w:widowControl w:val="0"/>
            </w:pPr>
            <w:r w:rsidRPr="00AF1814">
              <w:t>D1</w:t>
            </w:r>
          </w:p>
        </w:tc>
        <w:tc>
          <w:tcPr>
            <w:tcW w:w="163" w:type="pct"/>
            <w:tcBorders>
              <w:top w:val="single" w:sz="4" w:space="0" w:color="auto"/>
              <w:left w:val="single" w:sz="4" w:space="0" w:color="auto"/>
              <w:right w:val="single" w:sz="4" w:space="0" w:color="auto"/>
            </w:tcBorders>
            <w:shd w:val="clear" w:color="auto" w:fill="auto"/>
            <w:vAlign w:val="center"/>
          </w:tcPr>
          <w:p w14:paraId="5EC80510" w14:textId="77777777" w:rsidR="00AD796A" w:rsidRPr="00AF1814" w:rsidRDefault="00DA3174" w:rsidP="004A4C32">
            <w:pPr>
              <w:pStyle w:val="Tableheading"/>
              <w:keepNext w:val="0"/>
              <w:keepLines w:val="0"/>
              <w:widowControl w:val="0"/>
            </w:pPr>
            <w:r w:rsidRPr="00AF1814">
              <w:t>D2</w:t>
            </w:r>
          </w:p>
        </w:tc>
        <w:tc>
          <w:tcPr>
            <w:tcW w:w="163" w:type="pct"/>
            <w:tcBorders>
              <w:top w:val="single" w:sz="4" w:space="0" w:color="auto"/>
              <w:left w:val="single" w:sz="4" w:space="0" w:color="auto"/>
              <w:right w:val="single" w:sz="4" w:space="0" w:color="auto"/>
            </w:tcBorders>
            <w:shd w:val="clear" w:color="auto" w:fill="auto"/>
            <w:vAlign w:val="center"/>
          </w:tcPr>
          <w:p w14:paraId="3A7729E7" w14:textId="77777777" w:rsidR="00AD796A" w:rsidRPr="00AF1814" w:rsidRDefault="00DA3174" w:rsidP="004A4C32">
            <w:pPr>
              <w:pStyle w:val="Tableheading"/>
              <w:keepNext w:val="0"/>
              <w:keepLines w:val="0"/>
              <w:widowControl w:val="0"/>
            </w:pPr>
            <w:r w:rsidRPr="00AF1814">
              <w:t>D8</w:t>
            </w:r>
          </w:p>
        </w:tc>
        <w:tc>
          <w:tcPr>
            <w:tcW w:w="163" w:type="pct"/>
            <w:tcBorders>
              <w:top w:val="single" w:sz="4" w:space="0" w:color="auto"/>
              <w:left w:val="single" w:sz="4" w:space="0" w:color="auto"/>
              <w:right w:val="single" w:sz="4" w:space="0" w:color="auto"/>
            </w:tcBorders>
            <w:shd w:val="clear" w:color="auto" w:fill="auto"/>
            <w:vAlign w:val="center"/>
          </w:tcPr>
          <w:p w14:paraId="088F5CC3" w14:textId="77777777" w:rsidR="00AD796A" w:rsidRPr="00AF1814" w:rsidRDefault="00DA3174" w:rsidP="004A4C32">
            <w:pPr>
              <w:pStyle w:val="Tableheading"/>
              <w:keepNext w:val="0"/>
              <w:keepLines w:val="0"/>
              <w:widowControl w:val="0"/>
            </w:pPr>
            <w:r w:rsidRPr="00AF1814">
              <w:t>D15</w:t>
            </w:r>
          </w:p>
        </w:tc>
        <w:tc>
          <w:tcPr>
            <w:tcW w:w="173" w:type="pct"/>
            <w:tcBorders>
              <w:top w:val="single" w:sz="4" w:space="0" w:color="auto"/>
              <w:left w:val="single" w:sz="4" w:space="0" w:color="auto"/>
              <w:right w:val="single" w:sz="4" w:space="0" w:color="auto"/>
            </w:tcBorders>
            <w:shd w:val="clear" w:color="auto" w:fill="auto"/>
            <w:vAlign w:val="center"/>
          </w:tcPr>
          <w:p w14:paraId="7EE65025" w14:textId="77777777" w:rsidR="00AD796A" w:rsidRPr="00AF1814" w:rsidRDefault="00DA3174" w:rsidP="004A4C32">
            <w:pPr>
              <w:pStyle w:val="Tableheading"/>
              <w:keepNext w:val="0"/>
              <w:keepLines w:val="0"/>
              <w:widowControl w:val="0"/>
            </w:pPr>
            <w:r w:rsidRPr="00AF1814">
              <w:t>D22</w:t>
            </w:r>
          </w:p>
        </w:tc>
        <w:tc>
          <w:tcPr>
            <w:tcW w:w="172" w:type="pct"/>
            <w:tcBorders>
              <w:top w:val="single" w:sz="4" w:space="0" w:color="auto"/>
              <w:left w:val="single" w:sz="4" w:space="0" w:color="auto"/>
              <w:right w:val="single" w:sz="4" w:space="0" w:color="auto"/>
            </w:tcBorders>
            <w:vAlign w:val="center"/>
          </w:tcPr>
          <w:p w14:paraId="649D9B31" w14:textId="77777777" w:rsidR="00AD796A" w:rsidRPr="00AF1814" w:rsidRDefault="00DA3174" w:rsidP="004A4C32">
            <w:pPr>
              <w:pStyle w:val="Tableheading"/>
              <w:keepNext w:val="0"/>
              <w:keepLines w:val="0"/>
              <w:widowControl w:val="0"/>
            </w:pPr>
            <w:r w:rsidRPr="00AF1814">
              <w:t>D43</w:t>
            </w:r>
          </w:p>
        </w:tc>
        <w:tc>
          <w:tcPr>
            <w:tcW w:w="153" w:type="pct"/>
            <w:tcBorders>
              <w:top w:val="single" w:sz="4" w:space="0" w:color="auto"/>
              <w:left w:val="single" w:sz="4" w:space="0" w:color="auto"/>
              <w:right w:val="single" w:sz="4" w:space="0" w:color="auto"/>
            </w:tcBorders>
            <w:shd w:val="clear" w:color="auto" w:fill="auto"/>
            <w:vAlign w:val="center"/>
          </w:tcPr>
          <w:p w14:paraId="0D579B78" w14:textId="77777777" w:rsidR="00AD796A" w:rsidRPr="00AF1814" w:rsidRDefault="00DA3174" w:rsidP="004A4C32">
            <w:pPr>
              <w:pStyle w:val="Tableheading"/>
              <w:keepNext w:val="0"/>
              <w:keepLines w:val="0"/>
              <w:widowControl w:val="0"/>
            </w:pPr>
            <w:r w:rsidRPr="00AF1814">
              <w:t>D64</w:t>
            </w:r>
          </w:p>
        </w:tc>
        <w:tc>
          <w:tcPr>
            <w:tcW w:w="153" w:type="pct"/>
            <w:tcBorders>
              <w:top w:val="single" w:sz="4" w:space="0" w:color="auto"/>
              <w:left w:val="single" w:sz="4" w:space="0" w:color="auto"/>
              <w:right w:val="single" w:sz="4" w:space="0" w:color="auto"/>
            </w:tcBorders>
            <w:shd w:val="clear" w:color="auto" w:fill="auto"/>
            <w:vAlign w:val="center"/>
          </w:tcPr>
          <w:p w14:paraId="74F3F6F3" w14:textId="77777777" w:rsidR="00AD796A" w:rsidRPr="00AF1814" w:rsidRDefault="00DA3174" w:rsidP="004A4C32">
            <w:pPr>
              <w:pStyle w:val="Tableheading"/>
              <w:keepNext w:val="0"/>
              <w:keepLines w:val="0"/>
              <w:widowControl w:val="0"/>
            </w:pPr>
            <w:r w:rsidRPr="00AF1814">
              <w:t>D85</w:t>
            </w:r>
          </w:p>
        </w:tc>
        <w:tc>
          <w:tcPr>
            <w:tcW w:w="203" w:type="pct"/>
            <w:tcBorders>
              <w:top w:val="single" w:sz="4" w:space="0" w:color="auto"/>
              <w:left w:val="single" w:sz="4" w:space="0" w:color="auto"/>
              <w:right w:val="single" w:sz="4" w:space="0" w:color="auto"/>
            </w:tcBorders>
            <w:shd w:val="clear" w:color="auto" w:fill="auto"/>
            <w:vAlign w:val="center"/>
          </w:tcPr>
          <w:p w14:paraId="4E55B67F" w14:textId="77777777" w:rsidR="00AD796A" w:rsidRPr="00AF1814" w:rsidRDefault="00DA3174" w:rsidP="004A4C32">
            <w:pPr>
              <w:pStyle w:val="Tableheading"/>
              <w:keepNext w:val="0"/>
              <w:keepLines w:val="0"/>
              <w:widowControl w:val="0"/>
            </w:pPr>
            <w:r w:rsidRPr="00AF1814">
              <w:t>D127</w:t>
            </w:r>
          </w:p>
        </w:tc>
        <w:tc>
          <w:tcPr>
            <w:tcW w:w="202" w:type="pct"/>
            <w:tcBorders>
              <w:top w:val="single" w:sz="4" w:space="0" w:color="auto"/>
              <w:left w:val="single" w:sz="4" w:space="0" w:color="auto"/>
              <w:right w:val="single" w:sz="4" w:space="0" w:color="auto"/>
            </w:tcBorders>
            <w:shd w:val="clear" w:color="auto" w:fill="auto"/>
            <w:vAlign w:val="center"/>
          </w:tcPr>
          <w:p w14:paraId="49470778" w14:textId="77777777" w:rsidR="00AD796A" w:rsidRPr="00AF1814" w:rsidRDefault="00DA3174" w:rsidP="004A4C32">
            <w:pPr>
              <w:pStyle w:val="Tableheading"/>
              <w:keepNext w:val="0"/>
              <w:keepLines w:val="0"/>
              <w:widowControl w:val="0"/>
            </w:pPr>
            <w:r w:rsidRPr="00AF1814">
              <w:t>D169</w:t>
            </w:r>
          </w:p>
        </w:tc>
        <w:tc>
          <w:tcPr>
            <w:tcW w:w="355" w:type="pct"/>
            <w:vMerge/>
            <w:tcBorders>
              <w:left w:val="single" w:sz="4" w:space="0" w:color="auto"/>
              <w:right w:val="single" w:sz="4" w:space="0" w:color="auto"/>
            </w:tcBorders>
            <w:shd w:val="clear" w:color="auto" w:fill="auto"/>
            <w:vAlign w:val="center"/>
          </w:tcPr>
          <w:p w14:paraId="44F65E8F" w14:textId="77777777" w:rsidR="00AD796A" w:rsidRPr="00AF1814" w:rsidRDefault="00AD796A" w:rsidP="004A4C32">
            <w:pPr>
              <w:pStyle w:val="Tableheading"/>
              <w:keepNext w:val="0"/>
              <w:keepLines w:val="0"/>
              <w:widowControl w:val="0"/>
            </w:pPr>
          </w:p>
        </w:tc>
        <w:tc>
          <w:tcPr>
            <w:tcW w:w="355" w:type="pct"/>
            <w:vMerge/>
            <w:tcBorders>
              <w:left w:val="single" w:sz="4" w:space="0" w:color="auto"/>
              <w:right w:val="single" w:sz="4" w:space="0" w:color="auto"/>
            </w:tcBorders>
            <w:shd w:val="clear" w:color="auto" w:fill="auto"/>
            <w:vAlign w:val="center"/>
          </w:tcPr>
          <w:p w14:paraId="3A96773B" w14:textId="77777777" w:rsidR="00AD796A" w:rsidRPr="00AF1814" w:rsidRDefault="00AD796A" w:rsidP="004A4C32">
            <w:pPr>
              <w:pStyle w:val="Tableheading"/>
              <w:keepNext w:val="0"/>
              <w:keepLines w:val="0"/>
              <w:widowControl w:val="0"/>
            </w:pPr>
          </w:p>
        </w:tc>
        <w:tc>
          <w:tcPr>
            <w:tcW w:w="509" w:type="pct"/>
            <w:vMerge/>
            <w:tcBorders>
              <w:left w:val="single" w:sz="4" w:space="0" w:color="auto"/>
              <w:right w:val="single" w:sz="4" w:space="0" w:color="auto"/>
            </w:tcBorders>
            <w:shd w:val="clear" w:color="auto" w:fill="auto"/>
            <w:vAlign w:val="center"/>
          </w:tcPr>
          <w:p w14:paraId="3968DFC3" w14:textId="77777777" w:rsidR="00AD796A" w:rsidRPr="00AF1814" w:rsidRDefault="00AD796A" w:rsidP="004A4C32">
            <w:pPr>
              <w:pStyle w:val="Tableheading"/>
              <w:keepNext w:val="0"/>
              <w:keepLines w:val="0"/>
              <w:widowControl w:val="0"/>
            </w:pPr>
          </w:p>
        </w:tc>
        <w:tc>
          <w:tcPr>
            <w:tcW w:w="1656" w:type="pct"/>
            <w:vMerge/>
            <w:tcBorders>
              <w:left w:val="single" w:sz="4" w:space="0" w:color="auto"/>
              <w:bottom w:val="nil"/>
              <w:right w:val="single" w:sz="4" w:space="0" w:color="auto"/>
            </w:tcBorders>
            <w:vAlign w:val="bottom"/>
          </w:tcPr>
          <w:p w14:paraId="075D00B4" w14:textId="77777777" w:rsidR="00AD796A" w:rsidRPr="00AF1814" w:rsidRDefault="00AD796A" w:rsidP="004A4C32">
            <w:pPr>
              <w:pStyle w:val="Tableheading"/>
              <w:keepNext w:val="0"/>
              <w:keepLines w:val="0"/>
              <w:widowControl w:val="0"/>
              <w:rPr>
                <w:vertAlign w:val="superscript"/>
              </w:rPr>
            </w:pPr>
          </w:p>
        </w:tc>
      </w:tr>
      <w:tr w:rsidR="002108B2" w:rsidRPr="00AF1814" w14:paraId="7EE3F941" w14:textId="77777777" w:rsidTr="004A4C32">
        <w:trPr>
          <w:tblHeader/>
        </w:trPr>
        <w:tc>
          <w:tcPr>
            <w:tcW w:w="417" w:type="pct"/>
            <w:tcBorders>
              <w:top w:val="single" w:sz="4" w:space="0" w:color="auto"/>
              <w:left w:val="single" w:sz="4" w:space="0" w:color="auto"/>
              <w:bottom w:val="single" w:sz="4" w:space="0" w:color="auto"/>
              <w:right w:val="single" w:sz="4" w:space="0" w:color="auto"/>
            </w:tcBorders>
          </w:tcPr>
          <w:p w14:paraId="4CBA371B" w14:textId="77777777" w:rsidR="00AD796A" w:rsidRPr="00AF1814" w:rsidRDefault="00DA3174" w:rsidP="004A4C32">
            <w:pPr>
              <w:pStyle w:val="Tabletext"/>
              <w:keepLines w:val="0"/>
              <w:widowControl w:val="0"/>
              <w:jc w:val="center"/>
            </w:pPr>
            <w:r w:rsidRPr="00AF1814">
              <w:t>Blood sample for PK</w:t>
            </w:r>
          </w:p>
        </w:tc>
        <w:tc>
          <w:tcPr>
            <w:tcW w:w="163" w:type="pct"/>
            <w:tcBorders>
              <w:top w:val="single" w:sz="4" w:space="0" w:color="auto"/>
              <w:left w:val="single" w:sz="4" w:space="0" w:color="auto"/>
              <w:bottom w:val="single" w:sz="4" w:space="0" w:color="auto"/>
              <w:right w:val="single" w:sz="4" w:space="0" w:color="auto"/>
            </w:tcBorders>
            <w:shd w:val="clear" w:color="auto" w:fill="auto"/>
          </w:tcPr>
          <w:p w14:paraId="1EE0DF3A" w14:textId="77777777" w:rsidR="00AD796A" w:rsidRPr="00AF1814" w:rsidRDefault="00DA3174" w:rsidP="004A4C32">
            <w:pPr>
              <w:pStyle w:val="Tabletext"/>
              <w:keepLines w:val="0"/>
              <w:widowControl w:val="0"/>
              <w:jc w:val="center"/>
            </w:pPr>
            <w:r w:rsidRPr="00AF1814">
              <w:t>X/X</w:t>
            </w:r>
            <w:r w:rsidRPr="00AF1814">
              <w:rPr>
                <w:vertAlign w:val="superscript"/>
              </w:rPr>
              <w:t>a</w:t>
            </w:r>
          </w:p>
          <w:p w14:paraId="33E0746F" w14:textId="386E28BD" w:rsidR="00AD796A" w:rsidRPr="00AF1814" w:rsidRDefault="00DA3174" w:rsidP="004A4C32">
            <w:pPr>
              <w:pStyle w:val="Tabletext"/>
              <w:keepLines w:val="0"/>
              <w:widowControl w:val="0"/>
              <w:jc w:val="center"/>
            </w:pPr>
            <w:r w:rsidRPr="00AF1814">
              <w:t>(pre/</w:t>
            </w:r>
            <w:r w:rsidR="004A4C32" w:rsidRPr="00AF1814">
              <w:br/>
            </w:r>
            <w:r w:rsidRPr="00AF1814">
              <w:t>eoi)</w:t>
            </w:r>
          </w:p>
        </w:tc>
        <w:tc>
          <w:tcPr>
            <w:tcW w:w="163" w:type="pct"/>
            <w:tcBorders>
              <w:top w:val="single" w:sz="4" w:space="0" w:color="auto"/>
              <w:left w:val="single" w:sz="4" w:space="0" w:color="auto"/>
              <w:bottom w:val="single" w:sz="4" w:space="0" w:color="auto"/>
              <w:right w:val="single" w:sz="4" w:space="0" w:color="auto"/>
            </w:tcBorders>
            <w:shd w:val="clear" w:color="auto" w:fill="auto"/>
          </w:tcPr>
          <w:p w14:paraId="44DFA14A" w14:textId="77777777" w:rsidR="00AD796A" w:rsidRPr="00AF1814" w:rsidRDefault="00DA3174" w:rsidP="004A4C32">
            <w:pPr>
              <w:pStyle w:val="Tabletext"/>
              <w:keepLines w:val="0"/>
              <w:widowControl w:val="0"/>
              <w:jc w:val="center"/>
            </w:pPr>
            <w:r w:rsidRPr="00AF1814">
              <w:t>X</w:t>
            </w:r>
            <w:r w:rsidRPr="00AF1814">
              <w:rPr>
                <w:vertAlign w:val="superscript"/>
              </w:rPr>
              <w:t>b</w:t>
            </w:r>
          </w:p>
        </w:tc>
        <w:tc>
          <w:tcPr>
            <w:tcW w:w="163" w:type="pct"/>
            <w:tcBorders>
              <w:top w:val="single" w:sz="4" w:space="0" w:color="auto"/>
              <w:left w:val="single" w:sz="4" w:space="0" w:color="auto"/>
              <w:bottom w:val="single" w:sz="4" w:space="0" w:color="auto"/>
              <w:right w:val="single" w:sz="4" w:space="0" w:color="auto"/>
            </w:tcBorders>
            <w:shd w:val="clear" w:color="auto" w:fill="auto"/>
          </w:tcPr>
          <w:p w14:paraId="523B5AFD" w14:textId="77777777" w:rsidR="00AD796A" w:rsidRPr="00AF1814" w:rsidRDefault="00DA3174" w:rsidP="004A4C32">
            <w:pPr>
              <w:pStyle w:val="Tabletext"/>
              <w:keepLines w:val="0"/>
              <w:widowControl w:val="0"/>
              <w:jc w:val="center"/>
            </w:pPr>
            <w:r w:rsidRPr="00AF1814">
              <w:t>X</w:t>
            </w:r>
            <w:r w:rsidRPr="00AF1814">
              <w:rPr>
                <w:vertAlign w:val="superscript"/>
              </w:rPr>
              <w:t>c</w:t>
            </w:r>
          </w:p>
        </w:tc>
        <w:tc>
          <w:tcPr>
            <w:tcW w:w="163" w:type="pct"/>
            <w:tcBorders>
              <w:top w:val="single" w:sz="4" w:space="0" w:color="auto"/>
              <w:left w:val="single" w:sz="4" w:space="0" w:color="auto"/>
              <w:bottom w:val="single" w:sz="4" w:space="0" w:color="auto"/>
              <w:right w:val="single" w:sz="4" w:space="0" w:color="auto"/>
            </w:tcBorders>
            <w:shd w:val="clear" w:color="auto" w:fill="auto"/>
          </w:tcPr>
          <w:p w14:paraId="4A1E8436" w14:textId="77777777" w:rsidR="00AD796A" w:rsidRPr="00AF1814" w:rsidRDefault="00DA3174" w:rsidP="004A4C32">
            <w:pPr>
              <w:pStyle w:val="Tabletext"/>
              <w:keepLines w:val="0"/>
              <w:widowControl w:val="0"/>
              <w:jc w:val="center"/>
            </w:pPr>
            <w:r w:rsidRPr="00AF1814">
              <w:t>X</w:t>
            </w:r>
            <w:r w:rsidRPr="00AF1814">
              <w:rPr>
                <w:vertAlign w:val="superscript"/>
              </w:rPr>
              <w:t>c</w:t>
            </w:r>
          </w:p>
        </w:tc>
        <w:tc>
          <w:tcPr>
            <w:tcW w:w="173" w:type="pct"/>
            <w:tcBorders>
              <w:top w:val="single" w:sz="4" w:space="0" w:color="auto"/>
              <w:left w:val="single" w:sz="4" w:space="0" w:color="auto"/>
              <w:bottom w:val="single" w:sz="4" w:space="0" w:color="auto"/>
              <w:right w:val="single" w:sz="4" w:space="0" w:color="auto"/>
            </w:tcBorders>
            <w:shd w:val="clear" w:color="auto" w:fill="auto"/>
          </w:tcPr>
          <w:p w14:paraId="0FC2DF77" w14:textId="77777777" w:rsidR="00AD796A" w:rsidRPr="00AF1814" w:rsidRDefault="00DA3174" w:rsidP="004A4C32">
            <w:pPr>
              <w:pStyle w:val="Tabletext"/>
              <w:keepLines w:val="0"/>
              <w:widowControl w:val="0"/>
              <w:jc w:val="center"/>
            </w:pPr>
            <w:r w:rsidRPr="00AF1814">
              <w:t>X/-</w:t>
            </w:r>
          </w:p>
          <w:p w14:paraId="42039586" w14:textId="39637AE3" w:rsidR="00AD796A" w:rsidRPr="00AF1814" w:rsidRDefault="00DA3174" w:rsidP="004A4C32">
            <w:pPr>
              <w:pStyle w:val="Tabletext"/>
              <w:keepLines w:val="0"/>
              <w:widowControl w:val="0"/>
              <w:jc w:val="center"/>
            </w:pPr>
            <w:r w:rsidRPr="00AF1814">
              <w:t>(pre/</w:t>
            </w:r>
            <w:r w:rsidR="004A4C32" w:rsidRPr="00AF1814">
              <w:br/>
            </w:r>
            <w:r w:rsidRPr="00AF1814">
              <w:t>eoi)</w:t>
            </w:r>
          </w:p>
        </w:tc>
        <w:tc>
          <w:tcPr>
            <w:tcW w:w="172" w:type="pct"/>
            <w:tcBorders>
              <w:top w:val="single" w:sz="4" w:space="0" w:color="auto"/>
              <w:left w:val="single" w:sz="4" w:space="0" w:color="auto"/>
              <w:bottom w:val="single" w:sz="4" w:space="0" w:color="auto"/>
              <w:right w:val="single" w:sz="4" w:space="0" w:color="auto"/>
            </w:tcBorders>
          </w:tcPr>
          <w:p w14:paraId="1E8BFF7D" w14:textId="77777777" w:rsidR="00AD796A" w:rsidRPr="00AF1814" w:rsidRDefault="00DA3174" w:rsidP="004A4C32">
            <w:pPr>
              <w:pStyle w:val="Tabletext"/>
              <w:keepLines w:val="0"/>
              <w:widowControl w:val="0"/>
              <w:jc w:val="center"/>
            </w:pPr>
            <w:r w:rsidRPr="00AF1814">
              <w:t>X/-</w:t>
            </w:r>
          </w:p>
          <w:p w14:paraId="7BD50EA9" w14:textId="751D9F11" w:rsidR="00AD796A" w:rsidRPr="00AF1814" w:rsidRDefault="00DA3174" w:rsidP="004A4C32">
            <w:pPr>
              <w:pStyle w:val="Tabletext"/>
              <w:keepLines w:val="0"/>
              <w:widowControl w:val="0"/>
              <w:jc w:val="center"/>
            </w:pPr>
            <w:r w:rsidRPr="00AF1814">
              <w:t>(pre/</w:t>
            </w:r>
            <w:r w:rsidR="004A4C32" w:rsidRPr="00AF1814">
              <w:br/>
            </w:r>
            <w:r w:rsidRPr="00AF1814">
              <w:t>eoi)</w:t>
            </w:r>
          </w:p>
        </w:tc>
        <w:tc>
          <w:tcPr>
            <w:tcW w:w="153" w:type="pct"/>
            <w:tcBorders>
              <w:top w:val="single" w:sz="4" w:space="0" w:color="auto"/>
              <w:left w:val="single" w:sz="4" w:space="0" w:color="auto"/>
              <w:bottom w:val="single" w:sz="4" w:space="0" w:color="auto"/>
              <w:right w:val="single" w:sz="4" w:space="0" w:color="auto"/>
            </w:tcBorders>
            <w:shd w:val="clear" w:color="auto" w:fill="auto"/>
          </w:tcPr>
          <w:p w14:paraId="37A068B3" w14:textId="77777777" w:rsidR="00AD796A" w:rsidRPr="00AF1814" w:rsidRDefault="00DA3174" w:rsidP="004A4C32">
            <w:pPr>
              <w:pStyle w:val="Tabletext"/>
              <w:keepLines w:val="0"/>
              <w:widowControl w:val="0"/>
              <w:jc w:val="center"/>
            </w:pPr>
            <w:r w:rsidRPr="00AF1814">
              <w:t>X/X</w:t>
            </w:r>
          </w:p>
          <w:p w14:paraId="1FDD65E2" w14:textId="0C6C492A" w:rsidR="00AD796A" w:rsidRPr="00AF1814" w:rsidRDefault="00DA3174" w:rsidP="004A4C32">
            <w:pPr>
              <w:pStyle w:val="Tabletext"/>
              <w:keepLines w:val="0"/>
              <w:widowControl w:val="0"/>
              <w:jc w:val="center"/>
            </w:pPr>
            <w:r w:rsidRPr="00AF1814">
              <w:t>(pre/</w:t>
            </w:r>
            <w:r w:rsidR="004A4C32" w:rsidRPr="00AF1814">
              <w:br/>
            </w:r>
            <w:r w:rsidRPr="00AF1814">
              <w:t>eoi)</w:t>
            </w:r>
          </w:p>
        </w:tc>
        <w:tc>
          <w:tcPr>
            <w:tcW w:w="153" w:type="pct"/>
            <w:tcBorders>
              <w:top w:val="single" w:sz="4" w:space="0" w:color="auto"/>
              <w:left w:val="single" w:sz="4" w:space="0" w:color="auto"/>
              <w:bottom w:val="single" w:sz="4" w:space="0" w:color="auto"/>
              <w:right w:val="single" w:sz="4" w:space="0" w:color="auto"/>
            </w:tcBorders>
            <w:shd w:val="clear" w:color="auto" w:fill="auto"/>
          </w:tcPr>
          <w:p w14:paraId="0B9A5430" w14:textId="77777777" w:rsidR="00AD796A" w:rsidRPr="00AF1814" w:rsidRDefault="00DA3174" w:rsidP="004A4C32">
            <w:pPr>
              <w:pStyle w:val="Tabletext"/>
              <w:keepLines w:val="0"/>
              <w:widowControl w:val="0"/>
              <w:jc w:val="center"/>
            </w:pPr>
            <w:r w:rsidRPr="00AF1814">
              <w:t>X/-</w:t>
            </w:r>
          </w:p>
          <w:p w14:paraId="3A9C7B0C" w14:textId="313F78A5" w:rsidR="00AD796A" w:rsidRPr="00AF1814" w:rsidRDefault="00DA3174" w:rsidP="004A4C32">
            <w:pPr>
              <w:pStyle w:val="Tabletext"/>
              <w:keepLines w:val="0"/>
              <w:widowControl w:val="0"/>
              <w:jc w:val="center"/>
            </w:pPr>
            <w:r w:rsidRPr="00AF1814">
              <w:t>(pre/</w:t>
            </w:r>
            <w:r w:rsidR="004A4C32" w:rsidRPr="00AF1814">
              <w:br/>
            </w:r>
            <w:r w:rsidRPr="00AF1814">
              <w:t>eoi)</w:t>
            </w: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20294B63" w14:textId="77777777" w:rsidR="00AD796A" w:rsidRPr="00AF1814" w:rsidRDefault="00DA3174" w:rsidP="004A4C32">
            <w:pPr>
              <w:pStyle w:val="Tabletext"/>
              <w:keepLines w:val="0"/>
              <w:widowControl w:val="0"/>
              <w:jc w:val="center"/>
            </w:pPr>
            <w:r w:rsidRPr="00AF1814">
              <w:t>X/-</w:t>
            </w:r>
          </w:p>
          <w:p w14:paraId="6B3DC823" w14:textId="74B58A34" w:rsidR="00AD796A" w:rsidRPr="00AF1814" w:rsidRDefault="00DA3174" w:rsidP="004A4C32">
            <w:pPr>
              <w:pStyle w:val="Tabletext"/>
              <w:keepLines w:val="0"/>
              <w:widowControl w:val="0"/>
              <w:jc w:val="center"/>
            </w:pPr>
            <w:r w:rsidRPr="00AF1814">
              <w:t>(pre/</w:t>
            </w:r>
            <w:r w:rsidR="006C2510" w:rsidRPr="00AF1814">
              <w:br/>
            </w:r>
            <w:r w:rsidRPr="00AF1814">
              <w:t>eoi)</w:t>
            </w:r>
          </w:p>
        </w:tc>
        <w:tc>
          <w:tcPr>
            <w:tcW w:w="202" w:type="pct"/>
            <w:tcBorders>
              <w:top w:val="single" w:sz="4" w:space="0" w:color="auto"/>
              <w:left w:val="single" w:sz="4" w:space="0" w:color="auto"/>
              <w:bottom w:val="single" w:sz="4" w:space="0" w:color="auto"/>
              <w:right w:val="single" w:sz="4" w:space="0" w:color="auto"/>
            </w:tcBorders>
            <w:shd w:val="clear" w:color="auto" w:fill="auto"/>
          </w:tcPr>
          <w:p w14:paraId="3C33E93E" w14:textId="77777777" w:rsidR="00AD796A" w:rsidRPr="00AF1814" w:rsidRDefault="00DA3174" w:rsidP="004A4C32">
            <w:pPr>
              <w:pStyle w:val="Tabletext"/>
              <w:keepLines w:val="0"/>
              <w:widowControl w:val="0"/>
              <w:jc w:val="center"/>
            </w:pPr>
            <w:r w:rsidRPr="00AF1814">
              <w:t>X/-</w:t>
            </w:r>
          </w:p>
          <w:p w14:paraId="2E87B32F" w14:textId="16B1DEA3" w:rsidR="00AD796A" w:rsidRPr="00AF1814" w:rsidRDefault="00DA3174" w:rsidP="004A4C32">
            <w:pPr>
              <w:pStyle w:val="Tabletext"/>
              <w:keepLines w:val="0"/>
              <w:widowControl w:val="0"/>
              <w:jc w:val="center"/>
            </w:pPr>
            <w:r w:rsidRPr="00AF1814">
              <w:t>(pre/</w:t>
            </w:r>
            <w:r w:rsidR="006C2510" w:rsidRPr="00AF1814">
              <w:br/>
            </w:r>
            <w:r w:rsidRPr="00AF1814">
              <w:t>eoi)</w:t>
            </w:r>
          </w:p>
        </w:tc>
        <w:tc>
          <w:tcPr>
            <w:tcW w:w="355" w:type="pct"/>
            <w:tcBorders>
              <w:top w:val="single" w:sz="4" w:space="0" w:color="auto"/>
              <w:left w:val="single" w:sz="4" w:space="0" w:color="auto"/>
              <w:bottom w:val="single" w:sz="4" w:space="0" w:color="auto"/>
              <w:right w:val="single" w:sz="4" w:space="0" w:color="auto"/>
            </w:tcBorders>
            <w:shd w:val="clear" w:color="auto" w:fill="auto"/>
          </w:tcPr>
          <w:p w14:paraId="26F1ECBD" w14:textId="77777777" w:rsidR="00AD796A" w:rsidRPr="00AF1814" w:rsidRDefault="00DA3174" w:rsidP="004A4C32">
            <w:pPr>
              <w:pStyle w:val="Tabletext"/>
              <w:keepLines w:val="0"/>
              <w:widowControl w:val="0"/>
              <w:jc w:val="center"/>
            </w:pPr>
            <w:r w:rsidRPr="00AF1814">
              <w:t>X/-</w:t>
            </w:r>
          </w:p>
          <w:p w14:paraId="2A13E042" w14:textId="77777777" w:rsidR="00AD796A" w:rsidRPr="00AF1814" w:rsidRDefault="00DA3174" w:rsidP="004A4C32">
            <w:pPr>
              <w:pStyle w:val="Tabletext"/>
              <w:keepLines w:val="0"/>
              <w:widowControl w:val="0"/>
              <w:jc w:val="center"/>
            </w:pPr>
            <w:r w:rsidRPr="00AF1814">
              <w:t>(pre/eoi)</w:t>
            </w:r>
            <w:r w:rsidRPr="00AF1814">
              <w:br/>
              <w:t>Every 12 weeks from W25</w:t>
            </w:r>
          </w:p>
        </w:tc>
        <w:tc>
          <w:tcPr>
            <w:tcW w:w="355" w:type="pct"/>
            <w:tcBorders>
              <w:top w:val="single" w:sz="4" w:space="0" w:color="auto"/>
              <w:left w:val="single" w:sz="4" w:space="0" w:color="auto"/>
              <w:bottom w:val="single" w:sz="4" w:space="0" w:color="auto"/>
              <w:right w:val="single" w:sz="4" w:space="0" w:color="auto"/>
            </w:tcBorders>
            <w:shd w:val="clear" w:color="auto" w:fill="auto"/>
          </w:tcPr>
          <w:p w14:paraId="578F1666" w14:textId="77777777" w:rsidR="00AD796A" w:rsidRPr="00AF1814" w:rsidRDefault="00DA3174" w:rsidP="004A4C32">
            <w:pPr>
              <w:pStyle w:val="Tabletext"/>
              <w:keepLines w:val="0"/>
              <w:widowControl w:val="0"/>
              <w:jc w:val="center"/>
            </w:pPr>
            <w:r w:rsidRPr="00AF1814">
              <w:t>X</w:t>
            </w:r>
          </w:p>
        </w:tc>
        <w:tc>
          <w:tcPr>
            <w:tcW w:w="509" w:type="pct"/>
            <w:tcBorders>
              <w:top w:val="single" w:sz="4" w:space="0" w:color="auto"/>
              <w:left w:val="single" w:sz="4" w:space="0" w:color="auto"/>
              <w:bottom w:val="single" w:sz="4" w:space="0" w:color="auto"/>
              <w:right w:val="single" w:sz="4" w:space="0" w:color="auto"/>
            </w:tcBorders>
            <w:shd w:val="clear" w:color="auto" w:fill="auto"/>
          </w:tcPr>
          <w:p w14:paraId="275B1967" w14:textId="77777777" w:rsidR="00AD796A" w:rsidRPr="00AF1814" w:rsidRDefault="00DA3174" w:rsidP="004A4C32">
            <w:pPr>
              <w:pStyle w:val="Tabletext"/>
              <w:keepLines w:val="0"/>
              <w:widowControl w:val="0"/>
              <w:jc w:val="center"/>
            </w:pPr>
            <w:r w:rsidRPr="00AF1814">
              <w:t>X</w:t>
            </w:r>
          </w:p>
        </w:tc>
        <w:tc>
          <w:tcPr>
            <w:tcW w:w="1656" w:type="pct"/>
            <w:tcBorders>
              <w:top w:val="single" w:sz="4" w:space="0" w:color="auto"/>
              <w:left w:val="single" w:sz="4" w:space="0" w:color="auto"/>
              <w:bottom w:val="single" w:sz="4" w:space="0" w:color="auto"/>
              <w:right w:val="single" w:sz="4" w:space="0" w:color="auto"/>
            </w:tcBorders>
            <w:shd w:val="clear" w:color="auto" w:fill="auto"/>
          </w:tcPr>
          <w:p w14:paraId="6CEA4FCB" w14:textId="77777777" w:rsidR="00AD796A" w:rsidRPr="00AF1814" w:rsidRDefault="00DA3174" w:rsidP="004A4C32">
            <w:pPr>
              <w:pStyle w:val="Tabletext"/>
              <w:keepLines w:val="0"/>
              <w:widowControl w:val="0"/>
            </w:pPr>
            <w:r w:rsidRPr="00AF1814">
              <w:t xml:space="preserve">Samples for PK analysis are taken before (pre) infusion of bintrafusp alfa (pre, as close to the start of the infusion as possible), immediately after the end of bintrafusp alfa infusion (eoi, as close to the completion as possible within 30 minutes after the end of infusion). </w:t>
            </w:r>
          </w:p>
          <w:p w14:paraId="7404149B" w14:textId="77777777" w:rsidR="00AD796A" w:rsidRPr="00AF1814" w:rsidRDefault="00DA3174" w:rsidP="004A4C32">
            <w:pPr>
              <w:pStyle w:val="Tabletext"/>
              <w:keepLines w:val="0"/>
              <w:widowControl w:val="0"/>
            </w:pPr>
            <w:r w:rsidRPr="00AF1814">
              <w:t>The predose sample should still be drawn even if dosing is ultimately deferred at the study visit. The exact time of each draw must be recorded. A protocol deviation is defined by a sample not being drawn, or time of draw is not recorded.</w:t>
            </w:r>
          </w:p>
          <w:p w14:paraId="5B9773DF" w14:textId="77777777" w:rsidR="00AD796A" w:rsidRPr="00AF1814" w:rsidRDefault="00DA3174" w:rsidP="004A4C32">
            <w:pPr>
              <w:pStyle w:val="Tabletext"/>
              <w:keepLines w:val="0"/>
              <w:widowControl w:val="0"/>
            </w:pPr>
            <w:r w:rsidRPr="00AF1814">
              <w:t xml:space="preserve">a: On </w:t>
            </w:r>
            <w:r w:rsidRPr="00AF1814">
              <w:rPr>
                <w:u w:val="single"/>
              </w:rPr>
              <w:t>W1D1 only</w:t>
            </w:r>
            <w:r w:rsidRPr="00AF1814">
              <w:t>, in addition to pre and eoi samples, collect a PK sample 4 hours after start of infusion.</w:t>
            </w:r>
          </w:p>
          <w:p w14:paraId="5C450BB3" w14:textId="77777777" w:rsidR="00AD796A" w:rsidRPr="00AF1814" w:rsidRDefault="00DA3174" w:rsidP="004A4C32">
            <w:pPr>
              <w:pStyle w:val="Tabletext"/>
              <w:keepLines w:val="0"/>
              <w:widowControl w:val="0"/>
            </w:pPr>
            <w:r w:rsidRPr="00AF1814">
              <w:t xml:space="preserve">b: On </w:t>
            </w:r>
            <w:r w:rsidRPr="00AF1814">
              <w:rPr>
                <w:u w:val="single"/>
              </w:rPr>
              <w:t>W1D2 only</w:t>
            </w:r>
            <w:r w:rsidRPr="00AF1814">
              <w:t>, collect a PK sample 24 hours after start of infusion on Day 1.</w:t>
            </w:r>
          </w:p>
          <w:p w14:paraId="5FDEBC20" w14:textId="77777777" w:rsidR="00AD796A" w:rsidRPr="00AF1814" w:rsidRDefault="00DA3174" w:rsidP="004A4C32">
            <w:pPr>
              <w:pStyle w:val="Tabletext"/>
              <w:keepLines w:val="0"/>
              <w:widowControl w:val="0"/>
            </w:pPr>
            <w:r w:rsidRPr="00AF1814">
              <w:t>c: Samples for PK analysis are taken before chemotherapy on D8 and 15.</w:t>
            </w:r>
          </w:p>
        </w:tc>
      </w:tr>
      <w:tr w:rsidR="002108B2" w:rsidRPr="00AF1814" w14:paraId="373D0B32" w14:textId="77777777" w:rsidTr="004A4C32">
        <w:trPr>
          <w:tblHeader/>
        </w:trPr>
        <w:tc>
          <w:tcPr>
            <w:tcW w:w="417" w:type="pct"/>
            <w:tcBorders>
              <w:top w:val="single" w:sz="4" w:space="0" w:color="auto"/>
              <w:left w:val="single" w:sz="4" w:space="0" w:color="auto"/>
              <w:bottom w:val="single" w:sz="4" w:space="0" w:color="auto"/>
              <w:right w:val="single" w:sz="4" w:space="0" w:color="auto"/>
            </w:tcBorders>
            <w:shd w:val="clear" w:color="auto" w:fill="auto"/>
          </w:tcPr>
          <w:p w14:paraId="0ADE2675" w14:textId="77777777" w:rsidR="00AD796A" w:rsidRPr="00AF1814" w:rsidRDefault="00DA3174" w:rsidP="004A4C32">
            <w:pPr>
              <w:pStyle w:val="Tabletext"/>
              <w:keepLines w:val="0"/>
              <w:widowControl w:val="0"/>
              <w:jc w:val="center"/>
            </w:pPr>
            <w:r w:rsidRPr="00AF1814">
              <w:t xml:space="preserve">Blood Sample for ADA  </w:t>
            </w:r>
          </w:p>
        </w:tc>
        <w:tc>
          <w:tcPr>
            <w:tcW w:w="163" w:type="pct"/>
            <w:tcBorders>
              <w:top w:val="single" w:sz="4" w:space="0" w:color="auto"/>
              <w:left w:val="single" w:sz="4" w:space="0" w:color="auto"/>
              <w:bottom w:val="single" w:sz="4" w:space="0" w:color="auto"/>
              <w:right w:val="single" w:sz="4" w:space="0" w:color="auto"/>
            </w:tcBorders>
            <w:shd w:val="clear" w:color="auto" w:fill="auto"/>
          </w:tcPr>
          <w:p w14:paraId="07760317" w14:textId="77777777" w:rsidR="00AD796A" w:rsidRPr="00AF1814" w:rsidRDefault="00DA3174" w:rsidP="004A4C32">
            <w:pPr>
              <w:pStyle w:val="Tabletext"/>
              <w:keepLines w:val="0"/>
              <w:widowControl w:val="0"/>
              <w:jc w:val="center"/>
            </w:pPr>
            <w:r w:rsidRPr="00AF1814">
              <w:t>X/-</w:t>
            </w:r>
          </w:p>
          <w:p w14:paraId="55613FC1" w14:textId="77777777" w:rsidR="00AD796A" w:rsidRPr="00AF1814" w:rsidRDefault="00DA3174" w:rsidP="004A4C32">
            <w:pPr>
              <w:pStyle w:val="Tabletext"/>
              <w:keepLines w:val="0"/>
              <w:widowControl w:val="0"/>
              <w:jc w:val="center"/>
            </w:pPr>
            <w:r w:rsidRPr="00AF1814">
              <w:t>(pre/eoi)</w:t>
            </w:r>
          </w:p>
        </w:tc>
        <w:tc>
          <w:tcPr>
            <w:tcW w:w="1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ED7A403" w14:textId="77777777" w:rsidR="00AD796A" w:rsidRPr="00AF1814" w:rsidRDefault="00AD796A" w:rsidP="004A4C32">
            <w:pPr>
              <w:pStyle w:val="Tabletext"/>
              <w:keepLines w:val="0"/>
              <w:widowControl w:val="0"/>
              <w:jc w:val="center"/>
            </w:pPr>
          </w:p>
        </w:tc>
        <w:tc>
          <w:tcPr>
            <w:tcW w:w="1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BBB2DA" w14:textId="77777777" w:rsidR="00AD796A" w:rsidRPr="00AF1814" w:rsidRDefault="00AD796A" w:rsidP="004A4C32">
            <w:pPr>
              <w:pStyle w:val="Tabletext"/>
              <w:keepLines w:val="0"/>
              <w:widowControl w:val="0"/>
              <w:jc w:val="center"/>
            </w:pPr>
          </w:p>
        </w:tc>
        <w:tc>
          <w:tcPr>
            <w:tcW w:w="1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C90BAC" w14:textId="77777777" w:rsidR="00AD796A" w:rsidRPr="00AF1814" w:rsidRDefault="00AD796A" w:rsidP="004A4C32">
            <w:pPr>
              <w:pStyle w:val="Tabletext"/>
              <w:keepLines w:val="0"/>
              <w:widowControl w:val="0"/>
              <w:jc w:val="center"/>
            </w:pPr>
          </w:p>
        </w:tc>
        <w:tc>
          <w:tcPr>
            <w:tcW w:w="173" w:type="pct"/>
            <w:tcBorders>
              <w:top w:val="single" w:sz="4" w:space="0" w:color="auto"/>
              <w:left w:val="single" w:sz="4" w:space="0" w:color="auto"/>
              <w:bottom w:val="single" w:sz="4" w:space="0" w:color="auto"/>
              <w:right w:val="single" w:sz="4" w:space="0" w:color="auto"/>
            </w:tcBorders>
            <w:shd w:val="clear" w:color="auto" w:fill="auto"/>
          </w:tcPr>
          <w:p w14:paraId="73D17AFC" w14:textId="77777777" w:rsidR="00AD796A" w:rsidRPr="00AF1814" w:rsidRDefault="00DA3174" w:rsidP="004A4C32">
            <w:pPr>
              <w:pStyle w:val="Tabletext"/>
              <w:keepLines w:val="0"/>
              <w:widowControl w:val="0"/>
              <w:jc w:val="center"/>
            </w:pPr>
            <w:r w:rsidRPr="00AF1814">
              <w:t>X/-</w:t>
            </w:r>
          </w:p>
          <w:p w14:paraId="4667FA8D" w14:textId="3208DEF3" w:rsidR="00AD796A" w:rsidRPr="00AF1814" w:rsidRDefault="00DA3174" w:rsidP="004A4C32">
            <w:pPr>
              <w:pStyle w:val="Tabletext"/>
              <w:keepLines w:val="0"/>
              <w:widowControl w:val="0"/>
              <w:jc w:val="center"/>
            </w:pPr>
            <w:r w:rsidRPr="00AF1814">
              <w:t>(pre/</w:t>
            </w:r>
            <w:r w:rsidR="004A4C32" w:rsidRPr="00AF1814">
              <w:br/>
            </w:r>
            <w:r w:rsidRPr="00AF1814">
              <w:t>eoi)</w:t>
            </w:r>
          </w:p>
        </w:tc>
        <w:tc>
          <w:tcPr>
            <w:tcW w:w="172" w:type="pct"/>
            <w:tcBorders>
              <w:top w:val="single" w:sz="4" w:space="0" w:color="auto"/>
              <w:left w:val="single" w:sz="4" w:space="0" w:color="auto"/>
              <w:bottom w:val="single" w:sz="4" w:space="0" w:color="auto"/>
              <w:right w:val="single" w:sz="4" w:space="0" w:color="auto"/>
            </w:tcBorders>
          </w:tcPr>
          <w:p w14:paraId="1E03C75F" w14:textId="77777777" w:rsidR="00AD796A" w:rsidRPr="00AF1814" w:rsidRDefault="00DA3174" w:rsidP="004A4C32">
            <w:pPr>
              <w:pStyle w:val="Tabletext"/>
              <w:keepLines w:val="0"/>
              <w:widowControl w:val="0"/>
              <w:jc w:val="center"/>
            </w:pPr>
            <w:r w:rsidRPr="00AF1814">
              <w:t>X/-</w:t>
            </w:r>
          </w:p>
          <w:p w14:paraId="12043A51" w14:textId="195DDEBB" w:rsidR="00AD796A" w:rsidRPr="00AF1814" w:rsidRDefault="00DA3174" w:rsidP="004A4C32">
            <w:pPr>
              <w:pStyle w:val="Tabletext"/>
              <w:keepLines w:val="0"/>
              <w:widowControl w:val="0"/>
              <w:jc w:val="center"/>
            </w:pPr>
            <w:r w:rsidRPr="00AF1814">
              <w:t>(pre/</w:t>
            </w:r>
            <w:r w:rsidR="004A4C32" w:rsidRPr="00AF1814">
              <w:br/>
            </w:r>
            <w:r w:rsidRPr="00AF1814">
              <w:t>eoi)</w:t>
            </w:r>
          </w:p>
        </w:tc>
        <w:tc>
          <w:tcPr>
            <w:tcW w:w="153" w:type="pct"/>
            <w:tcBorders>
              <w:top w:val="single" w:sz="4" w:space="0" w:color="auto"/>
              <w:left w:val="single" w:sz="4" w:space="0" w:color="auto"/>
              <w:bottom w:val="single" w:sz="4" w:space="0" w:color="auto"/>
              <w:right w:val="single" w:sz="4" w:space="0" w:color="auto"/>
            </w:tcBorders>
            <w:shd w:val="clear" w:color="auto" w:fill="auto"/>
          </w:tcPr>
          <w:p w14:paraId="473DEEBF" w14:textId="77777777" w:rsidR="00AD796A" w:rsidRPr="00AF1814" w:rsidRDefault="00DA3174" w:rsidP="004A4C32">
            <w:pPr>
              <w:pStyle w:val="Tabletext"/>
              <w:keepLines w:val="0"/>
              <w:widowControl w:val="0"/>
              <w:jc w:val="center"/>
            </w:pPr>
            <w:r w:rsidRPr="00AF1814">
              <w:t>X/-</w:t>
            </w:r>
          </w:p>
          <w:p w14:paraId="2DFCED81" w14:textId="4136663A" w:rsidR="00AD796A" w:rsidRPr="00AF1814" w:rsidRDefault="00DA3174" w:rsidP="004A4C32">
            <w:pPr>
              <w:pStyle w:val="Tabletext"/>
              <w:keepLines w:val="0"/>
              <w:widowControl w:val="0"/>
              <w:jc w:val="center"/>
            </w:pPr>
            <w:r w:rsidRPr="00AF1814">
              <w:t>(pre/</w:t>
            </w:r>
            <w:r w:rsidR="004A4C32" w:rsidRPr="00AF1814">
              <w:br/>
            </w:r>
            <w:r w:rsidRPr="00AF1814">
              <w:t>eoi)</w:t>
            </w:r>
          </w:p>
        </w:tc>
        <w:tc>
          <w:tcPr>
            <w:tcW w:w="153" w:type="pct"/>
            <w:tcBorders>
              <w:top w:val="single" w:sz="4" w:space="0" w:color="auto"/>
              <w:left w:val="single" w:sz="4" w:space="0" w:color="auto"/>
              <w:bottom w:val="single" w:sz="4" w:space="0" w:color="auto"/>
              <w:right w:val="single" w:sz="4" w:space="0" w:color="auto"/>
            </w:tcBorders>
            <w:shd w:val="clear" w:color="auto" w:fill="auto"/>
          </w:tcPr>
          <w:p w14:paraId="5B3038B7" w14:textId="77777777" w:rsidR="00AD796A" w:rsidRPr="00AF1814" w:rsidRDefault="00DA3174" w:rsidP="004A4C32">
            <w:pPr>
              <w:pStyle w:val="Tabletext"/>
              <w:keepLines w:val="0"/>
              <w:widowControl w:val="0"/>
              <w:jc w:val="center"/>
            </w:pPr>
            <w:r w:rsidRPr="00AF1814">
              <w:t>X/-</w:t>
            </w:r>
          </w:p>
          <w:p w14:paraId="63FCAFED" w14:textId="5EFCA50C" w:rsidR="00AD796A" w:rsidRPr="00AF1814" w:rsidRDefault="00DA3174" w:rsidP="004A4C32">
            <w:pPr>
              <w:pStyle w:val="Tabletext"/>
              <w:keepLines w:val="0"/>
              <w:widowControl w:val="0"/>
              <w:jc w:val="center"/>
            </w:pPr>
            <w:r w:rsidRPr="00AF1814">
              <w:t>(pre/</w:t>
            </w:r>
            <w:r w:rsidR="004A4C32" w:rsidRPr="00AF1814">
              <w:br/>
            </w:r>
            <w:r w:rsidRPr="00AF1814">
              <w:t>eoi)</w:t>
            </w:r>
          </w:p>
        </w:tc>
        <w:tc>
          <w:tcPr>
            <w:tcW w:w="203" w:type="pct"/>
            <w:tcBorders>
              <w:top w:val="single" w:sz="4" w:space="0" w:color="auto"/>
              <w:left w:val="single" w:sz="4" w:space="0" w:color="auto"/>
              <w:bottom w:val="single" w:sz="4" w:space="0" w:color="auto"/>
              <w:right w:val="single" w:sz="4" w:space="0" w:color="auto"/>
            </w:tcBorders>
            <w:shd w:val="clear" w:color="auto" w:fill="auto"/>
          </w:tcPr>
          <w:p w14:paraId="6FF60311" w14:textId="77777777" w:rsidR="00AD796A" w:rsidRPr="00AF1814" w:rsidRDefault="00DA3174" w:rsidP="004A4C32">
            <w:pPr>
              <w:pStyle w:val="Tabletext"/>
              <w:keepLines w:val="0"/>
              <w:widowControl w:val="0"/>
              <w:jc w:val="center"/>
            </w:pPr>
            <w:r w:rsidRPr="00AF1814">
              <w:t>X/-</w:t>
            </w:r>
          </w:p>
          <w:p w14:paraId="4BE09990" w14:textId="50D0E835" w:rsidR="00AD796A" w:rsidRPr="00AF1814" w:rsidRDefault="00DA3174" w:rsidP="004A4C32">
            <w:pPr>
              <w:pStyle w:val="Tabletext"/>
              <w:keepLines w:val="0"/>
              <w:widowControl w:val="0"/>
              <w:jc w:val="center"/>
            </w:pPr>
            <w:r w:rsidRPr="00AF1814">
              <w:t>(pre/</w:t>
            </w:r>
            <w:r w:rsidR="006C2510" w:rsidRPr="00AF1814">
              <w:br/>
            </w:r>
            <w:r w:rsidRPr="00AF1814">
              <w:t>eoi)</w:t>
            </w:r>
          </w:p>
        </w:tc>
        <w:tc>
          <w:tcPr>
            <w:tcW w:w="202" w:type="pct"/>
            <w:tcBorders>
              <w:top w:val="single" w:sz="4" w:space="0" w:color="auto"/>
              <w:left w:val="single" w:sz="4" w:space="0" w:color="auto"/>
              <w:bottom w:val="single" w:sz="4" w:space="0" w:color="auto"/>
              <w:right w:val="single" w:sz="4" w:space="0" w:color="auto"/>
            </w:tcBorders>
            <w:shd w:val="clear" w:color="auto" w:fill="auto"/>
          </w:tcPr>
          <w:p w14:paraId="027002DB" w14:textId="77777777" w:rsidR="00AD796A" w:rsidRPr="00AF1814" w:rsidRDefault="00DA3174" w:rsidP="004A4C32">
            <w:pPr>
              <w:pStyle w:val="Tabletext"/>
              <w:keepLines w:val="0"/>
              <w:widowControl w:val="0"/>
              <w:jc w:val="center"/>
            </w:pPr>
            <w:r w:rsidRPr="00AF1814">
              <w:t>X/-</w:t>
            </w:r>
          </w:p>
          <w:p w14:paraId="1E2A415C" w14:textId="555888A0" w:rsidR="00AD796A" w:rsidRPr="00AF1814" w:rsidRDefault="00DA3174" w:rsidP="004A4C32">
            <w:pPr>
              <w:pStyle w:val="Tabletext"/>
              <w:keepLines w:val="0"/>
              <w:widowControl w:val="0"/>
              <w:jc w:val="center"/>
            </w:pPr>
            <w:r w:rsidRPr="00AF1814">
              <w:t>(pre/</w:t>
            </w:r>
            <w:r w:rsidR="006C2510" w:rsidRPr="00AF1814">
              <w:br/>
            </w:r>
            <w:r w:rsidRPr="00AF1814">
              <w:t>eoi)</w:t>
            </w:r>
          </w:p>
        </w:tc>
        <w:tc>
          <w:tcPr>
            <w:tcW w:w="355" w:type="pct"/>
            <w:tcBorders>
              <w:top w:val="single" w:sz="4" w:space="0" w:color="auto"/>
              <w:left w:val="single" w:sz="4" w:space="0" w:color="auto"/>
              <w:bottom w:val="single" w:sz="4" w:space="0" w:color="auto"/>
              <w:right w:val="single" w:sz="4" w:space="0" w:color="auto"/>
            </w:tcBorders>
            <w:shd w:val="clear" w:color="auto" w:fill="auto"/>
          </w:tcPr>
          <w:p w14:paraId="561A29EF" w14:textId="77777777" w:rsidR="00AD796A" w:rsidRPr="00AF1814" w:rsidRDefault="00DA3174" w:rsidP="004A4C32">
            <w:pPr>
              <w:pStyle w:val="Tabletext"/>
              <w:keepLines w:val="0"/>
              <w:widowControl w:val="0"/>
              <w:jc w:val="center"/>
            </w:pPr>
            <w:r w:rsidRPr="00AF1814">
              <w:t>X/-</w:t>
            </w:r>
          </w:p>
          <w:p w14:paraId="44C7998E" w14:textId="77777777" w:rsidR="00AD796A" w:rsidRPr="00AF1814" w:rsidRDefault="00DA3174" w:rsidP="004A4C32">
            <w:pPr>
              <w:pStyle w:val="Tabletext"/>
              <w:keepLines w:val="0"/>
              <w:widowControl w:val="0"/>
              <w:jc w:val="center"/>
            </w:pPr>
            <w:r w:rsidRPr="00AF1814">
              <w:t>(pre/eoi)</w:t>
            </w:r>
            <w:r w:rsidRPr="00AF1814">
              <w:br/>
              <w:t>Every 12 weeks from W25</w:t>
            </w:r>
          </w:p>
        </w:tc>
        <w:tc>
          <w:tcPr>
            <w:tcW w:w="355" w:type="pct"/>
            <w:tcBorders>
              <w:top w:val="single" w:sz="4" w:space="0" w:color="auto"/>
              <w:left w:val="single" w:sz="4" w:space="0" w:color="auto"/>
              <w:bottom w:val="single" w:sz="4" w:space="0" w:color="auto"/>
              <w:right w:val="single" w:sz="4" w:space="0" w:color="auto"/>
            </w:tcBorders>
            <w:shd w:val="clear" w:color="auto" w:fill="auto"/>
          </w:tcPr>
          <w:p w14:paraId="385AAD5C" w14:textId="77777777" w:rsidR="00AD796A" w:rsidRPr="00AF1814" w:rsidRDefault="00DA3174" w:rsidP="004A4C32">
            <w:pPr>
              <w:pStyle w:val="Tabletext"/>
              <w:keepLines w:val="0"/>
              <w:widowControl w:val="0"/>
              <w:jc w:val="center"/>
            </w:pPr>
            <w:r w:rsidRPr="00AF1814">
              <w:t>X</w:t>
            </w:r>
          </w:p>
        </w:tc>
        <w:tc>
          <w:tcPr>
            <w:tcW w:w="509" w:type="pct"/>
            <w:tcBorders>
              <w:top w:val="single" w:sz="4" w:space="0" w:color="auto"/>
              <w:left w:val="single" w:sz="4" w:space="0" w:color="auto"/>
              <w:bottom w:val="single" w:sz="4" w:space="0" w:color="auto"/>
              <w:right w:val="single" w:sz="4" w:space="0" w:color="auto"/>
            </w:tcBorders>
            <w:shd w:val="clear" w:color="auto" w:fill="auto"/>
          </w:tcPr>
          <w:p w14:paraId="09B974EC" w14:textId="77777777" w:rsidR="00AD796A" w:rsidRPr="00AF1814" w:rsidRDefault="00DA3174" w:rsidP="004A4C32">
            <w:pPr>
              <w:pStyle w:val="Tabletext"/>
              <w:keepLines w:val="0"/>
              <w:widowControl w:val="0"/>
              <w:jc w:val="center"/>
            </w:pPr>
            <w:bookmarkStart w:id="51" w:name="_GoBack"/>
            <w:bookmarkEnd w:id="51"/>
            <w:r w:rsidRPr="00AF1814">
              <w:t>X</w:t>
            </w:r>
          </w:p>
        </w:tc>
        <w:tc>
          <w:tcPr>
            <w:tcW w:w="1656" w:type="pct"/>
            <w:tcBorders>
              <w:top w:val="single" w:sz="4" w:space="0" w:color="auto"/>
              <w:left w:val="single" w:sz="4" w:space="0" w:color="auto"/>
              <w:bottom w:val="single" w:sz="4" w:space="0" w:color="auto"/>
              <w:right w:val="single" w:sz="4" w:space="0" w:color="auto"/>
            </w:tcBorders>
          </w:tcPr>
          <w:p w14:paraId="2AC734B0" w14:textId="77777777" w:rsidR="00AD796A" w:rsidRPr="00AF1814" w:rsidRDefault="00DA3174" w:rsidP="004A4C32">
            <w:pPr>
              <w:pStyle w:val="Tabletext"/>
              <w:keepLines w:val="0"/>
              <w:widowControl w:val="0"/>
            </w:pPr>
            <w:r w:rsidRPr="00AF1814">
              <w:t>Predose ADA samples to be collected prior to study intervention infusions (as close to the start of the infusion as possible). The exact time of each draw must be recorded.</w:t>
            </w:r>
          </w:p>
        </w:tc>
      </w:tr>
      <w:tr w:rsidR="001822E5" w:rsidRPr="00AF1814" w14:paraId="1A0F443D" w14:textId="77777777" w:rsidTr="004A4C32">
        <w:trPr>
          <w:tblHeader/>
        </w:trPr>
        <w:tc>
          <w:tcPr>
            <w:tcW w:w="5000" w:type="pct"/>
            <w:gridSpan w:val="15"/>
            <w:tcBorders>
              <w:top w:val="single" w:sz="4" w:space="0" w:color="auto"/>
              <w:left w:val="single" w:sz="4" w:space="0" w:color="auto"/>
              <w:bottom w:val="single" w:sz="4" w:space="0" w:color="auto"/>
              <w:right w:val="single" w:sz="4" w:space="0" w:color="auto"/>
            </w:tcBorders>
          </w:tcPr>
          <w:p w14:paraId="3BE34D0A" w14:textId="77777777" w:rsidR="001822E5" w:rsidRPr="00AF1814" w:rsidRDefault="001822E5" w:rsidP="004A4C32">
            <w:pPr>
              <w:pStyle w:val="Tabletext"/>
              <w:keepLines w:val="0"/>
              <w:widowControl w:val="0"/>
            </w:pPr>
            <w:r w:rsidRPr="00AF1814">
              <w:t>ADA=antidrug antibody, cCRT=concomitant chemoradiation therapy, D=day, EoT=End-of-Treatment, PK=pharmacokinetics, V=visit, W=week.</w:t>
            </w:r>
          </w:p>
        </w:tc>
      </w:tr>
    </w:tbl>
    <w:p w14:paraId="56B99633" w14:textId="77777777" w:rsidR="00D124BD" w:rsidRPr="00AF1814" w:rsidRDefault="00D124BD" w:rsidP="00D124BD">
      <w:pPr>
        <w:pStyle w:val="Heading3"/>
        <w:sectPr w:rsidR="00D124BD" w:rsidRPr="00AF1814" w:rsidSect="005817B6">
          <w:headerReference w:type="default" r:id="rId14"/>
          <w:footerReference w:type="default" r:id="rId15"/>
          <w:endnotePr>
            <w:numFmt w:val="decimal"/>
          </w:endnotePr>
          <w:pgSz w:w="15842" w:h="12242" w:orient="landscape" w:code="1"/>
          <w:pgMar w:top="1440" w:right="1440" w:bottom="1440" w:left="1440" w:header="720" w:footer="720" w:gutter="0"/>
          <w:cols w:space="720"/>
          <w:docGrid w:linePitch="326"/>
        </w:sectPr>
      </w:pPr>
    </w:p>
    <w:p w14:paraId="28C40BA7" w14:textId="77777777" w:rsidR="00A5386D" w:rsidRPr="00AF1814" w:rsidRDefault="00DA3174" w:rsidP="00392AF9">
      <w:pPr>
        <w:pStyle w:val="Heading1"/>
        <w:tabs>
          <w:tab w:val="clear" w:pos="4716"/>
        </w:tabs>
        <w:ind w:left="2070" w:hanging="2070"/>
      </w:pPr>
      <w:bookmarkStart w:id="52" w:name="_Toc44601644"/>
      <w:r w:rsidRPr="00AF1814">
        <w:lastRenderedPageBreak/>
        <w:t>Introduction</w:t>
      </w:r>
      <w:bookmarkEnd w:id="52"/>
    </w:p>
    <w:p w14:paraId="03FFD971" w14:textId="77777777" w:rsidR="0045443E" w:rsidRPr="00AF1814" w:rsidRDefault="00DA3174" w:rsidP="0045443E">
      <w:pPr>
        <w:pStyle w:val="BodyText"/>
      </w:pPr>
      <w:r w:rsidRPr="00AF1814">
        <w:t>Bintrafusp alfa (M7824) is an innovative first-in-class bifunctional fusion protein composed of the extracellular domain of the human transforming growth factor</w:t>
      </w:r>
      <w:r w:rsidR="007D29DE" w:rsidRPr="00AF1814">
        <w:t>-</w:t>
      </w:r>
      <w:r w:rsidRPr="00AF1814">
        <w:t>β receptor II (TGF</w:t>
      </w:r>
      <w:r w:rsidR="0022740F" w:rsidRPr="00AF1814">
        <w:noBreakHyphen/>
      </w:r>
      <w:r w:rsidRPr="00AF1814">
        <w:t>βRII or TGF</w:t>
      </w:r>
      <w:r w:rsidR="00457CBC" w:rsidRPr="00AF1814">
        <w:noBreakHyphen/>
      </w:r>
      <w:r w:rsidRPr="00AF1814">
        <w:t>β Trap) covalently linked via a flexible linker to the C-terminus of each heavy chain of an immunoglobulin (IgG1) antibody blocking programmed death-ligand 1 (PD-L1).</w:t>
      </w:r>
    </w:p>
    <w:p w14:paraId="09457A61" w14:textId="77777777" w:rsidR="00163E35" w:rsidRPr="00AF1814" w:rsidRDefault="00DA3174" w:rsidP="0045443E">
      <w:pPr>
        <w:pStyle w:val="BodyText"/>
      </w:pPr>
      <w:r w:rsidRPr="00AF1814">
        <w:rPr>
          <w:rFonts w:eastAsia="Calibri"/>
        </w:rPr>
        <w:t xml:space="preserve">Detailed </w:t>
      </w:r>
      <w:r w:rsidR="00C1122B" w:rsidRPr="00AF1814">
        <w:rPr>
          <w:rFonts w:eastAsia="Calibri"/>
        </w:rPr>
        <w:t>information on the chemistry, pharmacology, efficacy, and safety of</w:t>
      </w:r>
      <w:r w:rsidR="00C1122B" w:rsidRPr="00AF1814">
        <w:t xml:space="preserve"> </w:t>
      </w:r>
      <w:r w:rsidR="00E600DA" w:rsidRPr="00AF1814">
        <w:t>b</w:t>
      </w:r>
      <w:r w:rsidR="0045443E" w:rsidRPr="00AF1814">
        <w:t xml:space="preserve">intrafusp alfa </w:t>
      </w:r>
      <w:r w:rsidR="00C1122B" w:rsidRPr="00AF1814">
        <w:rPr>
          <w:rFonts w:eastAsia="Calibri"/>
        </w:rPr>
        <w:t>is in the</w:t>
      </w:r>
      <w:r w:rsidR="00C1122B" w:rsidRPr="00AF1814">
        <w:t xml:space="preserve"> Investigator’s Brochure</w:t>
      </w:r>
      <w:bookmarkStart w:id="53" w:name="_Toc506469797"/>
      <w:bookmarkEnd w:id="53"/>
      <w:r w:rsidR="005E785D" w:rsidRPr="00AF1814">
        <w:t xml:space="preserve"> (IB)</w:t>
      </w:r>
      <w:r w:rsidR="0045443E" w:rsidRPr="00AF1814">
        <w:t>.</w:t>
      </w:r>
    </w:p>
    <w:p w14:paraId="497482CD" w14:textId="77777777" w:rsidR="00A5386D" w:rsidRPr="00AF1814" w:rsidRDefault="00DA3174" w:rsidP="00444416">
      <w:pPr>
        <w:pStyle w:val="Heading2"/>
      </w:pPr>
      <w:bookmarkStart w:id="54" w:name="_Toc506469798"/>
      <w:bookmarkStart w:id="55" w:name="_Toc44601645"/>
      <w:bookmarkEnd w:id="54"/>
      <w:r w:rsidRPr="00AF1814">
        <w:t>Study Rationale</w:t>
      </w:r>
      <w:bookmarkEnd w:id="55"/>
    </w:p>
    <w:p w14:paraId="15CAC8B8" w14:textId="733333B0" w:rsidR="0045443E" w:rsidRPr="00AF1814" w:rsidRDefault="00DA3174" w:rsidP="0045443E">
      <w:pPr>
        <w:pStyle w:val="BodyText"/>
      </w:pPr>
      <w:r w:rsidRPr="00AF1814">
        <w:t>This Phase I</w:t>
      </w:r>
      <w:r w:rsidR="00C80F22" w:rsidRPr="00AF1814">
        <w:t>b</w:t>
      </w:r>
      <w:r w:rsidRPr="00AF1814">
        <w:t xml:space="preserve"> open</w:t>
      </w:r>
      <w:r w:rsidR="00097788" w:rsidRPr="00AF1814">
        <w:noBreakHyphen/>
      </w:r>
      <w:r w:rsidRPr="00AF1814">
        <w:t>label study is to evaluate the safety and tolerability of bintrafusp alfa</w:t>
      </w:r>
      <w:r w:rsidR="00BF5EE3" w:rsidRPr="00AF1814">
        <w:t xml:space="preserve"> </w:t>
      </w:r>
      <w:r w:rsidRPr="00AF1814">
        <w:t xml:space="preserve">in combination with </w:t>
      </w:r>
      <w:r w:rsidR="002E092A" w:rsidRPr="002E092A">
        <w:t>other anti-cancer therap</w:t>
      </w:r>
      <w:r w:rsidR="0048637B">
        <w:t>ies</w:t>
      </w:r>
      <w:r w:rsidR="002E092A" w:rsidRPr="002E092A">
        <w:t xml:space="preserve"> in participants with locally advanced or advanced cervical cancer. Bintrafusp alfa will be combined with </w:t>
      </w:r>
      <w:r w:rsidRPr="00AF1814">
        <w:t xml:space="preserve">platinum therapy </w:t>
      </w:r>
      <w:r w:rsidR="00D0644E" w:rsidRPr="00AF1814">
        <w:t>and</w:t>
      </w:r>
      <w:r w:rsidRPr="00AF1814">
        <w:t xml:space="preserve"> paclitaxel </w:t>
      </w:r>
      <w:r w:rsidR="00D0644E" w:rsidRPr="00AF1814">
        <w:t>with or without</w:t>
      </w:r>
      <w:r w:rsidR="00F619AE" w:rsidRPr="00AF1814">
        <w:t xml:space="preserve"> </w:t>
      </w:r>
      <w:r w:rsidRPr="00AF1814">
        <w:t xml:space="preserve">bevacizumab </w:t>
      </w:r>
      <w:r w:rsidR="00D0644E" w:rsidRPr="00AF1814">
        <w:t>in participants with</w:t>
      </w:r>
      <w:r w:rsidRPr="00AF1814">
        <w:t xml:space="preserve"> </w:t>
      </w:r>
      <w:r w:rsidR="002E092A">
        <w:t>recurrent, persistent</w:t>
      </w:r>
      <w:r w:rsidR="006C2510">
        <w:t>,</w:t>
      </w:r>
      <w:r w:rsidR="002E092A">
        <w:t xml:space="preserve"> or </w:t>
      </w:r>
      <w:r w:rsidR="00D0644E" w:rsidRPr="00AF1814">
        <w:t xml:space="preserve">metastatic cervical cancer </w:t>
      </w:r>
      <w:r w:rsidR="006E773F">
        <w:t xml:space="preserve">(Cohort 1A or 1B) </w:t>
      </w:r>
      <w:r w:rsidRPr="00AF1814">
        <w:t xml:space="preserve">or </w:t>
      </w:r>
      <w:r w:rsidR="006E773F">
        <w:t>with</w:t>
      </w:r>
      <w:r w:rsidRPr="00AF1814">
        <w:t xml:space="preserve"> platinum therapy </w:t>
      </w:r>
      <w:r w:rsidR="006E773F">
        <w:t>and definitive</w:t>
      </w:r>
      <w:r w:rsidRPr="00AF1814">
        <w:t xml:space="preserve"> radiation in participants with </w:t>
      </w:r>
      <w:r w:rsidR="00E4666A" w:rsidRPr="00AF1814">
        <w:t xml:space="preserve">locally </w:t>
      </w:r>
      <w:r w:rsidRPr="00AF1814">
        <w:rPr>
          <w:rFonts w:eastAsia="TimesNewRoman"/>
          <w:szCs w:val="24"/>
        </w:rPr>
        <w:t>advanced</w:t>
      </w:r>
      <w:r w:rsidR="00BF5EE3" w:rsidRPr="00AF1814">
        <w:rPr>
          <w:rFonts w:eastAsia="TimesNewRoman"/>
          <w:szCs w:val="24"/>
        </w:rPr>
        <w:t xml:space="preserve"> cervical cancer</w:t>
      </w:r>
      <w:r w:rsidR="006E773F">
        <w:rPr>
          <w:rFonts w:eastAsia="TimesNewRoman"/>
          <w:szCs w:val="24"/>
        </w:rPr>
        <w:t xml:space="preserve"> (Cohort 2)</w:t>
      </w:r>
      <w:r w:rsidRPr="00AF1814">
        <w:t>.</w:t>
      </w:r>
      <w:r w:rsidR="00F619AE" w:rsidRPr="00AF1814">
        <w:t xml:space="preserve"> </w:t>
      </w:r>
      <w:r w:rsidR="006E773F">
        <w:t>Further cohorts to explore safety of bintrafusp alfa with other anti-cancer therap</w:t>
      </w:r>
      <w:r w:rsidR="0048637B">
        <w:t>ies</w:t>
      </w:r>
      <w:r w:rsidR="006E773F">
        <w:t xml:space="preserve"> may be added by protocol amendment. </w:t>
      </w:r>
      <w:r w:rsidR="00922FB8" w:rsidRPr="00AF1814">
        <w:t>S</w:t>
      </w:r>
      <w:r w:rsidR="00E4666A" w:rsidRPr="00AF1814">
        <w:t xml:space="preserve">afety </w:t>
      </w:r>
      <w:r w:rsidRPr="00AF1814">
        <w:t>results</w:t>
      </w:r>
      <w:r w:rsidR="00922FB8" w:rsidRPr="00AF1814">
        <w:t xml:space="preserve"> from this study will help further inform plans for future clinical development in these patient population.  </w:t>
      </w:r>
    </w:p>
    <w:p w14:paraId="1F82F0F2" w14:textId="77777777" w:rsidR="00C21A49" w:rsidRPr="00AF1814" w:rsidRDefault="00DA3174" w:rsidP="00C21A49">
      <w:pPr>
        <w:pStyle w:val="List1withbullet"/>
        <w:numPr>
          <w:ilvl w:val="0"/>
          <w:numId w:val="0"/>
        </w:numPr>
      </w:pPr>
      <w:r w:rsidRPr="00AF1814">
        <w:t xml:space="preserve">Bintrafusp alfa monotherapy has demonstrated </w:t>
      </w:r>
      <w:r w:rsidR="002B4079" w:rsidRPr="00AF1814">
        <w:t xml:space="preserve">a </w:t>
      </w:r>
      <w:r w:rsidRPr="00AF1814">
        <w:t>manageable safety profile in close to 700</w:t>
      </w:r>
      <w:r w:rsidR="00E63851" w:rsidRPr="00AF1814">
        <w:t> </w:t>
      </w:r>
      <w:r w:rsidRPr="00AF1814">
        <w:t xml:space="preserve">participants and promising efficacy in </w:t>
      </w:r>
      <w:r w:rsidR="00BC0FFC" w:rsidRPr="00AF1814">
        <w:t>participants</w:t>
      </w:r>
      <w:r w:rsidRPr="00AF1814">
        <w:t xml:space="preserve"> with </w:t>
      </w:r>
      <w:r w:rsidR="002B4079" w:rsidRPr="00AF1814">
        <w:t xml:space="preserve">heavily pretreated </w:t>
      </w:r>
      <w:r w:rsidRPr="00AF1814">
        <w:t>advanced cervical cancer in the Phase</w:t>
      </w:r>
      <w:r w:rsidR="00E63851" w:rsidRPr="00AF1814">
        <w:t> </w:t>
      </w:r>
      <w:r w:rsidRPr="00AF1814">
        <w:t xml:space="preserve">I </w:t>
      </w:r>
      <w:r w:rsidR="00A33A09" w:rsidRPr="00AF1814">
        <w:t>S</w:t>
      </w:r>
      <w:r w:rsidRPr="00AF1814">
        <w:t xml:space="preserve">tudy EMR200647-001. In addition, </w:t>
      </w:r>
      <w:r w:rsidR="004F5D07" w:rsidRPr="00AF1814">
        <w:t xml:space="preserve">the observed safety profile of the combination therapy of bintrafusp alfa with </w:t>
      </w:r>
      <w:r w:rsidR="00886CC8" w:rsidRPr="00AF1814">
        <w:t xml:space="preserve">platinum therapy and </w:t>
      </w:r>
      <w:r w:rsidR="004F5D07" w:rsidRPr="00AF1814">
        <w:t>pemetrexed in participants with Stage IV non</w:t>
      </w:r>
      <w:r w:rsidR="004F5D07" w:rsidRPr="00AF1814">
        <w:noBreakHyphen/>
        <w:t>small cell lung cancer</w:t>
      </w:r>
      <w:r w:rsidR="00FA1C51" w:rsidRPr="00AF1814">
        <w:t xml:space="preserve"> (NSCLC)</w:t>
      </w:r>
      <w:r w:rsidR="004F5D07" w:rsidRPr="00AF1814">
        <w:t xml:space="preserve"> (</w:t>
      </w:r>
      <w:r w:rsidR="00E4666A" w:rsidRPr="00AF1814">
        <w:t xml:space="preserve">Study </w:t>
      </w:r>
      <w:r w:rsidR="004F5D07" w:rsidRPr="00AF1814">
        <w:t>MS200647</w:t>
      </w:r>
      <w:r w:rsidR="005E785D" w:rsidRPr="00AF1814">
        <w:t>_</w:t>
      </w:r>
      <w:r w:rsidR="004F5D07" w:rsidRPr="00AF1814">
        <w:t xml:space="preserve">0024) and combination therapy of bintrafusp alfa with gemcitabine </w:t>
      </w:r>
      <w:r w:rsidR="00D0644E" w:rsidRPr="00AF1814">
        <w:t>and</w:t>
      </w:r>
      <w:r w:rsidR="004F5D07" w:rsidRPr="00AF1814">
        <w:t xml:space="preserve"> cisplatin in participants with first-line biliary tract cancer in a Phase II/III </w:t>
      </w:r>
      <w:r w:rsidR="00C01106" w:rsidRPr="00AF1814">
        <w:t>S</w:t>
      </w:r>
      <w:r w:rsidR="004F5D07" w:rsidRPr="00AF1814">
        <w:t>tudy (MS200647</w:t>
      </w:r>
      <w:r w:rsidR="005E785D" w:rsidRPr="00AF1814">
        <w:t>_</w:t>
      </w:r>
      <w:r w:rsidR="004F5D07" w:rsidRPr="00AF1814">
        <w:t>0055) did not reveal any new or increased risks compared to what can be expected from current experience, respectively, with chemotherapy and bintrafusp alfa alone.</w:t>
      </w:r>
      <w:r w:rsidRPr="00AF1814">
        <w:t xml:space="preserve"> </w:t>
      </w:r>
    </w:p>
    <w:p w14:paraId="7D622CEE" w14:textId="27E2C7B8" w:rsidR="0045443E" w:rsidRPr="00AF1814" w:rsidRDefault="00DA3174" w:rsidP="007C7CC9">
      <w:pPr>
        <w:pStyle w:val="BodyText"/>
      </w:pPr>
      <w:r w:rsidRPr="00AF1814">
        <w:t xml:space="preserve">Enhanced antitumor activity has been observed with bintrafusp </w:t>
      </w:r>
      <w:r w:rsidR="00D021B3" w:rsidRPr="00AF1814">
        <w:t xml:space="preserve">alfa </w:t>
      </w:r>
      <w:r w:rsidRPr="00AF1814">
        <w:t>in combination with chemotherapy regimens or with fractionated, localized radiotherapy</w:t>
      </w:r>
      <w:r w:rsidR="00EB18DD" w:rsidRPr="00AF1814">
        <w:t xml:space="preserve"> </w:t>
      </w:r>
      <w:r w:rsidR="004F5D07" w:rsidRPr="00AF1814">
        <w:t xml:space="preserve">in animal models </w:t>
      </w:r>
      <w:r w:rsidRPr="00AF1814">
        <w:t xml:space="preserve">(refer to IB for details). In addition, clinical benefit for the combination of checkpoint inhibitors with chemotherapy </w:t>
      </w:r>
      <w:r w:rsidR="0098152F" w:rsidRPr="00AF1814">
        <w:t xml:space="preserve">and </w:t>
      </w:r>
      <w:r w:rsidR="00827978" w:rsidRPr="00AF1814">
        <w:t>concomitant chemoradiation therapy (</w:t>
      </w:r>
      <w:r w:rsidRPr="00AF1814">
        <w:t>cCRT</w:t>
      </w:r>
      <w:r w:rsidR="00827978" w:rsidRPr="00AF1814">
        <w:t>)</w:t>
      </w:r>
      <w:r w:rsidRPr="00AF1814">
        <w:t xml:space="preserve"> agents </w:t>
      </w:r>
      <w:r w:rsidR="00937708" w:rsidRPr="00AF1814">
        <w:t>has been demonstrated in various tumor types including lung, head and neck</w:t>
      </w:r>
      <w:r w:rsidR="00A33A09" w:rsidRPr="00AF1814">
        <w:t>,</w:t>
      </w:r>
      <w:r w:rsidR="00937708" w:rsidRPr="00AF1814">
        <w:t xml:space="preserve"> and renal cell carcinoma</w:t>
      </w:r>
      <w:r w:rsidR="0028431E" w:rsidRPr="00AF1814">
        <w:t xml:space="preserve"> </w:t>
      </w:r>
      <w:r w:rsidR="001822E5" w:rsidRPr="00AF1814">
        <w:t>(</w:t>
      </w:r>
      <w:hyperlink w:anchor="_Yan_Y,_Kumar" w:history="1">
        <w:r w:rsidR="0028431E" w:rsidRPr="00AF1814">
          <w:rPr>
            <w:rStyle w:val="Hyperlink"/>
          </w:rPr>
          <w:t>Yan 2018</w:t>
        </w:r>
      </w:hyperlink>
      <w:r w:rsidRPr="00AF1814">
        <w:t xml:space="preserve">). </w:t>
      </w:r>
      <w:r w:rsidR="0028233F" w:rsidRPr="00AF1814">
        <w:t>The c</w:t>
      </w:r>
      <w:r w:rsidRPr="00AF1814">
        <w:t xml:space="preserve">ombination of </w:t>
      </w:r>
      <w:r w:rsidR="00EB18DD" w:rsidRPr="00AF1814">
        <w:t>radiotherapy</w:t>
      </w:r>
      <w:r w:rsidRPr="00AF1814">
        <w:t xml:space="preserve"> and immunotherapy may trigger systemic effects by eliciting significant responses in nonirradiated secondary tumors outside the </w:t>
      </w:r>
      <w:r w:rsidR="00EB18DD" w:rsidRPr="00AF1814">
        <w:t>radiotherapy</w:t>
      </w:r>
      <w:r w:rsidRPr="00AF1814">
        <w:t xml:space="preserve"> field, known as abscopal effect </w:t>
      </w:r>
      <w:r w:rsidR="004B00C7" w:rsidRPr="00AF1814">
        <w:t>and therefore enhance clinical efficacy</w:t>
      </w:r>
      <w:r w:rsidR="004F5D07" w:rsidRPr="00AF1814">
        <w:t xml:space="preserve"> </w:t>
      </w:r>
      <w:r w:rsidRPr="00AF1814">
        <w:t>(</w:t>
      </w:r>
      <w:bookmarkStart w:id="56" w:name="_Hlk33017187"/>
      <w:r w:rsidR="00831ACA" w:rsidRPr="00AF1814">
        <w:fldChar w:fldCharType="begin"/>
      </w:r>
      <w:r w:rsidR="00B06C67" w:rsidRPr="00AF1814">
        <w:instrText>HYPERLINK  \l "_Howlader__N,"</w:instrText>
      </w:r>
      <w:r w:rsidR="00831ACA" w:rsidRPr="00AF1814">
        <w:fldChar w:fldCharType="separate"/>
      </w:r>
      <w:r w:rsidRPr="00AF1814">
        <w:rPr>
          <w:rStyle w:val="Hyperlink"/>
        </w:rPr>
        <w:t>Park 2015</w:t>
      </w:r>
      <w:r w:rsidR="00831ACA" w:rsidRPr="00AF1814">
        <w:fldChar w:fldCharType="end"/>
      </w:r>
      <w:r w:rsidRPr="00AF1814">
        <w:t xml:space="preserve">; </w:t>
      </w:r>
      <w:hyperlink w:anchor="_Postow_MA,_Callahan" w:history="1">
        <w:r w:rsidRPr="00AF1814">
          <w:rPr>
            <w:rStyle w:val="Hyperlink"/>
          </w:rPr>
          <w:t>Postow 2015</w:t>
        </w:r>
        <w:bookmarkEnd w:id="56"/>
      </w:hyperlink>
      <w:r w:rsidRPr="00AF1814">
        <w:t>)</w:t>
      </w:r>
      <w:r w:rsidR="00E163FE" w:rsidRPr="00AF1814">
        <w:t>.</w:t>
      </w:r>
      <w:r w:rsidR="008B3C14" w:rsidRPr="00AF1814">
        <w:t xml:space="preserve"> </w:t>
      </w:r>
    </w:p>
    <w:p w14:paraId="3A62AF6E" w14:textId="718737D3" w:rsidR="00C47F96" w:rsidRPr="00AF1814" w:rsidRDefault="00DA3174" w:rsidP="00C47F96">
      <w:pPr>
        <w:pStyle w:val="BodyText"/>
      </w:pPr>
      <w:r w:rsidRPr="00AF1814">
        <w:t>Bevacizumab, a vascular endothelial growth factor inhibitor, incorporated with chemotherapy increased overall survival (</w:t>
      </w:r>
      <w:r w:rsidR="00A33A09" w:rsidRPr="00AF1814">
        <w:t>OS</w:t>
      </w:r>
      <w:r w:rsidR="002E2D91">
        <w:t>:</w:t>
      </w:r>
      <w:r w:rsidR="00A33A09" w:rsidRPr="00AF1814">
        <w:t xml:space="preserve"> </w:t>
      </w:r>
      <w:r w:rsidR="00B97D7A">
        <w:t>16.8</w:t>
      </w:r>
      <w:r w:rsidRPr="00AF1814">
        <w:t xml:space="preserve"> months</w:t>
      </w:r>
      <w:r w:rsidR="00A33A09" w:rsidRPr="00AF1814">
        <w:t xml:space="preserve"> </w:t>
      </w:r>
      <w:bookmarkStart w:id="57" w:name="_Hlk35280951"/>
      <w:r w:rsidR="00A33A09" w:rsidRPr="00AF1814">
        <w:t>versus</w:t>
      </w:r>
      <w:bookmarkEnd w:id="57"/>
      <w:r w:rsidRPr="00AF1814">
        <w:t xml:space="preserve"> 13.3 months; hazard ratio for death, 0.7</w:t>
      </w:r>
      <w:r w:rsidR="00B97D7A">
        <w:t>7</w:t>
      </w:r>
      <w:r w:rsidRPr="00AF1814">
        <w:t>; 98%</w:t>
      </w:r>
      <w:r w:rsidR="00A33A09" w:rsidRPr="00AF1814">
        <w:t> </w:t>
      </w:r>
      <w:r w:rsidR="000B543C" w:rsidRPr="00AF1814">
        <w:t>CI</w:t>
      </w:r>
      <w:r w:rsidR="00A33A09" w:rsidRPr="00AF1814">
        <w:t>:</w:t>
      </w:r>
      <w:r w:rsidR="002D6505" w:rsidRPr="00AF1814">
        <w:t xml:space="preserve"> </w:t>
      </w:r>
      <w:r w:rsidRPr="00AF1814">
        <w:t>0.</w:t>
      </w:r>
      <w:r w:rsidR="00B97D7A">
        <w:t>62</w:t>
      </w:r>
      <w:r w:rsidR="00A33A09" w:rsidRPr="00AF1814">
        <w:t>,</w:t>
      </w:r>
      <w:r w:rsidRPr="00AF1814">
        <w:t xml:space="preserve"> 0.95; </w:t>
      </w:r>
      <w:r w:rsidR="00A33A09" w:rsidRPr="00AF1814">
        <w:t>p</w:t>
      </w:r>
      <w:r w:rsidR="000B543C" w:rsidRPr="00AF1814">
        <w:t> </w:t>
      </w:r>
      <w:r w:rsidRPr="00AF1814">
        <w:t>=</w:t>
      </w:r>
      <w:r w:rsidR="000B543C" w:rsidRPr="00AF1814">
        <w:t> </w:t>
      </w:r>
      <w:r w:rsidRPr="00AF1814">
        <w:t>0.</w:t>
      </w:r>
      <w:r w:rsidR="00B97D7A" w:rsidRPr="00AF1814">
        <w:t>00</w:t>
      </w:r>
      <w:r w:rsidR="002E2D91">
        <w:t>7</w:t>
      </w:r>
      <w:r w:rsidR="00B97D7A" w:rsidRPr="00AF1814">
        <w:t xml:space="preserve"> </w:t>
      </w:r>
      <w:r w:rsidRPr="00AF1814">
        <w:t xml:space="preserve">in a one-sided test) and response rates (48% </w:t>
      </w:r>
      <w:r w:rsidR="00A33A09" w:rsidRPr="00AF1814">
        <w:t xml:space="preserve">versus </w:t>
      </w:r>
      <w:r w:rsidRPr="00AF1814">
        <w:t>36%,</w:t>
      </w:r>
      <w:r w:rsidR="002D6505" w:rsidRPr="00AF1814">
        <w:t xml:space="preserve"> </w:t>
      </w:r>
      <w:r w:rsidR="004B7543" w:rsidRPr="00AF1814">
        <w:t>p</w:t>
      </w:r>
      <w:r w:rsidR="000B543C" w:rsidRPr="00AF1814">
        <w:t> </w:t>
      </w:r>
      <w:r w:rsidRPr="00AF1814">
        <w:t>=</w:t>
      </w:r>
      <w:r w:rsidR="000B543C" w:rsidRPr="00AF1814">
        <w:t> </w:t>
      </w:r>
      <w:r w:rsidRPr="00AF1814">
        <w:t>0.008)</w:t>
      </w:r>
      <w:r w:rsidR="002D6505" w:rsidRPr="00AF1814">
        <w:t xml:space="preserve"> as compared to chemotherapy in </w:t>
      </w:r>
      <w:r w:rsidR="00BC0FFC" w:rsidRPr="00AF1814">
        <w:t>participants</w:t>
      </w:r>
      <w:r w:rsidR="002D6505" w:rsidRPr="00AF1814">
        <w:t xml:space="preserve"> with advanced cervical cancer (</w:t>
      </w:r>
      <w:hyperlink w:anchor="_Tewari_KS,_Sill_1" w:history="1">
        <w:r w:rsidR="00B97D7A" w:rsidRPr="00AF1814">
          <w:rPr>
            <w:rStyle w:val="Hyperlink"/>
          </w:rPr>
          <w:t>Tewari </w:t>
        </w:r>
        <w:r w:rsidR="00B97D7A">
          <w:rPr>
            <w:rStyle w:val="Hyperlink"/>
          </w:rPr>
          <w:t>2017</w:t>
        </w:r>
      </w:hyperlink>
      <w:r w:rsidR="002D6505" w:rsidRPr="00AF1814">
        <w:t xml:space="preserve">). </w:t>
      </w:r>
    </w:p>
    <w:p w14:paraId="76F0EA4C" w14:textId="4EDE50E7" w:rsidR="00741837" w:rsidRPr="00AF1814" w:rsidRDefault="00DA3174" w:rsidP="002D6505">
      <w:pPr>
        <w:pStyle w:val="List1withbullet"/>
        <w:numPr>
          <w:ilvl w:val="0"/>
          <w:numId w:val="0"/>
        </w:numPr>
      </w:pPr>
      <w:r w:rsidRPr="00AF1814">
        <w:t xml:space="preserve">The safety and </w:t>
      </w:r>
      <w:r w:rsidR="00CA6199" w:rsidRPr="00AF1814">
        <w:t xml:space="preserve">preliminary </w:t>
      </w:r>
      <w:r w:rsidRPr="00AF1814">
        <w:t xml:space="preserve">efficacy data together with mechanism of action </w:t>
      </w:r>
      <w:r w:rsidR="003455AB" w:rsidRPr="00AF1814">
        <w:t>(</w:t>
      </w:r>
      <w:r w:rsidR="003455AB" w:rsidRPr="00E44F28">
        <w:t>see Section </w:t>
      </w:r>
      <w:r w:rsidR="003455AB" w:rsidRPr="00E44F28">
        <w:fldChar w:fldCharType="begin"/>
      </w:r>
      <w:r w:rsidR="003455AB" w:rsidRPr="00E44F28">
        <w:instrText xml:space="preserve"> REF _Ref32311786 \w \h </w:instrText>
      </w:r>
      <w:r w:rsidR="00AF1814" w:rsidRPr="00E44F28">
        <w:instrText xml:space="preserve"> \* MERGEFORMAT </w:instrText>
      </w:r>
      <w:r w:rsidR="003455AB" w:rsidRPr="00E44F28">
        <w:fldChar w:fldCharType="separate"/>
      </w:r>
      <w:r w:rsidR="00C548C3" w:rsidRPr="00E44F28">
        <w:t>2.2</w:t>
      </w:r>
      <w:r w:rsidR="003455AB" w:rsidRPr="00E44F28">
        <w:fldChar w:fldCharType="end"/>
      </w:r>
      <w:r w:rsidR="000A5D9F" w:rsidRPr="00E44F28">
        <w:t>)</w:t>
      </w:r>
      <w:r w:rsidR="003455AB" w:rsidRPr="00E44F28">
        <w:t xml:space="preserve"> </w:t>
      </w:r>
      <w:r w:rsidR="00AB1068" w:rsidRPr="00AF1814">
        <w:t xml:space="preserve">support the </w:t>
      </w:r>
      <w:r w:rsidRPr="00AF1814">
        <w:t xml:space="preserve">investigation of the safety and tolerability of bintrafusp alfa in combination with </w:t>
      </w:r>
      <w:r w:rsidRPr="00AF1814">
        <w:lastRenderedPageBreak/>
        <w:t>chemotherapy</w:t>
      </w:r>
      <w:r w:rsidR="00AB1068" w:rsidRPr="00AF1814">
        <w:t xml:space="preserve"> </w:t>
      </w:r>
      <w:r w:rsidR="00C36E61" w:rsidRPr="00AF1814">
        <w:t>with or without</w:t>
      </w:r>
      <w:r w:rsidRPr="00AF1814">
        <w:t xml:space="preserve"> </w:t>
      </w:r>
      <w:r w:rsidR="00AB1068" w:rsidRPr="00AF1814">
        <w:t xml:space="preserve">bevacizumab </w:t>
      </w:r>
      <w:r w:rsidR="00B004AD" w:rsidRPr="00AF1814">
        <w:t xml:space="preserve">in patients with </w:t>
      </w:r>
      <w:r w:rsidR="0081314D">
        <w:t xml:space="preserve">recurrent, persistent, or </w:t>
      </w:r>
      <w:r w:rsidR="00B004AD" w:rsidRPr="00AF1814">
        <w:t>metastatic cervical cancer</w:t>
      </w:r>
      <w:r w:rsidR="00E71DAA" w:rsidRPr="00AF1814">
        <w:t xml:space="preserve"> </w:t>
      </w:r>
      <w:r w:rsidRPr="00AF1814">
        <w:t xml:space="preserve">or </w:t>
      </w:r>
      <w:r w:rsidR="00AB1068" w:rsidRPr="00AF1814">
        <w:t xml:space="preserve">with </w:t>
      </w:r>
      <w:r w:rsidRPr="00AF1814">
        <w:t>chemoradiation followed by bintrafusp alfa</w:t>
      </w:r>
      <w:r w:rsidR="00147DF3" w:rsidRPr="00AF1814">
        <w:t xml:space="preserve"> </w:t>
      </w:r>
      <w:r w:rsidR="00DF255D" w:rsidRPr="00AF1814">
        <w:t>in patients with locally advanced cervical cancer</w:t>
      </w:r>
      <w:r w:rsidRPr="00AF1814">
        <w:t xml:space="preserve">. </w:t>
      </w:r>
    </w:p>
    <w:p w14:paraId="13594F90" w14:textId="77777777" w:rsidR="00A5386D" w:rsidRPr="00AF1814" w:rsidRDefault="00DA3174" w:rsidP="00444416">
      <w:pPr>
        <w:pStyle w:val="Heading2"/>
      </w:pPr>
      <w:bookmarkStart w:id="58" w:name="_Ref32311786"/>
      <w:bookmarkStart w:id="59" w:name="_Toc44601646"/>
      <w:r w:rsidRPr="00AF1814">
        <w:t>Background</w:t>
      </w:r>
      <w:bookmarkEnd w:id="58"/>
      <w:bookmarkEnd w:id="59"/>
    </w:p>
    <w:p w14:paraId="644DF4CB" w14:textId="37AAE4FE" w:rsidR="00E31FC6" w:rsidRPr="00AF1814" w:rsidRDefault="00DA3174" w:rsidP="008F0E6F">
      <w:pPr>
        <w:pStyle w:val="BodyText"/>
      </w:pPr>
      <w:r w:rsidRPr="00AF1814">
        <w:t>Cervical cancer is the third most common cancer in women and remains one of the most common causes of cancer death among women worldwide. It is diagnosed in over 13,000 women in the United States each year. The human papilloma virus (HPV), the primary cause of cervical cancer, is implicated in over 90% of cases (</w:t>
      </w:r>
      <w:bookmarkStart w:id="60" w:name="_Hlk33017419"/>
      <w:r w:rsidR="00831ACA" w:rsidRPr="00AF1814">
        <w:fldChar w:fldCharType="begin"/>
      </w:r>
      <w:r w:rsidR="00831ACA" w:rsidRPr="00AF1814">
        <w:instrText xml:space="preserve"> HYPERLINK  \l "_Arbyn__M," </w:instrText>
      </w:r>
      <w:r w:rsidR="00831ACA" w:rsidRPr="00AF1814">
        <w:fldChar w:fldCharType="separate"/>
      </w:r>
      <w:r w:rsidRPr="00AF1814">
        <w:rPr>
          <w:rStyle w:val="Hyperlink"/>
        </w:rPr>
        <w:t>Arbyn 201</w:t>
      </w:r>
      <w:bookmarkEnd w:id="60"/>
      <w:r w:rsidR="00EC1C9D" w:rsidRPr="00AF1814">
        <w:rPr>
          <w:rStyle w:val="Hyperlink"/>
        </w:rPr>
        <w:t>4</w:t>
      </w:r>
      <w:r w:rsidR="00831ACA" w:rsidRPr="00AF1814">
        <w:fldChar w:fldCharType="end"/>
      </w:r>
      <w:r w:rsidR="00AE4B3C" w:rsidRPr="00AF1814">
        <w:t>;</w:t>
      </w:r>
      <w:r w:rsidRPr="00AF1814">
        <w:t xml:space="preserve"> </w:t>
      </w:r>
      <w:bookmarkStart w:id="61" w:name="_Hlk33017425"/>
      <w:r w:rsidR="00831ACA" w:rsidRPr="00AF1814">
        <w:fldChar w:fldCharType="begin"/>
      </w:r>
      <w:r w:rsidR="00B06C67" w:rsidRPr="00AF1814">
        <w:instrText>HYPERLINK  \l "_Hazelbag_S,_Gorter"</w:instrText>
      </w:r>
      <w:r w:rsidR="00831ACA" w:rsidRPr="00AF1814">
        <w:fldChar w:fldCharType="separate"/>
      </w:r>
      <w:r w:rsidRPr="00AF1814">
        <w:rPr>
          <w:rStyle w:val="Hyperlink"/>
        </w:rPr>
        <w:t>Howlader 2019</w:t>
      </w:r>
      <w:bookmarkEnd w:id="61"/>
      <w:r w:rsidR="00831ACA" w:rsidRPr="00AF1814">
        <w:fldChar w:fldCharType="end"/>
      </w:r>
      <w:r w:rsidRPr="00AF1814">
        <w:t>). Although diagnosis is often made at earlier stages, metastatic or recurren</w:t>
      </w:r>
      <w:r w:rsidR="00BB58A8" w:rsidRPr="00AF1814">
        <w:t>t</w:t>
      </w:r>
      <w:r w:rsidRPr="00AF1814">
        <w:t xml:space="preserve"> cervical cancer develop in a third of the women (</w:t>
      </w:r>
      <w:bookmarkStart w:id="62" w:name="_Hlk33017438"/>
      <w:r w:rsidR="009B04DA" w:rsidRPr="00AF1814">
        <w:fldChar w:fldCharType="begin"/>
      </w:r>
      <w:r w:rsidR="009B04DA" w:rsidRPr="00AF1814">
        <w:instrText xml:space="preserve"> HYPERLINK  \l "_Gadducci__A,_1" </w:instrText>
      </w:r>
      <w:r w:rsidR="009B04DA" w:rsidRPr="00AF1814">
        <w:fldChar w:fldCharType="separate"/>
      </w:r>
      <w:r w:rsidRPr="00AF1814">
        <w:rPr>
          <w:rStyle w:val="Hyperlink"/>
        </w:rPr>
        <w:t>Gadducci 201</w:t>
      </w:r>
      <w:bookmarkEnd w:id="62"/>
      <w:r w:rsidR="009B04DA" w:rsidRPr="00AF1814">
        <w:rPr>
          <w:rStyle w:val="Hyperlink"/>
        </w:rPr>
        <w:t>5</w:t>
      </w:r>
      <w:r w:rsidR="009B04DA" w:rsidRPr="00AF1814">
        <w:fldChar w:fldCharType="end"/>
      </w:r>
      <w:r w:rsidR="00AE4B3C" w:rsidRPr="00AF1814">
        <w:t>;</w:t>
      </w:r>
      <w:r w:rsidRPr="00AF1814">
        <w:t xml:space="preserve"> </w:t>
      </w:r>
      <w:hyperlink w:anchor="_Hazelbag_S,_Gorter" w:history="1">
        <w:r w:rsidRPr="00AF1814">
          <w:rPr>
            <w:rStyle w:val="Hyperlink"/>
          </w:rPr>
          <w:t>Howlader 2019</w:t>
        </w:r>
      </w:hyperlink>
      <w:r w:rsidRPr="00AF1814">
        <w:t xml:space="preserve">). </w:t>
      </w:r>
    </w:p>
    <w:p w14:paraId="1DB4F367" w14:textId="512602FF" w:rsidR="008F0E6F" w:rsidRPr="00AF1814" w:rsidRDefault="00DA3174" w:rsidP="008F0E6F">
      <w:pPr>
        <w:pStyle w:val="BodyText"/>
      </w:pPr>
      <w:r w:rsidRPr="00AF1814">
        <w:t>For the majority of patients with recurrent</w:t>
      </w:r>
      <w:r w:rsidR="00DB40B0">
        <w:t>, persistent,</w:t>
      </w:r>
      <w:r w:rsidR="00DB40B0" w:rsidRPr="00AF1814">
        <w:t xml:space="preserve"> or</w:t>
      </w:r>
      <w:r w:rsidRPr="00AF1814">
        <w:t xml:space="preserve"> </w:t>
      </w:r>
      <w:r w:rsidR="00DB40B0" w:rsidRPr="00AF1814">
        <w:t>metastatic</w:t>
      </w:r>
      <w:r w:rsidR="00DB40B0">
        <w:t xml:space="preserve"> </w:t>
      </w:r>
      <w:r w:rsidRPr="00AF1814">
        <w:t>cervical cancer, the first-line standard of care is chemotherapy with platinum</w:t>
      </w:r>
      <w:r w:rsidR="00C36E61" w:rsidRPr="00AF1814">
        <w:t xml:space="preserve"> and </w:t>
      </w:r>
      <w:r w:rsidRPr="00AF1814">
        <w:t xml:space="preserve">taxane in combination with bevacizumab with an overall response rate of 48% and a median OS of </w:t>
      </w:r>
      <w:r w:rsidR="002F5B53">
        <w:t xml:space="preserve">approximately </w:t>
      </w:r>
      <w:r w:rsidRPr="00AF1814">
        <w:t>17</w:t>
      </w:r>
      <w:r w:rsidR="00DB40B0">
        <w:t> </w:t>
      </w:r>
      <w:r w:rsidRPr="00AF1814">
        <w:t>months (</w:t>
      </w:r>
      <w:bookmarkStart w:id="63" w:name="_Hlk33017447"/>
      <w:r w:rsidR="00BD0E50">
        <w:fldChar w:fldCharType="begin"/>
      </w:r>
      <w:r w:rsidR="00BD0E50">
        <w:instrText xml:space="preserve"> HYPERLINK  \l "_Dyer_BA,_Zamarin_1" </w:instrText>
      </w:r>
      <w:r w:rsidR="00BD0E50">
        <w:fldChar w:fldCharType="separate"/>
      </w:r>
      <w:r w:rsidRPr="00BD0E50">
        <w:rPr>
          <w:rStyle w:val="Hyperlink"/>
        </w:rPr>
        <w:t>Dyer 201</w:t>
      </w:r>
      <w:bookmarkEnd w:id="63"/>
      <w:r w:rsidR="00A82603" w:rsidRPr="00BD0E50">
        <w:rPr>
          <w:rStyle w:val="Hyperlink"/>
        </w:rPr>
        <w:t>9</w:t>
      </w:r>
      <w:r w:rsidR="00BD0E50">
        <w:fldChar w:fldCharType="end"/>
      </w:r>
      <w:r w:rsidR="00AE4B3C" w:rsidRPr="00AF1814">
        <w:t>;</w:t>
      </w:r>
      <w:r w:rsidRPr="00AF1814">
        <w:t xml:space="preserve"> </w:t>
      </w:r>
      <w:hyperlink w:anchor="_Tewari_KS,_Sill_1" w:history="1">
        <w:r w:rsidR="002F5B53" w:rsidRPr="00AF1814">
          <w:rPr>
            <w:rStyle w:val="Hyperlink"/>
          </w:rPr>
          <w:t>Tewari</w:t>
        </w:r>
        <w:r w:rsidR="00837C1B">
          <w:rPr>
            <w:rStyle w:val="Hyperlink"/>
          </w:rPr>
          <w:t> </w:t>
        </w:r>
        <w:r w:rsidR="002F5B53">
          <w:rPr>
            <w:rStyle w:val="Hyperlink"/>
          </w:rPr>
          <w:t>2017</w:t>
        </w:r>
      </w:hyperlink>
      <w:r w:rsidRPr="00AF1814">
        <w:t xml:space="preserve">). For women with locally advanced cervical cancer, with node involvement with </w:t>
      </w:r>
      <w:r w:rsidR="00475E99" w:rsidRPr="00AF1814">
        <w:t>International Federation of Gynecology and Obstetrics (</w:t>
      </w:r>
      <w:r w:rsidRPr="00AF1814">
        <w:t>FIGO</w:t>
      </w:r>
      <w:r w:rsidR="00475E99" w:rsidRPr="00AF1814">
        <w:t>)</w:t>
      </w:r>
      <w:r w:rsidRPr="00AF1814">
        <w:t xml:space="preserve"> </w:t>
      </w:r>
      <w:r w:rsidR="009B04DA" w:rsidRPr="00AF1814">
        <w:t>S</w:t>
      </w:r>
      <w:r w:rsidRPr="00AF1814">
        <w:t>tages IB2 to IVA, the standard of care is primar</w:t>
      </w:r>
      <w:r w:rsidR="009B04DA" w:rsidRPr="00AF1814">
        <w:t>il</w:t>
      </w:r>
      <w:r w:rsidRPr="00AF1814">
        <w:t>y chemoradiation. Benefit of chemoradiation decreases with increasing stage (</w:t>
      </w:r>
      <w:hyperlink w:anchor="_Chemoradiotherapy_for_Cervical" w:history="1">
        <w:r w:rsidRPr="00AF1814">
          <w:rPr>
            <w:rStyle w:val="Hyperlink"/>
          </w:rPr>
          <w:t xml:space="preserve">CCCMAC </w:t>
        </w:r>
        <w:r w:rsidR="009B04DA" w:rsidRPr="00AF1814">
          <w:rPr>
            <w:rStyle w:val="Hyperlink"/>
          </w:rPr>
          <w:t>2008</w:t>
        </w:r>
      </w:hyperlink>
      <w:r w:rsidRPr="00AF1814">
        <w:t xml:space="preserve">) and prognosis for patients with </w:t>
      </w:r>
      <w:r w:rsidR="009B04DA" w:rsidRPr="00AF1814">
        <w:t>S</w:t>
      </w:r>
      <w:r w:rsidRPr="00AF1814">
        <w:t>tage III/IV disease is poor with 4-year OS rates of 55% (</w:t>
      </w:r>
      <w:hyperlink w:anchor="_Dyer_BA,_Zamarin_1" w:history="1">
        <w:r w:rsidRPr="00BD0E50">
          <w:rPr>
            <w:rStyle w:val="Hyperlink"/>
          </w:rPr>
          <w:t>Dyer 201</w:t>
        </w:r>
        <w:r w:rsidR="00A82603" w:rsidRPr="00BD0E50">
          <w:rPr>
            <w:rStyle w:val="Hyperlink"/>
          </w:rPr>
          <w:t>9</w:t>
        </w:r>
      </w:hyperlink>
      <w:r w:rsidRPr="00AF1814">
        <w:t>) and 2-year rates of relapse over 40% (</w:t>
      </w:r>
      <w:bookmarkStart w:id="64" w:name="_Hlk33017490"/>
      <w:r w:rsidR="00831ACA" w:rsidRPr="00AF1814">
        <w:fldChar w:fldCharType="begin"/>
      </w:r>
      <w:r w:rsidR="00831ACA" w:rsidRPr="00AF1814">
        <w:instrText xml:space="preserve"> HYPERLINK  \l "_Rose_PG,_Java" </w:instrText>
      </w:r>
      <w:r w:rsidR="00831ACA" w:rsidRPr="00AF1814">
        <w:fldChar w:fldCharType="separate"/>
      </w:r>
      <w:r w:rsidRPr="00AF1814">
        <w:rPr>
          <w:rStyle w:val="Hyperlink"/>
        </w:rPr>
        <w:t>Rose 2015</w:t>
      </w:r>
      <w:bookmarkEnd w:id="64"/>
      <w:r w:rsidR="00831ACA" w:rsidRPr="00AF1814">
        <w:fldChar w:fldCharType="end"/>
      </w:r>
      <w:r w:rsidRPr="00AF1814">
        <w:t>).</w:t>
      </w:r>
    </w:p>
    <w:p w14:paraId="41EA8039" w14:textId="2C0F777B" w:rsidR="00212114" w:rsidRPr="00AF1814" w:rsidRDefault="00DA3174" w:rsidP="00F95E26">
      <w:pPr>
        <w:pStyle w:val="BodyText"/>
      </w:pPr>
      <w:r w:rsidRPr="00AF1814">
        <w:t xml:space="preserve">Recently, molecular characterization of cervical cancer by The Cancer Genome Atlas </w:t>
      </w:r>
      <w:r w:rsidR="001528AC" w:rsidRPr="00AF1814">
        <w:t xml:space="preserve">also </w:t>
      </w:r>
      <w:r w:rsidRPr="00AF1814">
        <w:t>identified both PD-L1 and TGF</w:t>
      </w:r>
      <w:r w:rsidR="003440DD" w:rsidRPr="00AF1814">
        <w:noBreakHyphen/>
      </w:r>
      <w:r w:rsidRPr="00AF1814">
        <w:t>β signaling as frequently dysregulated in this disease (</w:t>
      </w:r>
      <w:bookmarkStart w:id="65" w:name="_Hlk33017499"/>
      <w:r w:rsidR="00831ACA" w:rsidRPr="00AF1814">
        <w:fldChar w:fldCharType="begin"/>
      </w:r>
      <w:r w:rsidR="00831ACA" w:rsidRPr="00AF1814">
        <w:instrText xml:space="preserve"> HYPERLINK  \l "_The_Cancer_Genome" </w:instrText>
      </w:r>
      <w:r w:rsidR="00831ACA" w:rsidRPr="00AF1814">
        <w:fldChar w:fldCharType="separate"/>
      </w:r>
      <w:r w:rsidRPr="00AF1814">
        <w:rPr>
          <w:rStyle w:val="Hyperlink"/>
        </w:rPr>
        <w:t>The Cancer Genome Atlas Research Network</w:t>
      </w:r>
      <w:r w:rsidR="004605ED" w:rsidRPr="00AF1814">
        <w:rPr>
          <w:rStyle w:val="Hyperlink"/>
        </w:rPr>
        <w:t> </w:t>
      </w:r>
      <w:r w:rsidRPr="00AF1814">
        <w:rPr>
          <w:rStyle w:val="Hyperlink"/>
        </w:rPr>
        <w:t>2017</w:t>
      </w:r>
      <w:r w:rsidR="00831ACA" w:rsidRPr="00AF1814">
        <w:fldChar w:fldCharType="end"/>
      </w:r>
      <w:r w:rsidRPr="00AF1814">
        <w:t xml:space="preserve">, </w:t>
      </w:r>
      <w:hyperlink w:anchor="_Roszik_J,_Ring" w:history="1">
        <w:r w:rsidRPr="00AF1814">
          <w:rPr>
            <w:rStyle w:val="Hyperlink"/>
          </w:rPr>
          <w:t>Roszik 2018</w:t>
        </w:r>
        <w:bookmarkEnd w:id="65"/>
      </w:hyperlink>
      <w:r w:rsidRPr="00AF1814">
        <w:t>). TGF</w:t>
      </w:r>
      <w:r w:rsidRPr="00AF1814">
        <w:noBreakHyphen/>
        <w:t>β is historically known to be expressed in a majority of cervical cancer tissues, and its expression correlates with the extent of tumor stroma infiltrate (</w:t>
      </w:r>
      <w:bookmarkStart w:id="66" w:name="_Hlk33017548"/>
      <w:r w:rsidR="004605ED" w:rsidRPr="00AF1814">
        <w:fldChar w:fldCharType="begin"/>
      </w:r>
      <w:r w:rsidR="00B06C67" w:rsidRPr="00AF1814">
        <w:instrText>HYPERLINK  \l "_Hazelbag_S,_Gorter_1"</w:instrText>
      </w:r>
      <w:r w:rsidR="004605ED" w:rsidRPr="00AF1814">
        <w:fldChar w:fldCharType="separate"/>
      </w:r>
      <w:r w:rsidRPr="00AF1814">
        <w:rPr>
          <w:rStyle w:val="Hyperlink"/>
        </w:rPr>
        <w:t>Hazelbag</w:t>
      </w:r>
      <w:r w:rsidR="004605ED" w:rsidRPr="00AF1814">
        <w:rPr>
          <w:rStyle w:val="Hyperlink"/>
        </w:rPr>
        <w:t> </w:t>
      </w:r>
      <w:r w:rsidRPr="00AF1814">
        <w:rPr>
          <w:rStyle w:val="Hyperlink"/>
        </w:rPr>
        <w:t>2002</w:t>
      </w:r>
      <w:bookmarkEnd w:id="66"/>
      <w:r w:rsidR="004605ED" w:rsidRPr="00AF1814">
        <w:fldChar w:fldCharType="end"/>
      </w:r>
      <w:r w:rsidRPr="00AF1814">
        <w:t>). Furthermore, the role of TGF-β in cervical cancer pathogenesis is supported by data including 1)</w:t>
      </w:r>
      <w:r w:rsidR="00B82631" w:rsidRPr="00AF1814">
        <w:t> </w:t>
      </w:r>
      <w:r w:rsidRPr="00AF1814">
        <w:t>TGF-β1 upregulation by HPV oncoprotein E6 and E7 (</w:t>
      </w:r>
      <w:hyperlink w:anchor="_Peralta-Zaragoza_O,_Bermúdez-Morale" w:history="1">
        <w:r w:rsidRPr="00AF1814">
          <w:rPr>
            <w:rStyle w:val="Hyperlink"/>
          </w:rPr>
          <w:t>Peralta</w:t>
        </w:r>
        <w:r w:rsidR="00901EBD" w:rsidRPr="00AF1814">
          <w:rPr>
            <w:rStyle w:val="Hyperlink"/>
          </w:rPr>
          <w:noBreakHyphen/>
        </w:r>
        <w:r w:rsidRPr="00AF1814">
          <w:rPr>
            <w:rStyle w:val="Hyperlink"/>
          </w:rPr>
          <w:t>Zaragoza 2006</w:t>
        </w:r>
      </w:hyperlink>
      <w:r w:rsidRPr="00AF1814">
        <w:t>), and 2) the correlation of poor prognosis in cervical cancer and the expression of plasminogen activator inhibitor-1, a molecule strongly and dose</w:t>
      </w:r>
      <w:r w:rsidRPr="00AF1814">
        <w:noBreakHyphen/>
        <w:t>dependently induced by TGF-β (</w:t>
      </w:r>
      <w:bookmarkStart w:id="67" w:name="_Hlk33017571"/>
      <w:r w:rsidR="004605ED" w:rsidRPr="00AF1814">
        <w:fldChar w:fldCharType="begin"/>
      </w:r>
      <w:r w:rsidR="00B06C67" w:rsidRPr="00AF1814">
        <w:instrText>HYPERLINK  \l "_Gadducci__A,"</w:instrText>
      </w:r>
      <w:r w:rsidR="004605ED" w:rsidRPr="00AF1814">
        <w:fldChar w:fldCharType="separate"/>
      </w:r>
      <w:r w:rsidRPr="00AF1814">
        <w:rPr>
          <w:rStyle w:val="Hyperlink"/>
        </w:rPr>
        <w:t>Hazelbag</w:t>
      </w:r>
      <w:r w:rsidR="004605ED" w:rsidRPr="00AF1814">
        <w:rPr>
          <w:rStyle w:val="Hyperlink"/>
        </w:rPr>
        <w:t> </w:t>
      </w:r>
      <w:r w:rsidRPr="00AF1814">
        <w:rPr>
          <w:rStyle w:val="Hyperlink"/>
        </w:rPr>
        <w:t>2004</w:t>
      </w:r>
      <w:bookmarkEnd w:id="67"/>
      <w:r w:rsidR="004605ED" w:rsidRPr="00AF1814">
        <w:fldChar w:fldCharType="end"/>
      </w:r>
      <w:r w:rsidRPr="00AF1814">
        <w:t xml:space="preserve">). </w:t>
      </w:r>
    </w:p>
    <w:p w14:paraId="5C45E153" w14:textId="77777777" w:rsidR="00F95E26" w:rsidRPr="00AF1814" w:rsidRDefault="00DA3174" w:rsidP="009F1BA1">
      <w:pPr>
        <w:pStyle w:val="BodyText"/>
      </w:pPr>
      <w:r w:rsidRPr="00AF1814">
        <w:t xml:space="preserve">Bintrafusp alfa has shown promising clinical activity with durable responses in </w:t>
      </w:r>
      <w:r w:rsidR="00BC0FFC" w:rsidRPr="00AF1814">
        <w:t>participants</w:t>
      </w:r>
      <w:r w:rsidRPr="00AF1814">
        <w:t xml:space="preserve"> with chemotherapy refractory cervical cancer in Phase I </w:t>
      </w:r>
      <w:r w:rsidR="006B38C1" w:rsidRPr="00AF1814">
        <w:t>S</w:t>
      </w:r>
      <w:r w:rsidRPr="00AF1814">
        <w:t>tudy EMR200647-001. In the Phase</w:t>
      </w:r>
      <w:r w:rsidR="009F1BA1" w:rsidRPr="00AF1814">
        <w:t> </w:t>
      </w:r>
      <w:r w:rsidRPr="00AF1814">
        <w:t xml:space="preserve">I </w:t>
      </w:r>
      <w:r w:rsidR="00883E43" w:rsidRPr="00AF1814">
        <w:t>S</w:t>
      </w:r>
      <w:r w:rsidRPr="00AF1814">
        <w:t xml:space="preserve">tudy, </w:t>
      </w:r>
      <w:r w:rsidR="00A4131B" w:rsidRPr="00AF1814">
        <w:t xml:space="preserve">as of </w:t>
      </w:r>
      <w:r w:rsidR="002F0CE5" w:rsidRPr="00AF1814">
        <w:t>17 April 2019</w:t>
      </w:r>
      <w:r w:rsidR="00D47E61" w:rsidRPr="00AF1814">
        <w:t xml:space="preserve"> </w:t>
      </w:r>
      <w:r w:rsidR="00A4131B" w:rsidRPr="00AF1814">
        <w:t>(</w:t>
      </w:r>
      <w:r w:rsidR="004E383A" w:rsidRPr="00AF1814">
        <w:t xml:space="preserve">refer to </w:t>
      </w:r>
      <w:r w:rsidR="008E48CD" w:rsidRPr="00AF1814">
        <w:t>current IB for more details</w:t>
      </w:r>
      <w:r w:rsidR="00A4131B" w:rsidRPr="00AF1814">
        <w:t xml:space="preserve">), </w:t>
      </w:r>
      <w:r w:rsidRPr="00AF1814">
        <w:t xml:space="preserve">a total of 25 </w:t>
      </w:r>
      <w:r w:rsidR="00BC0FFC" w:rsidRPr="00AF1814">
        <w:t xml:space="preserve">participants </w:t>
      </w:r>
      <w:r w:rsidRPr="00AF1814">
        <w:t xml:space="preserve">with recurrent or persistent cervical cancer following standard of care treatment were treated for advanced disease. The median treatment duration was 9.6 (range 2.0 to 72.0) weeks. The results are summarized: </w:t>
      </w:r>
    </w:p>
    <w:p w14:paraId="7FE20617" w14:textId="77777777" w:rsidR="00F95E26" w:rsidRPr="00AF1814" w:rsidRDefault="00DA3174" w:rsidP="00F15279">
      <w:pPr>
        <w:pStyle w:val="List1withbullet"/>
      </w:pPr>
      <w:r w:rsidRPr="00AF1814">
        <w:t>Objective response rate (</w:t>
      </w:r>
      <w:r w:rsidR="009977EF" w:rsidRPr="00AF1814">
        <w:t>ORR</w:t>
      </w:r>
      <w:r w:rsidRPr="00AF1814">
        <w:t>)</w:t>
      </w:r>
      <w:r w:rsidR="009977EF" w:rsidRPr="00AF1814">
        <w:t xml:space="preserve"> of 24% (95% CI: 9.4</w:t>
      </w:r>
      <w:r w:rsidR="00A27FB4" w:rsidRPr="00AF1814">
        <w:t>,</w:t>
      </w:r>
      <w:r w:rsidR="009977EF" w:rsidRPr="00AF1814">
        <w:t xml:space="preserve"> 45.1) with 6 confirmed responses per Response Evaluation Criteria in Solid Tumors Version 1.1 (RECIST 1.1); 5/6 responses were ongoing at data cutoff (median </w:t>
      </w:r>
      <w:r w:rsidRPr="00AF1814">
        <w:t>duration of response [</w:t>
      </w:r>
      <w:r w:rsidR="009977EF" w:rsidRPr="00AF1814">
        <w:t>D</w:t>
      </w:r>
      <w:r w:rsidR="00FB3735" w:rsidRPr="00AF1814">
        <w:t>o</w:t>
      </w:r>
      <w:r w:rsidR="009977EF" w:rsidRPr="00AF1814">
        <w:t>R</w:t>
      </w:r>
      <w:r w:rsidRPr="00AF1814">
        <w:t>]</w:t>
      </w:r>
      <w:r w:rsidR="009977EF" w:rsidRPr="00AF1814">
        <w:t xml:space="preserve"> not reached; range, </w:t>
      </w:r>
      <w:r w:rsidR="00431762" w:rsidRPr="00AF1814">
        <w:t>4.2 to 30.4</w:t>
      </w:r>
      <w:r w:rsidR="009548D8" w:rsidRPr="00AF1814">
        <w:t> </w:t>
      </w:r>
      <w:r w:rsidR="009977EF" w:rsidRPr="00AF1814">
        <w:t xml:space="preserve">months). </w:t>
      </w:r>
    </w:p>
    <w:p w14:paraId="1D109180" w14:textId="77777777" w:rsidR="00F95E26" w:rsidRPr="00AF1814" w:rsidRDefault="00DA3174" w:rsidP="00F15279">
      <w:pPr>
        <w:pStyle w:val="List1withbullet"/>
      </w:pPr>
      <w:r w:rsidRPr="00AF1814">
        <w:t>One additional participant developed a partial response (PR) after initial confirmed disease progression, bringing the total clinical response rate to 28% (95% CI: 12.1</w:t>
      </w:r>
      <w:r w:rsidR="007D29DE" w:rsidRPr="00AF1814">
        <w:t xml:space="preserve">, </w:t>
      </w:r>
      <w:r w:rsidRPr="00AF1814">
        <w:t xml:space="preserve">49.4). This </w:t>
      </w:r>
      <w:r w:rsidRPr="00AF1814">
        <w:lastRenderedPageBreak/>
        <w:t xml:space="preserve">additional participant’s PR was ongoing for 8.7 months at data cutoff, with 73.3% disease shrinkage after initial progressive disease (PD). </w:t>
      </w:r>
    </w:p>
    <w:p w14:paraId="1FAA99C5" w14:textId="77777777" w:rsidR="00F95E26" w:rsidRPr="00AF1814" w:rsidRDefault="00DA3174" w:rsidP="00F15279">
      <w:pPr>
        <w:pStyle w:val="List1withbullet"/>
      </w:pPr>
      <w:r w:rsidRPr="00AF1814">
        <w:t>No clear relationship between PD-L1 protein expression and clinical response was observed. One pa</w:t>
      </w:r>
      <w:r w:rsidR="001441A7" w:rsidRPr="00AF1814">
        <w:t>rticipant</w:t>
      </w:r>
      <w:r w:rsidRPr="00AF1814">
        <w:t xml:space="preserve"> with negative tumor </w:t>
      </w:r>
      <w:r w:rsidR="00796798" w:rsidRPr="00AF1814">
        <w:t xml:space="preserve">cell </w:t>
      </w:r>
      <w:r w:rsidRPr="00AF1814">
        <w:t xml:space="preserve">PD-L1 expression (via 73-10 assay) had a confirmed PR. </w:t>
      </w:r>
    </w:p>
    <w:p w14:paraId="6ED9CBDE" w14:textId="7128BF31" w:rsidR="002E66F4" w:rsidRPr="00AF1814" w:rsidRDefault="00DA3174" w:rsidP="004C4B93">
      <w:pPr>
        <w:pStyle w:val="BodyText"/>
      </w:pPr>
      <w:r w:rsidRPr="00AF1814">
        <w:t xml:space="preserve">The above results were obtained in a Phase </w:t>
      </w:r>
      <w:r w:rsidR="00615703" w:rsidRPr="00AF1814">
        <w:t xml:space="preserve">I </w:t>
      </w:r>
      <w:r w:rsidR="00F15279" w:rsidRPr="00AF1814">
        <w:t>S</w:t>
      </w:r>
      <w:r w:rsidRPr="00AF1814">
        <w:t>tudy that enrolled a heavily pretreated population (</w:t>
      </w:r>
      <w:hyperlink w:anchor="_Boussios_S,_Seraj" w:history="1">
        <w:r w:rsidR="009C3E36" w:rsidRPr="00AF1814">
          <w:rPr>
            <w:rStyle w:val="Hyperlink"/>
          </w:rPr>
          <w:t>Boussios 2016</w:t>
        </w:r>
      </w:hyperlink>
      <w:r w:rsidR="009C3E36" w:rsidRPr="00AF1814">
        <w:rPr>
          <w:color w:val="000000" w:themeColor="text1"/>
        </w:rPr>
        <w:t>,</w:t>
      </w:r>
      <w:r w:rsidR="009C3E36" w:rsidRPr="00AF1814">
        <w:t xml:space="preserve"> </w:t>
      </w:r>
      <w:hyperlink w:anchor="_Marth_C,_Landoni" w:history="1">
        <w:r w:rsidR="009C3E36" w:rsidRPr="00AF1814">
          <w:rPr>
            <w:rStyle w:val="Hyperlink"/>
          </w:rPr>
          <w:t>Marth 2017</w:t>
        </w:r>
      </w:hyperlink>
      <w:r w:rsidRPr="00AF1814">
        <w:t xml:space="preserve">). </w:t>
      </w:r>
      <w:r w:rsidR="00390907" w:rsidRPr="00AF1814">
        <w:t xml:space="preserve">For comparison, in second-line treatment of metastatic disease response rates are low and </w:t>
      </w:r>
      <w:r w:rsidR="00CD328E" w:rsidRPr="00AF1814">
        <w:t>DoR</w:t>
      </w:r>
      <w:r w:rsidR="00390907" w:rsidRPr="00AF1814">
        <w:t xml:space="preserve"> </w:t>
      </w:r>
      <w:r w:rsidR="00865946" w:rsidRPr="00AF1814">
        <w:t xml:space="preserve">is </w:t>
      </w:r>
      <w:r w:rsidR="00390907" w:rsidRPr="00AF1814">
        <w:t>short. The reported rates are between 10</w:t>
      </w:r>
      <w:r w:rsidR="00CD328E" w:rsidRPr="00AF1814">
        <w:t>%</w:t>
      </w:r>
      <w:r w:rsidR="00390907" w:rsidRPr="00AF1814">
        <w:t xml:space="preserve"> and 25%, but in </w:t>
      </w:r>
      <w:r w:rsidR="00F905B7" w:rsidRPr="00AF1814">
        <w:t xml:space="preserve">general </w:t>
      </w:r>
      <w:r w:rsidR="00390907" w:rsidRPr="00AF1814">
        <w:t xml:space="preserve">supported by limited data. </w:t>
      </w:r>
      <w:r w:rsidR="00DC2B3E" w:rsidRPr="00AF1814">
        <w:t>As such, there is no consensus recommendation for second</w:t>
      </w:r>
      <w:r w:rsidR="00927EBC" w:rsidRPr="00AF1814">
        <w:noBreakHyphen/>
      </w:r>
      <w:r w:rsidR="00DC2B3E" w:rsidRPr="00AF1814">
        <w:t>line regimen. Similarly, the recent accelerated approval in the US of pembrolizumab in PD</w:t>
      </w:r>
      <w:r w:rsidR="00927EBC" w:rsidRPr="00AF1814">
        <w:noBreakHyphen/>
      </w:r>
      <w:r w:rsidR="00DC2B3E" w:rsidRPr="00AF1814">
        <w:t>L1</w:t>
      </w:r>
      <w:r w:rsidR="00927EBC" w:rsidRPr="00AF1814">
        <w:noBreakHyphen/>
      </w:r>
      <w:r w:rsidR="00DC2B3E" w:rsidRPr="00AF1814">
        <w:t xml:space="preserve">positive </w:t>
      </w:r>
      <w:r w:rsidR="001441A7" w:rsidRPr="00AF1814">
        <w:t>participants</w:t>
      </w:r>
      <w:r w:rsidR="00DC2B3E" w:rsidRPr="00AF1814">
        <w:t xml:space="preserve"> is based on a</w:t>
      </w:r>
      <w:r w:rsidR="008959F3" w:rsidRPr="00AF1814">
        <w:t>n</w:t>
      </w:r>
      <w:r w:rsidR="00DC2B3E" w:rsidRPr="00AF1814">
        <w:t xml:space="preserve"> ORR of 14.</w:t>
      </w:r>
      <w:r w:rsidR="002C5985" w:rsidRPr="00AF1814">
        <w:t>3</w:t>
      </w:r>
      <w:r w:rsidR="00DC2B3E" w:rsidRPr="00AF1814">
        <w:t xml:space="preserve">% with a </w:t>
      </w:r>
      <w:r w:rsidR="00CD328E" w:rsidRPr="00AF1814">
        <w:t>DoR</w:t>
      </w:r>
      <w:r w:rsidR="00DC2B3E" w:rsidRPr="00AF1814">
        <w:t xml:space="preserve"> not yet reached at last report</w:t>
      </w:r>
      <w:r w:rsidR="00E92727" w:rsidRPr="00AF1814">
        <w:t xml:space="preserve"> (</w:t>
      </w:r>
      <w:hyperlink w:anchor="_Chung_HC,_Ros" w:history="1">
        <w:r w:rsidR="00E92727" w:rsidRPr="00AF1814">
          <w:rPr>
            <w:rStyle w:val="Hyperlink"/>
          </w:rPr>
          <w:t>Chung 2019</w:t>
        </w:r>
      </w:hyperlink>
      <w:r w:rsidR="00E92727" w:rsidRPr="00AF1814">
        <w:t>)</w:t>
      </w:r>
      <w:r w:rsidR="00DC2B3E" w:rsidRPr="00AF1814">
        <w:t xml:space="preserve">.  </w:t>
      </w:r>
    </w:p>
    <w:p w14:paraId="346EF16B" w14:textId="77777777" w:rsidR="008230F2" w:rsidRPr="00AF1814" w:rsidRDefault="00DA3174" w:rsidP="004C4B93">
      <w:pPr>
        <w:pStyle w:val="BodyText"/>
      </w:pPr>
      <w:r w:rsidRPr="00AF1814">
        <w:t>Additionally, bintrafusp alfa in combination with an anti-VEGF antibody have been evaluated in an orthotopic mouse using 4T1 breast cancer cells. The combination showed enhanced antitumor activity</w:t>
      </w:r>
      <w:r w:rsidR="005A43A2" w:rsidRPr="00AF1814">
        <w:t xml:space="preserve"> and survival compared to either agent alone</w:t>
      </w:r>
      <w:r w:rsidR="009B26FC" w:rsidRPr="00AF1814">
        <w:t xml:space="preserve"> (</w:t>
      </w:r>
      <w:r w:rsidR="00270DA1" w:rsidRPr="00AF1814">
        <w:t>refer to IB for details).</w:t>
      </w:r>
      <w:r w:rsidR="005A43A2" w:rsidRPr="00AF1814">
        <w:t xml:space="preserve">  </w:t>
      </w:r>
      <w:r w:rsidRPr="00AF1814">
        <w:t xml:space="preserve">  </w:t>
      </w:r>
    </w:p>
    <w:p w14:paraId="1F3073C2" w14:textId="77777777" w:rsidR="009A7988" w:rsidRPr="00AF1814" w:rsidRDefault="00DA3174" w:rsidP="009A7988">
      <w:pPr>
        <w:pStyle w:val="BodyText"/>
      </w:pPr>
      <w:r w:rsidRPr="00AF1814">
        <w:t>Based on the biological rationale and promising clinical activity of bintrafusp alfa in cervical cancer and manageable safety profile in close to 700 participants with various cancer types (refer to IB), a</w:t>
      </w:r>
      <w:r w:rsidR="00C23A12" w:rsidRPr="00AF1814">
        <w:t xml:space="preserve"> </w:t>
      </w:r>
      <w:r w:rsidR="0045443E" w:rsidRPr="00AF1814">
        <w:t>first study of bintrafusp alfa monotherapy in platinum-experienced participants with cervical cancer (Study MS200647</w:t>
      </w:r>
      <w:r w:rsidRPr="00AF1814">
        <w:t>_</w:t>
      </w:r>
      <w:r w:rsidR="0045443E" w:rsidRPr="00AF1814">
        <w:t xml:space="preserve">0017) has been initiated.  </w:t>
      </w:r>
    </w:p>
    <w:p w14:paraId="20D5A3CF" w14:textId="77777777" w:rsidR="009A7988" w:rsidRPr="00AF1814" w:rsidRDefault="00DA3174" w:rsidP="009A7988">
      <w:pPr>
        <w:pStyle w:val="BodyText"/>
      </w:pPr>
      <w:r w:rsidRPr="00AF1814">
        <w:t>In addition</w:t>
      </w:r>
      <w:r w:rsidR="00A4131B" w:rsidRPr="00AF1814">
        <w:t>,</w:t>
      </w:r>
      <w:r w:rsidRPr="00AF1814">
        <w:t xml:space="preserve"> bintrafusp alfa (2400 mg </w:t>
      </w:r>
      <w:r w:rsidR="009172DD" w:rsidRPr="00AF1814">
        <w:t>every 3 weeks</w:t>
      </w:r>
      <w:r w:rsidRPr="00AF1814">
        <w:t>) is currently being investigated:</w:t>
      </w:r>
    </w:p>
    <w:p w14:paraId="3EF9F6DE" w14:textId="77777777" w:rsidR="009A7988" w:rsidRPr="00AF1814" w:rsidRDefault="00DA3174" w:rsidP="00F15279">
      <w:pPr>
        <w:pStyle w:val="List1withbullet"/>
      </w:pPr>
      <w:r w:rsidRPr="00AF1814">
        <w:t xml:space="preserve">In combination with cisplatin or carboplatin + pemetrexed in participants with Stage IV </w:t>
      </w:r>
      <w:r w:rsidR="00FA1C51" w:rsidRPr="00AF1814">
        <w:t>NSCLC</w:t>
      </w:r>
      <w:r w:rsidRPr="00AF1814">
        <w:t xml:space="preserve"> (MS200647</w:t>
      </w:r>
      <w:r w:rsidR="00172CF8" w:rsidRPr="00AF1814">
        <w:t>_</w:t>
      </w:r>
      <w:r w:rsidRPr="00AF1814">
        <w:t>0024). As of the most recent data cutoff of 30</w:t>
      </w:r>
      <w:r w:rsidR="00172CF8" w:rsidRPr="00AF1814">
        <w:t> </w:t>
      </w:r>
      <w:r w:rsidRPr="00AF1814">
        <w:t xml:space="preserve">September 2019, 23 </w:t>
      </w:r>
      <w:r w:rsidR="009548D8" w:rsidRPr="00AF1814">
        <w:t xml:space="preserve">participants </w:t>
      </w:r>
      <w:r w:rsidRPr="00AF1814">
        <w:t xml:space="preserve">were dosed in the study, data from 8 participants were reviewed by a </w:t>
      </w:r>
      <w:r w:rsidR="009548D8" w:rsidRPr="00AF1814">
        <w:t>S</w:t>
      </w:r>
      <w:r w:rsidRPr="00AF1814">
        <w:t xml:space="preserve">afety </w:t>
      </w:r>
      <w:r w:rsidR="009548D8" w:rsidRPr="00AF1814">
        <w:t>M</w:t>
      </w:r>
      <w:r w:rsidRPr="00AF1814">
        <w:t xml:space="preserve">onitoring </w:t>
      </w:r>
      <w:r w:rsidR="009548D8" w:rsidRPr="00AF1814">
        <w:t>C</w:t>
      </w:r>
      <w:r w:rsidRPr="00AF1814">
        <w:t xml:space="preserve">ommittee (SMC) meeting. </w:t>
      </w:r>
      <w:r w:rsidR="00172CF8" w:rsidRPr="00AF1814">
        <w:t>One</w:t>
      </w:r>
      <w:r w:rsidRPr="00AF1814">
        <w:t xml:space="preserve"> </w:t>
      </w:r>
      <w:r w:rsidR="009548D8" w:rsidRPr="00AF1814">
        <w:t>dose-limiting toxicity (</w:t>
      </w:r>
      <w:r w:rsidRPr="00AF1814">
        <w:t>DLT</w:t>
      </w:r>
      <w:r w:rsidR="009548D8" w:rsidRPr="00AF1814">
        <w:t>)</w:t>
      </w:r>
      <w:r w:rsidRPr="00AF1814">
        <w:t xml:space="preserve"> of Grade 3 nausea was reported and was assessed as related to carboplatin and pemetrexed by the Investigator, the study is continuing, and preliminary data does not indicate any tolerability issue.</w:t>
      </w:r>
    </w:p>
    <w:p w14:paraId="1680851B" w14:textId="77777777" w:rsidR="009A7988" w:rsidRPr="00AF1814" w:rsidRDefault="00DA3174" w:rsidP="00F15279">
      <w:pPr>
        <w:pStyle w:val="List1withbullet"/>
      </w:pPr>
      <w:r w:rsidRPr="00AF1814">
        <w:t xml:space="preserve">In combination with gemcitabine and cisplatin in participants with first-line biliary tract cancer in a Phase II/III </w:t>
      </w:r>
      <w:r w:rsidR="00883E43" w:rsidRPr="00AF1814">
        <w:t>S</w:t>
      </w:r>
      <w:r w:rsidRPr="00AF1814">
        <w:t>tudy (MS200647</w:t>
      </w:r>
      <w:r w:rsidR="00172CF8" w:rsidRPr="00AF1814">
        <w:t>_</w:t>
      </w:r>
      <w:r w:rsidRPr="00AF1814">
        <w:t>0055). As of the most recent data cutoff of 14</w:t>
      </w:r>
      <w:r w:rsidR="00172CF8" w:rsidRPr="00AF1814">
        <w:t> </w:t>
      </w:r>
      <w:r w:rsidRPr="00AF1814">
        <w:t>November</w:t>
      </w:r>
      <w:r w:rsidR="00172CF8" w:rsidRPr="00AF1814">
        <w:t> </w:t>
      </w:r>
      <w:r w:rsidRPr="00AF1814">
        <w:t xml:space="preserve">2019 for DLT evaluation, 6 </w:t>
      </w:r>
      <w:r w:rsidR="001441A7" w:rsidRPr="00AF1814">
        <w:t>participants</w:t>
      </w:r>
      <w:r w:rsidRPr="00AF1814">
        <w:t xml:space="preserve"> had been dosed and no DLTs were observed.</w:t>
      </w:r>
    </w:p>
    <w:p w14:paraId="5B7F2A35" w14:textId="77777777" w:rsidR="009A7988" w:rsidRPr="00AF1814" w:rsidRDefault="00DA3174" w:rsidP="009A7988">
      <w:pPr>
        <w:pStyle w:val="BodyText"/>
      </w:pPr>
      <w:r w:rsidRPr="00AF1814">
        <w:t xml:space="preserve">Overall, the observed safety profile </w:t>
      </w:r>
      <w:r w:rsidR="00A37973" w:rsidRPr="00AF1814">
        <w:t xml:space="preserve">from these 2 studies </w:t>
      </w:r>
      <w:r w:rsidRPr="00AF1814">
        <w:t>did not reveal any new or increased risks compared to what can be expected from current experience, respectively, with chemotherapy and bintrafusp alfa alone</w:t>
      </w:r>
      <w:r w:rsidR="003B56BB" w:rsidRPr="00AF1814">
        <w:t xml:space="preserve"> (refer to current IB)</w:t>
      </w:r>
      <w:r w:rsidRPr="00AF1814">
        <w:t>.</w:t>
      </w:r>
    </w:p>
    <w:p w14:paraId="38832572" w14:textId="77777777" w:rsidR="00A5386D" w:rsidRPr="00AF1814" w:rsidRDefault="00DA3174" w:rsidP="009A7988">
      <w:pPr>
        <w:pStyle w:val="Heading2"/>
      </w:pPr>
      <w:bookmarkStart w:id="68" w:name="_Ref33184296"/>
      <w:bookmarkStart w:id="69" w:name="_Toc44601647"/>
      <w:r w:rsidRPr="00AF1814">
        <w:t>Benefit/Risk Assessment</w:t>
      </w:r>
      <w:bookmarkEnd w:id="68"/>
      <w:bookmarkEnd w:id="69"/>
    </w:p>
    <w:p w14:paraId="1A40595D" w14:textId="7BA4CD71" w:rsidR="007475FD" w:rsidRPr="00AF1814" w:rsidRDefault="00DA3174" w:rsidP="007475FD">
      <w:pPr>
        <w:pStyle w:val="BodyText"/>
      </w:pPr>
      <w:r w:rsidRPr="00AF1814">
        <w:t xml:space="preserve">The current safety and efficacy data support further investigation of the safety and tolerability of the use of bintrafusp alfa (2400 mg </w:t>
      </w:r>
      <w:r w:rsidR="004A0E01" w:rsidRPr="00AF1814">
        <w:t>intravenous</w:t>
      </w:r>
      <w:r w:rsidRPr="00AF1814">
        <w:t xml:space="preserve"> </w:t>
      </w:r>
      <w:r w:rsidR="009172DD" w:rsidRPr="00AF1814">
        <w:t>every 3 weeks</w:t>
      </w:r>
      <w:r w:rsidRPr="00AF1814">
        <w:t>) in combination with chemotherapy</w:t>
      </w:r>
      <w:r w:rsidR="00F35F97" w:rsidRPr="00AF1814">
        <w:t xml:space="preserve"> with or without</w:t>
      </w:r>
      <w:r w:rsidRPr="00AF1814">
        <w:t xml:space="preserve"> bevacizumab </w:t>
      </w:r>
      <w:r w:rsidR="003455AB" w:rsidRPr="00AF1814">
        <w:t xml:space="preserve">in </w:t>
      </w:r>
      <w:r w:rsidR="001441A7" w:rsidRPr="00AF1814">
        <w:t>participants</w:t>
      </w:r>
      <w:r w:rsidR="003455AB" w:rsidRPr="00AF1814">
        <w:t xml:space="preserve"> with </w:t>
      </w:r>
      <w:r w:rsidR="006849A3">
        <w:t>recurrent, persistent</w:t>
      </w:r>
      <w:r w:rsidR="006C2510">
        <w:t>,</w:t>
      </w:r>
      <w:r w:rsidR="006849A3">
        <w:t xml:space="preserve"> or </w:t>
      </w:r>
      <w:r w:rsidR="003455AB" w:rsidRPr="00AF1814">
        <w:t xml:space="preserve">metastatic cervical </w:t>
      </w:r>
      <w:r w:rsidR="003455AB" w:rsidRPr="00AF1814">
        <w:lastRenderedPageBreak/>
        <w:t xml:space="preserve">cancer </w:t>
      </w:r>
      <w:r w:rsidRPr="00AF1814">
        <w:t>or chemoradiation followed by bintrafusp alfa</w:t>
      </w:r>
      <w:r w:rsidR="003455AB" w:rsidRPr="00AF1814">
        <w:t xml:space="preserve"> </w:t>
      </w:r>
      <w:r w:rsidR="00DF255D" w:rsidRPr="00AF1814">
        <w:t xml:space="preserve">in </w:t>
      </w:r>
      <w:r w:rsidR="001441A7" w:rsidRPr="00AF1814">
        <w:t>participants</w:t>
      </w:r>
      <w:r w:rsidR="00DF255D" w:rsidRPr="00AF1814">
        <w:t xml:space="preserve"> with locally advanced cervical cancer</w:t>
      </w:r>
      <w:r w:rsidRPr="00AF1814">
        <w:t>.</w:t>
      </w:r>
    </w:p>
    <w:p w14:paraId="31B0FB2F" w14:textId="77777777" w:rsidR="004D50E5" w:rsidRPr="00E44F28" w:rsidRDefault="00DA3174" w:rsidP="00C23A12">
      <w:pPr>
        <w:pStyle w:val="BodyText"/>
      </w:pPr>
      <w:r w:rsidRPr="00AF1814">
        <w:t xml:space="preserve">The </w:t>
      </w:r>
      <w:r w:rsidR="00042DE1" w:rsidRPr="00AF1814">
        <w:t>overall safety profile</w:t>
      </w:r>
      <w:r w:rsidRPr="00AF1814">
        <w:t xml:space="preserve"> of bintrafusp alfa</w:t>
      </w:r>
      <w:r w:rsidR="00042DE1" w:rsidRPr="00AF1814">
        <w:t xml:space="preserve"> as a monotherapy in </w:t>
      </w:r>
      <w:r w:rsidR="00B62895" w:rsidRPr="00AF1814">
        <w:t>close to 700 participants with various cancer types is manageable (refer to IB)</w:t>
      </w:r>
      <w:r w:rsidR="00042DE1" w:rsidRPr="00AF1814">
        <w:t xml:space="preserve">, and </w:t>
      </w:r>
      <w:r w:rsidRPr="00AF1814">
        <w:t>no increased risks have been observed in 2</w:t>
      </w:r>
      <w:r w:rsidR="00DB663B" w:rsidRPr="00AF1814">
        <w:t> </w:t>
      </w:r>
      <w:r w:rsidRPr="00AF1814">
        <w:t>studies of bintrafusp alfa combined with chemotherapy, compared to what can be expected from current experience, respectively, with chemotherapy and bintrafusp alfa alone</w:t>
      </w:r>
      <w:r w:rsidR="00276F92" w:rsidRPr="00AF1814">
        <w:t>.</w:t>
      </w:r>
      <w:r w:rsidR="00B62895" w:rsidRPr="00AF1814">
        <w:t xml:space="preserve"> </w:t>
      </w:r>
      <w:r w:rsidR="00F35F97" w:rsidRPr="00AF1814">
        <w:t>Identified risks of bintrafusp alfa include infusion-related reactions (IRR</w:t>
      </w:r>
      <w:r w:rsidR="009548D8" w:rsidRPr="00AF1814">
        <w:t>s</w:t>
      </w:r>
      <w:r w:rsidR="00F35F97" w:rsidRPr="00AF1814">
        <w:t>), immune-related adverse events (irAEs), and dermatologic adverse events (AEs) related to TGF-β inhibition (refer to IB for full safety details).</w:t>
      </w:r>
      <w:r w:rsidR="00AA45C7" w:rsidRPr="00AF1814">
        <w:t xml:space="preserve"> </w:t>
      </w:r>
      <w:r w:rsidR="00C23A12" w:rsidRPr="00AF1814">
        <w:t>The identified and potential risks with bintrafusp alfa monotherapy were overall manageable and no new safety signals emerged in the Phase I studies (EMR200647</w:t>
      </w:r>
      <w:r w:rsidR="00AA45C7" w:rsidRPr="00AF1814">
        <w:noBreakHyphen/>
      </w:r>
      <w:r w:rsidR="00C23A12" w:rsidRPr="00AF1814">
        <w:t>001, MS200647</w:t>
      </w:r>
      <w:r w:rsidR="00911556" w:rsidRPr="00AF1814">
        <w:t>_</w:t>
      </w:r>
      <w:r w:rsidR="00C23A12" w:rsidRPr="00AF1814">
        <w:t xml:space="preserve">0008) compared with </w:t>
      </w:r>
      <w:r w:rsidR="00C23A12" w:rsidRPr="00E44F28">
        <w:t xml:space="preserve">therapies targeting </w:t>
      </w:r>
      <w:bookmarkStart w:id="70" w:name="_Hlk523767526"/>
      <w:r w:rsidR="00C23A12" w:rsidRPr="00E44F28">
        <w:t>PD-L1</w:t>
      </w:r>
      <w:bookmarkEnd w:id="70"/>
      <w:r w:rsidR="00C23A12" w:rsidRPr="00E44F28">
        <w:t xml:space="preserve"> or TGF-β. </w:t>
      </w:r>
    </w:p>
    <w:p w14:paraId="6DA10EF7" w14:textId="7BDBAC09" w:rsidR="0006197E" w:rsidRPr="00E44F28" w:rsidRDefault="00DA3174" w:rsidP="00C23A12">
      <w:pPr>
        <w:pStyle w:val="BodyText"/>
      </w:pPr>
      <w:r w:rsidRPr="00E44F28">
        <w:t>Bintr</w:t>
      </w:r>
      <w:r w:rsidR="004F07DF" w:rsidRPr="00E44F28">
        <w:t>a</w:t>
      </w:r>
      <w:r w:rsidRPr="00E44F28">
        <w:t xml:space="preserve">fusp alfa </w:t>
      </w:r>
      <w:r w:rsidR="00D9588E" w:rsidRPr="00E44F28">
        <w:t xml:space="preserve">initial results </w:t>
      </w:r>
      <w:r w:rsidRPr="00E44F28">
        <w:t>ha</w:t>
      </w:r>
      <w:r w:rsidR="00D9588E" w:rsidRPr="00E44F28">
        <w:t>ve</w:t>
      </w:r>
      <w:r w:rsidRPr="00E44F28">
        <w:t xml:space="preserve"> </w:t>
      </w:r>
      <w:r w:rsidR="003B6376" w:rsidRPr="00E44F28">
        <w:t xml:space="preserve">shown </w:t>
      </w:r>
      <w:r w:rsidRPr="00E44F28">
        <w:t xml:space="preserve">encouraging clinical efficacy in </w:t>
      </w:r>
      <w:r w:rsidR="0069372A" w:rsidRPr="00E44F28">
        <w:t xml:space="preserve">a heavily pretreated </w:t>
      </w:r>
      <w:r w:rsidRPr="00E44F28">
        <w:t xml:space="preserve">cervical cancer </w:t>
      </w:r>
      <w:r w:rsidR="0069372A" w:rsidRPr="00E44F28">
        <w:t>population</w:t>
      </w:r>
      <w:r w:rsidR="0069372A" w:rsidRPr="00E44F28">
        <w:rPr>
          <w:rStyle w:val="CommentReference"/>
          <w:rFonts w:eastAsia="Calibri" w:cs="Cordia New"/>
        </w:rPr>
        <w:t xml:space="preserve"> </w:t>
      </w:r>
      <w:r w:rsidRPr="00E44F28">
        <w:t>with favorable response rate and durability compared to historical benchmarks (</w:t>
      </w:r>
      <w:r w:rsidR="009548D8" w:rsidRPr="00E44F28">
        <w:t>s</w:t>
      </w:r>
      <w:r w:rsidRPr="00E44F28">
        <w:t xml:space="preserve">ee Section </w:t>
      </w:r>
      <w:r w:rsidR="009548D8" w:rsidRPr="00E44F28">
        <w:fldChar w:fldCharType="begin"/>
      </w:r>
      <w:r w:rsidR="009548D8" w:rsidRPr="00E44F28">
        <w:instrText xml:space="preserve"> REF _Ref32311786 \w \h  \* MERGEFORMAT </w:instrText>
      </w:r>
      <w:r w:rsidR="009548D8" w:rsidRPr="00E44F28">
        <w:fldChar w:fldCharType="separate"/>
      </w:r>
      <w:r w:rsidR="00C548C3" w:rsidRPr="00E44F28">
        <w:t>2.2</w:t>
      </w:r>
      <w:r w:rsidR="009548D8" w:rsidRPr="00E44F28">
        <w:fldChar w:fldCharType="end"/>
      </w:r>
      <w:r w:rsidRPr="00E44F28">
        <w:t>).</w:t>
      </w:r>
    </w:p>
    <w:p w14:paraId="56C81237" w14:textId="597C4AC3" w:rsidR="0085279E" w:rsidRPr="00AF1814" w:rsidRDefault="00DA3174" w:rsidP="004D50E5">
      <w:pPr>
        <w:pStyle w:val="BodyText"/>
      </w:pPr>
      <w:r w:rsidRPr="00E44F28">
        <w:t>T</w:t>
      </w:r>
      <w:r w:rsidR="009977EF" w:rsidRPr="00E44F28">
        <w:t xml:space="preserve">his study is to investigate if the safety </w:t>
      </w:r>
      <w:r w:rsidR="009977EF" w:rsidRPr="00AF1814">
        <w:t xml:space="preserve">profile of bintrafusp alfa in combination with platinum therapy and paclitaxel with or without bevacizumab in participants with </w:t>
      </w:r>
      <w:r w:rsidR="002D5CE2">
        <w:t>recurrent, persistent</w:t>
      </w:r>
      <w:r w:rsidR="006C2510">
        <w:t>,</w:t>
      </w:r>
      <w:r w:rsidR="002D5CE2">
        <w:t xml:space="preserve"> or </w:t>
      </w:r>
      <w:r w:rsidR="009977EF" w:rsidRPr="00AF1814">
        <w:t xml:space="preserve">metastatic cervical cancer or platinum therapy </w:t>
      </w:r>
      <w:r w:rsidR="002D5CE2">
        <w:t>and definitive</w:t>
      </w:r>
      <w:r w:rsidR="002D5CE2" w:rsidRPr="00AF1814">
        <w:t xml:space="preserve"> </w:t>
      </w:r>
      <w:r w:rsidR="009977EF" w:rsidRPr="00AF1814">
        <w:t xml:space="preserve">radiation in participants with locally </w:t>
      </w:r>
      <w:r w:rsidR="009977EF" w:rsidRPr="00AF1814">
        <w:rPr>
          <w:rFonts w:eastAsia="TimesNewRoman"/>
          <w:szCs w:val="24"/>
        </w:rPr>
        <w:t xml:space="preserve">advanced can support </w:t>
      </w:r>
      <w:r w:rsidR="009977EF" w:rsidRPr="00AF1814">
        <w:t>future clinical development in these patient population.</w:t>
      </w:r>
    </w:p>
    <w:p w14:paraId="546FA4D1" w14:textId="0546296B" w:rsidR="00425240" w:rsidRPr="00AF1814" w:rsidRDefault="00DA3174" w:rsidP="004D50E5">
      <w:pPr>
        <w:pStyle w:val="BodyText"/>
      </w:pPr>
      <w:r w:rsidRPr="00AF1814">
        <w:t xml:space="preserve">Since the reporting of </w:t>
      </w:r>
      <w:r w:rsidR="00F65EA6" w:rsidRPr="00AF1814">
        <w:t>Gynecologic Oncology Group (</w:t>
      </w:r>
      <w:r w:rsidRPr="00AF1814">
        <w:t>GOG</w:t>
      </w:r>
      <w:r w:rsidR="00F65EA6" w:rsidRPr="00AF1814">
        <w:t>)</w:t>
      </w:r>
      <w:r w:rsidR="00507680" w:rsidRPr="00AF1814">
        <w:t>-</w:t>
      </w:r>
      <w:r w:rsidRPr="00AF1814">
        <w:t>240, b</w:t>
      </w:r>
      <w:r w:rsidR="00985BCC" w:rsidRPr="00AF1814">
        <w:t xml:space="preserve">evacizumab has </w:t>
      </w:r>
      <w:r w:rsidRPr="00AF1814">
        <w:t xml:space="preserve">frequently </w:t>
      </w:r>
      <w:r w:rsidR="00985BCC" w:rsidRPr="00AF1814">
        <w:t xml:space="preserve">been used in combination with </w:t>
      </w:r>
      <w:r w:rsidRPr="00AF1814">
        <w:t>chemotherapy</w:t>
      </w:r>
      <w:r w:rsidR="00985BCC" w:rsidRPr="00AF1814">
        <w:t xml:space="preserve"> for the treatment of </w:t>
      </w:r>
      <w:r w:rsidR="00F35F97" w:rsidRPr="00AF1814">
        <w:t xml:space="preserve">Stage IVB recurrent or persistent </w:t>
      </w:r>
      <w:r w:rsidR="00985BCC" w:rsidRPr="00AF1814">
        <w:t>cervical cancer</w:t>
      </w:r>
      <w:r w:rsidR="00F35F97" w:rsidRPr="00AF1814">
        <w:t xml:space="preserve"> (</w:t>
      </w:r>
      <w:hyperlink w:anchor="_Tewari_KS,_Sill_1" w:history="1">
        <w:r w:rsidR="002F5B53" w:rsidRPr="00AF1814">
          <w:rPr>
            <w:rStyle w:val="Hyperlink"/>
          </w:rPr>
          <w:t xml:space="preserve">Tewari </w:t>
        </w:r>
        <w:r w:rsidR="002F5B53">
          <w:rPr>
            <w:rStyle w:val="Hyperlink"/>
          </w:rPr>
          <w:t>2017</w:t>
        </w:r>
      </w:hyperlink>
      <w:r w:rsidR="00AA45C7" w:rsidRPr="00AF1814">
        <w:t>)</w:t>
      </w:r>
      <w:r w:rsidR="00C93496" w:rsidRPr="00AF1814">
        <w:t>, although the cost-effectiveness of the addition of bevacizumab continues to be evaluated</w:t>
      </w:r>
      <w:r w:rsidR="00F35F97" w:rsidRPr="00AF1814">
        <w:t xml:space="preserve"> (</w:t>
      </w:r>
      <w:hyperlink w:anchor="_Phippen_NT,_Leath" w:history="1">
        <w:r w:rsidR="00745852" w:rsidRPr="00AF1814">
          <w:rPr>
            <w:rStyle w:val="Hyperlink"/>
            <w:lang w:val="en"/>
          </w:rPr>
          <w:t>Phippen </w:t>
        </w:r>
        <w:r w:rsidR="00745852" w:rsidRPr="00AF1814">
          <w:rPr>
            <w:rStyle w:val="Hyperlink"/>
          </w:rPr>
          <w:t>2015</w:t>
        </w:r>
      </w:hyperlink>
      <w:r w:rsidR="00745852" w:rsidRPr="00AF1814">
        <w:t>)</w:t>
      </w:r>
      <w:r w:rsidR="00985BCC" w:rsidRPr="00AF1814">
        <w:t xml:space="preserve">. </w:t>
      </w:r>
      <w:r w:rsidR="00C93496" w:rsidRPr="00AF1814">
        <w:t xml:space="preserve">In addition to the financial </w:t>
      </w:r>
      <w:r w:rsidR="00F35F97" w:rsidRPr="00AF1814">
        <w:t>burden</w:t>
      </w:r>
      <w:r w:rsidR="00C93496" w:rsidRPr="00AF1814">
        <w:t xml:space="preserve"> of bevacizumab, there are clinical factors that must be considered prior to initiating bevacizumab as a component for front-line therapy. </w:t>
      </w:r>
      <w:r w:rsidR="00621AE6" w:rsidRPr="00AF1814">
        <w:t xml:space="preserve">The specific exclusion criteria for participants </w:t>
      </w:r>
      <w:r w:rsidR="004E2C5E" w:rsidRPr="00AF1814">
        <w:t xml:space="preserve">to receive bevacizumab </w:t>
      </w:r>
      <w:r w:rsidR="00621AE6" w:rsidRPr="00AF1814">
        <w:t xml:space="preserve">in Cohort 1A </w:t>
      </w:r>
      <w:r w:rsidR="00981E8C" w:rsidRPr="00AF1814">
        <w:t>(</w:t>
      </w:r>
      <w:r w:rsidR="009548D8" w:rsidRPr="00AF1814">
        <w:t>s</w:t>
      </w:r>
      <w:r w:rsidR="00981E8C" w:rsidRPr="00AF1814">
        <w:t xml:space="preserve">ee </w:t>
      </w:r>
      <w:r w:rsidR="00981E8C" w:rsidRPr="00E44F28">
        <w:t xml:space="preserve">Section </w:t>
      </w:r>
      <w:r w:rsidR="000A5D9F" w:rsidRPr="00E44F28">
        <w:fldChar w:fldCharType="begin"/>
      </w:r>
      <w:r w:rsidR="000A5D9F" w:rsidRPr="00E44F28">
        <w:instrText xml:space="preserve"> REF _Ref32398835 \w \h </w:instrText>
      </w:r>
      <w:r w:rsidR="00AF1814" w:rsidRPr="00E44F28">
        <w:instrText xml:space="preserve"> \* MERGEFORMAT </w:instrText>
      </w:r>
      <w:r w:rsidR="000A5D9F" w:rsidRPr="00E44F28">
        <w:fldChar w:fldCharType="separate"/>
      </w:r>
      <w:r w:rsidR="00C548C3" w:rsidRPr="00E44F28">
        <w:t>5.2</w:t>
      </w:r>
      <w:r w:rsidR="000A5D9F" w:rsidRPr="00E44F28">
        <w:fldChar w:fldCharType="end"/>
      </w:r>
      <w:r w:rsidR="00981E8C" w:rsidRPr="00E44F28">
        <w:t xml:space="preserve">) </w:t>
      </w:r>
      <w:r w:rsidR="00621AE6" w:rsidRPr="00E44F28">
        <w:t xml:space="preserve">are </w:t>
      </w:r>
      <w:r w:rsidR="00621AE6" w:rsidRPr="00AF1814">
        <w:t xml:space="preserve">to mitigate known bevacizumab toxicities such as history of vascular disease and/or hypertension, prior bleeding/coagulopathy, conditions that may increase risk of fistulation, wound healing, and proteinuria. These toxicities of bevacizumab largely do not overlap with the known bintrafusp alfa toxicity profile. </w:t>
      </w:r>
      <w:r w:rsidRPr="00AF1814">
        <w:t xml:space="preserve">It is noted that </w:t>
      </w:r>
      <w:r w:rsidR="0040303A" w:rsidRPr="00AF1814">
        <w:t>low grade mucosal bleedings</w:t>
      </w:r>
      <w:r w:rsidRPr="00AF1814">
        <w:t xml:space="preserve"> and impaired wound healing or repair of tissue damage are considered potential risks for b</w:t>
      </w:r>
      <w:r w:rsidR="0040303A" w:rsidRPr="00AF1814">
        <w:t xml:space="preserve">intrafusp </w:t>
      </w:r>
      <w:r w:rsidR="00EC7DF7" w:rsidRPr="00AF1814">
        <w:t xml:space="preserve">alfa </w:t>
      </w:r>
      <w:r w:rsidR="0040303A" w:rsidRPr="00AF1814">
        <w:t>and</w:t>
      </w:r>
      <w:r w:rsidRPr="00AF1814">
        <w:t xml:space="preserve"> will be monitored in this study.</w:t>
      </w:r>
    </w:p>
    <w:p w14:paraId="5A12C1C9" w14:textId="3C40E893" w:rsidR="00D75397" w:rsidRPr="00AF1814" w:rsidRDefault="00DA3174" w:rsidP="004D50E5">
      <w:pPr>
        <w:pStyle w:val="BodyText"/>
      </w:pPr>
      <w:r w:rsidRPr="00AF1814">
        <w:t xml:space="preserve">Cohorts 1 </w:t>
      </w:r>
      <w:r w:rsidR="00883E43" w:rsidRPr="00AF1814">
        <w:t xml:space="preserve">(Cohort 1A and Cohort 1B) </w:t>
      </w:r>
      <w:r w:rsidRPr="00AF1814">
        <w:t>and 2 will evaluate the addition of bintrafusp alfa to standard of care treatments for pa</w:t>
      </w:r>
      <w:r w:rsidR="003B56BB" w:rsidRPr="00AF1814">
        <w:t>rticipants</w:t>
      </w:r>
      <w:r w:rsidRPr="00AF1814">
        <w:t xml:space="preserve"> with cervical cancer that is metastatic</w:t>
      </w:r>
      <w:r w:rsidR="00322CD5">
        <w:t>/</w:t>
      </w:r>
      <w:r w:rsidR="00AC3AAA">
        <w:t>recurrent</w:t>
      </w:r>
      <w:r w:rsidR="00322CD5">
        <w:t>/</w:t>
      </w:r>
      <w:r w:rsidR="00AC3AAA">
        <w:t xml:space="preserve">persistent or </w:t>
      </w:r>
      <w:r w:rsidRPr="00AF1814">
        <w:t xml:space="preserve">locally advanced, respectively. Bintrafusp alfa has shown preliminary activity in heavily pretreated cervical cancer </w:t>
      </w:r>
      <w:r w:rsidR="00BC0FFC" w:rsidRPr="00AF1814">
        <w:t>participants</w:t>
      </w:r>
      <w:r w:rsidRPr="00AF1814">
        <w:t xml:space="preserve"> as a monotherapy. In addition, the safety profile of bintrafusp alfa has been well characterized after evaluation in </w:t>
      </w:r>
      <w:r w:rsidR="006E773F">
        <w:t>close to</w:t>
      </w:r>
      <w:r w:rsidRPr="00AF1814">
        <w:t xml:space="preserve"> </w:t>
      </w:r>
      <w:r w:rsidR="003B56BB" w:rsidRPr="00AF1814">
        <w:t>700</w:t>
      </w:r>
      <w:r w:rsidR="001441A7" w:rsidRPr="00AF1814">
        <w:t xml:space="preserve"> participants </w:t>
      </w:r>
      <w:r w:rsidRPr="00AF1814">
        <w:t>as a manageable safety profile. Included in these evaluations is tolerability with a variety of chemotherapy agents in combination</w:t>
      </w:r>
      <w:r w:rsidR="00730754" w:rsidRPr="00AF1814">
        <w:t xml:space="preserve"> (see </w:t>
      </w:r>
      <w:r w:rsidR="00730754" w:rsidRPr="00E44F28">
        <w:t>Section </w:t>
      </w:r>
      <w:r w:rsidR="00730754" w:rsidRPr="00E44F28">
        <w:fldChar w:fldCharType="begin"/>
      </w:r>
      <w:r w:rsidR="00730754" w:rsidRPr="00E44F28">
        <w:instrText xml:space="preserve"> REF _Ref32311786 \w \h </w:instrText>
      </w:r>
      <w:r w:rsidR="00AF1814" w:rsidRPr="00E44F28">
        <w:instrText xml:space="preserve"> \* MERGEFORMAT </w:instrText>
      </w:r>
      <w:r w:rsidR="00730754" w:rsidRPr="00E44F28">
        <w:fldChar w:fldCharType="separate"/>
      </w:r>
      <w:r w:rsidR="00C548C3" w:rsidRPr="00E44F28">
        <w:t>2.2</w:t>
      </w:r>
      <w:r w:rsidR="00730754" w:rsidRPr="00E44F28">
        <w:fldChar w:fldCharType="end"/>
      </w:r>
      <w:r w:rsidR="00730754" w:rsidRPr="00E44F28">
        <w:t>)</w:t>
      </w:r>
      <w:r w:rsidRPr="00E44F28">
        <w:t xml:space="preserve">. The </w:t>
      </w:r>
      <w:r w:rsidRPr="00AF1814">
        <w:t xml:space="preserve">addition of bevacizumab does provide some potential overlapping </w:t>
      </w:r>
      <w:r w:rsidR="003D74E1" w:rsidRPr="00AF1814">
        <w:t>toxicities,</w:t>
      </w:r>
      <w:r w:rsidR="006B35E2" w:rsidRPr="00AF1814">
        <w:t xml:space="preserve"> and t</w:t>
      </w:r>
      <w:r w:rsidRPr="00AF1814">
        <w:t xml:space="preserve">hese will be closely monitored through the conduct of the study. In addition, the protocol includes exclusion criteria specific for </w:t>
      </w:r>
      <w:r w:rsidR="001441A7" w:rsidRPr="00AF1814">
        <w:t>participants</w:t>
      </w:r>
      <w:r w:rsidRPr="00AF1814">
        <w:t xml:space="preserve"> enrolling to receive bevacizumab to enroll </w:t>
      </w:r>
      <w:r w:rsidR="001441A7" w:rsidRPr="00AF1814">
        <w:t>participants</w:t>
      </w:r>
      <w:r w:rsidRPr="00AF1814">
        <w:t xml:space="preserve"> suitable for treatment with bevacizumab. </w:t>
      </w:r>
      <w:r w:rsidR="001451EB" w:rsidRPr="00AF1814">
        <w:t xml:space="preserve">Across all cohorts, the addition of bintrafusp alfa presents a reasonable risk-benefit profile for study based upon prior activity of bintrafusp alfa </w:t>
      </w:r>
      <w:r w:rsidR="001451EB" w:rsidRPr="00AF1814">
        <w:lastRenderedPageBreak/>
        <w:t xml:space="preserve">in cervical cancer </w:t>
      </w:r>
      <w:r w:rsidR="001441A7" w:rsidRPr="00AF1814">
        <w:t>participants</w:t>
      </w:r>
      <w:r w:rsidR="001451EB" w:rsidRPr="00AF1814">
        <w:t xml:space="preserve"> with later stage disease and manageable safety profile for these combinations with appropriate selection and monitoring of </w:t>
      </w:r>
      <w:r w:rsidR="001441A7" w:rsidRPr="00AF1814">
        <w:t>participants</w:t>
      </w:r>
      <w:r w:rsidR="001451EB" w:rsidRPr="00AF1814">
        <w:t xml:space="preserve"> in this Phase </w:t>
      </w:r>
      <w:r w:rsidR="006B35E2" w:rsidRPr="00AF1814">
        <w:t>I</w:t>
      </w:r>
      <w:r w:rsidR="001451EB" w:rsidRPr="00AF1814">
        <w:t xml:space="preserve"> setting.</w:t>
      </w:r>
    </w:p>
    <w:p w14:paraId="1CA13063" w14:textId="545FA167" w:rsidR="00DE501F" w:rsidRPr="00AF1814" w:rsidRDefault="00DA3174" w:rsidP="00DE501F">
      <w:pPr>
        <w:pStyle w:val="List1withoutbullet"/>
        <w:tabs>
          <w:tab w:val="clear" w:pos="284"/>
          <w:tab w:val="left" w:pos="0"/>
        </w:tabs>
        <w:ind w:left="0"/>
      </w:pPr>
      <w:r w:rsidRPr="00AF1814">
        <w:rPr>
          <w:rFonts w:eastAsia="Calibri"/>
          <w:szCs w:val="24"/>
        </w:rPr>
        <w:t xml:space="preserve">More detailed information about the known and expected benefits and risks and reasonably expected </w:t>
      </w:r>
      <w:r w:rsidR="009548D8" w:rsidRPr="00AF1814">
        <w:rPr>
          <w:rFonts w:eastAsia="Calibri"/>
          <w:szCs w:val="24"/>
        </w:rPr>
        <w:t>AEs</w:t>
      </w:r>
      <w:r w:rsidRPr="00AF1814">
        <w:rPr>
          <w:rFonts w:eastAsia="Calibri"/>
          <w:szCs w:val="24"/>
        </w:rPr>
        <w:t xml:space="preserve"> of</w:t>
      </w:r>
      <w:r w:rsidRPr="00AF1814">
        <w:t xml:space="preserve"> bintrafusp alfa </w:t>
      </w:r>
      <w:r w:rsidRPr="00AF1814">
        <w:rPr>
          <w:rFonts w:eastAsia="Calibri"/>
          <w:szCs w:val="24"/>
        </w:rPr>
        <w:t xml:space="preserve">may be found in </w:t>
      </w:r>
      <w:r w:rsidRPr="00E44F28">
        <w:rPr>
          <w:rFonts w:eastAsia="Calibri"/>
          <w:szCs w:val="24"/>
        </w:rPr>
        <w:t xml:space="preserve">Section </w:t>
      </w:r>
      <w:r w:rsidR="00883E43" w:rsidRPr="00E44F28">
        <w:rPr>
          <w:rFonts w:eastAsia="Calibri"/>
          <w:szCs w:val="24"/>
        </w:rPr>
        <w:fldChar w:fldCharType="begin"/>
      </w:r>
      <w:r w:rsidR="00883E43" w:rsidRPr="00E44F28">
        <w:rPr>
          <w:rFonts w:eastAsia="Calibri"/>
          <w:szCs w:val="24"/>
        </w:rPr>
        <w:instrText xml:space="preserve"> REF _Ref36549101 \w \h </w:instrText>
      </w:r>
      <w:r w:rsidR="000A5D9F" w:rsidRPr="00E44F28">
        <w:rPr>
          <w:rFonts w:eastAsia="Calibri"/>
          <w:szCs w:val="24"/>
        </w:rPr>
        <w:instrText xml:space="preserve"> \* MERGEFORMAT </w:instrText>
      </w:r>
      <w:r w:rsidR="00883E43" w:rsidRPr="00E44F28">
        <w:rPr>
          <w:rFonts w:eastAsia="Calibri"/>
          <w:szCs w:val="24"/>
        </w:rPr>
      </w:r>
      <w:r w:rsidR="00883E43" w:rsidRPr="00E44F28">
        <w:rPr>
          <w:rFonts w:eastAsia="Calibri"/>
          <w:szCs w:val="24"/>
        </w:rPr>
        <w:fldChar w:fldCharType="separate"/>
      </w:r>
      <w:r w:rsidR="00C548C3" w:rsidRPr="00E44F28">
        <w:rPr>
          <w:rFonts w:eastAsia="Calibri"/>
          <w:szCs w:val="24"/>
        </w:rPr>
        <w:t>4.2</w:t>
      </w:r>
      <w:r w:rsidR="00883E43" w:rsidRPr="00E44F28">
        <w:rPr>
          <w:rFonts w:eastAsia="Calibri"/>
          <w:szCs w:val="24"/>
        </w:rPr>
        <w:fldChar w:fldCharType="end"/>
      </w:r>
      <w:r w:rsidRPr="00AF1814">
        <w:rPr>
          <w:rFonts w:eastAsia="Calibri"/>
          <w:color w:val="0000FF"/>
          <w:szCs w:val="24"/>
        </w:rPr>
        <w:t xml:space="preserve"> </w:t>
      </w:r>
      <w:r w:rsidRPr="00AF1814">
        <w:rPr>
          <w:rFonts w:eastAsia="Calibri"/>
          <w:szCs w:val="24"/>
        </w:rPr>
        <w:t>and the</w:t>
      </w:r>
      <w:r w:rsidRPr="00AF1814">
        <w:t xml:space="preserve"> </w:t>
      </w:r>
      <w:r w:rsidR="00DB663B" w:rsidRPr="00AF1814">
        <w:t>IB</w:t>
      </w:r>
      <w:r w:rsidRPr="00AF1814">
        <w:t>.</w:t>
      </w:r>
    </w:p>
    <w:p w14:paraId="6EC9FCCF" w14:textId="77777777" w:rsidR="00DE501F" w:rsidRPr="00AF1814" w:rsidRDefault="00DA3174" w:rsidP="00DE501F">
      <w:pPr>
        <w:pStyle w:val="BodyText"/>
        <w:tabs>
          <w:tab w:val="left" w:pos="0"/>
        </w:tabs>
      </w:pPr>
      <w:r w:rsidRPr="00AF1814">
        <w:rPr>
          <w:rFonts w:eastAsia="Calibri"/>
          <w:szCs w:val="24"/>
        </w:rPr>
        <w:t>Based on the available</w:t>
      </w:r>
      <w:r w:rsidRPr="00AF1814">
        <w:t xml:space="preserve"> nonclinical and clinical data</w:t>
      </w:r>
      <w:r w:rsidR="00DB663B" w:rsidRPr="00AF1814">
        <w:t xml:space="preserve"> to date, the conduct of the study, as specified in this protocol, is considered justifiable.</w:t>
      </w:r>
    </w:p>
    <w:p w14:paraId="55F48FE7" w14:textId="77777777" w:rsidR="00A5386D" w:rsidRPr="00AF1814" w:rsidRDefault="00DA3174" w:rsidP="009172DD">
      <w:pPr>
        <w:pStyle w:val="Heading1"/>
        <w:keepNext w:val="0"/>
        <w:keepLines w:val="0"/>
        <w:widowControl w:val="0"/>
        <w:tabs>
          <w:tab w:val="clear" w:pos="4716"/>
          <w:tab w:val="num" w:pos="4230"/>
        </w:tabs>
        <w:ind w:left="1979" w:hanging="1979"/>
      </w:pPr>
      <w:bookmarkStart w:id="71" w:name="_Toc506469808"/>
      <w:bookmarkStart w:id="72" w:name="_Toc44601648"/>
      <w:bookmarkEnd w:id="71"/>
      <w:r w:rsidRPr="00AF1814">
        <w:t>Objectives and Endpoints</w:t>
      </w:r>
      <w:bookmarkEnd w:id="72"/>
    </w:p>
    <w:p w14:paraId="224170C1" w14:textId="69899298" w:rsidR="00CA4788" w:rsidRPr="00AF1814" w:rsidRDefault="00DA3174" w:rsidP="00270DA1">
      <w:pPr>
        <w:pStyle w:val="Caption"/>
        <w:keepNext w:val="0"/>
        <w:keepLines w:val="0"/>
        <w:widowControl w:val="0"/>
        <w:ind w:left="2019" w:hanging="2019"/>
      </w:pPr>
      <w:bookmarkStart w:id="73" w:name="_Toc44601750"/>
      <w:r w:rsidRPr="00AF1814">
        <w:t xml:space="preserve">Table </w:t>
      </w:r>
      <w:r w:rsidR="0093258F" w:rsidRPr="00AF1814">
        <w:fldChar w:fldCharType="begin"/>
      </w:r>
      <w:r w:rsidR="0093258F" w:rsidRPr="00AF1814">
        <w:instrText xml:space="preserve"> SEQ Table \* ARABIC </w:instrText>
      </w:r>
      <w:r w:rsidR="0093258F" w:rsidRPr="00AF1814">
        <w:fldChar w:fldCharType="separate"/>
      </w:r>
      <w:r w:rsidR="00C548C3">
        <w:rPr>
          <w:noProof/>
        </w:rPr>
        <w:t>6</w:t>
      </w:r>
      <w:r w:rsidR="0093258F" w:rsidRPr="00AF1814">
        <w:fldChar w:fldCharType="end"/>
      </w:r>
      <w:r w:rsidRPr="00AF1814">
        <w:tab/>
        <w:t>Objectives and Endpoints</w:t>
      </w:r>
      <w:bookmarkEnd w:id="73"/>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823"/>
      </w:tblGrid>
      <w:tr w:rsidR="002108B2" w:rsidRPr="00AF1814" w14:paraId="3A9AF19C" w14:textId="77777777" w:rsidTr="00B051D3">
        <w:trPr>
          <w:cantSplit/>
        </w:trPr>
        <w:tc>
          <w:tcPr>
            <w:tcW w:w="2422" w:type="pct"/>
            <w:shd w:val="clear" w:color="auto" w:fill="auto"/>
          </w:tcPr>
          <w:p w14:paraId="438F5BCD" w14:textId="77777777" w:rsidR="00720E8C" w:rsidRPr="00AF1814" w:rsidRDefault="00DA3174" w:rsidP="004A6D94">
            <w:pPr>
              <w:pStyle w:val="Tableheading"/>
              <w:keepNext w:val="0"/>
              <w:keepLines w:val="0"/>
              <w:widowControl w:val="0"/>
              <w:rPr>
                <w:rFonts w:eastAsia="Calibri"/>
              </w:rPr>
            </w:pPr>
            <w:r w:rsidRPr="00AF1814">
              <w:rPr>
                <w:rFonts w:eastAsia="Calibri" w:cs="Arial"/>
                <w:szCs w:val="18"/>
              </w:rPr>
              <w:t>Objectives</w:t>
            </w:r>
          </w:p>
        </w:tc>
        <w:tc>
          <w:tcPr>
            <w:tcW w:w="2578" w:type="pct"/>
            <w:shd w:val="clear" w:color="auto" w:fill="auto"/>
          </w:tcPr>
          <w:p w14:paraId="6DC1B072" w14:textId="77777777" w:rsidR="00720E8C" w:rsidRPr="00AF1814" w:rsidRDefault="00DA3174" w:rsidP="004A6D94">
            <w:pPr>
              <w:pStyle w:val="Tableheading"/>
              <w:keepNext w:val="0"/>
              <w:keepLines w:val="0"/>
              <w:widowControl w:val="0"/>
              <w:rPr>
                <w:rFonts w:eastAsia="Calibri"/>
              </w:rPr>
            </w:pPr>
            <w:r w:rsidRPr="00AF1814">
              <w:rPr>
                <w:rFonts w:eastAsia="Calibri" w:cs="Arial"/>
                <w:szCs w:val="18"/>
              </w:rPr>
              <w:t>Endpoints</w:t>
            </w:r>
          </w:p>
        </w:tc>
      </w:tr>
      <w:tr w:rsidR="002108B2" w:rsidRPr="00AF1814" w14:paraId="10232B20" w14:textId="77777777" w:rsidTr="00B051D3">
        <w:trPr>
          <w:cantSplit/>
        </w:trPr>
        <w:tc>
          <w:tcPr>
            <w:tcW w:w="5000" w:type="pct"/>
            <w:gridSpan w:val="2"/>
            <w:shd w:val="clear" w:color="auto" w:fill="D9D9D9" w:themeFill="background1" w:themeFillShade="D9"/>
          </w:tcPr>
          <w:p w14:paraId="6533D299" w14:textId="77777777" w:rsidR="00720E8C" w:rsidRPr="00AF1814" w:rsidRDefault="00DA3174" w:rsidP="004A6D94">
            <w:pPr>
              <w:pStyle w:val="Tabletext"/>
              <w:keepLines w:val="0"/>
              <w:widowControl w:val="0"/>
              <w:rPr>
                <w:b/>
                <w:lang w:val="en-GB"/>
              </w:rPr>
            </w:pPr>
            <w:r w:rsidRPr="00AF1814">
              <w:rPr>
                <w:rFonts w:eastAsia="Calibri"/>
                <w:b/>
              </w:rPr>
              <w:t>Primary</w:t>
            </w:r>
          </w:p>
        </w:tc>
      </w:tr>
      <w:tr w:rsidR="002108B2" w:rsidRPr="00AF1814" w14:paraId="4DF88B6F" w14:textId="77777777" w:rsidTr="00B051D3">
        <w:trPr>
          <w:cantSplit/>
        </w:trPr>
        <w:tc>
          <w:tcPr>
            <w:tcW w:w="2422" w:type="pct"/>
          </w:tcPr>
          <w:p w14:paraId="71C5A9F6" w14:textId="15802780" w:rsidR="006E773F" w:rsidRDefault="00DA3174" w:rsidP="004A6D94">
            <w:pPr>
              <w:pStyle w:val="Tabletext"/>
              <w:keepLines w:val="0"/>
              <w:widowControl w:val="0"/>
            </w:pPr>
            <w:r w:rsidRPr="00AF1814">
              <w:t xml:space="preserve">To evaluate the safety and tolerability of bintrafusp alfa in combination with </w:t>
            </w:r>
          </w:p>
          <w:p w14:paraId="3A24A24F" w14:textId="4ADCEE75" w:rsidR="006E773F" w:rsidRDefault="00DA3174" w:rsidP="004A6D94">
            <w:pPr>
              <w:pStyle w:val="Tabletext"/>
              <w:keepLines w:val="0"/>
              <w:widowControl w:val="0"/>
            </w:pPr>
            <w:r w:rsidRPr="00AF1814">
              <w:t xml:space="preserve">(1) chemotherapy with or without bevacizumab in participants with </w:t>
            </w:r>
            <w:r w:rsidR="006E773F">
              <w:t>recurrent, persistent</w:t>
            </w:r>
            <w:r w:rsidR="00533CB6">
              <w:t>,</w:t>
            </w:r>
            <w:r w:rsidR="006E773F">
              <w:t xml:space="preserve"> or </w:t>
            </w:r>
            <w:r w:rsidRPr="00AF1814">
              <w:t xml:space="preserve">metastatic cervical cancer or </w:t>
            </w:r>
          </w:p>
          <w:p w14:paraId="303A218C" w14:textId="529595F6" w:rsidR="00720E8C" w:rsidRPr="00AF1814" w:rsidRDefault="00DA3174" w:rsidP="004A6D94">
            <w:pPr>
              <w:pStyle w:val="Tabletext"/>
              <w:keepLines w:val="0"/>
              <w:widowControl w:val="0"/>
            </w:pPr>
            <w:r w:rsidRPr="00AF1814">
              <w:t xml:space="preserve">(2) platinum therapy </w:t>
            </w:r>
            <w:r w:rsidR="002D5CE2">
              <w:t>and definitive</w:t>
            </w:r>
            <w:r w:rsidR="002D5CE2" w:rsidRPr="00AF1814">
              <w:t xml:space="preserve"> </w:t>
            </w:r>
            <w:r w:rsidRPr="00AF1814">
              <w:t>radiation in participants with locally advanced cervical cancer</w:t>
            </w:r>
          </w:p>
        </w:tc>
        <w:tc>
          <w:tcPr>
            <w:tcW w:w="2578" w:type="pct"/>
          </w:tcPr>
          <w:p w14:paraId="4125D72B" w14:textId="77777777" w:rsidR="00720E8C" w:rsidRPr="00AF1814" w:rsidRDefault="00DA3174" w:rsidP="004A6D94">
            <w:pPr>
              <w:pStyle w:val="Tablelist"/>
              <w:keepLines w:val="0"/>
              <w:widowControl w:val="0"/>
            </w:pPr>
            <w:r w:rsidRPr="00AF1814">
              <w:t xml:space="preserve">Occurrence of DLTs </w:t>
            </w:r>
          </w:p>
          <w:p w14:paraId="63BC6842" w14:textId="77777777" w:rsidR="00720E8C" w:rsidRPr="00AF1814" w:rsidRDefault="00DA3174" w:rsidP="004A6D94">
            <w:pPr>
              <w:pStyle w:val="Tablelist"/>
              <w:keepLines w:val="0"/>
              <w:widowControl w:val="0"/>
            </w:pPr>
            <w:r w:rsidRPr="00AF1814">
              <w:t>AEs</w:t>
            </w:r>
          </w:p>
        </w:tc>
      </w:tr>
      <w:tr w:rsidR="002108B2" w:rsidRPr="00AF1814" w14:paraId="4350F0C5" w14:textId="77777777" w:rsidTr="00B051D3">
        <w:trPr>
          <w:cantSplit/>
        </w:trPr>
        <w:tc>
          <w:tcPr>
            <w:tcW w:w="5000" w:type="pct"/>
            <w:gridSpan w:val="2"/>
            <w:shd w:val="clear" w:color="auto" w:fill="D9D9D9" w:themeFill="background1" w:themeFillShade="D9"/>
          </w:tcPr>
          <w:p w14:paraId="530A0AE6" w14:textId="77777777" w:rsidR="00720E8C" w:rsidRPr="00AF1814" w:rsidRDefault="00DA3174" w:rsidP="004A6D94">
            <w:pPr>
              <w:pStyle w:val="Tabletext"/>
              <w:keepLines w:val="0"/>
              <w:widowControl w:val="0"/>
              <w:rPr>
                <w:b/>
                <w:lang w:val="en-GB"/>
              </w:rPr>
            </w:pPr>
            <w:r w:rsidRPr="00AF1814">
              <w:rPr>
                <w:rFonts w:eastAsia="Calibri"/>
                <w:b/>
              </w:rPr>
              <w:t>Secondary</w:t>
            </w:r>
          </w:p>
        </w:tc>
      </w:tr>
      <w:tr w:rsidR="002108B2" w:rsidRPr="00AF1814" w14:paraId="567B3550" w14:textId="77777777" w:rsidTr="00B051D3">
        <w:trPr>
          <w:cantSplit/>
        </w:trPr>
        <w:tc>
          <w:tcPr>
            <w:tcW w:w="2422" w:type="pct"/>
          </w:tcPr>
          <w:p w14:paraId="063CADDE" w14:textId="4BAD20ED" w:rsidR="006E773F" w:rsidRDefault="00DA3174" w:rsidP="004A6D94">
            <w:pPr>
              <w:pStyle w:val="Tabletext"/>
              <w:keepLines w:val="0"/>
              <w:widowControl w:val="0"/>
            </w:pPr>
            <w:r w:rsidRPr="00AF1814">
              <w:t xml:space="preserve">To evaluate the safety and tolerability of bintrafusp alfa in combination with </w:t>
            </w:r>
          </w:p>
          <w:p w14:paraId="12C360DC" w14:textId="18B4D6FF" w:rsidR="006E773F" w:rsidRDefault="00DA3174" w:rsidP="004A6D94">
            <w:pPr>
              <w:pStyle w:val="Tabletext"/>
              <w:keepLines w:val="0"/>
              <w:widowControl w:val="0"/>
            </w:pPr>
            <w:r w:rsidRPr="00AF1814">
              <w:t xml:space="preserve">(1) chemotherapy with or without bevacizumab in Japanese participants with </w:t>
            </w:r>
            <w:r w:rsidR="006E773F">
              <w:t>recurrent, persistent</w:t>
            </w:r>
            <w:r w:rsidR="00533CB6">
              <w:t>,</w:t>
            </w:r>
            <w:r w:rsidR="006E773F">
              <w:t xml:space="preserve"> or </w:t>
            </w:r>
            <w:r w:rsidRPr="00AF1814">
              <w:t xml:space="preserve">metastatic cervical cancer or </w:t>
            </w:r>
          </w:p>
          <w:p w14:paraId="13319FE5" w14:textId="4DBBA6B2" w:rsidR="00B02C83" w:rsidRPr="00AF1814" w:rsidRDefault="00DA3174" w:rsidP="004A6D94">
            <w:pPr>
              <w:pStyle w:val="Tabletext"/>
              <w:keepLines w:val="0"/>
              <w:widowControl w:val="0"/>
            </w:pPr>
            <w:r w:rsidRPr="00AF1814">
              <w:t xml:space="preserve">(2) platinum therapy </w:t>
            </w:r>
            <w:r w:rsidR="002D5CE2">
              <w:t>and definitive</w:t>
            </w:r>
            <w:r w:rsidRPr="00AF1814">
              <w:t xml:space="preserve"> radiation in Japanese participants with locally advanced cervical cancer</w:t>
            </w:r>
          </w:p>
        </w:tc>
        <w:tc>
          <w:tcPr>
            <w:tcW w:w="2578" w:type="pct"/>
          </w:tcPr>
          <w:p w14:paraId="71CFBE00" w14:textId="77777777" w:rsidR="00B02C83" w:rsidRPr="00AF1814" w:rsidRDefault="00DA3174" w:rsidP="004A6D94">
            <w:pPr>
              <w:pStyle w:val="Tablelist"/>
              <w:keepLines w:val="0"/>
              <w:widowControl w:val="0"/>
            </w:pPr>
            <w:r w:rsidRPr="00AF1814">
              <w:t xml:space="preserve">Occurrence of DLTs </w:t>
            </w:r>
          </w:p>
          <w:p w14:paraId="49B8ED7A" w14:textId="77777777" w:rsidR="00B02C83" w:rsidRPr="00AF1814" w:rsidRDefault="00DA3174" w:rsidP="004A6D94">
            <w:pPr>
              <w:pStyle w:val="Tablelist"/>
              <w:keepLines w:val="0"/>
              <w:widowControl w:val="0"/>
            </w:pPr>
            <w:r w:rsidRPr="00AF1814">
              <w:t>AEs</w:t>
            </w:r>
          </w:p>
        </w:tc>
      </w:tr>
      <w:tr w:rsidR="002108B2" w:rsidRPr="00AF1814" w14:paraId="7C997355" w14:textId="77777777" w:rsidTr="00B051D3">
        <w:trPr>
          <w:cantSplit/>
        </w:trPr>
        <w:tc>
          <w:tcPr>
            <w:tcW w:w="2422" w:type="pct"/>
          </w:tcPr>
          <w:p w14:paraId="4FB92FA7" w14:textId="32F6CB70" w:rsidR="00720E8C" w:rsidRPr="00AF1814" w:rsidRDefault="00DA3174" w:rsidP="004A6D94">
            <w:pPr>
              <w:pStyle w:val="Tabletext"/>
              <w:keepLines w:val="0"/>
              <w:widowControl w:val="0"/>
              <w:rPr>
                <w:rFonts w:ascii="Times New Roman" w:eastAsia="MS Mincho" w:hAnsi="Times New Roman"/>
                <w:sz w:val="24"/>
                <w:szCs w:val="24"/>
                <w:lang w:eastAsia="ja-JP" w:bidi="he-IL"/>
              </w:rPr>
            </w:pPr>
            <w:r w:rsidRPr="00AF1814">
              <w:t xml:space="preserve">To characterize PK profile of bintrafusp alfa </w:t>
            </w:r>
          </w:p>
        </w:tc>
        <w:tc>
          <w:tcPr>
            <w:tcW w:w="2578" w:type="pct"/>
          </w:tcPr>
          <w:p w14:paraId="0E660199" w14:textId="77777777" w:rsidR="00720E8C" w:rsidRPr="00AF1814" w:rsidRDefault="00DA3174" w:rsidP="004A6D94">
            <w:pPr>
              <w:pStyle w:val="Tablelist"/>
              <w:keepLines w:val="0"/>
              <w:widowControl w:val="0"/>
            </w:pPr>
            <w:r w:rsidRPr="00AF1814">
              <w:t>PK profile of bintrafusp alfa in terms of C</w:t>
            </w:r>
            <w:r w:rsidRPr="00AF1814">
              <w:rPr>
                <w:vertAlign w:val="subscript"/>
              </w:rPr>
              <w:t>eoi</w:t>
            </w:r>
            <w:r w:rsidRPr="00AF1814">
              <w:t xml:space="preserve"> and C</w:t>
            </w:r>
            <w:r w:rsidRPr="00AF1814">
              <w:rPr>
                <w:vertAlign w:val="subscript"/>
              </w:rPr>
              <w:t xml:space="preserve">trough </w:t>
            </w:r>
            <w:r w:rsidRPr="00AF1814">
              <w:rPr>
                <w:rFonts w:cs="Arial"/>
                <w:szCs w:val="18"/>
                <w:lang w:eastAsia="pt-BR"/>
              </w:rPr>
              <w:t>for all participants</w:t>
            </w:r>
            <w:r w:rsidRPr="00AF1814">
              <w:t xml:space="preserve"> throughout the treatment period</w:t>
            </w:r>
          </w:p>
          <w:p w14:paraId="7A57FB95" w14:textId="77777777" w:rsidR="00720E8C" w:rsidRPr="00AF1814" w:rsidRDefault="00DA3174" w:rsidP="004A6D94">
            <w:pPr>
              <w:pStyle w:val="Tablelist"/>
              <w:keepLines w:val="0"/>
              <w:widowControl w:val="0"/>
              <w:rPr>
                <w:rFonts w:eastAsia="MS Mincho"/>
              </w:rPr>
            </w:pPr>
            <w:r w:rsidRPr="00AF1814">
              <w:t>PK profile of bintrafusp alfa in terms of AUC</w:t>
            </w:r>
            <w:r w:rsidRPr="00AF1814">
              <w:rPr>
                <w:vertAlign w:val="subscript"/>
              </w:rPr>
              <w:t>0-t</w:t>
            </w:r>
            <w:r w:rsidRPr="00AF1814">
              <w:t xml:space="preserve">, </w:t>
            </w:r>
          </w:p>
          <w:p w14:paraId="1C5B7B64" w14:textId="77777777" w:rsidR="00720E8C" w:rsidRPr="00AF1814" w:rsidRDefault="00DA3174" w:rsidP="004A6D94">
            <w:pPr>
              <w:pStyle w:val="Tablelist"/>
              <w:keepLines w:val="0"/>
              <w:widowControl w:val="0"/>
              <w:numPr>
                <w:ilvl w:val="0"/>
                <w:numId w:val="0"/>
              </w:numPr>
              <w:ind w:left="284"/>
              <w:rPr>
                <w:rFonts w:eastAsia="MS Mincho"/>
              </w:rPr>
            </w:pPr>
            <w:r w:rsidRPr="00AF1814">
              <w:rPr>
                <w:rFonts w:cs="Arial"/>
                <w:szCs w:val="18"/>
              </w:rPr>
              <w:t>AUC</w:t>
            </w:r>
            <w:r w:rsidRPr="00AF1814">
              <w:rPr>
                <w:rFonts w:cs="Arial"/>
                <w:szCs w:val="18"/>
                <w:vertAlign w:val="subscript"/>
              </w:rPr>
              <w:t>0-∞</w:t>
            </w:r>
            <w:r w:rsidRPr="00AF1814">
              <w:rPr>
                <w:rFonts w:cs="Arial"/>
                <w:szCs w:val="18"/>
              </w:rPr>
              <w:t>, C</w:t>
            </w:r>
            <w:r w:rsidRPr="00AF1814">
              <w:rPr>
                <w:rFonts w:cs="Arial"/>
                <w:szCs w:val="18"/>
                <w:vertAlign w:val="subscript"/>
              </w:rPr>
              <w:t>max</w:t>
            </w:r>
            <w:r w:rsidRPr="00AF1814">
              <w:rPr>
                <w:rFonts w:cs="Arial"/>
                <w:szCs w:val="18"/>
              </w:rPr>
              <w:t>, t</w:t>
            </w:r>
            <w:r w:rsidRPr="00AF1814">
              <w:rPr>
                <w:rFonts w:cs="Arial"/>
                <w:szCs w:val="18"/>
                <w:vertAlign w:val="subscript"/>
              </w:rPr>
              <w:t>max</w:t>
            </w:r>
            <w:r w:rsidRPr="00AF1814">
              <w:rPr>
                <w:rFonts w:cs="Arial"/>
                <w:szCs w:val="18"/>
              </w:rPr>
              <w:t>, and t</w:t>
            </w:r>
            <w:r w:rsidRPr="00AF1814">
              <w:rPr>
                <w:rFonts w:cs="Arial"/>
                <w:szCs w:val="18"/>
                <w:vertAlign w:val="subscript"/>
              </w:rPr>
              <w:t>½</w:t>
            </w:r>
            <w:r w:rsidRPr="00AF1814">
              <w:rPr>
                <w:rFonts w:cs="Arial"/>
                <w:szCs w:val="18"/>
              </w:rPr>
              <w:t xml:space="preserve"> in </w:t>
            </w:r>
            <w:r w:rsidR="00980B8C" w:rsidRPr="00AF1814">
              <w:rPr>
                <w:rFonts w:cs="Arial"/>
                <w:szCs w:val="18"/>
              </w:rPr>
              <w:t>C</w:t>
            </w:r>
            <w:r w:rsidRPr="00AF1814">
              <w:rPr>
                <w:rFonts w:cs="Arial"/>
                <w:szCs w:val="18"/>
              </w:rPr>
              <w:t>ycle 1</w:t>
            </w:r>
          </w:p>
        </w:tc>
      </w:tr>
      <w:tr w:rsidR="002108B2" w:rsidRPr="00AF1814" w14:paraId="6AB4DD2E" w14:textId="77777777" w:rsidTr="00B051D3">
        <w:trPr>
          <w:cantSplit/>
        </w:trPr>
        <w:tc>
          <w:tcPr>
            <w:tcW w:w="2422" w:type="pct"/>
          </w:tcPr>
          <w:p w14:paraId="25EA7313" w14:textId="51F1E75D" w:rsidR="00720E8C" w:rsidRPr="00AF1814" w:rsidRDefault="00DA3174" w:rsidP="004A6D94">
            <w:pPr>
              <w:pStyle w:val="Tabletext"/>
              <w:keepLines w:val="0"/>
              <w:widowControl w:val="0"/>
              <w:rPr>
                <w:rFonts w:ascii="Times New Roman" w:eastAsia="MS Mincho" w:hAnsi="Times New Roman"/>
                <w:sz w:val="24"/>
                <w:szCs w:val="24"/>
                <w:lang w:eastAsia="ja-JP" w:bidi="he-IL"/>
              </w:rPr>
            </w:pPr>
            <w:r w:rsidRPr="00AF1814">
              <w:t xml:space="preserve">To evaluate the immunogenicity of bintrafusp alfa </w:t>
            </w:r>
          </w:p>
        </w:tc>
        <w:tc>
          <w:tcPr>
            <w:tcW w:w="2578" w:type="pct"/>
          </w:tcPr>
          <w:p w14:paraId="2E4D68A9" w14:textId="77777777" w:rsidR="00720E8C" w:rsidRPr="00AF1814" w:rsidRDefault="00DA3174" w:rsidP="00A91EE9">
            <w:pPr>
              <w:pStyle w:val="Tablelist"/>
              <w:keepLines w:val="0"/>
              <w:widowControl w:val="0"/>
              <w:rPr>
                <w:rFonts w:ascii="Times New Roman" w:eastAsia="MS Mincho" w:hAnsi="Times New Roman"/>
                <w:sz w:val="24"/>
                <w:szCs w:val="24"/>
                <w:lang w:eastAsia="ja-JP" w:bidi="he-IL"/>
              </w:rPr>
            </w:pPr>
            <w:r w:rsidRPr="00AF1814">
              <w:rPr>
                <w:lang w:eastAsia="ja-JP"/>
              </w:rPr>
              <w:t xml:space="preserve">Immunogenicity of bintrafusp alfa, as measured by ADA </w:t>
            </w:r>
            <w:r w:rsidRPr="00AF1814">
              <w:t>assay</w:t>
            </w:r>
            <w:r w:rsidRPr="00AF1814">
              <w:rPr>
                <w:lang w:eastAsia="ja-JP"/>
              </w:rPr>
              <w:t>, from Day 1 predose through the last Safety Follow-up Visit</w:t>
            </w:r>
          </w:p>
        </w:tc>
      </w:tr>
      <w:tr w:rsidR="002108B2" w:rsidRPr="00AF1814" w14:paraId="146F9E15" w14:textId="77777777" w:rsidTr="00B051D3">
        <w:trPr>
          <w:cantSplit/>
        </w:trPr>
        <w:tc>
          <w:tcPr>
            <w:tcW w:w="5000" w:type="pct"/>
            <w:gridSpan w:val="2"/>
            <w:shd w:val="clear" w:color="auto" w:fill="D9D9D9" w:themeFill="background1" w:themeFillShade="D9"/>
          </w:tcPr>
          <w:p w14:paraId="379619FC" w14:textId="77777777" w:rsidR="00720E8C" w:rsidRPr="00AF1814" w:rsidRDefault="00DA3174" w:rsidP="004A6D94">
            <w:pPr>
              <w:pStyle w:val="Tabletext"/>
              <w:keepLines w:val="0"/>
              <w:widowControl w:val="0"/>
              <w:rPr>
                <w:b/>
                <w:lang w:val="en-GB"/>
              </w:rPr>
            </w:pPr>
            <w:r w:rsidRPr="00AF1814">
              <w:rPr>
                <w:rFonts w:eastAsia="Calibri"/>
                <w:b/>
              </w:rPr>
              <w:t>Tertiary/Exploratory</w:t>
            </w:r>
          </w:p>
        </w:tc>
      </w:tr>
      <w:tr w:rsidR="002108B2" w:rsidRPr="00AF1814" w14:paraId="2D892896" w14:textId="77777777" w:rsidTr="00B051D3">
        <w:trPr>
          <w:cantSplit/>
        </w:trPr>
        <w:tc>
          <w:tcPr>
            <w:tcW w:w="2422" w:type="pct"/>
          </w:tcPr>
          <w:p w14:paraId="36C9AA20" w14:textId="4845CCC0" w:rsidR="006E773F" w:rsidRDefault="00DA3174" w:rsidP="004A6D94">
            <w:pPr>
              <w:widowControl w:val="0"/>
              <w:autoSpaceDE w:val="0"/>
              <w:autoSpaceDN w:val="0"/>
              <w:adjustRightInd w:val="0"/>
              <w:spacing w:before="0"/>
              <w:jc w:val="left"/>
              <w:rPr>
                <w:rFonts w:ascii="Arial" w:hAnsi="Arial" w:cs="Arial"/>
                <w:sz w:val="18"/>
                <w:szCs w:val="18"/>
              </w:rPr>
            </w:pPr>
            <w:r w:rsidRPr="00AF1814">
              <w:rPr>
                <w:rFonts w:ascii="Arial" w:hAnsi="Arial" w:cs="Arial"/>
                <w:sz w:val="18"/>
                <w:szCs w:val="18"/>
              </w:rPr>
              <w:t xml:space="preserve">To </w:t>
            </w:r>
            <w:r w:rsidR="00B80CB8" w:rsidRPr="00AF1814">
              <w:rPr>
                <w:rFonts w:ascii="Arial" w:hAnsi="Arial" w:cs="Arial"/>
                <w:sz w:val="18"/>
                <w:szCs w:val="18"/>
              </w:rPr>
              <w:t>document antitumor activity of</w:t>
            </w:r>
            <w:r w:rsidRPr="00AF1814">
              <w:rPr>
                <w:rFonts w:ascii="Arial" w:hAnsi="Arial" w:cs="Arial"/>
                <w:sz w:val="18"/>
                <w:szCs w:val="18"/>
              </w:rPr>
              <w:t xml:space="preserve"> bintrafusp alfa in combination with </w:t>
            </w:r>
          </w:p>
          <w:p w14:paraId="49B34ADD" w14:textId="6CA8BBF7" w:rsidR="006E773F" w:rsidRDefault="00DA3174" w:rsidP="004A6D94">
            <w:pPr>
              <w:widowControl w:val="0"/>
              <w:autoSpaceDE w:val="0"/>
              <w:autoSpaceDN w:val="0"/>
              <w:adjustRightInd w:val="0"/>
              <w:spacing w:before="0"/>
              <w:jc w:val="left"/>
              <w:rPr>
                <w:rFonts w:ascii="Arial" w:hAnsi="Arial" w:cs="Arial"/>
                <w:sz w:val="18"/>
                <w:szCs w:val="18"/>
              </w:rPr>
            </w:pPr>
            <w:r w:rsidRPr="00AF1814">
              <w:rPr>
                <w:rFonts w:ascii="Arial" w:hAnsi="Arial" w:cs="Arial"/>
                <w:sz w:val="18"/>
                <w:szCs w:val="18"/>
              </w:rPr>
              <w:t xml:space="preserve">(1) chemotherapy with or without bevacizumab in participants with </w:t>
            </w:r>
            <w:r w:rsidR="006E773F" w:rsidRPr="006E773F">
              <w:rPr>
                <w:rFonts w:ascii="Arial" w:hAnsi="Arial" w:cs="Arial"/>
                <w:sz w:val="18"/>
                <w:szCs w:val="18"/>
              </w:rPr>
              <w:t>recurrent, persistent</w:t>
            </w:r>
            <w:r w:rsidR="00533CB6">
              <w:rPr>
                <w:rFonts w:ascii="Arial" w:hAnsi="Arial" w:cs="Arial"/>
                <w:sz w:val="18"/>
                <w:szCs w:val="18"/>
              </w:rPr>
              <w:t>,</w:t>
            </w:r>
            <w:r w:rsidR="006E773F" w:rsidRPr="006E773F">
              <w:rPr>
                <w:rFonts w:ascii="Arial" w:hAnsi="Arial" w:cs="Arial"/>
                <w:sz w:val="18"/>
                <w:szCs w:val="18"/>
              </w:rPr>
              <w:t xml:space="preserve"> or </w:t>
            </w:r>
            <w:r w:rsidRPr="00AF1814">
              <w:rPr>
                <w:rFonts w:ascii="Arial" w:hAnsi="Arial" w:cs="Arial"/>
                <w:sz w:val="18"/>
                <w:szCs w:val="18"/>
              </w:rPr>
              <w:t xml:space="preserve">metastatic cervical cancer or </w:t>
            </w:r>
          </w:p>
          <w:p w14:paraId="191054B0" w14:textId="38CCC628" w:rsidR="00720E8C" w:rsidRPr="00AF1814" w:rsidRDefault="00DA3174" w:rsidP="004A6D94">
            <w:pPr>
              <w:widowControl w:val="0"/>
              <w:autoSpaceDE w:val="0"/>
              <w:autoSpaceDN w:val="0"/>
              <w:adjustRightInd w:val="0"/>
              <w:spacing w:before="0"/>
              <w:jc w:val="left"/>
              <w:rPr>
                <w:rFonts w:ascii="Arial" w:hAnsi="Arial" w:cs="Arial"/>
                <w:sz w:val="18"/>
                <w:szCs w:val="18"/>
                <w:lang w:eastAsia="ja-JP"/>
              </w:rPr>
            </w:pPr>
            <w:r w:rsidRPr="00AF1814">
              <w:rPr>
                <w:rFonts w:ascii="Arial" w:hAnsi="Arial" w:cs="Arial"/>
                <w:sz w:val="18"/>
                <w:szCs w:val="18"/>
              </w:rPr>
              <w:t xml:space="preserve">(2) platinum therapy </w:t>
            </w:r>
            <w:r w:rsidR="002D5CE2" w:rsidRPr="002D5CE2">
              <w:rPr>
                <w:rFonts w:ascii="Arial" w:hAnsi="Arial" w:cs="Arial"/>
                <w:sz w:val="18"/>
                <w:szCs w:val="18"/>
              </w:rPr>
              <w:t xml:space="preserve">and definitive </w:t>
            </w:r>
            <w:r w:rsidRPr="00AF1814">
              <w:rPr>
                <w:rFonts w:ascii="Arial" w:hAnsi="Arial" w:cs="Arial"/>
                <w:sz w:val="18"/>
                <w:szCs w:val="18"/>
              </w:rPr>
              <w:t>radiation in participants with locally advanced cervical cancer</w:t>
            </w:r>
          </w:p>
        </w:tc>
        <w:tc>
          <w:tcPr>
            <w:tcW w:w="2578" w:type="pct"/>
          </w:tcPr>
          <w:p w14:paraId="228D9B3D" w14:textId="77777777" w:rsidR="00720E8C" w:rsidRPr="00AF1814" w:rsidRDefault="00DA3174" w:rsidP="004A6D94">
            <w:pPr>
              <w:pStyle w:val="Tablelist"/>
              <w:keepLines w:val="0"/>
              <w:widowControl w:val="0"/>
              <w:rPr>
                <w:rFonts w:cs="Arial"/>
                <w:szCs w:val="18"/>
              </w:rPr>
            </w:pPr>
            <w:r w:rsidRPr="00AF1814">
              <w:rPr>
                <w:rFonts w:cs="Arial"/>
                <w:szCs w:val="18"/>
              </w:rPr>
              <w:t>Confirmed objective response according RECIST 1.1 assessed by Investigator</w:t>
            </w:r>
            <w:r w:rsidR="003605D6" w:rsidRPr="00AF1814">
              <w:rPr>
                <w:rFonts w:cs="Arial"/>
                <w:szCs w:val="18"/>
              </w:rPr>
              <w:t xml:space="preserve"> for pa</w:t>
            </w:r>
            <w:r w:rsidR="00270DA1" w:rsidRPr="00AF1814">
              <w:rPr>
                <w:rFonts w:cs="Arial"/>
                <w:szCs w:val="18"/>
              </w:rPr>
              <w:t>rticipants</w:t>
            </w:r>
            <w:r w:rsidR="003605D6" w:rsidRPr="00AF1814">
              <w:rPr>
                <w:rFonts w:cs="Arial"/>
                <w:szCs w:val="18"/>
              </w:rPr>
              <w:t xml:space="preserve"> with measurable disease</w:t>
            </w:r>
            <w:r w:rsidRPr="00AF1814">
              <w:rPr>
                <w:rFonts w:cs="Arial"/>
                <w:szCs w:val="18"/>
              </w:rPr>
              <w:t xml:space="preserve"> </w:t>
            </w:r>
          </w:p>
        </w:tc>
      </w:tr>
      <w:tr w:rsidR="002108B2" w:rsidRPr="00AF1814" w14:paraId="32237A0F" w14:textId="77777777" w:rsidTr="00B051D3">
        <w:trPr>
          <w:cantSplit/>
        </w:trPr>
        <w:tc>
          <w:tcPr>
            <w:tcW w:w="2422" w:type="pct"/>
          </w:tcPr>
          <w:p w14:paraId="44D1D965" w14:textId="47B3D41D" w:rsidR="006E773F" w:rsidRDefault="00DA3174" w:rsidP="004A6D94">
            <w:pPr>
              <w:widowControl w:val="0"/>
              <w:autoSpaceDE w:val="0"/>
              <w:autoSpaceDN w:val="0"/>
              <w:adjustRightInd w:val="0"/>
              <w:spacing w:before="0"/>
              <w:jc w:val="left"/>
              <w:rPr>
                <w:rFonts w:ascii="Arial" w:hAnsi="Arial" w:cs="Arial"/>
                <w:sz w:val="18"/>
                <w:szCs w:val="18"/>
              </w:rPr>
            </w:pPr>
            <w:r w:rsidRPr="00AF1814">
              <w:rPr>
                <w:rFonts w:ascii="Arial" w:hAnsi="Arial" w:cs="Arial"/>
                <w:sz w:val="18"/>
                <w:szCs w:val="18"/>
              </w:rPr>
              <w:t xml:space="preserve">To evaluate PFS for bintrafusp alfa in combination with </w:t>
            </w:r>
          </w:p>
          <w:p w14:paraId="41592994" w14:textId="203FEFF0" w:rsidR="006E773F" w:rsidRDefault="00DA3174" w:rsidP="004A6D94">
            <w:pPr>
              <w:widowControl w:val="0"/>
              <w:autoSpaceDE w:val="0"/>
              <w:autoSpaceDN w:val="0"/>
              <w:adjustRightInd w:val="0"/>
              <w:spacing w:before="0"/>
              <w:jc w:val="left"/>
              <w:rPr>
                <w:rFonts w:ascii="Arial" w:hAnsi="Arial" w:cs="Arial"/>
                <w:sz w:val="18"/>
                <w:szCs w:val="18"/>
              </w:rPr>
            </w:pPr>
            <w:r w:rsidRPr="00AF1814">
              <w:rPr>
                <w:rFonts w:ascii="Arial" w:hAnsi="Arial" w:cs="Arial"/>
                <w:sz w:val="18"/>
                <w:szCs w:val="18"/>
              </w:rPr>
              <w:t xml:space="preserve">(1) chemotherapy with or without bevacizumab in participants with </w:t>
            </w:r>
            <w:r w:rsidR="006E773F" w:rsidRPr="006E773F">
              <w:rPr>
                <w:rFonts w:ascii="Arial" w:hAnsi="Arial" w:cs="Arial"/>
                <w:sz w:val="18"/>
                <w:szCs w:val="18"/>
              </w:rPr>
              <w:t>recurrent, persistent</w:t>
            </w:r>
            <w:r w:rsidR="00533CB6">
              <w:rPr>
                <w:rFonts w:ascii="Arial" w:hAnsi="Arial" w:cs="Arial"/>
                <w:sz w:val="18"/>
                <w:szCs w:val="18"/>
              </w:rPr>
              <w:t>,</w:t>
            </w:r>
            <w:r w:rsidR="006E773F" w:rsidRPr="006E773F">
              <w:rPr>
                <w:rFonts w:ascii="Arial" w:hAnsi="Arial" w:cs="Arial"/>
                <w:sz w:val="18"/>
                <w:szCs w:val="18"/>
              </w:rPr>
              <w:t xml:space="preserve"> or </w:t>
            </w:r>
            <w:r w:rsidRPr="00AF1814">
              <w:rPr>
                <w:rFonts w:ascii="Arial" w:hAnsi="Arial" w:cs="Arial"/>
                <w:sz w:val="18"/>
                <w:szCs w:val="18"/>
              </w:rPr>
              <w:t xml:space="preserve">metastatic cervical cancer or </w:t>
            </w:r>
          </w:p>
          <w:p w14:paraId="01E6C987" w14:textId="3A83A404" w:rsidR="00720E8C" w:rsidRPr="00AF1814" w:rsidRDefault="00DA3174" w:rsidP="004A6D94">
            <w:pPr>
              <w:widowControl w:val="0"/>
              <w:autoSpaceDE w:val="0"/>
              <w:autoSpaceDN w:val="0"/>
              <w:adjustRightInd w:val="0"/>
              <w:spacing w:before="0"/>
              <w:jc w:val="left"/>
              <w:rPr>
                <w:rFonts w:ascii="Arial" w:hAnsi="Arial" w:cs="Arial"/>
                <w:sz w:val="18"/>
                <w:szCs w:val="18"/>
                <w:lang w:eastAsia="ja-JP"/>
              </w:rPr>
            </w:pPr>
            <w:r w:rsidRPr="00AF1814">
              <w:rPr>
                <w:rFonts w:ascii="Arial" w:hAnsi="Arial" w:cs="Arial"/>
                <w:sz w:val="18"/>
                <w:szCs w:val="18"/>
              </w:rPr>
              <w:t xml:space="preserve">(2) platinum therapy </w:t>
            </w:r>
            <w:r w:rsidR="002D5CE2" w:rsidRPr="002D5CE2">
              <w:rPr>
                <w:rFonts w:ascii="Arial" w:hAnsi="Arial" w:cs="Arial"/>
                <w:sz w:val="18"/>
                <w:szCs w:val="18"/>
              </w:rPr>
              <w:t>and definitive</w:t>
            </w:r>
            <w:r w:rsidRPr="00AF1814">
              <w:rPr>
                <w:rFonts w:ascii="Arial" w:hAnsi="Arial" w:cs="Arial"/>
                <w:sz w:val="18"/>
                <w:szCs w:val="18"/>
              </w:rPr>
              <w:t xml:space="preserve"> radiation in participants with locally advanced cervical cancer </w:t>
            </w:r>
          </w:p>
        </w:tc>
        <w:tc>
          <w:tcPr>
            <w:tcW w:w="2578" w:type="pct"/>
          </w:tcPr>
          <w:p w14:paraId="0DCDFB04" w14:textId="77777777" w:rsidR="00720E8C" w:rsidRPr="00AF1814" w:rsidRDefault="00DA3174" w:rsidP="004A6D94">
            <w:pPr>
              <w:pStyle w:val="Tablelist"/>
              <w:keepLines w:val="0"/>
              <w:widowControl w:val="0"/>
              <w:rPr>
                <w:rFonts w:cs="Arial"/>
                <w:szCs w:val="18"/>
              </w:rPr>
            </w:pPr>
            <w:r w:rsidRPr="00AF1814">
              <w:rPr>
                <w:rFonts w:cs="Arial"/>
                <w:szCs w:val="18"/>
              </w:rPr>
              <w:t>PFS according to RECIST 1.1 assessed by Investigator</w:t>
            </w:r>
          </w:p>
        </w:tc>
      </w:tr>
      <w:tr w:rsidR="002108B2" w:rsidRPr="00AF1814" w14:paraId="42D7BE9D" w14:textId="77777777" w:rsidTr="00B051D3">
        <w:trPr>
          <w:cantSplit/>
        </w:trPr>
        <w:tc>
          <w:tcPr>
            <w:tcW w:w="2422" w:type="pct"/>
          </w:tcPr>
          <w:p w14:paraId="50239FA6" w14:textId="3B19BFED" w:rsidR="006E773F" w:rsidRDefault="00DA3174" w:rsidP="004A6D94">
            <w:pPr>
              <w:widowControl w:val="0"/>
              <w:autoSpaceDE w:val="0"/>
              <w:autoSpaceDN w:val="0"/>
              <w:adjustRightInd w:val="0"/>
              <w:spacing w:before="0"/>
              <w:jc w:val="left"/>
              <w:rPr>
                <w:rFonts w:ascii="Arial" w:hAnsi="Arial" w:cs="Arial"/>
                <w:sz w:val="18"/>
                <w:szCs w:val="18"/>
              </w:rPr>
            </w:pPr>
            <w:r w:rsidRPr="00AF1814">
              <w:rPr>
                <w:rFonts w:ascii="Arial" w:hAnsi="Arial" w:cs="Arial"/>
                <w:sz w:val="18"/>
                <w:szCs w:val="18"/>
              </w:rPr>
              <w:lastRenderedPageBreak/>
              <w:t xml:space="preserve">To evaluate DoR for bintrafusp alfa in combination with </w:t>
            </w:r>
          </w:p>
          <w:p w14:paraId="40056636" w14:textId="4FE491BE" w:rsidR="006E773F" w:rsidRDefault="00DA3174" w:rsidP="004A6D94">
            <w:pPr>
              <w:widowControl w:val="0"/>
              <w:autoSpaceDE w:val="0"/>
              <w:autoSpaceDN w:val="0"/>
              <w:adjustRightInd w:val="0"/>
              <w:spacing w:before="0"/>
              <w:jc w:val="left"/>
              <w:rPr>
                <w:rFonts w:ascii="Arial" w:hAnsi="Arial" w:cs="Arial"/>
                <w:sz w:val="18"/>
                <w:szCs w:val="18"/>
              </w:rPr>
            </w:pPr>
            <w:r w:rsidRPr="00AF1814">
              <w:rPr>
                <w:rFonts w:ascii="Arial" w:hAnsi="Arial" w:cs="Arial"/>
                <w:sz w:val="18"/>
                <w:szCs w:val="18"/>
              </w:rPr>
              <w:t xml:space="preserve">(1) chemotherapy with or without bevacizumab in participants with </w:t>
            </w:r>
            <w:r w:rsidR="006E773F" w:rsidRPr="006E773F">
              <w:rPr>
                <w:rFonts w:ascii="Arial" w:hAnsi="Arial" w:cs="Arial"/>
                <w:sz w:val="18"/>
                <w:szCs w:val="18"/>
              </w:rPr>
              <w:t>recurrent, persistent</w:t>
            </w:r>
            <w:r w:rsidR="00533CB6">
              <w:rPr>
                <w:rFonts w:ascii="Arial" w:hAnsi="Arial" w:cs="Arial"/>
                <w:sz w:val="18"/>
                <w:szCs w:val="18"/>
              </w:rPr>
              <w:t>,</w:t>
            </w:r>
            <w:r w:rsidR="006E773F" w:rsidRPr="006E773F">
              <w:rPr>
                <w:rFonts w:ascii="Arial" w:hAnsi="Arial" w:cs="Arial"/>
                <w:sz w:val="18"/>
                <w:szCs w:val="18"/>
              </w:rPr>
              <w:t xml:space="preserve"> or </w:t>
            </w:r>
            <w:r w:rsidRPr="00AF1814">
              <w:rPr>
                <w:rFonts w:ascii="Arial" w:hAnsi="Arial" w:cs="Arial"/>
                <w:sz w:val="18"/>
                <w:szCs w:val="18"/>
              </w:rPr>
              <w:t xml:space="preserve">metastatic cervical cancer or </w:t>
            </w:r>
          </w:p>
          <w:p w14:paraId="160E655F" w14:textId="6BE9D500" w:rsidR="00720E8C" w:rsidRPr="00AF1814" w:rsidRDefault="00DA3174" w:rsidP="004A6D94">
            <w:pPr>
              <w:widowControl w:val="0"/>
              <w:autoSpaceDE w:val="0"/>
              <w:autoSpaceDN w:val="0"/>
              <w:adjustRightInd w:val="0"/>
              <w:spacing w:before="0"/>
              <w:jc w:val="left"/>
              <w:rPr>
                <w:rFonts w:ascii="Arial" w:hAnsi="Arial" w:cs="Arial"/>
                <w:sz w:val="18"/>
                <w:szCs w:val="18"/>
              </w:rPr>
            </w:pPr>
            <w:r w:rsidRPr="00AF1814">
              <w:rPr>
                <w:rFonts w:ascii="Arial" w:hAnsi="Arial" w:cs="Arial"/>
                <w:sz w:val="18"/>
                <w:szCs w:val="18"/>
              </w:rPr>
              <w:t xml:space="preserve">(2) platinum therapy </w:t>
            </w:r>
            <w:r w:rsidR="002D5CE2" w:rsidRPr="002D5CE2">
              <w:rPr>
                <w:rFonts w:ascii="Arial" w:hAnsi="Arial" w:cs="Arial"/>
                <w:sz w:val="18"/>
                <w:szCs w:val="18"/>
              </w:rPr>
              <w:t>and definitive</w:t>
            </w:r>
            <w:r w:rsidR="002D5CE2" w:rsidRPr="00AF1814">
              <w:rPr>
                <w:rFonts w:ascii="Arial" w:hAnsi="Arial" w:cs="Arial"/>
                <w:sz w:val="18"/>
                <w:szCs w:val="18"/>
              </w:rPr>
              <w:t xml:space="preserve"> </w:t>
            </w:r>
            <w:r w:rsidRPr="00AF1814">
              <w:rPr>
                <w:rFonts w:ascii="Arial" w:hAnsi="Arial" w:cs="Arial"/>
                <w:sz w:val="18"/>
                <w:szCs w:val="18"/>
              </w:rPr>
              <w:t>radiation in participants with locally advanced cervical cancer</w:t>
            </w:r>
          </w:p>
        </w:tc>
        <w:tc>
          <w:tcPr>
            <w:tcW w:w="2578" w:type="pct"/>
          </w:tcPr>
          <w:p w14:paraId="4153B1C6" w14:textId="77777777" w:rsidR="00720E8C" w:rsidRPr="00AF1814" w:rsidRDefault="00DA3174" w:rsidP="004A6D94">
            <w:pPr>
              <w:pStyle w:val="Tablelist"/>
              <w:keepLines w:val="0"/>
              <w:widowControl w:val="0"/>
              <w:rPr>
                <w:rFonts w:cs="Arial"/>
                <w:szCs w:val="18"/>
              </w:rPr>
            </w:pPr>
            <w:r w:rsidRPr="00AF1814">
              <w:rPr>
                <w:rFonts w:cs="Arial"/>
                <w:szCs w:val="18"/>
              </w:rPr>
              <w:t>DoR according to RECIST 1.1 assessed by Investigator</w:t>
            </w:r>
            <w:r w:rsidR="003605D6" w:rsidRPr="00AF1814">
              <w:rPr>
                <w:rFonts w:cs="Arial"/>
                <w:szCs w:val="18"/>
              </w:rPr>
              <w:t xml:space="preserve"> for </w:t>
            </w:r>
            <w:r w:rsidR="00270DA1" w:rsidRPr="00AF1814">
              <w:rPr>
                <w:rFonts w:cs="Arial"/>
                <w:szCs w:val="18"/>
              </w:rPr>
              <w:t xml:space="preserve">participants </w:t>
            </w:r>
            <w:r w:rsidR="003605D6" w:rsidRPr="00AF1814">
              <w:rPr>
                <w:rFonts w:cs="Arial"/>
                <w:szCs w:val="18"/>
              </w:rPr>
              <w:t>with measurable disease</w:t>
            </w:r>
          </w:p>
        </w:tc>
      </w:tr>
      <w:tr w:rsidR="002108B2" w:rsidRPr="00AF1814" w14:paraId="3E3CFAE7" w14:textId="77777777" w:rsidTr="00B051D3">
        <w:trPr>
          <w:cantSplit/>
        </w:trPr>
        <w:tc>
          <w:tcPr>
            <w:tcW w:w="2422" w:type="pct"/>
          </w:tcPr>
          <w:p w14:paraId="7CACB778" w14:textId="110768AD" w:rsidR="006E773F" w:rsidRDefault="00DA3174" w:rsidP="004A6D94">
            <w:pPr>
              <w:widowControl w:val="0"/>
              <w:autoSpaceDE w:val="0"/>
              <w:autoSpaceDN w:val="0"/>
              <w:adjustRightInd w:val="0"/>
              <w:spacing w:before="0"/>
              <w:jc w:val="left"/>
              <w:rPr>
                <w:rFonts w:ascii="Arial" w:hAnsi="Arial" w:cs="Arial"/>
                <w:sz w:val="18"/>
                <w:szCs w:val="18"/>
              </w:rPr>
            </w:pPr>
            <w:r w:rsidRPr="00AF1814">
              <w:rPr>
                <w:rFonts w:ascii="Arial" w:hAnsi="Arial" w:cs="Arial"/>
                <w:sz w:val="18"/>
                <w:szCs w:val="18"/>
              </w:rPr>
              <w:t xml:space="preserve">To evaluate OS for bintrafusp alfa in combination with </w:t>
            </w:r>
          </w:p>
          <w:p w14:paraId="0C8C5A53" w14:textId="0EB811C6" w:rsidR="006E773F" w:rsidRDefault="00DA3174" w:rsidP="004A6D94">
            <w:pPr>
              <w:widowControl w:val="0"/>
              <w:autoSpaceDE w:val="0"/>
              <w:autoSpaceDN w:val="0"/>
              <w:adjustRightInd w:val="0"/>
              <w:spacing w:before="0"/>
              <w:jc w:val="left"/>
              <w:rPr>
                <w:rFonts w:ascii="Arial" w:hAnsi="Arial" w:cs="Arial"/>
                <w:sz w:val="18"/>
                <w:szCs w:val="18"/>
              </w:rPr>
            </w:pPr>
            <w:r w:rsidRPr="00AF1814">
              <w:rPr>
                <w:rFonts w:ascii="Arial" w:hAnsi="Arial" w:cs="Arial"/>
                <w:sz w:val="18"/>
                <w:szCs w:val="18"/>
              </w:rPr>
              <w:t xml:space="preserve">(1) chemotherapy with or without bevacizumab in participants with </w:t>
            </w:r>
            <w:r w:rsidR="006E773F" w:rsidRPr="006E773F">
              <w:rPr>
                <w:rFonts w:ascii="Arial" w:hAnsi="Arial" w:cs="Arial"/>
                <w:sz w:val="18"/>
                <w:szCs w:val="18"/>
              </w:rPr>
              <w:t>recurrent, persistent</w:t>
            </w:r>
            <w:r w:rsidR="00533CB6">
              <w:rPr>
                <w:rFonts w:ascii="Arial" w:hAnsi="Arial" w:cs="Arial"/>
                <w:sz w:val="18"/>
                <w:szCs w:val="18"/>
              </w:rPr>
              <w:t>,</w:t>
            </w:r>
            <w:r w:rsidR="006E773F" w:rsidRPr="006E773F">
              <w:rPr>
                <w:rFonts w:ascii="Arial" w:hAnsi="Arial" w:cs="Arial"/>
                <w:sz w:val="18"/>
                <w:szCs w:val="18"/>
              </w:rPr>
              <w:t xml:space="preserve"> or </w:t>
            </w:r>
            <w:r w:rsidRPr="00AF1814">
              <w:rPr>
                <w:rFonts w:ascii="Arial" w:hAnsi="Arial" w:cs="Arial"/>
                <w:sz w:val="18"/>
                <w:szCs w:val="18"/>
              </w:rPr>
              <w:t xml:space="preserve">metastatic cervical cancer or </w:t>
            </w:r>
          </w:p>
          <w:p w14:paraId="69B86406" w14:textId="241CDFD9" w:rsidR="00720E8C" w:rsidRPr="00AF1814" w:rsidRDefault="00DA3174" w:rsidP="004A6D94">
            <w:pPr>
              <w:widowControl w:val="0"/>
              <w:autoSpaceDE w:val="0"/>
              <w:autoSpaceDN w:val="0"/>
              <w:adjustRightInd w:val="0"/>
              <w:spacing w:before="0"/>
              <w:jc w:val="left"/>
              <w:rPr>
                <w:rFonts w:ascii="Arial" w:hAnsi="Arial" w:cs="Arial"/>
                <w:sz w:val="18"/>
                <w:szCs w:val="18"/>
                <w:lang w:eastAsia="ja-JP"/>
              </w:rPr>
            </w:pPr>
            <w:r w:rsidRPr="00AF1814">
              <w:rPr>
                <w:rFonts w:ascii="Arial" w:hAnsi="Arial" w:cs="Arial"/>
                <w:sz w:val="18"/>
                <w:szCs w:val="18"/>
              </w:rPr>
              <w:t xml:space="preserve">(2) platinum therapy </w:t>
            </w:r>
            <w:r w:rsidR="002D5CE2" w:rsidRPr="002D5CE2">
              <w:rPr>
                <w:rFonts w:ascii="Arial" w:hAnsi="Arial" w:cs="Arial"/>
                <w:sz w:val="18"/>
                <w:szCs w:val="18"/>
              </w:rPr>
              <w:t>and definitive</w:t>
            </w:r>
            <w:r w:rsidRPr="00AF1814">
              <w:rPr>
                <w:rFonts w:ascii="Arial" w:hAnsi="Arial" w:cs="Arial"/>
                <w:sz w:val="18"/>
                <w:szCs w:val="18"/>
              </w:rPr>
              <w:t xml:space="preserve"> radiation in participants with locally advanced cervical cancer</w:t>
            </w:r>
          </w:p>
        </w:tc>
        <w:tc>
          <w:tcPr>
            <w:tcW w:w="2578" w:type="pct"/>
          </w:tcPr>
          <w:p w14:paraId="61E235F6" w14:textId="77777777" w:rsidR="00720E8C" w:rsidRPr="00AF1814" w:rsidRDefault="00DA3174" w:rsidP="004A6D94">
            <w:pPr>
              <w:pStyle w:val="Tablelist"/>
              <w:keepLines w:val="0"/>
              <w:widowControl w:val="0"/>
              <w:rPr>
                <w:rFonts w:cs="Arial"/>
                <w:szCs w:val="18"/>
              </w:rPr>
            </w:pPr>
            <w:r w:rsidRPr="00AF1814">
              <w:rPr>
                <w:szCs w:val="24"/>
              </w:rPr>
              <w:t>OS</w:t>
            </w:r>
          </w:p>
        </w:tc>
      </w:tr>
      <w:tr w:rsidR="002108B2" w:rsidRPr="00AF1814" w14:paraId="35B1C3F0" w14:textId="77777777" w:rsidTr="00B051D3">
        <w:trPr>
          <w:cantSplit/>
        </w:trPr>
        <w:tc>
          <w:tcPr>
            <w:tcW w:w="2422" w:type="pct"/>
          </w:tcPr>
          <w:p w14:paraId="44725645" w14:textId="77777777" w:rsidR="00720E8C" w:rsidRPr="00AF1814" w:rsidRDefault="00DA3174" w:rsidP="004A6D94">
            <w:pPr>
              <w:widowControl w:val="0"/>
              <w:autoSpaceDE w:val="0"/>
              <w:autoSpaceDN w:val="0"/>
              <w:adjustRightInd w:val="0"/>
              <w:spacing w:before="0"/>
              <w:jc w:val="left"/>
              <w:rPr>
                <w:rFonts w:eastAsia="Calibri"/>
                <w:szCs w:val="24"/>
              </w:rPr>
            </w:pPr>
            <w:r w:rsidRPr="00AF1814">
              <w:rPr>
                <w:rFonts w:ascii="Arial" w:hAnsi="Arial" w:cs="Arial"/>
                <w:sz w:val="18"/>
                <w:szCs w:val="18"/>
                <w:lang w:eastAsia="ja-JP"/>
              </w:rPr>
              <w:t>To evaluate potential biomarkers of clinical response in blood and tumor</w:t>
            </w:r>
            <w:r w:rsidRPr="00AF1814">
              <w:t xml:space="preserve"> </w:t>
            </w:r>
          </w:p>
        </w:tc>
        <w:tc>
          <w:tcPr>
            <w:tcW w:w="2578" w:type="pct"/>
          </w:tcPr>
          <w:p w14:paraId="7164738C" w14:textId="77777777" w:rsidR="00720E8C" w:rsidRPr="00AF1814" w:rsidRDefault="00DA3174" w:rsidP="004A6D94">
            <w:pPr>
              <w:pStyle w:val="Tablelist"/>
              <w:keepLines w:val="0"/>
              <w:widowControl w:val="0"/>
            </w:pPr>
            <w:r w:rsidRPr="00AF1814">
              <w:t>Retrospective analysis of biomarker (e</w:t>
            </w:r>
            <w:r w:rsidR="00980B8C" w:rsidRPr="00AF1814">
              <w:t>.</w:t>
            </w:r>
            <w:r w:rsidRPr="00AF1814">
              <w:t>g</w:t>
            </w:r>
            <w:r w:rsidR="00980B8C" w:rsidRPr="00AF1814">
              <w:t>.,</w:t>
            </w:r>
            <w:r w:rsidRPr="00AF1814">
              <w:t xml:space="preserve"> PD-L1, HPV) and association with clinical outcome as appropriate</w:t>
            </w:r>
          </w:p>
        </w:tc>
      </w:tr>
      <w:tr w:rsidR="002108B2" w:rsidRPr="00AF1814" w14:paraId="197C12B5" w14:textId="77777777" w:rsidTr="00B051D3">
        <w:trPr>
          <w:cantSplit/>
        </w:trPr>
        <w:tc>
          <w:tcPr>
            <w:tcW w:w="5000" w:type="pct"/>
            <w:gridSpan w:val="2"/>
          </w:tcPr>
          <w:p w14:paraId="7FB68E3F" w14:textId="2C2C810A" w:rsidR="00F8488B" w:rsidRPr="004F480D" w:rsidRDefault="00DA3174" w:rsidP="004F480D">
            <w:pPr>
              <w:pStyle w:val="Tablefootnote"/>
            </w:pPr>
            <w:r w:rsidRPr="004F480D">
              <w:t xml:space="preserve">ADA=antidrug antibody, </w:t>
            </w:r>
            <w:bookmarkStart w:id="74" w:name="_Hlk33107143"/>
            <w:r w:rsidRPr="004F480D">
              <w:t>AUC0-t</w:t>
            </w:r>
            <w:bookmarkEnd w:id="74"/>
            <w:r w:rsidRPr="004F480D">
              <w:t>=area under the concentration-time curve (AUC) from time zero (= dosing time) to the last sampling time (tlast) at which the concentration is at or above the lower limit of quantification calculated using the mixed log-linear trapezoidal rule (linear up, log down), AUC0-∞=AUC from time zero (dosing time) extrapolated to infinity, based on the predicted value for the concentration at tlast, as estimated using the linear regression from λz determination, AUC0-∞=AUC0-t + Clast pred/ λz,</w:t>
            </w:r>
            <w:bookmarkStart w:id="75" w:name="_Hlk33107154"/>
            <w:r w:rsidRPr="004F480D">
              <w:t>Ceoi</w:t>
            </w:r>
            <w:bookmarkEnd w:id="75"/>
            <w:r w:rsidRPr="004F480D">
              <w:t xml:space="preserve">=concentration immediately at the end of infusion, </w:t>
            </w:r>
            <w:bookmarkStart w:id="76" w:name="_Hlk33107164"/>
            <w:r w:rsidRPr="004F480D">
              <w:t>Cmax</w:t>
            </w:r>
            <w:bookmarkEnd w:id="76"/>
            <w:r w:rsidRPr="004F480D">
              <w:t xml:space="preserve">=maximum serum concentration observed postdose, </w:t>
            </w:r>
            <w:bookmarkStart w:id="77" w:name="_Hlk33107174"/>
            <w:r w:rsidRPr="004F480D">
              <w:t>Ctrough</w:t>
            </w:r>
            <w:bookmarkEnd w:id="77"/>
            <w:r w:rsidRPr="004F480D">
              <w:t>=concentration immediately before next dosing, DLT=dose</w:t>
            </w:r>
            <w:r w:rsidRPr="004F480D">
              <w:noBreakHyphen/>
              <w:t xml:space="preserve">limiting toxicity, DoR=Duration of Response, </w:t>
            </w:r>
            <w:r w:rsidR="00C87F33" w:rsidRPr="004F480D">
              <w:t xml:space="preserve">HPV=human papilloma virus, </w:t>
            </w:r>
            <w:r w:rsidRPr="004F480D">
              <w:t>OS=overall survival, PD</w:t>
            </w:r>
            <w:r w:rsidRPr="004F480D">
              <w:noBreakHyphen/>
              <w:t>L1=programmed death</w:t>
            </w:r>
            <w:r w:rsidR="00F4759E" w:rsidRPr="004F480D">
              <w:t>-</w:t>
            </w:r>
            <w:r w:rsidRPr="004F480D">
              <w:t xml:space="preserve">ligand 1, PFS=progression-free survival, PK=pharmacokinetic, </w:t>
            </w:r>
            <w:r w:rsidR="00BC7164" w:rsidRPr="004F480D">
              <w:t>q3w=ever</w:t>
            </w:r>
            <w:r w:rsidR="00F4759E" w:rsidRPr="004F480D">
              <w:t>y</w:t>
            </w:r>
            <w:r w:rsidR="00BC7164" w:rsidRPr="004F480D">
              <w:t xml:space="preserve"> 3</w:t>
            </w:r>
            <w:r w:rsidR="004F480D">
              <w:t> </w:t>
            </w:r>
            <w:r w:rsidR="00BC7164" w:rsidRPr="004F480D">
              <w:t xml:space="preserve">weeks, </w:t>
            </w:r>
            <w:r w:rsidRPr="004F480D">
              <w:t xml:space="preserve">RECIST 1.1=Response Evaluation Criteria in Solid Tumors Version 1.1, </w:t>
            </w:r>
            <w:bookmarkStart w:id="78" w:name="_Hlk33107184"/>
            <w:r w:rsidRPr="004F480D">
              <w:t>tmax</w:t>
            </w:r>
            <w:bookmarkEnd w:id="78"/>
            <w:r w:rsidRPr="004F480D">
              <w:t>=time at which the Cmax occurs</w:t>
            </w:r>
            <w:r w:rsidR="00A7469A" w:rsidRPr="004F480D">
              <w:t>,</w:t>
            </w:r>
            <w:r w:rsidRPr="004F480D">
              <w:t xml:space="preserve"> </w:t>
            </w:r>
            <w:bookmarkStart w:id="79" w:name="_Hlk33107192"/>
            <w:r w:rsidRPr="004F480D">
              <w:t>t½</w:t>
            </w:r>
            <w:bookmarkEnd w:id="79"/>
            <w:r w:rsidRPr="004F480D">
              <w:t>=elimination half-life determined as 0.693/λz, λz=terminal first order (elimination) rate constant.</w:t>
            </w:r>
          </w:p>
        </w:tc>
      </w:tr>
    </w:tbl>
    <w:p w14:paraId="47E65B22" w14:textId="77777777" w:rsidR="00945494" w:rsidRPr="008F1CDE" w:rsidRDefault="00DA3174" w:rsidP="00A7469A">
      <w:pPr>
        <w:pStyle w:val="Heading1"/>
        <w:keepNext w:val="0"/>
        <w:keepLines w:val="0"/>
        <w:widowControl w:val="0"/>
        <w:tabs>
          <w:tab w:val="clear" w:pos="4716"/>
        </w:tabs>
        <w:ind w:left="1979" w:hanging="1979"/>
      </w:pPr>
      <w:bookmarkStart w:id="80" w:name="_Toc44601649"/>
      <w:r w:rsidRPr="008F1CDE">
        <w:t>Study Design</w:t>
      </w:r>
      <w:bookmarkEnd w:id="80"/>
    </w:p>
    <w:p w14:paraId="6B42F5B9" w14:textId="77777777" w:rsidR="00945494" w:rsidRPr="0002127D" w:rsidRDefault="00DA3174" w:rsidP="00A7469A">
      <w:pPr>
        <w:pStyle w:val="Heading2"/>
        <w:keepNext w:val="0"/>
        <w:keepLines w:val="0"/>
        <w:widowControl w:val="0"/>
      </w:pPr>
      <w:bookmarkStart w:id="81" w:name="_Ref32231471"/>
      <w:bookmarkStart w:id="82" w:name="_Ref32402221"/>
      <w:bookmarkStart w:id="83" w:name="_Toc44601650"/>
      <w:r w:rsidRPr="0002127D">
        <w:t>Overall Design</w:t>
      </w:r>
      <w:bookmarkEnd w:id="81"/>
      <w:bookmarkEnd w:id="82"/>
      <w:bookmarkEnd w:id="83"/>
    </w:p>
    <w:p w14:paraId="5E12BD53" w14:textId="3E0195E2" w:rsidR="00715AE5" w:rsidRPr="00E44F28" w:rsidRDefault="00DA3174" w:rsidP="00A7469A">
      <w:pPr>
        <w:pStyle w:val="BodyText"/>
        <w:widowControl w:val="0"/>
        <w:rPr>
          <w:rFonts w:eastAsia="TimesNewRoman"/>
          <w:szCs w:val="24"/>
        </w:rPr>
      </w:pPr>
      <w:r w:rsidRPr="00AF1814">
        <w:t>This Phase Ib open</w:t>
      </w:r>
      <w:r w:rsidR="00097788" w:rsidRPr="00AF1814">
        <w:noBreakHyphen/>
      </w:r>
      <w:r w:rsidRPr="00AF1814">
        <w:t xml:space="preserve">label study is to evaluate the safety and tolerability of bintrafusp alfa  in combination with </w:t>
      </w:r>
      <w:r w:rsidR="00715AE5">
        <w:t>other anti-cancer therap</w:t>
      </w:r>
      <w:r w:rsidR="0048637B">
        <w:t>ies</w:t>
      </w:r>
      <w:r w:rsidR="00715AE5">
        <w:t xml:space="preserve"> in participants with locally advanced or advanced cervical cancer. Bintrafusp alfa will be combined with</w:t>
      </w:r>
      <w:r w:rsidR="00715AE5" w:rsidRPr="00AF1814">
        <w:t xml:space="preserve"> </w:t>
      </w:r>
      <w:r w:rsidRPr="00AF1814">
        <w:t xml:space="preserve">platinum therapy and paclitaxel with or without bevacizumab in participants with </w:t>
      </w:r>
      <w:r w:rsidR="00715AE5">
        <w:t>recurrent, persistent</w:t>
      </w:r>
      <w:r w:rsidR="00533CB6">
        <w:t>,</w:t>
      </w:r>
      <w:r w:rsidR="00715AE5">
        <w:t xml:space="preserve"> or </w:t>
      </w:r>
      <w:r w:rsidRPr="00AF1814">
        <w:t xml:space="preserve">metastatic cervical cancer </w:t>
      </w:r>
      <w:r w:rsidR="00715AE5">
        <w:t xml:space="preserve">(Cohort 1A and 1B) </w:t>
      </w:r>
      <w:r w:rsidRPr="00AF1814">
        <w:t xml:space="preserve">or </w:t>
      </w:r>
      <w:r w:rsidR="00715AE5">
        <w:t>with</w:t>
      </w:r>
      <w:r w:rsidRPr="00AF1814">
        <w:t xml:space="preserve"> platinum therapy </w:t>
      </w:r>
      <w:r w:rsidR="00715AE5">
        <w:t>and definitive</w:t>
      </w:r>
      <w:r w:rsidRPr="00AF1814">
        <w:t xml:space="preserve"> radiation in participants with locally </w:t>
      </w:r>
      <w:r w:rsidRPr="00AF1814">
        <w:rPr>
          <w:rFonts w:eastAsia="TimesNewRoman"/>
          <w:szCs w:val="24"/>
        </w:rPr>
        <w:t>advanced cervical cancer</w:t>
      </w:r>
      <w:r w:rsidR="00715AE5">
        <w:rPr>
          <w:rFonts w:eastAsia="TimesNewRoman"/>
          <w:szCs w:val="24"/>
        </w:rPr>
        <w:t xml:space="preserve"> (Cohort 2)</w:t>
      </w:r>
      <w:r w:rsidRPr="00AF1814">
        <w:rPr>
          <w:rFonts w:eastAsia="TimesNewRoman"/>
          <w:szCs w:val="24"/>
        </w:rPr>
        <w:t>.</w:t>
      </w:r>
      <w:r w:rsidR="004F480D">
        <w:rPr>
          <w:rFonts w:eastAsia="TimesNewRoman"/>
          <w:szCs w:val="24"/>
        </w:rPr>
        <w:t xml:space="preserve"> </w:t>
      </w:r>
      <w:r w:rsidR="00715AE5">
        <w:rPr>
          <w:rFonts w:eastAsia="TimesNewRoman"/>
          <w:szCs w:val="24"/>
        </w:rPr>
        <w:t>Further combination regimens with other anti-cancer therap</w:t>
      </w:r>
      <w:r w:rsidR="0048637B">
        <w:rPr>
          <w:rFonts w:eastAsia="TimesNewRoman"/>
          <w:szCs w:val="24"/>
        </w:rPr>
        <w:t>ies</w:t>
      </w:r>
      <w:r w:rsidR="00715AE5">
        <w:rPr>
          <w:rFonts w:eastAsia="TimesNewRoman"/>
          <w:szCs w:val="24"/>
        </w:rPr>
        <w:t xml:space="preserve"> may </w:t>
      </w:r>
      <w:r w:rsidR="00715AE5" w:rsidRPr="00E44F28">
        <w:rPr>
          <w:rFonts w:eastAsia="TimesNewRoman"/>
          <w:szCs w:val="24"/>
        </w:rPr>
        <w:t xml:space="preserve">be added by protocol amendment. </w:t>
      </w:r>
    </w:p>
    <w:p w14:paraId="75CB6026" w14:textId="4E74489E" w:rsidR="00013B17" w:rsidRPr="00AF1814" w:rsidRDefault="00DA3174" w:rsidP="00A7469A">
      <w:pPr>
        <w:pStyle w:val="BodyText"/>
        <w:widowControl w:val="0"/>
      </w:pPr>
      <w:r w:rsidRPr="00E44F28">
        <w:t xml:space="preserve">See Section </w:t>
      </w:r>
      <w:r w:rsidR="00BF04C1" w:rsidRPr="00E44F28">
        <w:fldChar w:fldCharType="begin"/>
      </w:r>
      <w:r w:rsidR="00BF04C1" w:rsidRPr="00E44F28">
        <w:instrText xml:space="preserve"> REF _Ref30403601 \r \h </w:instrText>
      </w:r>
      <w:r w:rsidR="00AF1814" w:rsidRPr="00E44F28">
        <w:instrText xml:space="preserve"> \* MERGEFORMAT </w:instrText>
      </w:r>
      <w:r w:rsidR="00BF04C1" w:rsidRPr="00E44F28">
        <w:fldChar w:fldCharType="separate"/>
      </w:r>
      <w:r w:rsidR="00C548C3" w:rsidRPr="00E44F28">
        <w:t>5</w:t>
      </w:r>
      <w:r w:rsidR="00BF04C1" w:rsidRPr="00E44F28">
        <w:fldChar w:fldCharType="end"/>
      </w:r>
      <w:r w:rsidRPr="00E44F28">
        <w:t xml:space="preserve"> f</w:t>
      </w:r>
      <w:r w:rsidRPr="00AF1814">
        <w:t xml:space="preserve">or more details </w:t>
      </w:r>
      <w:r w:rsidR="00FE3EC0" w:rsidRPr="00AF1814">
        <w:t>on</w:t>
      </w:r>
      <w:r w:rsidRPr="00AF1814">
        <w:t xml:space="preserve"> the patient population.</w:t>
      </w:r>
    </w:p>
    <w:p w14:paraId="16347A69" w14:textId="1CC1B314" w:rsidR="000E76E9" w:rsidRPr="00AF1814" w:rsidRDefault="00DA3174" w:rsidP="00A7469A">
      <w:pPr>
        <w:pStyle w:val="BodyText"/>
        <w:widowControl w:val="0"/>
      </w:pPr>
      <w:r w:rsidRPr="00AF1814">
        <w:t xml:space="preserve">This study will be conducted with Cohort 1 </w:t>
      </w:r>
      <w:r w:rsidR="00CA6839" w:rsidRPr="00AF1814">
        <w:rPr>
          <w:bCs/>
        </w:rPr>
        <w:t>(Cohort 1A and</w:t>
      </w:r>
      <w:r w:rsidR="00CA6839" w:rsidRPr="00AF1814">
        <w:t xml:space="preserve"> Cohort 1B) </w:t>
      </w:r>
      <w:r w:rsidRPr="00AF1814">
        <w:t xml:space="preserve">and </w:t>
      </w:r>
      <w:r w:rsidR="00B6596F">
        <w:t xml:space="preserve">Cohort </w:t>
      </w:r>
      <w:r w:rsidRPr="00AF1814">
        <w:t xml:space="preserve">2 in parallel. </w:t>
      </w:r>
    </w:p>
    <w:p w14:paraId="7648C836" w14:textId="77777777" w:rsidR="00013B17" w:rsidRPr="00AF1814" w:rsidRDefault="00DA3174" w:rsidP="00A7469A">
      <w:pPr>
        <w:pStyle w:val="BodyText"/>
        <w:widowControl w:val="0"/>
      </w:pPr>
      <w:bookmarkStart w:id="84" w:name="_Hlk37591684"/>
      <w:r w:rsidRPr="00AF1814">
        <w:t xml:space="preserve">The allocation </w:t>
      </w:r>
      <w:r w:rsidR="00F82E0A" w:rsidRPr="00AF1814">
        <w:t>of</w:t>
      </w:r>
      <w:r w:rsidRPr="00AF1814">
        <w:t xml:space="preserve"> parti</w:t>
      </w:r>
      <w:r w:rsidR="00711A79" w:rsidRPr="00AF1814">
        <w:t>ci</w:t>
      </w:r>
      <w:r w:rsidRPr="00AF1814">
        <w:t xml:space="preserve">pants to Cohort 1A or Cohort 1B will </w:t>
      </w:r>
      <w:r w:rsidR="0091418A" w:rsidRPr="00AF1814">
        <w:t>be based on Investigator decision and</w:t>
      </w:r>
      <w:r w:rsidR="0028738B" w:rsidRPr="00AF1814">
        <w:t xml:space="preserve"> </w:t>
      </w:r>
      <w:r w:rsidR="00F82E0A" w:rsidRPr="00AF1814">
        <w:t>also other</w:t>
      </w:r>
      <w:r w:rsidR="0091418A" w:rsidRPr="00AF1814">
        <w:t xml:space="preserve"> </w:t>
      </w:r>
      <w:r w:rsidRPr="00AF1814">
        <w:t xml:space="preserve">factors </w:t>
      </w:r>
      <w:r w:rsidR="003B62C8" w:rsidRPr="00AF1814">
        <w:t xml:space="preserve">including but not limited to study inclusion/exclusion criteria and local </w:t>
      </w:r>
      <w:r w:rsidR="0091418A" w:rsidRPr="00AF1814">
        <w:t>standard of care</w:t>
      </w:r>
      <w:r w:rsidR="00C8322A" w:rsidRPr="00AF1814">
        <w:t>.</w:t>
      </w:r>
    </w:p>
    <w:bookmarkEnd w:id="84"/>
    <w:p w14:paraId="6135B70D" w14:textId="77777777" w:rsidR="00013B17" w:rsidRPr="00AF1814" w:rsidRDefault="00DA3174" w:rsidP="00A7469A">
      <w:pPr>
        <w:pStyle w:val="BodyText"/>
        <w:widowControl w:val="0"/>
        <w:rPr>
          <w:b/>
          <w:u w:val="single"/>
        </w:rPr>
      </w:pPr>
      <w:r w:rsidRPr="00AF1814">
        <w:rPr>
          <w:b/>
          <w:u w:val="single"/>
        </w:rPr>
        <w:t>Cohort 1</w:t>
      </w:r>
    </w:p>
    <w:p w14:paraId="64BC5C3D" w14:textId="77777777" w:rsidR="004F5D07" w:rsidRPr="00AF1814" w:rsidRDefault="00DA3174" w:rsidP="00A7469A">
      <w:pPr>
        <w:pStyle w:val="BodyText"/>
        <w:widowControl w:val="0"/>
      </w:pPr>
      <w:r w:rsidRPr="00AF1814">
        <w:t xml:space="preserve">Participants </w:t>
      </w:r>
      <w:r w:rsidR="009E0BDD" w:rsidRPr="00AF1814">
        <w:t xml:space="preserve">must have primary </w:t>
      </w:r>
      <w:r w:rsidR="00F103B7" w:rsidRPr="00AF1814">
        <w:t>S</w:t>
      </w:r>
      <w:r w:rsidR="009E0BDD" w:rsidRPr="00AF1814">
        <w:t>tage IVB, recurrent or persistent squamous cell carcinoma, adenosquamous carcinoma, or adenocarcinoma of the cervix not amenable to curative treatment with surgery and/or radiation therapy</w:t>
      </w:r>
      <w:r w:rsidR="00F103B7" w:rsidRPr="00AF1814">
        <w:t xml:space="preserve"> and not have been treated with systemic chemotherapy</w:t>
      </w:r>
      <w:r w:rsidRPr="00AF1814">
        <w:t>.</w:t>
      </w:r>
      <w:r w:rsidR="0039290F" w:rsidRPr="00AF1814">
        <w:t xml:space="preserve"> </w:t>
      </w:r>
    </w:p>
    <w:p w14:paraId="292B8D4B" w14:textId="72EDBDCF" w:rsidR="0085473A" w:rsidRPr="00AF1814" w:rsidRDefault="00DA3174" w:rsidP="00A7469A">
      <w:pPr>
        <w:pStyle w:val="List1withbullet"/>
        <w:widowControl w:val="0"/>
      </w:pPr>
      <w:r w:rsidRPr="00AF1814">
        <w:lastRenderedPageBreak/>
        <w:t xml:space="preserve">Cohort 1A: 8 participants will be treated with bintrafusp alfa (2400 mg </w:t>
      </w:r>
      <w:r w:rsidR="009172DD" w:rsidRPr="00AF1814">
        <w:t>every 3 weeks</w:t>
      </w:r>
      <w:r w:rsidRPr="00AF1814">
        <w:t xml:space="preserve">) + cisplatin or carboplatin + paclitaxel + bevacizumab. </w:t>
      </w:r>
      <w:r w:rsidR="00066FD9" w:rsidRPr="00AF1814">
        <w:t xml:space="preserve">Selection of </w:t>
      </w:r>
      <w:r w:rsidR="0091418A" w:rsidRPr="00AF1814">
        <w:t xml:space="preserve">cisplatin or carboplatin </w:t>
      </w:r>
      <w:r w:rsidR="00066FD9" w:rsidRPr="00AF1814">
        <w:t xml:space="preserve">is at the </w:t>
      </w:r>
      <w:r w:rsidR="00711A79" w:rsidRPr="00AF1814">
        <w:t>I</w:t>
      </w:r>
      <w:r w:rsidR="00066FD9" w:rsidRPr="00AF1814">
        <w:t xml:space="preserve">nvestigator discretion. </w:t>
      </w:r>
    </w:p>
    <w:p w14:paraId="06D836C3" w14:textId="7F1E009F" w:rsidR="00353697" w:rsidRPr="00AF1814" w:rsidRDefault="00DA3174" w:rsidP="00A7469A">
      <w:pPr>
        <w:pStyle w:val="List1withbullet"/>
        <w:widowControl w:val="0"/>
      </w:pPr>
      <w:r w:rsidRPr="00AF1814">
        <w:t xml:space="preserve">Cohort 1B: 8 participants will be treated with bintrafusp alfa (2400 mg </w:t>
      </w:r>
      <w:r w:rsidR="009172DD" w:rsidRPr="00AF1814">
        <w:t>every 3 weeks</w:t>
      </w:r>
      <w:r w:rsidRPr="00AF1814">
        <w:t>) + cisplatin or carboplatin + paclitaxel.</w:t>
      </w:r>
      <w:r w:rsidR="00AA74ED" w:rsidRPr="00AF1814">
        <w:t xml:space="preserve"> </w:t>
      </w:r>
      <w:r w:rsidR="009F0C27" w:rsidRPr="00AF1814">
        <w:t>Selection of cisplatin or carboplatin is at the Investigator discretion</w:t>
      </w:r>
      <w:r w:rsidR="009F0C27">
        <w:t>.</w:t>
      </w:r>
    </w:p>
    <w:p w14:paraId="2FB99961" w14:textId="40B131F6" w:rsidR="00353697" w:rsidRPr="00AF1814" w:rsidRDefault="00DA3174" w:rsidP="00A7469A">
      <w:pPr>
        <w:pStyle w:val="List1withoutbullet"/>
        <w:widowControl w:val="0"/>
        <w:ind w:left="0"/>
      </w:pPr>
      <w:r w:rsidRPr="00AF1814">
        <w:t>If the first 8 participants of each subcohort separately include fewer than 3 participants from Japan, the Sponsor may elect to continue enrollment in Japan to include at least 3 participants from Japan. If the first 8 participants of each subcohort separately include fewer than 3 participants from E</w:t>
      </w:r>
      <w:r w:rsidR="00C30B51" w:rsidRPr="00AF1814">
        <w:t>urope</w:t>
      </w:r>
      <w:r w:rsidRPr="00AF1814">
        <w:t xml:space="preserve"> or the </w:t>
      </w:r>
      <w:r w:rsidR="00C30B51" w:rsidRPr="00AF1814">
        <w:t>United States</w:t>
      </w:r>
      <w:r w:rsidRPr="00AF1814">
        <w:t>, enrollment may continue in E</w:t>
      </w:r>
      <w:r w:rsidR="00C30B51" w:rsidRPr="00AF1814">
        <w:t>urope</w:t>
      </w:r>
      <w:r w:rsidRPr="00AF1814">
        <w:t xml:space="preserve"> and </w:t>
      </w:r>
      <w:r w:rsidR="000A673F" w:rsidRPr="00AF1814">
        <w:t xml:space="preserve">the </w:t>
      </w:r>
      <w:r w:rsidR="00C30B51" w:rsidRPr="00AF1814">
        <w:t>United States</w:t>
      </w:r>
      <w:r w:rsidRPr="00AF1814">
        <w:t xml:space="preserve"> to include at least 3 participants from any of these countries.</w:t>
      </w:r>
    </w:p>
    <w:p w14:paraId="7E3DDD1A" w14:textId="7E4A6B72" w:rsidR="000F41EE" w:rsidRPr="00E44F28" w:rsidRDefault="00DA3174" w:rsidP="00A7469A">
      <w:pPr>
        <w:pStyle w:val="BodyText"/>
        <w:widowControl w:val="0"/>
      </w:pPr>
      <w:r w:rsidRPr="00AF1814">
        <w:t xml:space="preserve">In cases where toxicity is readily attributable to 1 (or more) agents of the combination, it is acceptable to discontinue 1 (or more) agent while continuing other components of the combination treatment, if deemed appropriate by </w:t>
      </w:r>
      <w:r w:rsidRPr="00E44F28">
        <w:t>Investigator.</w:t>
      </w:r>
      <w:r w:rsidR="00F34D30" w:rsidRPr="00E44F28">
        <w:t xml:space="preserve"> Scan should be performed when any of the study intervention is discontinued</w:t>
      </w:r>
      <w:r w:rsidR="00EE46E0" w:rsidRPr="00E44F28">
        <w:t xml:space="preserve"> (see Section </w:t>
      </w:r>
      <w:r w:rsidR="00EE46E0" w:rsidRPr="00E44F28">
        <w:fldChar w:fldCharType="begin"/>
      </w:r>
      <w:r w:rsidR="00EE46E0" w:rsidRPr="00E44F28">
        <w:instrText xml:space="preserve"> REF _Ref36812907 \w \h  \* MERGEFORMAT </w:instrText>
      </w:r>
      <w:r w:rsidR="00EE46E0" w:rsidRPr="00E44F28">
        <w:fldChar w:fldCharType="separate"/>
      </w:r>
      <w:r w:rsidR="00C548C3" w:rsidRPr="00E44F28">
        <w:t>7.1</w:t>
      </w:r>
      <w:r w:rsidR="00EE46E0" w:rsidRPr="00E44F28">
        <w:fldChar w:fldCharType="end"/>
      </w:r>
      <w:r w:rsidR="00EE46E0" w:rsidRPr="00E44F28">
        <w:t xml:space="preserve"> for details)</w:t>
      </w:r>
      <w:r w:rsidR="00F34D30" w:rsidRPr="00E44F28">
        <w:t xml:space="preserve">. </w:t>
      </w:r>
    </w:p>
    <w:p w14:paraId="2658177F" w14:textId="77777777" w:rsidR="00013B17" w:rsidRPr="00E44F28" w:rsidRDefault="00DA3174" w:rsidP="00A7469A">
      <w:pPr>
        <w:pStyle w:val="BodyText"/>
        <w:widowControl w:val="0"/>
        <w:rPr>
          <w:b/>
          <w:u w:val="single"/>
        </w:rPr>
      </w:pPr>
      <w:r w:rsidRPr="00E44F28">
        <w:rPr>
          <w:b/>
          <w:u w:val="single"/>
        </w:rPr>
        <w:t xml:space="preserve">Cohort 2: </w:t>
      </w:r>
    </w:p>
    <w:p w14:paraId="1C8A3017" w14:textId="68D693CA" w:rsidR="00D52486" w:rsidRPr="00E44F28" w:rsidRDefault="00DA3174" w:rsidP="00A7469A">
      <w:pPr>
        <w:pStyle w:val="BodyText"/>
        <w:widowControl w:val="0"/>
      </w:pPr>
      <w:r w:rsidRPr="00E44F28">
        <w:t>Participants with locally advanced cervical cancer will be treated with bintrafusp alfa (2400</w:t>
      </w:r>
      <w:r w:rsidR="00BF5EE3" w:rsidRPr="00E44F28">
        <w:t> </w:t>
      </w:r>
      <w:r w:rsidRPr="00E44F28">
        <w:t xml:space="preserve">mg </w:t>
      </w:r>
      <w:r w:rsidR="009172DD" w:rsidRPr="00E44F28">
        <w:t>every 3 weeks</w:t>
      </w:r>
      <w:r w:rsidRPr="00E44F28">
        <w:t xml:space="preserve">) combined with </w:t>
      </w:r>
      <w:r w:rsidR="002D5CE2" w:rsidRPr="00E44F28">
        <w:t xml:space="preserve">definitive </w:t>
      </w:r>
      <w:r w:rsidRPr="00E44F28">
        <w:t xml:space="preserve">radiation and radiation-sensitizing platinum therapy (cisplatin) during cCRT, followed by maintenance with bintrafusp alfa monotherapy (2400 </w:t>
      </w:r>
      <w:r w:rsidR="00BE0005" w:rsidRPr="00E44F28">
        <w:t>mg</w:t>
      </w:r>
      <w:r w:rsidRPr="00E44F28">
        <w:t xml:space="preserve"> </w:t>
      </w:r>
      <w:r w:rsidR="009172DD" w:rsidRPr="00E44F28">
        <w:t>every 3 weeks</w:t>
      </w:r>
      <w:r w:rsidRPr="00E44F28">
        <w:t xml:space="preserve">). </w:t>
      </w:r>
    </w:p>
    <w:p w14:paraId="7C63AABC" w14:textId="1B5762D0" w:rsidR="00013B17" w:rsidRPr="00E44F28" w:rsidRDefault="00DA3174" w:rsidP="00A7469A">
      <w:pPr>
        <w:pStyle w:val="BodyText"/>
        <w:widowControl w:val="0"/>
      </w:pPr>
      <w:r w:rsidRPr="00E44F28">
        <w:t xml:space="preserve">If the first 8 participants include fewer than 3 participants from Japan, enrollment </w:t>
      </w:r>
      <w:r w:rsidR="000D5EF3" w:rsidRPr="00E44F28">
        <w:t>may</w:t>
      </w:r>
      <w:r w:rsidRPr="00E44F28">
        <w:t xml:space="preserve"> continue in Japan to include at least 3 participants from Japan</w:t>
      </w:r>
      <w:r w:rsidR="009C4798" w:rsidRPr="00E44F28">
        <w:t xml:space="preserve"> to evaluate the safety of this combination in Japanese participants</w:t>
      </w:r>
      <w:r w:rsidRPr="00E44F28">
        <w:t>.</w:t>
      </w:r>
      <w:r w:rsidR="00353697" w:rsidRPr="00E44F28">
        <w:t xml:space="preserve"> If the first 8 participants of this cohort include fewer than 3 participants from </w:t>
      </w:r>
      <w:r w:rsidR="00C30B51" w:rsidRPr="00E44F28">
        <w:t>Europe</w:t>
      </w:r>
      <w:r w:rsidR="00353697" w:rsidRPr="00E44F28">
        <w:t xml:space="preserve"> or the </w:t>
      </w:r>
      <w:r w:rsidR="00C30B51" w:rsidRPr="00E44F28">
        <w:t>United States</w:t>
      </w:r>
      <w:r w:rsidR="00353697" w:rsidRPr="00E44F28">
        <w:t>, enrollment may continue in E</w:t>
      </w:r>
      <w:r w:rsidR="00C30B51" w:rsidRPr="00E44F28">
        <w:t>urope</w:t>
      </w:r>
      <w:r w:rsidR="00353697" w:rsidRPr="00E44F28">
        <w:t xml:space="preserve"> and </w:t>
      </w:r>
      <w:r w:rsidR="000A673F" w:rsidRPr="00E44F28">
        <w:t xml:space="preserve">the </w:t>
      </w:r>
      <w:r w:rsidR="00C30B51" w:rsidRPr="00E44F28">
        <w:t>United States</w:t>
      </w:r>
      <w:r w:rsidR="00353697" w:rsidRPr="00E44F28">
        <w:t xml:space="preserve"> to include at least 3 participants from any of these countries.</w:t>
      </w:r>
    </w:p>
    <w:p w14:paraId="1699D9F9" w14:textId="7D2BA2EE" w:rsidR="00013B17" w:rsidRPr="00E44F28" w:rsidRDefault="00DA3174" w:rsidP="00A7469A">
      <w:pPr>
        <w:pStyle w:val="BodyText"/>
        <w:widowControl w:val="0"/>
      </w:pPr>
      <w:r w:rsidRPr="00E44F28">
        <w:t>The cCRT period is approximately 5 weeks</w:t>
      </w:r>
      <w:r w:rsidR="00353697" w:rsidRPr="00E44F28">
        <w:t xml:space="preserve"> plus any additional period for brachytherapy not exceeding a total of 8 weeks</w:t>
      </w:r>
      <w:r w:rsidRPr="00E44F28">
        <w:t xml:space="preserve"> as detailed in </w:t>
      </w:r>
      <w:r w:rsidR="00BC4591" w:rsidRPr="00E44F28">
        <w:fldChar w:fldCharType="begin"/>
      </w:r>
      <w:r w:rsidR="00BC4591" w:rsidRPr="00E44F28">
        <w:instrText xml:space="preserve"> REF _Ref31386539 \h </w:instrText>
      </w:r>
      <w:r w:rsidR="00AF1814" w:rsidRPr="00E44F28">
        <w:instrText xml:space="preserve"> \* MERGEFORMAT </w:instrText>
      </w:r>
      <w:r w:rsidR="00BC4591" w:rsidRPr="00E44F28">
        <w:fldChar w:fldCharType="separate"/>
      </w:r>
      <w:r w:rsidR="00C548C3" w:rsidRPr="00E44F28">
        <w:t xml:space="preserve">Table </w:t>
      </w:r>
      <w:r w:rsidR="00C548C3" w:rsidRPr="00E44F28">
        <w:rPr>
          <w:noProof/>
        </w:rPr>
        <w:t>3</w:t>
      </w:r>
      <w:r w:rsidR="00BC4591" w:rsidRPr="00E44F28">
        <w:fldChar w:fldCharType="end"/>
      </w:r>
      <w:r w:rsidR="00D52486" w:rsidRPr="00E44F28">
        <w:t xml:space="preserve"> and </w:t>
      </w:r>
      <w:r w:rsidR="00D52486" w:rsidRPr="00E44F28">
        <w:fldChar w:fldCharType="begin"/>
      </w:r>
      <w:r w:rsidR="00D52486" w:rsidRPr="00E44F28">
        <w:instrText xml:space="preserve"> REF _Ref31386622 \h </w:instrText>
      </w:r>
      <w:r w:rsidR="00AF1814" w:rsidRPr="00E44F28">
        <w:instrText xml:space="preserve"> \* MERGEFORMAT </w:instrText>
      </w:r>
      <w:r w:rsidR="00D52486" w:rsidRPr="00E44F28">
        <w:fldChar w:fldCharType="separate"/>
      </w:r>
      <w:r w:rsidR="00C548C3" w:rsidRPr="00E44F28">
        <w:t xml:space="preserve">Table </w:t>
      </w:r>
      <w:r w:rsidR="00C548C3" w:rsidRPr="00E44F28">
        <w:rPr>
          <w:noProof/>
        </w:rPr>
        <w:t>4</w:t>
      </w:r>
      <w:r w:rsidR="00D52486" w:rsidRPr="00E44F28">
        <w:fldChar w:fldCharType="end"/>
      </w:r>
      <w:r w:rsidR="00BC4591" w:rsidRPr="00E44F28">
        <w:t>.</w:t>
      </w:r>
      <w:r w:rsidRPr="00E44F28">
        <w:t xml:space="preserve"> The cCRT period is considered from the first dose of radiation to the last dose of radiation or chemotherapy, whichever occurs last. </w:t>
      </w:r>
      <w:r w:rsidR="00BE0005" w:rsidRPr="00E44F28">
        <w:t xml:space="preserve">The period for </w:t>
      </w:r>
      <w:r w:rsidRPr="00E44F28">
        <w:t>cCRT can be extended up to 1 week in case of technical and logistic</w:t>
      </w:r>
      <w:r w:rsidR="00FE3EC0" w:rsidRPr="00E44F28">
        <w:t>al</w:t>
      </w:r>
      <w:r w:rsidRPr="00E44F28">
        <w:t xml:space="preserve"> issues and if participants require withholding of the study intervention due to toxicities. </w:t>
      </w:r>
    </w:p>
    <w:p w14:paraId="274BD9AF" w14:textId="77777777" w:rsidR="00013B17" w:rsidRPr="00E44F28" w:rsidRDefault="00DA3174" w:rsidP="00A7469A">
      <w:pPr>
        <w:pStyle w:val="BodyText"/>
        <w:widowControl w:val="0"/>
      </w:pPr>
      <w:r w:rsidRPr="00E44F28">
        <w:t>In case cCRT is terminated early due to toxicity, participants in Cohort 2 are allowed to continue bintrafusp alfa</w:t>
      </w:r>
      <w:r w:rsidR="00051074" w:rsidRPr="00E44F28">
        <w:t>; similarly, if bintrafusp alfa is discontinued, cCRT may continue</w:t>
      </w:r>
      <w:r w:rsidRPr="00E44F28">
        <w:t>.</w:t>
      </w:r>
      <w:r w:rsidR="00827978" w:rsidRPr="00E44F28">
        <w:t xml:space="preserve"> </w:t>
      </w:r>
      <w:r w:rsidRPr="00E44F28">
        <w:t xml:space="preserve">The </w:t>
      </w:r>
      <w:r w:rsidR="00827978" w:rsidRPr="00E44F28">
        <w:t>first</w:t>
      </w:r>
      <w:r w:rsidRPr="00E44F28">
        <w:t xml:space="preserve"> dose of bintrafusp alfa during maintenance should be </w:t>
      </w:r>
      <w:r w:rsidR="00D627BC" w:rsidRPr="00E44F28">
        <w:t xml:space="preserve">at least </w:t>
      </w:r>
      <w:r w:rsidRPr="00E44F28">
        <w:t>3</w:t>
      </w:r>
      <w:r w:rsidR="00827978" w:rsidRPr="00E44F28">
        <w:t> </w:t>
      </w:r>
      <w:r w:rsidRPr="00E44F28">
        <w:t xml:space="preserve">weeks from the last dose of bintrafusp alfa and not before tumor assessment and </w:t>
      </w:r>
      <w:r w:rsidR="00470DAD" w:rsidRPr="00E44F28">
        <w:t>E</w:t>
      </w:r>
      <w:r w:rsidRPr="00E44F28">
        <w:t xml:space="preserve">nd-of-cCRT </w:t>
      </w:r>
      <w:r w:rsidR="00A7469A" w:rsidRPr="00E44F28">
        <w:t>V</w:t>
      </w:r>
      <w:r w:rsidRPr="00E44F28">
        <w:t>isit has been performed. The first dose of maintenance bintrafusp alfa may be delayed to next scheduled dose if clinically indicated.</w:t>
      </w:r>
    </w:p>
    <w:p w14:paraId="23EAD934" w14:textId="52A42445" w:rsidR="00013B17" w:rsidRPr="00E44F28" w:rsidRDefault="00DA3174" w:rsidP="00A7469A">
      <w:pPr>
        <w:pStyle w:val="BodyText"/>
        <w:widowControl w:val="0"/>
      </w:pPr>
      <w:r w:rsidRPr="00E44F28">
        <w:t xml:space="preserve">The overall study design is shown in </w:t>
      </w:r>
      <w:r w:rsidR="00BE0005" w:rsidRPr="00E44F28">
        <w:fldChar w:fldCharType="begin"/>
      </w:r>
      <w:r w:rsidR="00BE0005" w:rsidRPr="00E44F28">
        <w:instrText xml:space="preserve"> REF _Ref31708874 \h </w:instrText>
      </w:r>
      <w:r w:rsidR="00A7469A" w:rsidRPr="00E44F28">
        <w:instrText xml:space="preserve"> \* MERGEFORMAT </w:instrText>
      </w:r>
      <w:r w:rsidR="00BE0005" w:rsidRPr="00E44F28">
        <w:fldChar w:fldCharType="separate"/>
      </w:r>
      <w:r w:rsidR="00C548C3" w:rsidRPr="00E44F28">
        <w:t xml:space="preserve">Figure </w:t>
      </w:r>
      <w:r w:rsidR="00C548C3" w:rsidRPr="00E44F28">
        <w:rPr>
          <w:noProof/>
        </w:rPr>
        <w:t>1</w:t>
      </w:r>
      <w:r w:rsidR="00BE0005" w:rsidRPr="00E44F28">
        <w:fldChar w:fldCharType="end"/>
      </w:r>
      <w:r w:rsidR="00BE0005" w:rsidRPr="00E44F28">
        <w:t>.</w:t>
      </w:r>
      <w:r w:rsidRPr="00E44F28">
        <w:t xml:space="preserve"> A detailed Schedule of Activities is provided in </w:t>
      </w:r>
      <w:r w:rsidR="00BC4591" w:rsidRPr="00E44F28">
        <w:t xml:space="preserve">Section </w:t>
      </w:r>
      <w:r w:rsidR="00BC4591" w:rsidRPr="00E44F28">
        <w:fldChar w:fldCharType="begin"/>
      </w:r>
      <w:r w:rsidR="00BC4591" w:rsidRPr="00E44F28">
        <w:instrText xml:space="preserve"> REF _Ref33108761 \w \h </w:instrText>
      </w:r>
      <w:r w:rsidR="00AF1814" w:rsidRPr="00E44F28">
        <w:instrText xml:space="preserve"> \* MERGEFORMAT </w:instrText>
      </w:r>
      <w:r w:rsidR="00BC4591" w:rsidRPr="00E44F28">
        <w:fldChar w:fldCharType="separate"/>
      </w:r>
      <w:r w:rsidR="00C548C3" w:rsidRPr="00E44F28">
        <w:t>1.3</w:t>
      </w:r>
      <w:r w:rsidR="00BC4591" w:rsidRPr="00E44F28">
        <w:fldChar w:fldCharType="end"/>
      </w:r>
      <w:r w:rsidRPr="00E44F28">
        <w:t>.</w:t>
      </w:r>
    </w:p>
    <w:p w14:paraId="039B7670" w14:textId="77777777" w:rsidR="00013B17" w:rsidRPr="00AF1814" w:rsidRDefault="00DA3174" w:rsidP="00013B17">
      <w:pPr>
        <w:pStyle w:val="BodyText"/>
      </w:pPr>
      <w:r w:rsidRPr="00AF1814">
        <w:t>The study includes:</w:t>
      </w:r>
    </w:p>
    <w:p w14:paraId="7E1B524B" w14:textId="52865A90" w:rsidR="00013B17" w:rsidRPr="00E44F28" w:rsidRDefault="00DA3174" w:rsidP="00CE2A49">
      <w:pPr>
        <w:pStyle w:val="List1withbullet"/>
      </w:pPr>
      <w:r w:rsidRPr="00AF1814">
        <w:lastRenderedPageBreak/>
        <w:t xml:space="preserve">Up to </w:t>
      </w:r>
      <w:r w:rsidR="00B62895" w:rsidRPr="00AF1814">
        <w:t>28</w:t>
      </w:r>
      <w:r w:rsidR="00B62895" w:rsidRPr="00AF1814">
        <w:noBreakHyphen/>
        <w:t xml:space="preserve">day Screening period. </w:t>
      </w:r>
      <w:r w:rsidR="00CE2A49" w:rsidRPr="00AF1814">
        <w:t xml:space="preserve">Screening will be performed within 28 days prior to Day 1 of study intervention administration. If there are no clinically significant findings at Screening and the individual meets all the protocol-defined inclusion and none of the </w:t>
      </w:r>
      <w:r w:rsidR="00CE2A49" w:rsidRPr="00E44F28">
        <w:t xml:space="preserve">exclusion criteria, the individual will be considered eligible for participation in the study. See Section </w:t>
      </w:r>
      <w:r w:rsidR="00FD78D7" w:rsidRPr="00E44F28">
        <w:fldChar w:fldCharType="begin"/>
      </w:r>
      <w:r w:rsidR="00FD78D7" w:rsidRPr="00E44F28">
        <w:instrText xml:space="preserve"> REF _Ref34080667 \w \h </w:instrText>
      </w:r>
      <w:r w:rsidR="00AF1814" w:rsidRPr="00E44F28">
        <w:instrText xml:space="preserve"> \* MERGEFORMAT </w:instrText>
      </w:r>
      <w:r w:rsidR="00FD78D7" w:rsidRPr="00E44F28">
        <w:fldChar w:fldCharType="separate"/>
      </w:r>
      <w:r w:rsidR="00C548C3" w:rsidRPr="00E44F28">
        <w:t>5.4</w:t>
      </w:r>
      <w:r w:rsidR="00FD78D7" w:rsidRPr="00E44F28">
        <w:fldChar w:fldCharType="end"/>
      </w:r>
      <w:r w:rsidR="00CE2A49" w:rsidRPr="00E44F28">
        <w:t xml:space="preserve"> for screen failures.</w:t>
      </w:r>
    </w:p>
    <w:p w14:paraId="7930FC81" w14:textId="3607FC22" w:rsidR="00013B17" w:rsidRPr="00E44F28" w:rsidRDefault="00DA3174" w:rsidP="00F15279">
      <w:pPr>
        <w:pStyle w:val="List1withbullet"/>
      </w:pPr>
      <w:r w:rsidRPr="00E44F28">
        <w:t xml:space="preserve">The DLT (as defined in Section </w:t>
      </w:r>
      <w:r w:rsidRPr="00E44F28">
        <w:fldChar w:fldCharType="begin"/>
      </w:r>
      <w:r w:rsidRPr="00E44F28">
        <w:instrText xml:space="preserve"> REF _Ref28878737 \r \h </w:instrText>
      </w:r>
      <w:r w:rsidR="00AF1814" w:rsidRPr="00E44F28">
        <w:instrText xml:space="preserve"> \* MERGEFORMAT </w:instrText>
      </w:r>
      <w:r w:rsidRPr="00E44F28">
        <w:fldChar w:fldCharType="separate"/>
      </w:r>
      <w:r w:rsidR="00C548C3" w:rsidRPr="00E44F28">
        <w:t>6.6.2</w:t>
      </w:r>
      <w:r w:rsidRPr="00E44F28">
        <w:fldChar w:fldCharType="end"/>
      </w:r>
      <w:r w:rsidRPr="00E44F28">
        <w:t xml:space="preserve">) observation period of </w:t>
      </w:r>
      <w:r w:rsidR="004B00C7" w:rsidRPr="00E44F28">
        <w:t>4</w:t>
      </w:r>
      <w:r w:rsidRPr="00E44F28">
        <w:t xml:space="preserve"> weeks from the </w:t>
      </w:r>
      <w:r w:rsidR="00831F41" w:rsidRPr="00E44F28">
        <w:t>Week 1, Day 1 (</w:t>
      </w:r>
      <w:r w:rsidRPr="00E44F28">
        <w:t>W1D1</w:t>
      </w:r>
      <w:r w:rsidR="00831F41" w:rsidRPr="00E44F28">
        <w:t>)</w:t>
      </w:r>
      <w:r w:rsidRPr="00E44F28">
        <w:t xml:space="preserve"> visit for </w:t>
      </w:r>
      <w:r w:rsidR="002C1396" w:rsidRPr="00E44F28">
        <w:t xml:space="preserve">all </w:t>
      </w:r>
      <w:r w:rsidR="00BD4190" w:rsidRPr="00E44F28">
        <w:t>cohorts</w:t>
      </w:r>
      <w:r w:rsidRPr="00E44F28">
        <w:t>.</w:t>
      </w:r>
    </w:p>
    <w:p w14:paraId="6753EB67" w14:textId="77777777" w:rsidR="00013B17" w:rsidRPr="00E44F28" w:rsidRDefault="00DA3174" w:rsidP="00F15279">
      <w:pPr>
        <w:pStyle w:val="List1withbullet"/>
      </w:pPr>
      <w:bookmarkStart w:id="85" w:name="_Hlk527532297"/>
      <w:r w:rsidRPr="00E44F28">
        <w:t xml:space="preserve">Treatment until </w:t>
      </w:r>
      <w:r w:rsidR="00694C9D" w:rsidRPr="00E44F28">
        <w:t xml:space="preserve">PD by </w:t>
      </w:r>
      <w:r w:rsidRPr="00E44F28">
        <w:t>RECIST 1.1</w:t>
      </w:r>
      <w:r w:rsidR="00694C9D" w:rsidRPr="00E44F28">
        <w:t xml:space="preserve"> and subsequent confirmation</w:t>
      </w:r>
      <w:r w:rsidR="003C5D69" w:rsidRPr="00E44F28">
        <w:t xml:space="preserve"> (at the next imaging visit at least 28 days after the detection of PD)</w:t>
      </w:r>
      <w:r w:rsidRPr="00E44F28">
        <w:t>, unacceptable toxicity</w:t>
      </w:r>
      <w:r w:rsidR="004F6E16" w:rsidRPr="00E44F28">
        <w:t>, study withdrawal, or death</w:t>
      </w:r>
      <w:r w:rsidRPr="00E44F28">
        <w:t xml:space="preserve">. </w:t>
      </w:r>
    </w:p>
    <w:p w14:paraId="197AC914" w14:textId="6D8B89DA" w:rsidR="00013B17" w:rsidRPr="00E44F28" w:rsidRDefault="00DA3174" w:rsidP="00F15279">
      <w:pPr>
        <w:pStyle w:val="List1withbullet"/>
      </w:pPr>
      <w:r w:rsidRPr="00E44F28">
        <w:t>The treatments for Cohort</w:t>
      </w:r>
      <w:r w:rsidR="00CA6839" w:rsidRPr="00E44F28">
        <w:t>s</w:t>
      </w:r>
      <w:r w:rsidRPr="00E44F28">
        <w:t xml:space="preserve"> 1 </w:t>
      </w:r>
      <w:r w:rsidR="00CA6839" w:rsidRPr="00E44F28">
        <w:rPr>
          <w:bCs/>
        </w:rPr>
        <w:t>(Cohort 1A and</w:t>
      </w:r>
      <w:r w:rsidR="00CA6839" w:rsidRPr="00E44F28">
        <w:t xml:space="preserve"> Cohort 1B) </w:t>
      </w:r>
      <w:r w:rsidRPr="00E44F28">
        <w:t>and 2 are as specified in</w:t>
      </w:r>
      <w:r w:rsidR="00BC4591" w:rsidRPr="00E44F28">
        <w:t xml:space="preserve"> Section</w:t>
      </w:r>
      <w:r w:rsidR="00772C4B" w:rsidRPr="00E44F28">
        <w:t> </w:t>
      </w:r>
      <w:r w:rsidR="00BC4591" w:rsidRPr="00E44F28">
        <w:fldChar w:fldCharType="begin"/>
      </w:r>
      <w:r w:rsidR="00BC4591" w:rsidRPr="00E44F28">
        <w:instrText xml:space="preserve"> REF _Ref33108761 \w \h </w:instrText>
      </w:r>
      <w:r w:rsidR="00AF1814" w:rsidRPr="00E44F28">
        <w:instrText xml:space="preserve"> \* MERGEFORMAT </w:instrText>
      </w:r>
      <w:r w:rsidR="00BC4591" w:rsidRPr="00E44F28">
        <w:fldChar w:fldCharType="separate"/>
      </w:r>
      <w:r w:rsidR="00C548C3" w:rsidRPr="00E44F28">
        <w:t>1.3</w:t>
      </w:r>
      <w:r w:rsidR="00BC4591" w:rsidRPr="00E44F28">
        <w:fldChar w:fldCharType="end"/>
      </w:r>
      <w:r w:rsidRPr="00E44F28">
        <w:t>.</w:t>
      </w:r>
    </w:p>
    <w:p w14:paraId="1680C502" w14:textId="7F3ED101" w:rsidR="00013B17" w:rsidRPr="00E44F28" w:rsidRDefault="00DA3174" w:rsidP="00F15279">
      <w:pPr>
        <w:pStyle w:val="List1withbullet"/>
      </w:pPr>
      <w:r w:rsidRPr="00E44F28">
        <w:t xml:space="preserve">In case of PD, treatment may continue if the participant’s </w:t>
      </w:r>
      <w:r w:rsidR="00772C4B" w:rsidRPr="00E44F28">
        <w:t>Eastern Cooperative Oncology Group P</w:t>
      </w:r>
      <w:r w:rsidRPr="00E44F28">
        <w:t xml:space="preserve">erformance </w:t>
      </w:r>
      <w:r w:rsidR="00772C4B" w:rsidRPr="00E44F28">
        <w:t>S</w:t>
      </w:r>
      <w:r w:rsidRPr="00E44F28">
        <w:t>tatus (</w:t>
      </w:r>
      <w:r w:rsidR="00772C4B" w:rsidRPr="00E44F28">
        <w:t xml:space="preserve">ECOG </w:t>
      </w:r>
      <w:r w:rsidRPr="00E44F28">
        <w:t xml:space="preserve">PS) has remained at least stable, </w:t>
      </w:r>
      <w:r w:rsidR="00D6425B" w:rsidRPr="00E44F28">
        <w:t xml:space="preserve">and if </w:t>
      </w:r>
      <w:r w:rsidRPr="00E44F28">
        <w:t>in the opinion of the Investigator, the participant will benefit from continued treatment, and if other criteria are fulfilled as outlined in the protocol (see Section </w:t>
      </w:r>
      <w:r w:rsidRPr="00E44F28">
        <w:fldChar w:fldCharType="begin"/>
      </w:r>
      <w:r w:rsidRPr="00E44F28">
        <w:instrText xml:space="preserve"> REF _Ref15485175 \r \h  \* MERGEFORMAT </w:instrText>
      </w:r>
      <w:r w:rsidRPr="00E44F28">
        <w:fldChar w:fldCharType="separate"/>
      </w:r>
      <w:r w:rsidR="00C548C3" w:rsidRPr="00E44F28">
        <w:t>7.1.3</w:t>
      </w:r>
      <w:r w:rsidRPr="00E44F28">
        <w:fldChar w:fldCharType="end"/>
      </w:r>
      <w:r w:rsidRPr="00E44F28">
        <w:t>).</w:t>
      </w:r>
    </w:p>
    <w:p w14:paraId="65128ECD" w14:textId="77777777" w:rsidR="00013B17" w:rsidRPr="00AF1814" w:rsidRDefault="00DA3174" w:rsidP="00F15279">
      <w:pPr>
        <w:pStyle w:val="List1withbullet"/>
      </w:pPr>
      <w:r w:rsidRPr="00E44F28">
        <w:t xml:space="preserve">Cohort 1 participants will continue </w:t>
      </w:r>
      <w:r w:rsidRPr="00AF1814">
        <w:t xml:space="preserve">chemotherapy until </w:t>
      </w:r>
      <w:r w:rsidR="00FA33FA" w:rsidRPr="00AF1814">
        <w:t>complete response (</w:t>
      </w:r>
      <w:r w:rsidRPr="00AF1814">
        <w:t>CR</w:t>
      </w:r>
      <w:r w:rsidR="00FA33FA" w:rsidRPr="00AF1814">
        <w:t>)</w:t>
      </w:r>
      <w:r w:rsidR="005B4429" w:rsidRPr="00AF1814">
        <w:t xml:space="preserve"> (as clinically indicated)</w:t>
      </w:r>
      <w:r w:rsidRPr="00AF1814">
        <w:t xml:space="preserve"> and/or unacceptable toxicity due to chemotherapy, after which, bintrafusp alfa </w:t>
      </w:r>
      <w:r w:rsidR="00BB73A4" w:rsidRPr="00AF1814">
        <w:t>±</w:t>
      </w:r>
      <w:r w:rsidRPr="00AF1814">
        <w:t xml:space="preserve"> bevacizumab </w:t>
      </w:r>
      <w:r w:rsidR="00E15C06" w:rsidRPr="00AF1814">
        <w:t xml:space="preserve">(depending on cohort) </w:t>
      </w:r>
      <w:r w:rsidRPr="00AF1814">
        <w:t>may be continued until 2</w:t>
      </w:r>
      <w:r w:rsidR="008F7432" w:rsidRPr="00AF1814">
        <w:t> </w:t>
      </w:r>
      <w:r w:rsidRPr="00AF1814">
        <w:t>years or unacceptable toxicity as indicated for bintrafusp alfa and/or bevacizumab.</w:t>
      </w:r>
      <w:r w:rsidR="00CF3122" w:rsidRPr="00AF1814">
        <w:t xml:space="preserve"> </w:t>
      </w:r>
      <w:r w:rsidRPr="00AF1814">
        <w:t xml:space="preserve">If the Investigator believes that a participant may benefit from treatment beyond </w:t>
      </w:r>
      <w:r w:rsidR="00BB73A4" w:rsidRPr="00AF1814">
        <w:t>2 years</w:t>
      </w:r>
      <w:r w:rsidRPr="00AF1814">
        <w:t xml:space="preserve">, it may be permissible to continue treatment after discussion with the Medical Monitor and the Sponsor’s Medical Responsible. </w:t>
      </w:r>
    </w:p>
    <w:p w14:paraId="13FD4DB4" w14:textId="77777777" w:rsidR="00013B17" w:rsidRPr="00AF1814" w:rsidRDefault="00DA3174" w:rsidP="00F15279">
      <w:pPr>
        <w:pStyle w:val="List1withbullet"/>
      </w:pPr>
      <w:r w:rsidRPr="00AF1814">
        <w:t xml:space="preserve">Cohort 2 participants should continue maintenance treatment </w:t>
      </w:r>
      <w:r w:rsidR="00E15C06" w:rsidRPr="00AF1814">
        <w:t xml:space="preserve">(bintrafusp alfa) </w:t>
      </w:r>
      <w:r w:rsidRPr="00AF1814">
        <w:t xml:space="preserve">for a maximum of </w:t>
      </w:r>
      <w:r w:rsidR="00BB73A4" w:rsidRPr="00AF1814">
        <w:t>2</w:t>
      </w:r>
      <w:r w:rsidR="008F7432" w:rsidRPr="00AF1814">
        <w:t> </w:t>
      </w:r>
      <w:r w:rsidR="00BB73A4" w:rsidRPr="00AF1814">
        <w:t>years</w:t>
      </w:r>
      <w:r w:rsidRPr="00AF1814">
        <w:t xml:space="preserve"> (at the discretion of the Investigator). If the Investigator believes that a participant may benefit from treatment beyond </w:t>
      </w:r>
      <w:r w:rsidR="00BB73A4" w:rsidRPr="00AF1814">
        <w:t>2 years</w:t>
      </w:r>
      <w:r w:rsidRPr="00AF1814">
        <w:t xml:space="preserve">, it may be permissible to continue treatment after discussion with the Medical Monitor and the Sponsor’s Medical Responsible. </w:t>
      </w:r>
    </w:p>
    <w:p w14:paraId="779AB633" w14:textId="1927A29D" w:rsidR="00013B17" w:rsidRPr="00AF1814" w:rsidRDefault="00DA3174" w:rsidP="00F15279">
      <w:pPr>
        <w:pStyle w:val="List1withbullet"/>
      </w:pPr>
      <w:r w:rsidRPr="00AF1814">
        <w:t>All participants should continue treatment until confirmed disease progression or any other discontinuation criterion is met (e.g.</w:t>
      </w:r>
      <w:r w:rsidR="008F7432" w:rsidRPr="00AF1814">
        <w:t>,</w:t>
      </w:r>
      <w:r w:rsidRPr="00AF1814">
        <w:t xml:space="preserve"> unacceptable toxicity, withdrawal of consent). </w:t>
      </w:r>
    </w:p>
    <w:bookmarkEnd w:id="85"/>
    <w:p w14:paraId="054CAB22" w14:textId="1C0C7DE7" w:rsidR="00013B17" w:rsidRPr="00E44F28" w:rsidRDefault="00DA3174" w:rsidP="00F15279">
      <w:pPr>
        <w:pStyle w:val="List1withbullet"/>
      </w:pPr>
      <w:r w:rsidRPr="00AF1814">
        <w:t xml:space="preserve">Safety </w:t>
      </w:r>
      <w:r w:rsidR="00ED0086" w:rsidRPr="00AF1814">
        <w:t>F</w:t>
      </w:r>
      <w:r w:rsidRPr="00AF1814">
        <w:t>ollow</w:t>
      </w:r>
      <w:r w:rsidRPr="00AF1814">
        <w:noBreakHyphen/>
        <w:t xml:space="preserve">up </w:t>
      </w:r>
      <w:r w:rsidR="00ED0086" w:rsidRPr="00AF1814">
        <w:t xml:space="preserve">Visits are at 28 days </w:t>
      </w:r>
      <w:r w:rsidR="00C45661" w:rsidRPr="00AF1814">
        <w:t xml:space="preserve">(± 5 days) </w:t>
      </w:r>
      <w:r w:rsidR="00ED0086" w:rsidRPr="00AF1814">
        <w:t xml:space="preserve">and </w:t>
      </w:r>
      <w:r w:rsidRPr="00AF1814">
        <w:t xml:space="preserve">12 weeks </w:t>
      </w:r>
      <w:r w:rsidR="00C45661" w:rsidRPr="00E44F28">
        <w:t xml:space="preserve">(± 2 weeks) </w:t>
      </w:r>
      <w:r w:rsidRPr="00E44F28">
        <w:t>after the last dose of study intervention</w:t>
      </w:r>
      <w:r w:rsidR="007A2DCA" w:rsidRPr="00E44F28">
        <w:t xml:space="preserve"> </w:t>
      </w:r>
      <w:r w:rsidR="008F435E" w:rsidRPr="00E44F28">
        <w:t>according to the Schedule of Activities</w:t>
      </w:r>
      <w:r w:rsidR="007A2DCA" w:rsidRPr="00E44F28">
        <w:t xml:space="preserve"> (see Section </w:t>
      </w:r>
      <w:r w:rsidR="007A2DCA" w:rsidRPr="00E44F28">
        <w:fldChar w:fldCharType="begin"/>
      </w:r>
      <w:r w:rsidR="007A2DCA" w:rsidRPr="00E44F28">
        <w:instrText xml:space="preserve"> REF _Ref33108761 \w \h </w:instrText>
      </w:r>
      <w:r w:rsidR="00AF1814" w:rsidRPr="00E44F28">
        <w:instrText xml:space="preserve"> \* MERGEFORMAT </w:instrText>
      </w:r>
      <w:r w:rsidR="007A2DCA" w:rsidRPr="00E44F28">
        <w:fldChar w:fldCharType="separate"/>
      </w:r>
      <w:r w:rsidR="00C548C3" w:rsidRPr="00E44F28">
        <w:t>1.3</w:t>
      </w:r>
      <w:r w:rsidR="007A2DCA" w:rsidRPr="00E44F28">
        <w:fldChar w:fldCharType="end"/>
      </w:r>
      <w:r w:rsidR="007A2DCA" w:rsidRPr="00E44F28">
        <w:t>)</w:t>
      </w:r>
      <w:r w:rsidRPr="00E44F28">
        <w:t>. The 12</w:t>
      </w:r>
      <w:r w:rsidRPr="00E44F28">
        <w:noBreakHyphen/>
        <w:t>week Safety Follow-up is allowed to be conducted via telephone calls or patient chart reviews unless there is medical necessity requiring a clinical visit.</w:t>
      </w:r>
    </w:p>
    <w:p w14:paraId="694DDA57" w14:textId="04C80B14" w:rsidR="00013B17" w:rsidRPr="00E44F28" w:rsidRDefault="00DA3174" w:rsidP="00F15279">
      <w:pPr>
        <w:pStyle w:val="List1withbullet"/>
      </w:pPr>
      <w:r w:rsidRPr="00E44F28">
        <w:t>Long</w:t>
      </w:r>
      <w:r w:rsidRPr="00E44F28">
        <w:noBreakHyphen/>
        <w:t xml:space="preserve">term </w:t>
      </w:r>
      <w:r w:rsidR="002B2D83" w:rsidRPr="00E44F28">
        <w:t>F</w:t>
      </w:r>
      <w:r w:rsidRPr="00E44F28">
        <w:t xml:space="preserve">ollow-up should be performed every 12 weeks </w:t>
      </w:r>
      <w:r w:rsidR="00C45661" w:rsidRPr="00E44F28">
        <w:t xml:space="preserve">(± 2 weeks) </w:t>
      </w:r>
      <w:r w:rsidRPr="00E44F28">
        <w:t>after the Safety Follow</w:t>
      </w:r>
      <w:r w:rsidR="00F24BD9" w:rsidRPr="00E44F28">
        <w:noBreakHyphen/>
      </w:r>
      <w:r w:rsidRPr="00E44F28">
        <w:t>up according to the Schedule of Activities (see</w:t>
      </w:r>
      <w:r w:rsidR="00BC4591" w:rsidRPr="00E44F28">
        <w:t xml:space="preserve"> Section </w:t>
      </w:r>
      <w:r w:rsidR="00BC4591" w:rsidRPr="00E44F28">
        <w:fldChar w:fldCharType="begin"/>
      </w:r>
      <w:r w:rsidR="00BC4591" w:rsidRPr="00E44F28">
        <w:instrText xml:space="preserve"> REF _Ref33108761 \w \h </w:instrText>
      </w:r>
      <w:r w:rsidR="00AF1814" w:rsidRPr="00E44F28">
        <w:instrText xml:space="preserve"> \* MERGEFORMAT </w:instrText>
      </w:r>
      <w:r w:rsidR="00BC4591" w:rsidRPr="00E44F28">
        <w:fldChar w:fldCharType="separate"/>
      </w:r>
      <w:r w:rsidR="00C548C3" w:rsidRPr="00E44F28">
        <w:t>1.3</w:t>
      </w:r>
      <w:r w:rsidR="00BC4591" w:rsidRPr="00E44F28">
        <w:fldChar w:fldCharType="end"/>
      </w:r>
      <w:r w:rsidRPr="00E44F28">
        <w:t xml:space="preserve">). Long-term </w:t>
      </w:r>
      <w:r w:rsidR="00733E49" w:rsidRPr="00E44F28">
        <w:t>F</w:t>
      </w:r>
      <w:r w:rsidRPr="00E44F28">
        <w:t>ollow</w:t>
      </w:r>
      <w:r w:rsidR="00733E49" w:rsidRPr="00E44F28">
        <w:noBreakHyphen/>
      </w:r>
      <w:r w:rsidRPr="00E44F28">
        <w:t>up should be performed by chart reviews or telephone calls unless there is medical necessity requiring a clinical visit.</w:t>
      </w:r>
    </w:p>
    <w:p w14:paraId="6ABE3523" w14:textId="6C52E25B" w:rsidR="00013B17" w:rsidRPr="00AF1814" w:rsidRDefault="00DA3174" w:rsidP="00F15279">
      <w:pPr>
        <w:pStyle w:val="List1withbullet"/>
      </w:pPr>
      <w:r w:rsidRPr="00E44F28">
        <w:t xml:space="preserve">Survival </w:t>
      </w:r>
      <w:r w:rsidR="008F2C3B" w:rsidRPr="00E44F28">
        <w:t>F</w:t>
      </w:r>
      <w:r w:rsidRPr="00E44F28">
        <w:t xml:space="preserve">ollow-up will continue until the end of study as defined in Section </w:t>
      </w:r>
      <w:r w:rsidR="00BF04C1" w:rsidRPr="00E44F28">
        <w:fldChar w:fldCharType="begin"/>
      </w:r>
      <w:r w:rsidR="00BF04C1" w:rsidRPr="00E44F28">
        <w:instrText xml:space="preserve"> REF _Ref30403854 \r \h </w:instrText>
      </w:r>
      <w:r w:rsidR="00AF1814" w:rsidRPr="00E44F28">
        <w:instrText xml:space="preserve"> \* MERGEFORMAT </w:instrText>
      </w:r>
      <w:r w:rsidR="00BF04C1" w:rsidRPr="00E44F28">
        <w:fldChar w:fldCharType="separate"/>
      </w:r>
      <w:r w:rsidR="00C548C3" w:rsidRPr="00E44F28">
        <w:t>4.4</w:t>
      </w:r>
      <w:r w:rsidR="00BF04C1" w:rsidRPr="00E44F28">
        <w:fldChar w:fldCharType="end"/>
      </w:r>
      <w:r w:rsidRPr="00E44F28">
        <w:t xml:space="preserve">. </w:t>
      </w:r>
      <w:r w:rsidRPr="00AF1814">
        <w:t xml:space="preserve">After </w:t>
      </w:r>
      <w:r w:rsidR="002443B0" w:rsidRPr="00AF1814">
        <w:t xml:space="preserve">the </w:t>
      </w:r>
      <w:r w:rsidRPr="00AF1814">
        <w:t xml:space="preserve">stipulated end of study, Survival </w:t>
      </w:r>
      <w:r w:rsidR="008F2C3B" w:rsidRPr="00AF1814">
        <w:t>F</w:t>
      </w:r>
      <w:r w:rsidRPr="00AF1814">
        <w:t>ollow-up may continue until the last participant has died or at the discretion of the Sponsor.</w:t>
      </w:r>
    </w:p>
    <w:p w14:paraId="1E097162" w14:textId="3FA7D5EB" w:rsidR="00F24CD6" w:rsidRPr="00AF1814" w:rsidRDefault="00DA3174" w:rsidP="00F24CD6">
      <w:pPr>
        <w:pStyle w:val="BodyText"/>
      </w:pPr>
      <w:r w:rsidRPr="00AF1814">
        <w:lastRenderedPageBreak/>
        <w:t xml:space="preserve">See </w:t>
      </w:r>
      <w:r w:rsidRPr="00E44F28">
        <w:t xml:space="preserve">Section </w:t>
      </w:r>
      <w:r w:rsidR="00F14639" w:rsidRPr="00E44F28">
        <w:fldChar w:fldCharType="begin"/>
      </w:r>
      <w:r w:rsidR="00F14639" w:rsidRPr="00E44F28">
        <w:instrText xml:space="preserve"> REF _Ref30403854 \w \h </w:instrText>
      </w:r>
      <w:r w:rsidR="00AF1814" w:rsidRPr="00E44F28">
        <w:instrText xml:space="preserve"> \* MERGEFORMAT </w:instrText>
      </w:r>
      <w:r w:rsidR="00F14639" w:rsidRPr="00E44F28">
        <w:fldChar w:fldCharType="separate"/>
      </w:r>
      <w:r w:rsidR="00C548C3" w:rsidRPr="00E44F28">
        <w:t>4.4</w:t>
      </w:r>
      <w:r w:rsidR="00F14639" w:rsidRPr="00E44F28">
        <w:fldChar w:fldCharType="end"/>
      </w:r>
      <w:r w:rsidRPr="00E44F28">
        <w:t xml:space="preserve"> f</w:t>
      </w:r>
      <w:r w:rsidRPr="00AF1814">
        <w:t>or the end of study definition.</w:t>
      </w:r>
    </w:p>
    <w:p w14:paraId="6B4F8521" w14:textId="77777777" w:rsidR="00945494" w:rsidRPr="00AF1814" w:rsidRDefault="00DA3174" w:rsidP="00AD5FEF">
      <w:pPr>
        <w:pStyle w:val="Heading2"/>
      </w:pPr>
      <w:bookmarkStart w:id="86" w:name="_Ref36549101"/>
      <w:bookmarkStart w:id="87" w:name="_Toc44601651"/>
      <w:r w:rsidRPr="00AF1814">
        <w:t>Scientific Rationale for Study Design</w:t>
      </w:r>
      <w:bookmarkEnd w:id="86"/>
      <w:bookmarkEnd w:id="87"/>
    </w:p>
    <w:p w14:paraId="64B33C98" w14:textId="77777777" w:rsidR="006954F1" w:rsidRPr="00AF1814" w:rsidRDefault="00DA3174" w:rsidP="006954F1">
      <w:pPr>
        <w:pStyle w:val="Heading3"/>
      </w:pPr>
      <w:bookmarkStart w:id="88" w:name="_Toc44601652"/>
      <w:r w:rsidRPr="00AF1814">
        <w:t>Endpoints</w:t>
      </w:r>
      <w:bookmarkEnd w:id="88"/>
    </w:p>
    <w:p w14:paraId="4B288BEE" w14:textId="77777777" w:rsidR="006954F1" w:rsidRPr="00AF1814" w:rsidRDefault="00DA3174" w:rsidP="006954F1">
      <w:pPr>
        <w:pStyle w:val="BodyText"/>
      </w:pPr>
      <w:r w:rsidRPr="00AF1814">
        <w:t xml:space="preserve">The primary endpoint of the study is </w:t>
      </w:r>
      <w:r w:rsidR="00ED04FF" w:rsidRPr="00AF1814">
        <w:t>occurrence of DLTs and AEs</w:t>
      </w:r>
      <w:r w:rsidR="00F14639" w:rsidRPr="00AF1814">
        <w:t>.</w:t>
      </w:r>
    </w:p>
    <w:p w14:paraId="6D8CF4D6" w14:textId="77777777" w:rsidR="00D93E2C" w:rsidRPr="00AF1814" w:rsidRDefault="00DA3174" w:rsidP="00D93E2C">
      <w:pPr>
        <w:pStyle w:val="Heading3"/>
      </w:pPr>
      <w:bookmarkStart w:id="89" w:name="_Toc44601653"/>
      <w:r w:rsidRPr="00AF1814">
        <w:t>Selection of Combination and Study Population</w:t>
      </w:r>
      <w:bookmarkEnd w:id="89"/>
    </w:p>
    <w:p w14:paraId="5399AB9B" w14:textId="1106B869" w:rsidR="001B3640" w:rsidRPr="00AF1814" w:rsidRDefault="00DA3174" w:rsidP="00D93E2C">
      <w:pPr>
        <w:pStyle w:val="BodyText"/>
      </w:pPr>
      <w:r w:rsidRPr="00AF1814">
        <w:t xml:space="preserve">In Cohort 1, bintrafusp alfa will be combined with standard of care treatment regimens for </w:t>
      </w:r>
      <w:r w:rsidR="002B13F7" w:rsidRPr="00AF1814">
        <w:t xml:space="preserve">participants </w:t>
      </w:r>
      <w:r w:rsidRPr="00AF1814">
        <w:t>with recurrent</w:t>
      </w:r>
      <w:r w:rsidR="007A737A">
        <w:t>,</w:t>
      </w:r>
      <w:r w:rsidR="00715AE5">
        <w:t xml:space="preserve"> persistent</w:t>
      </w:r>
      <w:r w:rsidR="00533CB6">
        <w:t>,</w:t>
      </w:r>
      <w:r w:rsidR="00715AE5">
        <w:t xml:space="preserve"> </w:t>
      </w:r>
      <w:r w:rsidR="00C8754C">
        <w:t xml:space="preserve">or </w:t>
      </w:r>
      <w:r w:rsidR="007A737A" w:rsidRPr="00AF1814">
        <w:t>metastatic</w:t>
      </w:r>
      <w:r w:rsidR="007A737A">
        <w:t xml:space="preserve"> </w:t>
      </w:r>
      <w:r w:rsidRPr="00AF1814">
        <w:t>cervical cancer.</w:t>
      </w:r>
      <w:r w:rsidR="00484AF0" w:rsidRPr="00AF1814">
        <w:t xml:space="preserve"> </w:t>
      </w:r>
      <w:r w:rsidRPr="00AF1814">
        <w:t xml:space="preserve">The global Phase III </w:t>
      </w:r>
      <w:r w:rsidR="002443B0" w:rsidRPr="00AF1814">
        <w:t>S</w:t>
      </w:r>
      <w:r w:rsidRPr="00AF1814">
        <w:t>tudy GOG</w:t>
      </w:r>
      <w:r w:rsidR="00F66818" w:rsidRPr="00AF1814">
        <w:noBreakHyphen/>
      </w:r>
      <w:r w:rsidRPr="00AF1814">
        <w:t xml:space="preserve">240 evaluated </w:t>
      </w:r>
      <w:r w:rsidR="002B13F7" w:rsidRPr="00AF1814">
        <w:t xml:space="preserve">cisplatin plus </w:t>
      </w:r>
      <w:r w:rsidRPr="00AF1814">
        <w:t>paclitaxel ± bevacizumab as well as nonplatinum containing doublet</w:t>
      </w:r>
      <w:r w:rsidR="00A7469A" w:rsidRPr="00AF1814">
        <w:t> </w:t>
      </w:r>
      <w:r w:rsidRPr="00AF1814">
        <w:t>±</w:t>
      </w:r>
      <w:r w:rsidR="00A7469A" w:rsidRPr="00AF1814">
        <w:t> </w:t>
      </w:r>
      <w:r w:rsidRPr="00AF1814">
        <w:t>bevacizumab</w:t>
      </w:r>
      <w:r w:rsidR="00946505" w:rsidRPr="00AF1814">
        <w:t xml:space="preserve"> (</w:t>
      </w:r>
      <w:hyperlink w:anchor="_Tewari_KS,_Sill_1" w:history="1">
        <w:r w:rsidR="002F5B53" w:rsidRPr="00AF1814">
          <w:rPr>
            <w:rStyle w:val="Hyperlink"/>
          </w:rPr>
          <w:t>Tewari </w:t>
        </w:r>
        <w:r w:rsidR="002F5B53">
          <w:rPr>
            <w:rStyle w:val="Hyperlink"/>
          </w:rPr>
          <w:t>2017</w:t>
        </w:r>
      </w:hyperlink>
      <w:r w:rsidR="00946505" w:rsidRPr="00AF1814">
        <w:t>)</w:t>
      </w:r>
      <w:r w:rsidRPr="00AF1814">
        <w:t>. The results have led to the wide use of carboplatin or cisplatin plus paclitaxel ± bevacizumab as a standard of care for the treatment of metastatic/recurrent</w:t>
      </w:r>
      <w:r w:rsidR="00715AE5">
        <w:t>/persistent</w:t>
      </w:r>
      <w:r w:rsidRPr="00AF1814">
        <w:t xml:space="preserve"> cervical cancer. Bevacizumab </w:t>
      </w:r>
      <w:r w:rsidR="003E4562" w:rsidRPr="00AF1814">
        <w:t>use with this combination may vary depending on factors such as access and reimbursement depending on local restrictions</w:t>
      </w:r>
      <w:r w:rsidR="00F66818" w:rsidRPr="00AF1814">
        <w:t xml:space="preserve"> as well as clinical conditions</w:t>
      </w:r>
      <w:r w:rsidR="003E4562" w:rsidRPr="00AF1814">
        <w:t xml:space="preserve">.  </w:t>
      </w:r>
    </w:p>
    <w:p w14:paraId="49592882" w14:textId="33FFF532" w:rsidR="003E4562" w:rsidRPr="00AF1814" w:rsidRDefault="00DA3174" w:rsidP="00D93E2C">
      <w:pPr>
        <w:pStyle w:val="BodyText"/>
      </w:pPr>
      <w:r w:rsidRPr="00AF1814">
        <w:t xml:space="preserve">Given the activity of bintrafusp alfa seen in more heavily pretreated cervical cancer </w:t>
      </w:r>
      <w:r w:rsidR="00BC0FFC" w:rsidRPr="00AF1814">
        <w:t>participants</w:t>
      </w:r>
      <w:r w:rsidRPr="00AF1814">
        <w:t>, there is a rationale to combine an active, novel immunotherapy with a standard of care regimens (Cohort</w:t>
      </w:r>
      <w:r w:rsidR="004E7988" w:rsidRPr="00AF1814">
        <w:t> </w:t>
      </w:r>
      <w:r w:rsidRPr="00AF1814">
        <w:t>1A: carbo</w:t>
      </w:r>
      <w:r w:rsidR="001B3640" w:rsidRPr="00AF1814">
        <w:t xml:space="preserve">platin or </w:t>
      </w:r>
      <w:r w:rsidRPr="00AF1814">
        <w:t>cisplatin plus paclitaxel and bevacizumab; Cohort 1B: carbo</w:t>
      </w:r>
      <w:r w:rsidR="001B3640" w:rsidRPr="00AF1814">
        <w:t xml:space="preserve">platin or </w:t>
      </w:r>
      <w:r w:rsidRPr="00AF1814">
        <w:t xml:space="preserve">cisplatin plus paclitaxel) in first-line </w:t>
      </w:r>
      <w:r w:rsidR="00C8754C">
        <w:t xml:space="preserve">recurrent, persistent or </w:t>
      </w:r>
      <w:r w:rsidRPr="00AF1814">
        <w:t xml:space="preserve">metastatic </w:t>
      </w:r>
      <w:r w:rsidR="00BC0FFC" w:rsidRPr="00AF1814">
        <w:t xml:space="preserve">participants </w:t>
      </w:r>
      <w:r w:rsidRPr="00AF1814">
        <w:t>for evaluation. This study will assess the safety of this combination as well as antitumor activity</w:t>
      </w:r>
      <w:r w:rsidR="00AB07EB" w:rsidRPr="00AF1814">
        <w:t>, pharmacokinetics (PK), and immunogenicity</w:t>
      </w:r>
      <w:r w:rsidRPr="00AF1814">
        <w:t xml:space="preserve">.  </w:t>
      </w:r>
    </w:p>
    <w:p w14:paraId="7C73DCD6" w14:textId="77777777" w:rsidR="00D93E2C" w:rsidRPr="00AF1814" w:rsidRDefault="00DA3174" w:rsidP="00D93E2C">
      <w:pPr>
        <w:pStyle w:val="BodyText"/>
      </w:pPr>
      <w:r w:rsidRPr="00AF1814">
        <w:t xml:space="preserve">In Cohort 2, bintrafusp alfa will be combined with standard of care treatment for </w:t>
      </w:r>
      <w:r w:rsidR="002C333A" w:rsidRPr="00AF1814">
        <w:t xml:space="preserve">participants </w:t>
      </w:r>
      <w:r w:rsidRPr="00AF1814">
        <w:t xml:space="preserve">with locally advanced cervical cancer. Concurrent chemoradiotherapy using weekly cisplatin has been the backbone of standard of care treatment for patients with locally advanced cervical cancer for </w:t>
      </w:r>
      <w:r w:rsidR="00914AE3" w:rsidRPr="00AF1814">
        <w:t xml:space="preserve">over 2 decades and continues to be the backbone for active investigation as to how to further refine and improve this regimen to build upon its success but also improve outcomes for patients. In this setting there is strong rationale to incorporate immunotherapies that may further enhance tumor response. Incorporation of bintrafusp alfa </w:t>
      </w:r>
      <w:r w:rsidR="009356EA" w:rsidRPr="00AF1814">
        <w:t>is justified</w:t>
      </w:r>
      <w:r w:rsidR="00914AE3" w:rsidRPr="00AF1814">
        <w:t xml:space="preserve"> in this setting as early activity in more refractory patients shows promise in generating </w:t>
      </w:r>
      <w:r w:rsidR="002C333A" w:rsidRPr="00AF1814">
        <w:t>anti</w:t>
      </w:r>
      <w:r w:rsidR="00914AE3" w:rsidRPr="00AF1814">
        <w:t xml:space="preserve">tumor response.  </w:t>
      </w:r>
      <w:r w:rsidR="00E16C4C" w:rsidRPr="00AF1814">
        <w:t xml:space="preserve">    </w:t>
      </w:r>
    </w:p>
    <w:p w14:paraId="03EC073D" w14:textId="77777777" w:rsidR="00945494" w:rsidRPr="00AF1814" w:rsidRDefault="00DA3174" w:rsidP="00AD5FEF">
      <w:pPr>
        <w:pStyle w:val="Heading2"/>
      </w:pPr>
      <w:bookmarkStart w:id="90" w:name="_Ref32246121"/>
      <w:bookmarkStart w:id="91" w:name="_Toc44601654"/>
      <w:r w:rsidRPr="00AF1814">
        <w:t>Justification for Dose</w:t>
      </w:r>
      <w:bookmarkEnd w:id="90"/>
      <w:bookmarkEnd w:id="91"/>
    </w:p>
    <w:p w14:paraId="10DE6EA1" w14:textId="77777777" w:rsidR="0015224D" w:rsidRPr="00AF1814" w:rsidRDefault="00DA3174" w:rsidP="0015224D">
      <w:pPr>
        <w:pStyle w:val="BodyText"/>
      </w:pPr>
      <w:r w:rsidRPr="00AF1814">
        <w:t>The dose for bintrafusp alfa in this study is 2400 mg administered as an intravenous infusion once every 3 weeks. Since most chemotherapies are administered every 3 weeks, the same dosing interval for bintrafusp alfa is preferred for convenience and compliance.</w:t>
      </w:r>
    </w:p>
    <w:p w14:paraId="4046C432" w14:textId="77777777" w:rsidR="0015224D" w:rsidRPr="00AF1814" w:rsidRDefault="00DA3174" w:rsidP="0015224D">
      <w:pPr>
        <w:pStyle w:val="BodyText"/>
      </w:pPr>
      <w:bookmarkStart w:id="92" w:name="_Hlk32400906"/>
      <w:r w:rsidRPr="00AF1814">
        <w:t>The 2400 mg every 3 weeks dose selection was based on the following:</w:t>
      </w:r>
    </w:p>
    <w:p w14:paraId="75E1845C" w14:textId="77777777" w:rsidR="0015224D" w:rsidRPr="00AF1814" w:rsidRDefault="00DA3174" w:rsidP="006E109A">
      <w:pPr>
        <w:pStyle w:val="List1withbullet"/>
      </w:pPr>
      <w:r w:rsidRPr="00AF1814">
        <w:t>Phase I data</w:t>
      </w:r>
      <w:r w:rsidR="00343876" w:rsidRPr="00AF1814">
        <w:t>,</w:t>
      </w:r>
      <w:r w:rsidRPr="00AF1814">
        <w:t xml:space="preserve"> population PK and exposure-response modeling and simulations were used to select 1200 mg every 2 weeks for bintrafusp alfa monotherapy </w:t>
      </w:r>
      <w:r w:rsidR="00D006BC" w:rsidRPr="00AF1814">
        <w:t>studie</w:t>
      </w:r>
      <w:r w:rsidRPr="00AF1814">
        <w:t>s and estimate target efficacious C</w:t>
      </w:r>
      <w:r w:rsidRPr="00AF1814">
        <w:rPr>
          <w:vertAlign w:val="subscript"/>
        </w:rPr>
        <w:t xml:space="preserve">trough,ss </w:t>
      </w:r>
      <w:r w:rsidRPr="00AF1814">
        <w:t>(refer to the IB). Specifically, the following data from Phase</w:t>
      </w:r>
      <w:r w:rsidR="00FA1C51" w:rsidRPr="00AF1814">
        <w:t> </w:t>
      </w:r>
      <w:r w:rsidR="009A54BF" w:rsidRPr="00AF1814">
        <w:t>I</w:t>
      </w:r>
      <w:r w:rsidRPr="00AF1814">
        <w:t xml:space="preserve"> Study</w:t>
      </w:r>
      <w:r w:rsidR="009A54BF" w:rsidRPr="00AF1814">
        <w:t> </w:t>
      </w:r>
      <w:r w:rsidRPr="00AF1814">
        <w:t>EMR200647</w:t>
      </w:r>
      <w:r w:rsidRPr="00AF1814">
        <w:noBreakHyphen/>
        <w:t>001 and Study MS200647</w:t>
      </w:r>
      <w:r w:rsidR="00FA1C51" w:rsidRPr="00AF1814">
        <w:t>_</w:t>
      </w:r>
      <w:r w:rsidRPr="00AF1814">
        <w:t xml:space="preserve">0008 were used: safety/tolerability and PK, </w:t>
      </w:r>
      <w:r w:rsidRPr="00AF1814">
        <w:lastRenderedPageBreak/>
        <w:t>such as PD</w:t>
      </w:r>
      <w:r w:rsidRPr="00AF1814">
        <w:noBreakHyphen/>
        <w:t>L1 target occupancy in peripheral blood mononuclear cells and TGF</w:t>
      </w:r>
      <w:r w:rsidR="003440DD" w:rsidRPr="00AF1814">
        <w:noBreakHyphen/>
      </w:r>
      <w:r w:rsidRPr="00AF1814">
        <w:t xml:space="preserve">β trapping in blood, as well as efficacy in </w:t>
      </w:r>
      <w:r w:rsidR="00FA1C51" w:rsidRPr="00AF1814">
        <w:t>second-line</w:t>
      </w:r>
      <w:r w:rsidRPr="00AF1814">
        <w:t xml:space="preserve"> NSCLC cohorts from Study EMR200647</w:t>
      </w:r>
      <w:r w:rsidRPr="00AF1814">
        <w:noBreakHyphen/>
        <w:t>001. Modeling and simulation were used to select 2400 mg every 3 weeks dose as the dose that maintains target efficacious C</w:t>
      </w:r>
      <w:r w:rsidRPr="00AF1814">
        <w:rPr>
          <w:vertAlign w:val="subscript"/>
        </w:rPr>
        <w:t>trough,ss</w:t>
      </w:r>
      <w:r w:rsidRPr="00AF1814">
        <w:t xml:space="preserve"> of bintrafusp alfa. Available safety/tolerability data at 2400 mg dose and exposures associated with 2400</w:t>
      </w:r>
      <w:r w:rsidR="009A54BF" w:rsidRPr="00AF1814">
        <w:t> </w:t>
      </w:r>
      <w:r w:rsidRPr="00AF1814">
        <w:t xml:space="preserve">mg dose in monotherapy Phase </w:t>
      </w:r>
      <w:r w:rsidR="009A54BF" w:rsidRPr="00AF1814">
        <w:t>I</w:t>
      </w:r>
      <w:r w:rsidRPr="00AF1814">
        <w:t xml:space="preserve"> studies were evaluated. </w:t>
      </w:r>
    </w:p>
    <w:p w14:paraId="679FA139" w14:textId="6B3AFD3F" w:rsidR="0015224D" w:rsidRPr="00E44F28" w:rsidRDefault="00DA3174" w:rsidP="006E109A">
      <w:pPr>
        <w:pStyle w:val="List1withbullet"/>
      </w:pPr>
      <w:r w:rsidRPr="00AF1814">
        <w:t>Assessment of potential of PK interactions and overlapping toxicities with chemotherapies</w:t>
      </w:r>
      <w:r w:rsidR="00986295" w:rsidRPr="00AF1814">
        <w:t xml:space="preserve"> </w:t>
      </w:r>
      <w:r w:rsidRPr="00AF1814">
        <w:t>was conducted to support 2400 mg every 3 weeks dose of bintrafusp alfa in</w:t>
      </w:r>
      <w:r w:rsidR="004E7988" w:rsidRPr="00AF1814">
        <w:t xml:space="preserve"> </w:t>
      </w:r>
      <w:r w:rsidR="000A7213" w:rsidRPr="00AF1814">
        <w:t>Studies</w:t>
      </w:r>
      <w:r w:rsidR="009A54BF" w:rsidRPr="00AF1814">
        <w:t> </w:t>
      </w:r>
      <w:r w:rsidR="000A7213" w:rsidRPr="00AF1814">
        <w:t>MS200647</w:t>
      </w:r>
      <w:r w:rsidR="004E7988" w:rsidRPr="00AF1814">
        <w:t>_</w:t>
      </w:r>
      <w:r w:rsidR="000A7213" w:rsidRPr="00AF1814">
        <w:t>0024 and MS200647</w:t>
      </w:r>
      <w:r w:rsidR="004E7988" w:rsidRPr="00AF1814">
        <w:t>_</w:t>
      </w:r>
      <w:r w:rsidR="000A7213" w:rsidRPr="00AF1814">
        <w:t>0055.</w:t>
      </w:r>
      <w:r w:rsidR="004E7988" w:rsidRPr="00AF1814">
        <w:t xml:space="preserve"> </w:t>
      </w:r>
      <w:r w:rsidR="000A7213" w:rsidRPr="00AF1814">
        <w:t xml:space="preserve">Albeit limited experience to date, the safety profile in participants treated at a dose level of 2400 mg </w:t>
      </w:r>
      <w:r w:rsidR="00E6018F" w:rsidRPr="00AF1814">
        <w:t xml:space="preserve">every 3 weeks </w:t>
      </w:r>
      <w:r w:rsidR="000A7213" w:rsidRPr="00AF1814">
        <w:t>appears to be consistent with the safety profile in participants treated at lower doses</w:t>
      </w:r>
      <w:r w:rsidR="00FC2B3D" w:rsidRPr="00AF1814">
        <w:t xml:space="preserve"> (monotherapy setting)</w:t>
      </w:r>
      <w:r w:rsidR="000A7213" w:rsidRPr="00AF1814">
        <w:t>. No new safety issue</w:t>
      </w:r>
      <w:r w:rsidR="009A54BF" w:rsidRPr="00AF1814">
        <w:t>s</w:t>
      </w:r>
      <w:r w:rsidR="000A7213" w:rsidRPr="00AF1814">
        <w:t xml:space="preserve"> w</w:t>
      </w:r>
      <w:r w:rsidR="009A54BF" w:rsidRPr="00AF1814">
        <w:t>ere</w:t>
      </w:r>
      <w:r w:rsidR="000A7213" w:rsidRPr="00AF1814">
        <w:t xml:space="preserve"> observed in p</w:t>
      </w:r>
      <w:r w:rsidR="008E48CD" w:rsidRPr="00AF1814">
        <w:t xml:space="preserve">articipants </w:t>
      </w:r>
      <w:r w:rsidR="000A7213" w:rsidRPr="00AF1814">
        <w:t>treated at a dose of 2400 mg</w:t>
      </w:r>
      <w:r w:rsidR="008E48CD" w:rsidRPr="00AF1814">
        <w:t xml:space="preserve"> (see </w:t>
      </w:r>
      <w:r w:rsidR="008E48CD" w:rsidRPr="00E44F28">
        <w:t xml:space="preserve">Section </w:t>
      </w:r>
      <w:r w:rsidR="008E48CD" w:rsidRPr="00E44F28">
        <w:fldChar w:fldCharType="begin"/>
      </w:r>
      <w:r w:rsidR="008E48CD" w:rsidRPr="00E44F28">
        <w:instrText xml:space="preserve"> REF _Ref32311786 \r \h </w:instrText>
      </w:r>
      <w:r w:rsidR="00AF1814" w:rsidRPr="00E44F28">
        <w:instrText xml:space="preserve"> \* MERGEFORMAT </w:instrText>
      </w:r>
      <w:r w:rsidR="008E48CD" w:rsidRPr="00E44F28">
        <w:fldChar w:fldCharType="separate"/>
      </w:r>
      <w:r w:rsidR="00C548C3" w:rsidRPr="00E44F28">
        <w:t>2.2</w:t>
      </w:r>
      <w:r w:rsidR="008E48CD" w:rsidRPr="00E44F28">
        <w:fldChar w:fldCharType="end"/>
      </w:r>
      <w:r w:rsidR="008E48CD" w:rsidRPr="00E44F28">
        <w:t xml:space="preserve"> and current IB for more details)</w:t>
      </w:r>
      <w:r w:rsidR="000A7213" w:rsidRPr="00E44F28">
        <w:t>.</w:t>
      </w:r>
      <w:r w:rsidR="00D006BC" w:rsidRPr="00E44F28">
        <w:t xml:space="preserve">  </w:t>
      </w:r>
    </w:p>
    <w:p w14:paraId="71F905CF" w14:textId="77777777" w:rsidR="0015224D" w:rsidRPr="00E44F28" w:rsidRDefault="00DA3174" w:rsidP="0015224D">
      <w:pPr>
        <w:pStyle w:val="BodyText"/>
      </w:pPr>
      <w:r w:rsidRPr="00E44F28">
        <w:t xml:space="preserve">Refer to the IB for additional details and data for dose justification. </w:t>
      </w:r>
    </w:p>
    <w:p w14:paraId="7960CAEF" w14:textId="77777777" w:rsidR="00945494" w:rsidRPr="00E44F28" w:rsidRDefault="00DA3174" w:rsidP="00B12694">
      <w:pPr>
        <w:pStyle w:val="Heading2"/>
      </w:pPr>
      <w:bookmarkStart w:id="93" w:name="_Ref30403854"/>
      <w:bookmarkStart w:id="94" w:name="_Toc44601655"/>
      <w:bookmarkEnd w:id="92"/>
      <w:r w:rsidRPr="00E44F28">
        <w:t>End of Study Definition</w:t>
      </w:r>
      <w:bookmarkEnd w:id="93"/>
      <w:bookmarkEnd w:id="94"/>
    </w:p>
    <w:p w14:paraId="11563308" w14:textId="43D5870B" w:rsidR="0015224D" w:rsidRPr="00E44F28" w:rsidRDefault="00DA3174" w:rsidP="0015224D">
      <w:pPr>
        <w:pStyle w:val="BodyText"/>
      </w:pPr>
      <w:r w:rsidRPr="00E44F28">
        <w:t xml:space="preserve">A participant has completed the study if she has completed all study parts, including the last visit or the last scheduled procedure shown in </w:t>
      </w:r>
      <w:r w:rsidR="00BC4591" w:rsidRPr="00E44F28">
        <w:t xml:space="preserve">Section </w:t>
      </w:r>
      <w:r w:rsidR="00BC4591" w:rsidRPr="00E44F28">
        <w:fldChar w:fldCharType="begin"/>
      </w:r>
      <w:r w:rsidR="00BC4591" w:rsidRPr="00E44F28">
        <w:instrText xml:space="preserve"> REF _Ref33108761 \w \h </w:instrText>
      </w:r>
      <w:r w:rsidR="00A7469A" w:rsidRPr="00E44F28">
        <w:instrText xml:space="preserve"> \* MERGEFORMAT </w:instrText>
      </w:r>
      <w:r w:rsidR="00BC4591" w:rsidRPr="00E44F28">
        <w:fldChar w:fldCharType="separate"/>
      </w:r>
      <w:r w:rsidR="00C548C3" w:rsidRPr="00E44F28">
        <w:t>1.3</w:t>
      </w:r>
      <w:r w:rsidR="00BC4591" w:rsidRPr="00E44F28">
        <w:fldChar w:fldCharType="end"/>
      </w:r>
      <w:r w:rsidRPr="00E44F28">
        <w:t>.</w:t>
      </w:r>
    </w:p>
    <w:p w14:paraId="32F0654A" w14:textId="77777777" w:rsidR="009F480A" w:rsidRPr="00AF1814" w:rsidRDefault="00DA3174" w:rsidP="0015224D">
      <w:pPr>
        <w:pStyle w:val="BodyText"/>
      </w:pPr>
      <w:r w:rsidRPr="00AF1814">
        <w:rPr>
          <w:rFonts w:eastAsia="Calibri"/>
        </w:rPr>
        <w:t>The end of the study is defined as</w:t>
      </w:r>
      <w:r w:rsidR="00FA1C51" w:rsidRPr="00AF1814">
        <w:rPr>
          <w:rFonts w:eastAsia="Calibri"/>
        </w:rPr>
        <w:t xml:space="preserve"> </w:t>
      </w:r>
      <w:r w:rsidR="00C94D16" w:rsidRPr="00AF1814">
        <w:rPr>
          <w:rFonts w:eastAsia="Calibri"/>
        </w:rPr>
        <w:t xml:space="preserve">the date of </w:t>
      </w:r>
      <w:r w:rsidRPr="00AF1814">
        <w:rPr>
          <w:rFonts w:eastAsia="Calibri"/>
        </w:rPr>
        <w:t xml:space="preserve">3 years after treatment start of the last participant </w:t>
      </w:r>
      <w:r w:rsidRPr="00AF1814">
        <w:t xml:space="preserve">or until all the participants </w:t>
      </w:r>
      <w:r w:rsidR="004E7988" w:rsidRPr="00AF1814">
        <w:t>discontinued</w:t>
      </w:r>
      <w:r w:rsidRPr="00AF1814">
        <w:t xml:space="preserve"> the study</w:t>
      </w:r>
      <w:r w:rsidR="009A54BF" w:rsidRPr="00AF1814">
        <w:t>,</w:t>
      </w:r>
      <w:r w:rsidRPr="00AF1814">
        <w:t xml:space="preserve"> whichever occurs first.</w:t>
      </w:r>
    </w:p>
    <w:p w14:paraId="4B6AA83D" w14:textId="2A3C14D5" w:rsidR="0015224D" w:rsidRPr="00AF1814" w:rsidRDefault="00DA3174" w:rsidP="0015224D">
      <w:pPr>
        <w:pStyle w:val="Bodytext-keepwithnext"/>
        <w:spacing w:before="120"/>
        <w:rPr>
          <w:rFonts w:eastAsia="Calibri"/>
        </w:rPr>
      </w:pPr>
      <w:r w:rsidRPr="00AF1814">
        <w:t xml:space="preserve">The Sponsor may terminate the study at any time once access to study intervention for participants still benefitting is provided via a rollover study, expanded access, marketed product, or another mechanism of access as appropriate. </w:t>
      </w:r>
      <w:r w:rsidRPr="00AF1814">
        <w:rPr>
          <w:rFonts w:eastAsia="Calibri"/>
        </w:rPr>
        <w:t xml:space="preserve">See </w:t>
      </w:r>
      <w:hyperlink w:anchor="_Appendix_2_Study" w:history="1">
        <w:r w:rsidR="00312EBB" w:rsidRPr="00AF1814">
          <w:rPr>
            <w:rStyle w:val="Hyperlink"/>
          </w:rPr>
          <w:t>Appendix 2</w:t>
        </w:r>
      </w:hyperlink>
      <w:r w:rsidR="00312EBB" w:rsidRPr="00AF1814">
        <w:t xml:space="preserve"> </w:t>
      </w:r>
      <w:r w:rsidRPr="00AF1814">
        <w:rPr>
          <w:rStyle w:val="Hyperlink"/>
          <w:color w:val="auto"/>
        </w:rPr>
        <w:t>for study and site closure.</w:t>
      </w:r>
    </w:p>
    <w:p w14:paraId="55C51CA0" w14:textId="77777777" w:rsidR="00945494" w:rsidRPr="00AF1814" w:rsidRDefault="00DA3174" w:rsidP="00392AF9">
      <w:pPr>
        <w:pStyle w:val="Heading1"/>
        <w:ind w:left="2070" w:hanging="2070"/>
      </w:pPr>
      <w:bookmarkStart w:id="95" w:name="_Ref30403601"/>
      <w:bookmarkStart w:id="96" w:name="_Ref30403967"/>
      <w:bookmarkStart w:id="97" w:name="_Toc44601656"/>
      <w:r w:rsidRPr="00AF1814">
        <w:t>Study Population</w:t>
      </w:r>
      <w:bookmarkEnd w:id="95"/>
      <w:bookmarkEnd w:id="96"/>
      <w:bookmarkEnd w:id="97"/>
    </w:p>
    <w:p w14:paraId="05E8189F" w14:textId="48C212A1" w:rsidR="004A51FC" w:rsidRPr="00AF1814" w:rsidRDefault="00DA3174" w:rsidP="004A51FC">
      <w:pPr>
        <w:pStyle w:val="BodyText"/>
      </w:pPr>
      <w:r w:rsidRPr="00AF1814">
        <w:t xml:space="preserve">The criteria in </w:t>
      </w:r>
      <w:r w:rsidRPr="00E44F28">
        <w:t xml:space="preserve">Sections </w:t>
      </w:r>
      <w:r w:rsidR="009D7F19" w:rsidRPr="00E44F28">
        <w:fldChar w:fldCharType="begin"/>
      </w:r>
      <w:r w:rsidR="009D7F19" w:rsidRPr="00E44F28">
        <w:instrText xml:space="preserve"> REF _Ref31713354 \w \h </w:instrText>
      </w:r>
      <w:r w:rsidR="00A7469A" w:rsidRPr="00E44F28">
        <w:instrText xml:space="preserve"> \* MERGEFORMAT </w:instrText>
      </w:r>
      <w:r w:rsidR="009D7F19" w:rsidRPr="00E44F28">
        <w:fldChar w:fldCharType="separate"/>
      </w:r>
      <w:r w:rsidR="00C548C3" w:rsidRPr="00E44F28">
        <w:t>5.1</w:t>
      </w:r>
      <w:r w:rsidR="009D7F19" w:rsidRPr="00E44F28">
        <w:fldChar w:fldCharType="end"/>
      </w:r>
      <w:r w:rsidRPr="00E44F28">
        <w:t xml:space="preserve"> and </w:t>
      </w:r>
      <w:r w:rsidR="009D7F19" w:rsidRPr="00E44F28">
        <w:fldChar w:fldCharType="begin"/>
      </w:r>
      <w:r w:rsidR="009D7F19" w:rsidRPr="00E44F28">
        <w:instrText xml:space="preserve"> REF _Ref32398835 \w \h </w:instrText>
      </w:r>
      <w:r w:rsidR="00A7469A" w:rsidRPr="00E44F28">
        <w:instrText xml:space="preserve"> \* MERGEFORMAT </w:instrText>
      </w:r>
      <w:r w:rsidR="009D7F19" w:rsidRPr="00E44F28">
        <w:fldChar w:fldCharType="separate"/>
      </w:r>
      <w:r w:rsidR="00C548C3" w:rsidRPr="00E44F28">
        <w:t>5.2</w:t>
      </w:r>
      <w:r w:rsidR="009D7F19" w:rsidRPr="00E44F28">
        <w:fldChar w:fldCharType="end"/>
      </w:r>
      <w:r w:rsidR="009D7F19" w:rsidRPr="00E44F28">
        <w:t xml:space="preserve"> </w:t>
      </w:r>
      <w:r w:rsidRPr="00E44F28">
        <w:t>are designed to enroll only participants, who are appropriate for the study; thereby</w:t>
      </w:r>
      <w:r w:rsidRPr="00AF1814">
        <w:t>, ensuring the study fulfills its objectives. All relevant medical and nonmedical conditions are considered when deciding whether a participant is suitable for this study.</w:t>
      </w:r>
    </w:p>
    <w:p w14:paraId="34052DDB" w14:textId="77777777" w:rsidR="004A51FC" w:rsidRPr="00AF1814" w:rsidRDefault="00DA3174" w:rsidP="004A51FC">
      <w:pPr>
        <w:pStyle w:val="BodyText"/>
      </w:pPr>
      <w:r w:rsidRPr="00AF1814">
        <w:t>Prospective approval of protocol deviations to inclusion and exclusion criteria, also known as protocol waivers or exemptions, is not permitted.</w:t>
      </w:r>
    </w:p>
    <w:p w14:paraId="45BCF6D6" w14:textId="1B57B2AC" w:rsidR="004A51FC" w:rsidRPr="00AF1814" w:rsidRDefault="00DA3174" w:rsidP="004A51FC">
      <w:pPr>
        <w:pStyle w:val="BodyText"/>
      </w:pPr>
      <w:r w:rsidRPr="00AF1814">
        <w:t xml:space="preserve">Before performing any study assessments that are not part of the participant’s routine medical care, the Investigator will confirm that the participant or the participant’s legal representative has provided written informed consent, as indicated in </w:t>
      </w:r>
      <w:hyperlink w:anchor="_Appendix_2_Study" w:history="1">
        <w:r w:rsidR="00512C60" w:rsidRPr="00AF1814">
          <w:rPr>
            <w:rStyle w:val="Hyperlink"/>
          </w:rPr>
          <w:t>Appendix 2</w:t>
        </w:r>
      </w:hyperlink>
      <w:r w:rsidRPr="00AF1814">
        <w:t>.</w:t>
      </w:r>
    </w:p>
    <w:p w14:paraId="7D564622" w14:textId="77777777" w:rsidR="00945494" w:rsidRPr="00AF1814" w:rsidRDefault="00DA3174" w:rsidP="00C718BC">
      <w:pPr>
        <w:pStyle w:val="Heading2"/>
      </w:pPr>
      <w:bookmarkStart w:id="98" w:name="_Ref31713354"/>
      <w:bookmarkStart w:id="99" w:name="_Toc44601657"/>
      <w:r w:rsidRPr="00AF1814">
        <w:t>Inclusion Criteria</w:t>
      </w:r>
      <w:bookmarkEnd w:id="98"/>
      <w:bookmarkEnd w:id="99"/>
    </w:p>
    <w:p w14:paraId="71CD70BF" w14:textId="77777777" w:rsidR="00945494" w:rsidRPr="00AF1814" w:rsidRDefault="00DA3174" w:rsidP="00EB05A1">
      <w:pPr>
        <w:pStyle w:val="List1withoutbullet"/>
        <w:tabs>
          <w:tab w:val="clear" w:pos="284"/>
          <w:tab w:val="left" w:pos="0"/>
        </w:tabs>
        <w:ind w:left="0"/>
      </w:pPr>
      <w:r w:rsidRPr="00AF1814">
        <w:t>Participants are eligible to be included in the study only if all the following criteria apply:</w:t>
      </w:r>
    </w:p>
    <w:p w14:paraId="716B4CE4" w14:textId="77777777" w:rsidR="00945494" w:rsidRPr="00AF1814" w:rsidRDefault="00DA3174" w:rsidP="00322CD5">
      <w:pPr>
        <w:pStyle w:val="List1withoutbullet"/>
        <w:keepNext/>
        <w:ind w:hanging="284"/>
        <w:rPr>
          <w:b/>
        </w:rPr>
      </w:pPr>
      <w:r w:rsidRPr="00AF1814">
        <w:rPr>
          <w:b/>
        </w:rPr>
        <w:lastRenderedPageBreak/>
        <w:t>Age</w:t>
      </w:r>
    </w:p>
    <w:p w14:paraId="3C71AA42" w14:textId="77777777" w:rsidR="00552F0F" w:rsidRPr="00AF1814" w:rsidRDefault="00DA3174" w:rsidP="00D41352">
      <w:pPr>
        <w:pStyle w:val="List1withoutbullet"/>
        <w:numPr>
          <w:ilvl w:val="0"/>
          <w:numId w:val="15"/>
        </w:numPr>
        <w:tabs>
          <w:tab w:val="clear" w:pos="284"/>
          <w:tab w:val="left" w:pos="360"/>
          <w:tab w:val="left" w:pos="450"/>
        </w:tabs>
      </w:pPr>
      <w:r w:rsidRPr="00AF1814">
        <w:t>Are</w:t>
      </w:r>
      <w:r w:rsidR="00C60C34" w:rsidRPr="00AF1814">
        <w:t xml:space="preserve"> 18</w:t>
      </w:r>
      <w:r w:rsidRPr="00AF1814">
        <w:rPr>
          <w:color w:val="0070C0"/>
        </w:rPr>
        <w:t xml:space="preserve"> </w:t>
      </w:r>
      <w:r w:rsidR="00F4343C" w:rsidRPr="00AF1814">
        <w:t>years of age, at the time of signing the informed consent.</w:t>
      </w:r>
      <w:r w:rsidRPr="00AF1814">
        <w:t xml:space="preserve"> In Japan, if a participant is at least 18 but &lt; 20 years of age, written informed consent from her parent or guardian will be required in addition to the participant’s written consent.</w:t>
      </w:r>
    </w:p>
    <w:p w14:paraId="6F9D8150" w14:textId="77777777" w:rsidR="00EB05A1" w:rsidRPr="00AF1814" w:rsidRDefault="00DA3174" w:rsidP="00EB05A1">
      <w:pPr>
        <w:pStyle w:val="List1withoutbullet"/>
        <w:ind w:left="0"/>
        <w:rPr>
          <w:b/>
        </w:rPr>
      </w:pPr>
      <w:r w:rsidRPr="00AF1814">
        <w:rPr>
          <w:b/>
        </w:rPr>
        <w:t>Type of Participant and Disease Characteristics</w:t>
      </w:r>
    </w:p>
    <w:p w14:paraId="0876C404" w14:textId="77777777" w:rsidR="008045C8" w:rsidRPr="00AF1814" w:rsidRDefault="00DA3174" w:rsidP="008E7142">
      <w:pPr>
        <w:pStyle w:val="BodyText"/>
        <w:numPr>
          <w:ilvl w:val="0"/>
          <w:numId w:val="33"/>
        </w:numPr>
        <w:rPr>
          <w:b/>
        </w:rPr>
      </w:pPr>
      <w:r w:rsidRPr="00AF1814">
        <w:rPr>
          <w:b/>
        </w:rPr>
        <w:t xml:space="preserve">Specifically, </w:t>
      </w:r>
      <w:r w:rsidR="009D567A" w:rsidRPr="00AF1814">
        <w:rPr>
          <w:b/>
        </w:rPr>
        <w:t>c</w:t>
      </w:r>
      <w:r w:rsidRPr="00AF1814">
        <w:rPr>
          <w:b/>
        </w:rPr>
        <w:t>riteria for participants enrolling into Cohort 1:</w:t>
      </w:r>
    </w:p>
    <w:p w14:paraId="4F4A7AEF" w14:textId="77777777" w:rsidR="004C3A61" w:rsidRPr="00AF1814" w:rsidRDefault="00DA3174" w:rsidP="006D4FB1">
      <w:pPr>
        <w:pStyle w:val="BodyText"/>
        <w:numPr>
          <w:ilvl w:val="0"/>
          <w:numId w:val="15"/>
        </w:numPr>
        <w:rPr>
          <w:rFonts w:eastAsia="SimSun"/>
        </w:rPr>
      </w:pPr>
      <w:r w:rsidRPr="00AF1814">
        <w:t>Are p</w:t>
      </w:r>
      <w:r w:rsidR="00B62895" w:rsidRPr="00AF1814">
        <w:t xml:space="preserve">articipants with </w:t>
      </w:r>
      <w:r w:rsidR="00AD6C10" w:rsidRPr="00AF1814">
        <w:t xml:space="preserve">documented </w:t>
      </w:r>
      <w:r w:rsidR="00B62895" w:rsidRPr="00AF1814">
        <w:rPr>
          <w:rFonts w:eastAsia="SimSun"/>
        </w:rPr>
        <w:t xml:space="preserve">persistent, recurrent, or metastatic squamous cell carcinoma, adenosquamous carcinoma, or adenocarcinoma of the cervix. </w:t>
      </w:r>
    </w:p>
    <w:p w14:paraId="775B067A" w14:textId="2504203D" w:rsidR="004C3A61" w:rsidRPr="00AF1814" w:rsidRDefault="00DA3174" w:rsidP="006D4FB1">
      <w:pPr>
        <w:pStyle w:val="BodyText"/>
        <w:numPr>
          <w:ilvl w:val="0"/>
          <w:numId w:val="15"/>
        </w:numPr>
        <w:rPr>
          <w:rFonts w:eastAsia="SimSun"/>
        </w:rPr>
      </w:pPr>
      <w:r w:rsidRPr="00AF1814">
        <w:rPr>
          <w:rFonts w:eastAsia="SimSun"/>
        </w:rPr>
        <w:t>H</w:t>
      </w:r>
      <w:r w:rsidR="007644DC" w:rsidRPr="00AF1814">
        <w:rPr>
          <w:rFonts w:eastAsia="SimSun"/>
        </w:rPr>
        <w:t xml:space="preserve">ave </w:t>
      </w:r>
      <w:r w:rsidRPr="00AF1814">
        <w:rPr>
          <w:rFonts w:eastAsia="SimSun"/>
        </w:rPr>
        <w:t xml:space="preserve">not </w:t>
      </w:r>
      <w:r w:rsidR="007644DC" w:rsidRPr="00AF1814">
        <w:rPr>
          <w:rFonts w:eastAsia="SimSun"/>
        </w:rPr>
        <w:t xml:space="preserve">been treated with systemic chemotherapy </w:t>
      </w:r>
      <w:r w:rsidR="00594CA2" w:rsidRPr="00594CA2">
        <w:rPr>
          <w:rFonts w:eastAsia="SimSun"/>
        </w:rPr>
        <w:t>(</w:t>
      </w:r>
      <w:r w:rsidR="00594CA2">
        <w:rPr>
          <w:rFonts w:eastAsia="SimSun"/>
        </w:rPr>
        <w:t>i</w:t>
      </w:r>
      <w:r w:rsidR="00594CA2" w:rsidRPr="00594CA2">
        <w:rPr>
          <w:rFonts w:eastAsia="SimSun"/>
        </w:rPr>
        <w:t>ncluding neoadjuvant and adjuvant regimens)</w:t>
      </w:r>
      <w:r w:rsidR="00594CA2">
        <w:rPr>
          <w:rFonts w:eastAsia="SimSun"/>
        </w:rPr>
        <w:t xml:space="preserve"> </w:t>
      </w:r>
      <w:r w:rsidR="007644DC" w:rsidRPr="00AF1814">
        <w:rPr>
          <w:rFonts w:eastAsia="SimSun"/>
        </w:rPr>
        <w:t xml:space="preserve">and is not amenable to curative treatment (such as with surgery and/or radiation). </w:t>
      </w:r>
    </w:p>
    <w:p w14:paraId="7A14667C" w14:textId="77777777" w:rsidR="004C3A61" w:rsidRPr="00AF1814" w:rsidRDefault="00DA3174" w:rsidP="00426405">
      <w:pPr>
        <w:pStyle w:val="BodyText"/>
        <w:numPr>
          <w:ilvl w:val="0"/>
          <w:numId w:val="15"/>
        </w:numPr>
        <w:rPr>
          <w:rFonts w:eastAsia="SimSun"/>
        </w:rPr>
      </w:pPr>
      <w:r w:rsidRPr="00AF1814">
        <w:rPr>
          <w:rFonts w:eastAsia="SimSun"/>
        </w:rPr>
        <w:t>Prior radiation with or without radio</w:t>
      </w:r>
      <w:r w:rsidR="009A54BF" w:rsidRPr="00AF1814">
        <w:rPr>
          <w:rFonts w:eastAsia="SimSun"/>
        </w:rPr>
        <w:t>-</w:t>
      </w:r>
      <w:r w:rsidRPr="00AF1814">
        <w:rPr>
          <w:rFonts w:eastAsia="SimSun"/>
        </w:rPr>
        <w:t xml:space="preserve">sensitizing chemotherapy is allowed. </w:t>
      </w:r>
    </w:p>
    <w:p w14:paraId="7BACA019" w14:textId="77777777" w:rsidR="004C3A61" w:rsidRPr="00AF1814" w:rsidRDefault="00DA3174" w:rsidP="008E7142">
      <w:pPr>
        <w:pStyle w:val="BodyText"/>
        <w:numPr>
          <w:ilvl w:val="0"/>
          <w:numId w:val="33"/>
        </w:numPr>
        <w:rPr>
          <w:b/>
        </w:rPr>
      </w:pPr>
      <w:r w:rsidRPr="00AF1814">
        <w:rPr>
          <w:b/>
        </w:rPr>
        <w:t xml:space="preserve">Criteria for participants enrolling into </w:t>
      </w:r>
      <w:r w:rsidR="001A74DA" w:rsidRPr="00AF1814">
        <w:rPr>
          <w:b/>
        </w:rPr>
        <w:t xml:space="preserve">Cohort 2: </w:t>
      </w:r>
    </w:p>
    <w:p w14:paraId="2886E56E" w14:textId="2C89F92A" w:rsidR="004C3A61" w:rsidRPr="00AF1814" w:rsidRDefault="00DA3174" w:rsidP="006D4FB1">
      <w:pPr>
        <w:pStyle w:val="BodyText"/>
        <w:numPr>
          <w:ilvl w:val="0"/>
          <w:numId w:val="15"/>
        </w:numPr>
        <w:rPr>
          <w:rFonts w:eastAsia="SimSun"/>
        </w:rPr>
      </w:pPr>
      <w:r w:rsidRPr="00AF1814">
        <w:rPr>
          <w:rFonts w:eastAsia="SimSun"/>
        </w:rPr>
        <w:t>Are participants</w:t>
      </w:r>
      <w:r w:rsidR="00AD6C10" w:rsidRPr="00AF1814">
        <w:rPr>
          <w:rFonts w:eastAsia="SimSun"/>
        </w:rPr>
        <w:t xml:space="preserve"> with d</w:t>
      </w:r>
      <w:r w:rsidR="00B62895" w:rsidRPr="00AF1814">
        <w:rPr>
          <w:rFonts w:eastAsia="SimSun"/>
        </w:rPr>
        <w:t>ocumented evidence of cervical adenocarcinoma</w:t>
      </w:r>
      <w:r w:rsidR="0009538C" w:rsidRPr="00AF1814">
        <w:rPr>
          <w:rFonts w:eastAsia="SimSun"/>
        </w:rPr>
        <w:t xml:space="preserve">, </w:t>
      </w:r>
      <w:r w:rsidR="00B62895" w:rsidRPr="00AF1814">
        <w:rPr>
          <w:rFonts w:eastAsia="SimSun"/>
        </w:rPr>
        <w:t xml:space="preserve">squamous </w:t>
      </w:r>
      <w:r w:rsidR="0009538C" w:rsidRPr="00AF1814">
        <w:rPr>
          <w:rFonts w:eastAsia="SimSun"/>
        </w:rPr>
        <w:t xml:space="preserve">cell </w:t>
      </w:r>
      <w:r w:rsidR="00B62895" w:rsidRPr="00AF1814">
        <w:rPr>
          <w:rFonts w:eastAsia="SimSun"/>
        </w:rPr>
        <w:t>carcinoma</w:t>
      </w:r>
      <w:r w:rsidR="0009538C" w:rsidRPr="00AF1814">
        <w:rPr>
          <w:rFonts w:eastAsia="SimSun"/>
        </w:rPr>
        <w:t>, or adenosquamous carcinoma</w:t>
      </w:r>
      <w:r w:rsidR="00B62895" w:rsidRPr="00AF1814">
        <w:rPr>
          <w:rFonts w:eastAsia="SimSun"/>
        </w:rPr>
        <w:t xml:space="preserve"> </w:t>
      </w:r>
      <w:bookmarkStart w:id="100" w:name="_Hlk33017698"/>
      <w:r w:rsidR="00B62895" w:rsidRPr="00AF1814">
        <w:rPr>
          <w:rFonts w:eastAsia="SimSun"/>
        </w:rPr>
        <w:t>FIGO</w:t>
      </w:r>
      <w:r w:rsidR="00727D74">
        <w:rPr>
          <w:rFonts w:eastAsia="SimSun"/>
        </w:rPr>
        <w:t xml:space="preserve"> 2018</w:t>
      </w:r>
      <w:r w:rsidR="00B62895" w:rsidRPr="00AF1814">
        <w:rPr>
          <w:rFonts w:eastAsia="SimSun"/>
        </w:rPr>
        <w:t xml:space="preserve"> </w:t>
      </w:r>
      <w:r w:rsidR="00677EB8" w:rsidRPr="00AF1814">
        <w:rPr>
          <w:rFonts w:eastAsia="SimSun"/>
        </w:rPr>
        <w:t>(</w:t>
      </w:r>
      <w:hyperlink w:anchor="_Bhatla_N,_Berek" w:history="1">
        <w:r w:rsidR="00DB5A09" w:rsidRPr="00AF1814">
          <w:rPr>
            <w:rStyle w:val="Hyperlink"/>
            <w:rFonts w:eastAsia="SimSun"/>
          </w:rPr>
          <w:t>Bhatla 2019</w:t>
        </w:r>
      </w:hyperlink>
      <w:r w:rsidR="004E57BF" w:rsidRPr="00AF1814">
        <w:rPr>
          <w:rFonts w:eastAsia="SimSun"/>
        </w:rPr>
        <w:t xml:space="preserve">, </w:t>
      </w:r>
      <w:bookmarkEnd w:id="100"/>
      <w:r w:rsidR="00BD0E50">
        <w:rPr>
          <w:rFonts w:eastAsia="SimSun"/>
        </w:rPr>
        <w:fldChar w:fldCharType="begin"/>
      </w:r>
      <w:r w:rsidR="00BD0E50">
        <w:rPr>
          <w:rFonts w:eastAsia="SimSun"/>
        </w:rPr>
        <w:instrText xml:space="preserve"> HYPERLINK  \l "_Corrigendum_to_\“Revised" </w:instrText>
      </w:r>
      <w:r w:rsidR="00BD0E50">
        <w:rPr>
          <w:rFonts w:eastAsia="SimSun"/>
        </w:rPr>
        <w:fldChar w:fldCharType="separate"/>
      </w:r>
      <w:r w:rsidR="00BD0E50" w:rsidRPr="00BD0E50">
        <w:rPr>
          <w:rStyle w:val="Hyperlink"/>
          <w:rFonts w:eastAsia="SimSun"/>
        </w:rPr>
        <w:t>Corrigendum 2019</w:t>
      </w:r>
      <w:r w:rsidR="00BD0E50">
        <w:rPr>
          <w:rFonts w:eastAsia="SimSun"/>
        </w:rPr>
        <w:fldChar w:fldCharType="end"/>
      </w:r>
      <w:r w:rsidR="00B62895" w:rsidRPr="00AF1814">
        <w:rPr>
          <w:rFonts w:eastAsia="SimSun"/>
        </w:rPr>
        <w:t xml:space="preserve">) Stages IB2 to </w:t>
      </w:r>
      <w:r w:rsidR="00727D74">
        <w:rPr>
          <w:rFonts w:eastAsia="SimSun"/>
        </w:rPr>
        <w:t>IVA</w:t>
      </w:r>
      <w:r w:rsidR="0065795D" w:rsidRPr="00AF1814">
        <w:rPr>
          <w:rFonts w:eastAsia="SimSun"/>
        </w:rPr>
        <w:t>.</w:t>
      </w:r>
    </w:p>
    <w:p w14:paraId="5A1C7AA9" w14:textId="77777777" w:rsidR="006D4FB1" w:rsidRPr="00AF1814" w:rsidRDefault="00DA3174" w:rsidP="00426405">
      <w:pPr>
        <w:pStyle w:val="BodyText"/>
        <w:numPr>
          <w:ilvl w:val="0"/>
          <w:numId w:val="15"/>
        </w:numPr>
        <w:rPr>
          <w:rFonts w:eastAsia="SimSun"/>
        </w:rPr>
      </w:pPr>
      <w:r w:rsidRPr="00AF1814">
        <w:rPr>
          <w:rFonts w:eastAsia="SimSun"/>
        </w:rPr>
        <w:t xml:space="preserve">Have not received </w:t>
      </w:r>
      <w:r w:rsidR="007644DC" w:rsidRPr="00AF1814">
        <w:rPr>
          <w:rFonts w:eastAsia="SimSun"/>
        </w:rPr>
        <w:t xml:space="preserve">prior chemotherapy or </w:t>
      </w:r>
      <w:r w:rsidR="00EB18DD" w:rsidRPr="00AF1814">
        <w:t>radiotherapy</w:t>
      </w:r>
      <w:r w:rsidR="007644DC" w:rsidRPr="00AF1814">
        <w:rPr>
          <w:rFonts w:eastAsia="SimSun"/>
        </w:rPr>
        <w:t xml:space="preserve"> for cervical cancer</w:t>
      </w:r>
      <w:r w:rsidR="0065795D" w:rsidRPr="00AF1814">
        <w:rPr>
          <w:rFonts w:eastAsia="SimSun"/>
        </w:rPr>
        <w:t>.</w:t>
      </w:r>
    </w:p>
    <w:p w14:paraId="119A8D19" w14:textId="77777777" w:rsidR="00FA44B5" w:rsidRPr="00AF1814" w:rsidRDefault="00DA3174" w:rsidP="00426405">
      <w:pPr>
        <w:pStyle w:val="BodyText"/>
        <w:keepNext/>
        <w:widowControl w:val="0"/>
        <w:rPr>
          <w:b/>
        </w:rPr>
      </w:pPr>
      <w:r w:rsidRPr="00AF1814">
        <w:rPr>
          <w:b/>
        </w:rPr>
        <w:t>Criteria for all participants:</w:t>
      </w:r>
    </w:p>
    <w:p w14:paraId="7123BA8A" w14:textId="47D5F8A4" w:rsidR="004C3A61" w:rsidRPr="00AF1814" w:rsidRDefault="00DA3174" w:rsidP="00C45C62">
      <w:pPr>
        <w:pStyle w:val="BodyText"/>
        <w:numPr>
          <w:ilvl w:val="0"/>
          <w:numId w:val="15"/>
        </w:numPr>
        <w:rPr>
          <w:rFonts w:eastAsia="SimSun"/>
        </w:rPr>
      </w:pPr>
      <w:r w:rsidRPr="00AF1814">
        <w:rPr>
          <w:rFonts w:eastAsia="SimSun"/>
        </w:rPr>
        <w:t xml:space="preserve">Archival tumor tissue sample or newly obtained (preferred) core or excisional biopsy of a tumor lesion is </w:t>
      </w:r>
      <w:r w:rsidR="00C60C34" w:rsidRPr="00AF1814">
        <w:rPr>
          <w:rFonts w:eastAsia="SimSun"/>
        </w:rPr>
        <w:t>required</w:t>
      </w:r>
      <w:r w:rsidRPr="00AF1814">
        <w:rPr>
          <w:rFonts w:eastAsia="SimSun"/>
        </w:rPr>
        <w:t xml:space="preserve"> and should be made available during the Screening period prior to enrollment. </w:t>
      </w:r>
      <w:r w:rsidR="00D627BC" w:rsidRPr="00AF1814">
        <w:rPr>
          <w:rFonts w:eastAsia="SimSun"/>
        </w:rPr>
        <w:t>Specifications for t</w:t>
      </w:r>
      <w:r w:rsidRPr="00AF1814">
        <w:rPr>
          <w:rFonts w:eastAsia="SimSun"/>
        </w:rPr>
        <w:t xml:space="preserve">umor material </w:t>
      </w:r>
      <w:r w:rsidR="00D627BC" w:rsidRPr="00AF1814">
        <w:rPr>
          <w:rFonts w:eastAsia="SimSun"/>
        </w:rPr>
        <w:t>are</w:t>
      </w:r>
      <w:r w:rsidRPr="00AF1814">
        <w:rPr>
          <w:rFonts w:eastAsia="SimSun"/>
        </w:rPr>
        <w:t xml:space="preserve"> described in the Laboratory Manual. </w:t>
      </w:r>
      <w:r w:rsidR="001451EB" w:rsidRPr="00AF1814">
        <w:rPr>
          <w:rFonts w:eastAsia="SimSun"/>
        </w:rPr>
        <w:t xml:space="preserve"> Patients for which a new biopsy is not possible or medically inadvisable, may be deemed eligible after consultation with the </w:t>
      </w:r>
      <w:r w:rsidR="00482516" w:rsidRPr="00AF1814">
        <w:rPr>
          <w:rFonts w:eastAsia="SimSun"/>
        </w:rPr>
        <w:t>M</w:t>
      </w:r>
      <w:r w:rsidR="001451EB" w:rsidRPr="00AF1814">
        <w:rPr>
          <w:rFonts w:eastAsia="SimSun"/>
        </w:rPr>
        <w:t xml:space="preserve">edical </w:t>
      </w:r>
      <w:r w:rsidR="00482516" w:rsidRPr="00AF1814">
        <w:rPr>
          <w:rFonts w:eastAsia="SimSun"/>
        </w:rPr>
        <w:t>M</w:t>
      </w:r>
      <w:r w:rsidR="001451EB" w:rsidRPr="00AF1814">
        <w:rPr>
          <w:rFonts w:eastAsia="SimSun"/>
        </w:rPr>
        <w:t>onitor/</w:t>
      </w:r>
      <w:r w:rsidR="00482516" w:rsidRPr="00AF1814">
        <w:rPr>
          <w:rFonts w:eastAsia="SimSun"/>
        </w:rPr>
        <w:t>S</w:t>
      </w:r>
      <w:r w:rsidR="001451EB" w:rsidRPr="00AF1814">
        <w:rPr>
          <w:rFonts w:eastAsia="SimSun"/>
        </w:rPr>
        <w:t>ponsor.</w:t>
      </w:r>
      <w:r w:rsidR="00E668FF" w:rsidRPr="00AF1814">
        <w:rPr>
          <w:rFonts w:eastAsia="SimSun"/>
        </w:rPr>
        <w:t xml:space="preserve"> Participants enrolled in Cohort 1A should also c</w:t>
      </w:r>
      <w:r w:rsidR="00341158" w:rsidRPr="00AF1814">
        <w:rPr>
          <w:rFonts w:eastAsia="SimSun"/>
        </w:rPr>
        <w:t>onsult</w:t>
      </w:r>
      <w:r w:rsidR="00E668FF" w:rsidRPr="00AF1814">
        <w:rPr>
          <w:rFonts w:eastAsia="SimSun"/>
        </w:rPr>
        <w:t xml:space="preserve"> </w:t>
      </w:r>
      <w:r w:rsidR="00BE059F" w:rsidRPr="00AF1814">
        <w:rPr>
          <w:rFonts w:eastAsia="SimSun"/>
        </w:rPr>
        <w:t>E</w:t>
      </w:r>
      <w:r w:rsidR="00E668FF" w:rsidRPr="00AF1814">
        <w:rPr>
          <w:rFonts w:eastAsia="SimSun"/>
        </w:rPr>
        <w:t xml:space="preserve">xclusion </w:t>
      </w:r>
      <w:r w:rsidR="00BE059F" w:rsidRPr="00E44F28">
        <w:rPr>
          <w:rFonts w:eastAsia="SimSun"/>
        </w:rPr>
        <w:t>C</w:t>
      </w:r>
      <w:r w:rsidR="00E668FF" w:rsidRPr="00E44F28">
        <w:rPr>
          <w:rFonts w:eastAsia="SimSun"/>
        </w:rPr>
        <w:t xml:space="preserve">riteria </w:t>
      </w:r>
      <w:r w:rsidR="00F12F8D" w:rsidRPr="00E44F28">
        <w:rPr>
          <w:rFonts w:eastAsia="SimSun"/>
        </w:rPr>
        <w:fldChar w:fldCharType="begin"/>
      </w:r>
      <w:r w:rsidR="00F12F8D" w:rsidRPr="00E44F28">
        <w:rPr>
          <w:rFonts w:eastAsia="SimSun"/>
        </w:rPr>
        <w:instrText xml:space="preserve"> REF _Ref37679009 \w \h </w:instrText>
      </w:r>
      <w:r w:rsidR="00AF1814" w:rsidRPr="00E44F28">
        <w:rPr>
          <w:rFonts w:eastAsia="SimSun"/>
        </w:rPr>
        <w:instrText xml:space="preserve"> \* MERGEFORMAT </w:instrText>
      </w:r>
      <w:r w:rsidR="00F12F8D" w:rsidRPr="00E44F28">
        <w:rPr>
          <w:rFonts w:eastAsia="SimSun"/>
        </w:rPr>
      </w:r>
      <w:r w:rsidR="00F12F8D" w:rsidRPr="00E44F28">
        <w:rPr>
          <w:rFonts w:eastAsia="SimSun"/>
        </w:rPr>
        <w:fldChar w:fldCharType="separate"/>
      </w:r>
      <w:r w:rsidR="00C548C3" w:rsidRPr="00E44F28">
        <w:rPr>
          <w:rFonts w:eastAsia="SimSun"/>
        </w:rPr>
        <w:t>26</w:t>
      </w:r>
      <w:r w:rsidR="00F12F8D" w:rsidRPr="00E44F28">
        <w:rPr>
          <w:rFonts w:eastAsia="SimSun"/>
        </w:rPr>
        <w:fldChar w:fldCharType="end"/>
      </w:r>
      <w:r w:rsidR="00E668FF" w:rsidRPr="00E44F28">
        <w:rPr>
          <w:rFonts w:eastAsia="SimSun"/>
        </w:rPr>
        <w:t xml:space="preserve"> </w:t>
      </w:r>
      <w:r w:rsidR="00E668FF" w:rsidRPr="00AF1814">
        <w:rPr>
          <w:rFonts w:eastAsia="SimSun"/>
        </w:rPr>
        <w:t>with regards to timing of new biopsy.</w:t>
      </w:r>
      <w:r w:rsidR="001451EB" w:rsidRPr="00AF1814">
        <w:rPr>
          <w:rFonts w:eastAsia="SimSun"/>
        </w:rPr>
        <w:t xml:space="preserve">  </w:t>
      </w:r>
    </w:p>
    <w:p w14:paraId="02B844C3" w14:textId="77777777" w:rsidR="004C3A61" w:rsidRPr="00AF1814" w:rsidRDefault="00DA3174" w:rsidP="00426405">
      <w:pPr>
        <w:pStyle w:val="BodyText"/>
        <w:numPr>
          <w:ilvl w:val="0"/>
          <w:numId w:val="15"/>
        </w:numPr>
        <w:rPr>
          <w:rFonts w:eastAsia="SimSun"/>
        </w:rPr>
      </w:pPr>
      <w:r w:rsidRPr="00AF1814">
        <w:rPr>
          <w:rFonts w:eastAsia="SimSun"/>
        </w:rPr>
        <w:t xml:space="preserve">Have ECOG PS of 0 to 1 at study entry and Day 1 of treatment with bintrafusp alfa. </w:t>
      </w:r>
    </w:p>
    <w:p w14:paraId="72328D6E" w14:textId="77777777" w:rsidR="00F24FF2" w:rsidRPr="00AF1814" w:rsidRDefault="00DA3174" w:rsidP="00C90F90">
      <w:pPr>
        <w:pStyle w:val="BodyText"/>
        <w:numPr>
          <w:ilvl w:val="0"/>
          <w:numId w:val="15"/>
        </w:numPr>
        <w:tabs>
          <w:tab w:val="left" w:pos="360"/>
        </w:tabs>
      </w:pPr>
      <w:r w:rsidRPr="00AF1814">
        <w:rPr>
          <w:rFonts w:eastAsia="SimSun"/>
        </w:rPr>
        <w:t>Life expectancy ≥ 12 weeks as judged by the Investigator.</w:t>
      </w:r>
    </w:p>
    <w:p w14:paraId="1868B5B1" w14:textId="77777777" w:rsidR="004C3A61" w:rsidRPr="00AF1814" w:rsidRDefault="00DA3174" w:rsidP="00C90F90">
      <w:pPr>
        <w:pStyle w:val="BodyText"/>
        <w:numPr>
          <w:ilvl w:val="0"/>
          <w:numId w:val="15"/>
        </w:numPr>
        <w:tabs>
          <w:tab w:val="left" w:pos="360"/>
        </w:tabs>
      </w:pPr>
      <w:r w:rsidRPr="00AF1814">
        <w:t>Have adequate organ function</w:t>
      </w:r>
      <w:r w:rsidR="00931F7F" w:rsidRPr="00AF1814">
        <w:t>:</w:t>
      </w:r>
    </w:p>
    <w:p w14:paraId="040F141B" w14:textId="77777777" w:rsidR="004C3A61" w:rsidRPr="00AF1814" w:rsidRDefault="00DA3174" w:rsidP="00D41352">
      <w:pPr>
        <w:pStyle w:val="List1withoutbullet"/>
        <w:numPr>
          <w:ilvl w:val="0"/>
          <w:numId w:val="16"/>
        </w:numPr>
        <w:tabs>
          <w:tab w:val="clear" w:pos="284"/>
          <w:tab w:val="left" w:pos="360"/>
          <w:tab w:val="left" w:pos="540"/>
          <w:tab w:val="left" w:pos="1170"/>
        </w:tabs>
        <w:ind w:left="1170" w:hanging="450"/>
      </w:pPr>
      <w:r w:rsidRPr="00AF1814">
        <w:t>Adequate hematological function defined by absolute neutrophil count (ANC) ≥ 1.5 × 10</w:t>
      </w:r>
      <w:r w:rsidRPr="00AF1814">
        <w:rPr>
          <w:vertAlign w:val="superscript"/>
        </w:rPr>
        <w:t>9</w:t>
      </w:r>
      <w:r w:rsidRPr="00AF1814">
        <w:t>/L, platelet count ≥ 100 × 10</w:t>
      </w:r>
      <w:r w:rsidRPr="00AF1814">
        <w:rPr>
          <w:vertAlign w:val="superscript"/>
        </w:rPr>
        <w:t>9</w:t>
      </w:r>
      <w:r w:rsidRPr="00AF1814">
        <w:t>/L, and hemoglobin ≥ 9 g/dL.</w:t>
      </w:r>
    </w:p>
    <w:p w14:paraId="51830A40" w14:textId="77777777" w:rsidR="004C3A61" w:rsidRPr="00AF1814" w:rsidRDefault="00DA3174" w:rsidP="00D41352">
      <w:pPr>
        <w:pStyle w:val="List1withoutbullet"/>
        <w:numPr>
          <w:ilvl w:val="0"/>
          <w:numId w:val="16"/>
        </w:numPr>
        <w:tabs>
          <w:tab w:val="clear" w:pos="284"/>
          <w:tab w:val="left" w:pos="360"/>
          <w:tab w:val="left" w:pos="540"/>
          <w:tab w:val="left" w:pos="1170"/>
        </w:tabs>
        <w:ind w:left="1170" w:hanging="450"/>
      </w:pPr>
      <w:r w:rsidRPr="00AF1814">
        <w:t>Adequate hepatic function defined by a total bilirubin level ≤ the upper limit of normal (ULN), aspartate aminotransferase (AST) and alanine aminotransferase (ALT) levels ≤ 1.5 × ULN and alkaline phosphatase ≤ 2.5 × ULN. For participants with liver involvement in their tumor, AST ≤ 5.0 × ULN, ALT ≤ 5.0 × ULN, and bilirubin ≤ 3.0 × ULN are acceptable.</w:t>
      </w:r>
    </w:p>
    <w:p w14:paraId="2B2D2D2A" w14:textId="77777777" w:rsidR="004C3A61" w:rsidRPr="00AF1814" w:rsidRDefault="00DA3174" w:rsidP="00D41352">
      <w:pPr>
        <w:pStyle w:val="List1withoutbullet"/>
        <w:numPr>
          <w:ilvl w:val="0"/>
          <w:numId w:val="16"/>
        </w:numPr>
        <w:tabs>
          <w:tab w:val="clear" w:pos="284"/>
          <w:tab w:val="left" w:pos="360"/>
          <w:tab w:val="left" w:pos="540"/>
          <w:tab w:val="left" w:pos="1170"/>
        </w:tabs>
        <w:ind w:left="1170" w:hanging="450"/>
      </w:pPr>
      <w:r w:rsidRPr="00AF1814">
        <w:lastRenderedPageBreak/>
        <w:t xml:space="preserve">Adequate renal function defined by creatinine ≤ 1.5 × ULN or calculated creatinine clearance (CrCL) ≥ </w:t>
      </w:r>
      <w:r w:rsidR="0026481D" w:rsidRPr="00AF1814">
        <w:t xml:space="preserve">50 </w:t>
      </w:r>
      <w:r w:rsidRPr="00AF1814">
        <w:t xml:space="preserve">mL/min for participant with </w:t>
      </w:r>
      <w:r w:rsidR="00B5494E" w:rsidRPr="00AF1814">
        <w:t>c</w:t>
      </w:r>
      <w:r w:rsidRPr="00AF1814">
        <w:t>reatinine &gt; 1.5</w:t>
      </w:r>
      <w:r w:rsidR="00B5494E" w:rsidRPr="00AF1814">
        <w:t> </w:t>
      </w:r>
      <w:r w:rsidRPr="00AF1814">
        <w:t>× ULN (glomerular filtration rate can also be used).</w:t>
      </w:r>
    </w:p>
    <w:p w14:paraId="7F2A7E05" w14:textId="77777777" w:rsidR="004C3A61" w:rsidRPr="00AF1814" w:rsidRDefault="00DA3174" w:rsidP="004C3A61">
      <w:pPr>
        <w:pStyle w:val="List1withoutbullet"/>
        <w:tabs>
          <w:tab w:val="clear" w:pos="284"/>
          <w:tab w:val="left" w:pos="360"/>
          <w:tab w:val="left" w:pos="540"/>
          <w:tab w:val="left" w:pos="1170"/>
        </w:tabs>
        <w:ind w:left="1170"/>
      </w:pPr>
      <w:r w:rsidRPr="00AF1814">
        <w:t>Note: CrCL should be calculated per institutional standard. If no local guideline is available, CrCL should be calculated using the Cockcroft-Gault Method:</w:t>
      </w:r>
    </w:p>
    <w:p w14:paraId="1C3176E3" w14:textId="77777777" w:rsidR="004C3A61" w:rsidRPr="00AF1814" w:rsidRDefault="00DA3174" w:rsidP="004C3A61">
      <w:pPr>
        <w:pStyle w:val="List1withoutbullet"/>
        <w:tabs>
          <w:tab w:val="clear" w:pos="284"/>
          <w:tab w:val="left" w:pos="360"/>
          <w:tab w:val="left" w:pos="540"/>
          <w:tab w:val="left" w:pos="1170"/>
        </w:tabs>
        <w:ind w:left="1170"/>
      </w:pPr>
      <w:r w:rsidRPr="00AF1814">
        <w:t>CrCL = ([140-age] × weight [kg] × [0.85 for females only]) / (72 × creatinine)</w:t>
      </w:r>
    </w:p>
    <w:p w14:paraId="30AA99B0" w14:textId="77777777" w:rsidR="004C3A61" w:rsidRPr="00AF1814" w:rsidRDefault="00DA3174" w:rsidP="00D41352">
      <w:pPr>
        <w:pStyle w:val="List1withoutbullet"/>
        <w:numPr>
          <w:ilvl w:val="0"/>
          <w:numId w:val="16"/>
        </w:numPr>
        <w:tabs>
          <w:tab w:val="clear" w:pos="284"/>
          <w:tab w:val="left" w:pos="360"/>
          <w:tab w:val="left" w:pos="540"/>
          <w:tab w:val="left" w:pos="1170"/>
        </w:tabs>
        <w:ind w:left="1170" w:hanging="450"/>
      </w:pPr>
      <w:r w:rsidRPr="00AF1814">
        <w:t>Adequate coagulation function defined as international normalized ratio (INR) or prothrombin time ≤ 1.5</w:t>
      </w:r>
      <w:r w:rsidR="00482516" w:rsidRPr="00AF1814">
        <w:t> </w:t>
      </w:r>
      <w:r w:rsidRPr="00AF1814">
        <w:t>× ULN unless the participant is receiving anticoagulant therapy, and activated partial thromboplastin time (aPTT) ≤ 1.5 × ULN unless the participant is receiving anticoagulant therapy.</w:t>
      </w:r>
    </w:p>
    <w:p w14:paraId="1BD6C9C2" w14:textId="1732E4C9" w:rsidR="00552F0F" w:rsidRPr="00AF1814" w:rsidRDefault="00DA3174" w:rsidP="004F480D">
      <w:pPr>
        <w:pStyle w:val="BodyText"/>
        <w:keepNext/>
        <w:numPr>
          <w:ilvl w:val="0"/>
          <w:numId w:val="15"/>
        </w:numPr>
        <w:ind w:left="714" w:hanging="357"/>
      </w:pPr>
      <w:r w:rsidRPr="00AF1814">
        <w:t xml:space="preserve">Participants with known </w:t>
      </w:r>
      <w:r w:rsidR="00F4219E" w:rsidRPr="00AF1814">
        <w:t>human immunodeficiency virus (</w:t>
      </w:r>
      <w:r w:rsidRPr="00AF1814">
        <w:t>HIV</w:t>
      </w:r>
      <w:r w:rsidR="00F4219E" w:rsidRPr="00AF1814">
        <w:t>)</w:t>
      </w:r>
      <w:r w:rsidRPr="00AF1814">
        <w:t xml:space="preserve"> infections are eligible if the following criteria are met (</w:t>
      </w:r>
      <w:hyperlink w:anchor="_FDA_Guidance_on" w:history="1">
        <w:r w:rsidRPr="00AF1814">
          <w:rPr>
            <w:rStyle w:val="Hyperlink"/>
          </w:rPr>
          <w:t>FDA Guidance on Cancer Clinical Trial Eligibility 2019</w:t>
        </w:r>
      </w:hyperlink>
      <w:r w:rsidRPr="00AF1814">
        <w:t>)</w:t>
      </w:r>
      <w:r w:rsidR="00722FBE" w:rsidRPr="00AF1814">
        <w:t>:</w:t>
      </w:r>
    </w:p>
    <w:p w14:paraId="1A06E2A2" w14:textId="77777777" w:rsidR="00552F0F" w:rsidRPr="00AF1814" w:rsidRDefault="00DA3174" w:rsidP="008E7142">
      <w:pPr>
        <w:pStyle w:val="List1withoutbullet"/>
        <w:numPr>
          <w:ilvl w:val="0"/>
          <w:numId w:val="26"/>
        </w:numPr>
        <w:tabs>
          <w:tab w:val="clear" w:pos="284"/>
          <w:tab w:val="left" w:pos="360"/>
          <w:tab w:val="left" w:pos="540"/>
          <w:tab w:val="left" w:pos="1170"/>
        </w:tabs>
        <w:ind w:left="1170" w:hanging="450"/>
      </w:pPr>
      <w:r w:rsidRPr="00AF1814">
        <w:t>If clinically indicated</w:t>
      </w:r>
      <w:r w:rsidR="00720C7B" w:rsidRPr="00AF1814">
        <w:t>,</w:t>
      </w:r>
      <w:r w:rsidRPr="00AF1814">
        <w:t xml:space="preserve"> pa</w:t>
      </w:r>
      <w:r w:rsidR="00720C7B" w:rsidRPr="00AF1814">
        <w:t>tients</w:t>
      </w:r>
      <w:r w:rsidRPr="00AF1814">
        <w:t xml:space="preserve"> must be stable on antiretroviral therapy (ART) for at least 4 weeks and agree to adhere to ART. If not clinically indicated, consult Medical Monitor.</w:t>
      </w:r>
    </w:p>
    <w:p w14:paraId="15311B73" w14:textId="77777777" w:rsidR="00552F0F" w:rsidRPr="00AF1814" w:rsidRDefault="00DA3174" w:rsidP="008E7142">
      <w:pPr>
        <w:pStyle w:val="List1withoutbullet"/>
        <w:numPr>
          <w:ilvl w:val="0"/>
          <w:numId w:val="26"/>
        </w:numPr>
        <w:tabs>
          <w:tab w:val="clear" w:pos="284"/>
          <w:tab w:val="left" w:pos="360"/>
          <w:tab w:val="left" w:pos="540"/>
          <w:tab w:val="left" w:pos="1170"/>
        </w:tabs>
        <w:ind w:left="1170" w:hanging="450"/>
      </w:pPr>
      <w:r w:rsidRPr="00AF1814">
        <w:t>Participants with HIV infection should have no evidence of documented multidrug resistance that would prevent effective ART.</w:t>
      </w:r>
    </w:p>
    <w:p w14:paraId="17F6BFE7" w14:textId="77777777" w:rsidR="00552F0F" w:rsidRPr="00AF1814" w:rsidRDefault="00DA3174" w:rsidP="008E7142">
      <w:pPr>
        <w:pStyle w:val="List1withoutbullet"/>
        <w:numPr>
          <w:ilvl w:val="0"/>
          <w:numId w:val="26"/>
        </w:numPr>
        <w:tabs>
          <w:tab w:val="clear" w:pos="284"/>
          <w:tab w:val="left" w:pos="360"/>
          <w:tab w:val="left" w:pos="540"/>
          <w:tab w:val="left" w:pos="1170"/>
        </w:tabs>
        <w:ind w:left="1170" w:hanging="450"/>
      </w:pPr>
      <w:r w:rsidRPr="00AF1814">
        <w:t xml:space="preserve">Have an HIV viral load of &lt; 400 copies/mL at Screening. </w:t>
      </w:r>
    </w:p>
    <w:p w14:paraId="702CD270" w14:textId="77777777" w:rsidR="00552F0F" w:rsidRPr="00AF1814" w:rsidRDefault="00DA3174" w:rsidP="008E7142">
      <w:pPr>
        <w:pStyle w:val="List1withoutbullet"/>
        <w:numPr>
          <w:ilvl w:val="0"/>
          <w:numId w:val="26"/>
        </w:numPr>
        <w:tabs>
          <w:tab w:val="clear" w:pos="284"/>
          <w:tab w:val="left" w:pos="360"/>
          <w:tab w:val="left" w:pos="540"/>
          <w:tab w:val="left" w:pos="1170"/>
        </w:tabs>
        <w:ind w:left="1170" w:hanging="450"/>
      </w:pPr>
      <w:r w:rsidRPr="00AF1814">
        <w:t xml:space="preserve">Have </w:t>
      </w:r>
      <w:r w:rsidRPr="00AF1814">
        <w:rPr>
          <w:rFonts w:hint="eastAsia"/>
        </w:rPr>
        <w:t>CD4+ T-cell (CD4+) counts</w:t>
      </w:r>
      <w:r w:rsidRPr="00AF1814">
        <w:t xml:space="preserve"> ≥ </w:t>
      </w:r>
      <w:r w:rsidRPr="00AF1814">
        <w:rPr>
          <w:rFonts w:hint="eastAsia"/>
        </w:rPr>
        <w:t>350 cells/</w:t>
      </w:r>
      <w:r w:rsidRPr="00AF1814">
        <w:t>µ</w:t>
      </w:r>
      <w:r w:rsidRPr="00AF1814">
        <w:rPr>
          <w:rFonts w:hint="eastAsia"/>
        </w:rPr>
        <w:t>L</w:t>
      </w:r>
      <w:r w:rsidRPr="00AF1814">
        <w:t xml:space="preserve">. </w:t>
      </w:r>
    </w:p>
    <w:p w14:paraId="02920482" w14:textId="77777777" w:rsidR="00552F0F" w:rsidRPr="00AF1814" w:rsidRDefault="00DA3174" w:rsidP="008E7142">
      <w:pPr>
        <w:pStyle w:val="List1withoutbullet"/>
        <w:numPr>
          <w:ilvl w:val="0"/>
          <w:numId w:val="26"/>
        </w:numPr>
        <w:tabs>
          <w:tab w:val="clear" w:pos="284"/>
          <w:tab w:val="left" w:pos="360"/>
          <w:tab w:val="left" w:pos="540"/>
          <w:tab w:val="left" w:pos="1170"/>
        </w:tabs>
        <w:ind w:left="1170" w:hanging="450"/>
      </w:pPr>
      <w:r w:rsidRPr="00AF1814">
        <w:t xml:space="preserve">For patients with a history of an AIDS-defining opportunistic infection within the last 12 months, patients may be eligible only after consultation and agreement with the Medical Monitor.  </w:t>
      </w:r>
    </w:p>
    <w:p w14:paraId="36C39F68" w14:textId="77777777" w:rsidR="00552F0F" w:rsidRPr="00AF1814" w:rsidRDefault="00DA3174" w:rsidP="008E7142">
      <w:pPr>
        <w:pStyle w:val="List1withoutbullet"/>
        <w:numPr>
          <w:ilvl w:val="0"/>
          <w:numId w:val="26"/>
        </w:numPr>
        <w:tabs>
          <w:tab w:val="clear" w:pos="284"/>
          <w:tab w:val="left" w:pos="360"/>
          <w:tab w:val="left" w:pos="540"/>
          <w:tab w:val="left" w:pos="1170"/>
        </w:tabs>
        <w:ind w:left="1170" w:hanging="450"/>
      </w:pPr>
      <w:r w:rsidRPr="00AF1814">
        <w:t xml:space="preserve">If prophylactic antimicrobial drugs are indicated, patient may still be considered eligible upon agreement with the Medical Monitor.   </w:t>
      </w:r>
    </w:p>
    <w:p w14:paraId="09C72AC2" w14:textId="167FABD1" w:rsidR="00552F0F" w:rsidRPr="00AF1814" w:rsidRDefault="00DA3174" w:rsidP="00D41352">
      <w:pPr>
        <w:pStyle w:val="BodyText"/>
        <w:numPr>
          <w:ilvl w:val="0"/>
          <w:numId w:val="15"/>
        </w:numPr>
      </w:pPr>
      <w:r w:rsidRPr="00AF1814">
        <w:t xml:space="preserve">Participants with </w:t>
      </w:r>
      <w:r w:rsidR="00F4219E" w:rsidRPr="00AF1814">
        <w:t>hepatitis B virus (</w:t>
      </w:r>
      <w:r w:rsidRPr="00AF1814">
        <w:t>HBV</w:t>
      </w:r>
      <w:r w:rsidR="00F4219E" w:rsidRPr="00AF1814">
        <w:t>)</w:t>
      </w:r>
      <w:r w:rsidRPr="00AF1814">
        <w:t xml:space="preserve"> and/or </w:t>
      </w:r>
      <w:r w:rsidR="00F4219E" w:rsidRPr="00AF1814">
        <w:t>hepatitis C virus (</w:t>
      </w:r>
      <w:r w:rsidRPr="00AF1814">
        <w:t>HCV</w:t>
      </w:r>
      <w:r w:rsidR="00F4219E" w:rsidRPr="00AF1814">
        <w:t>)</w:t>
      </w:r>
      <w:r w:rsidRPr="00AF1814">
        <w:t xml:space="preserve"> infections are eligible if the following criteria are met (</w:t>
      </w:r>
      <w:hyperlink w:anchor="_FDA_Guidance_on" w:history="1">
        <w:r w:rsidRPr="00AF1814">
          <w:rPr>
            <w:rStyle w:val="Hyperlink"/>
          </w:rPr>
          <w:t>FDA Guidance on Cancer Clinical Trial Eligibility 2019</w:t>
        </w:r>
      </w:hyperlink>
      <w:r w:rsidRPr="00AF1814">
        <w:t>)</w:t>
      </w:r>
      <w:r w:rsidR="00722FBE" w:rsidRPr="00AF1814">
        <w:t>:</w:t>
      </w:r>
    </w:p>
    <w:p w14:paraId="38C01404" w14:textId="77777777" w:rsidR="00552F0F" w:rsidRPr="00AF1814" w:rsidRDefault="00DA3174" w:rsidP="00D41352">
      <w:pPr>
        <w:pStyle w:val="BodyText"/>
        <w:numPr>
          <w:ilvl w:val="0"/>
          <w:numId w:val="7"/>
        </w:numPr>
        <w:ind w:left="1170" w:hanging="450"/>
      </w:pPr>
      <w:r w:rsidRPr="00AF1814">
        <w:t>Patients with serologic evidence of chronic HBV infection must have an HBV viral load below the limit of quantification and</w:t>
      </w:r>
      <w:r w:rsidR="006D4FB1" w:rsidRPr="00AF1814">
        <w:t>, if medically indicated,</w:t>
      </w:r>
      <w:r w:rsidRPr="00AF1814">
        <w:t xml:space="preserve"> be on a stable dose of antiviral therapy.</w:t>
      </w:r>
    </w:p>
    <w:p w14:paraId="3BCCB87E" w14:textId="77777777" w:rsidR="00552F0F" w:rsidRPr="00AF1814" w:rsidRDefault="00DA3174" w:rsidP="00D41352">
      <w:pPr>
        <w:pStyle w:val="BodyText"/>
        <w:numPr>
          <w:ilvl w:val="0"/>
          <w:numId w:val="7"/>
        </w:numPr>
        <w:ind w:left="1170" w:hanging="450"/>
      </w:pPr>
      <w:r w:rsidRPr="00AF1814">
        <w:t xml:space="preserve">Patients with a history of HCV infection should have completed curative antiviral treatment and require HCV viral load below the limit of quantification. </w:t>
      </w:r>
    </w:p>
    <w:p w14:paraId="37CE87D9" w14:textId="77777777" w:rsidR="00552F0F" w:rsidRPr="00AF1814" w:rsidRDefault="00DA3174" w:rsidP="00D41352">
      <w:pPr>
        <w:pStyle w:val="BodyText"/>
        <w:numPr>
          <w:ilvl w:val="0"/>
          <w:numId w:val="7"/>
        </w:numPr>
        <w:ind w:left="1170" w:hanging="450"/>
      </w:pPr>
      <w:r w:rsidRPr="00AF1814">
        <w:t>Patients on concurrent HCV treatment should have HCV below the limit of quantification.</w:t>
      </w:r>
    </w:p>
    <w:p w14:paraId="093E7404" w14:textId="77777777" w:rsidR="00945494" w:rsidRPr="00AF1814" w:rsidRDefault="00DA3174" w:rsidP="00720C7B">
      <w:pPr>
        <w:pStyle w:val="List1withoutbullet"/>
        <w:keepNext/>
        <w:widowControl w:val="0"/>
        <w:spacing w:before="240"/>
        <w:ind w:left="289"/>
        <w:rPr>
          <w:b/>
        </w:rPr>
      </w:pPr>
      <w:r w:rsidRPr="00AF1814">
        <w:rPr>
          <w:b/>
        </w:rPr>
        <w:t>Sex</w:t>
      </w:r>
    </w:p>
    <w:p w14:paraId="3BF56B4F" w14:textId="77777777" w:rsidR="009C3E81" w:rsidRPr="00AF1814" w:rsidRDefault="00DA3174" w:rsidP="00D41352">
      <w:pPr>
        <w:pStyle w:val="ListParagraph"/>
        <w:numPr>
          <w:ilvl w:val="0"/>
          <w:numId w:val="15"/>
        </w:numPr>
        <w:rPr>
          <w:szCs w:val="20"/>
        </w:rPr>
      </w:pPr>
      <w:r w:rsidRPr="00AF1814">
        <w:t xml:space="preserve">Are female. </w:t>
      </w:r>
    </w:p>
    <w:p w14:paraId="512295D5" w14:textId="77777777" w:rsidR="00552F0F" w:rsidRPr="00AF1814" w:rsidRDefault="00DA3174" w:rsidP="009C3E81">
      <w:pPr>
        <w:pStyle w:val="ListParagraph"/>
        <w:rPr>
          <w:szCs w:val="20"/>
        </w:rPr>
      </w:pPr>
      <w:r w:rsidRPr="00AF1814">
        <w:lastRenderedPageBreak/>
        <w:t>A female</w:t>
      </w:r>
      <w:r w:rsidR="00B62895" w:rsidRPr="00AF1814">
        <w:t xml:space="preserve"> is eligible if she is </w:t>
      </w:r>
      <w:r w:rsidR="00B62895" w:rsidRPr="00AF1814">
        <w:rPr>
          <w:b/>
        </w:rPr>
        <w:t>not</w:t>
      </w:r>
      <w:r w:rsidR="00B62895" w:rsidRPr="00AF1814">
        <w:t xml:space="preserve"> pregnant or breastfeeding, and at least one of the following conditions applies:</w:t>
      </w:r>
    </w:p>
    <w:p w14:paraId="36DAE7F1" w14:textId="77777777" w:rsidR="00552F0F" w:rsidRPr="00AF1814" w:rsidRDefault="00DA3174" w:rsidP="00552F0F">
      <w:pPr>
        <w:pStyle w:val="List2withbullet"/>
        <w:tabs>
          <w:tab w:val="clear" w:pos="576"/>
          <w:tab w:val="clear" w:pos="4873"/>
          <w:tab w:val="num" w:pos="720"/>
          <w:tab w:val="num" w:pos="1132"/>
        </w:tabs>
        <w:ind w:left="720" w:firstLine="90"/>
      </w:pPr>
      <w:r w:rsidRPr="00AF1814">
        <w:t xml:space="preserve">Not a </w:t>
      </w:r>
      <w:r w:rsidR="00785FF1" w:rsidRPr="00AF1814">
        <w:t xml:space="preserve">woman of childbearing potential </w:t>
      </w:r>
    </w:p>
    <w:p w14:paraId="0700E10B" w14:textId="77777777" w:rsidR="00552F0F" w:rsidRPr="00AF1814" w:rsidRDefault="00DA3174" w:rsidP="00552F0F">
      <w:pPr>
        <w:pStyle w:val="List2withoutbullet"/>
        <w:tabs>
          <w:tab w:val="clear" w:pos="576"/>
          <w:tab w:val="left" w:pos="1134"/>
        </w:tabs>
        <w:ind w:left="720" w:firstLine="90"/>
      </w:pPr>
      <w:r w:rsidRPr="00AF1814">
        <w:t>OR</w:t>
      </w:r>
    </w:p>
    <w:p w14:paraId="47C62A54" w14:textId="3AEF3EA1" w:rsidR="00552F0F" w:rsidRPr="00AF1814" w:rsidRDefault="00DA3174" w:rsidP="00552F0F">
      <w:pPr>
        <w:pStyle w:val="List2withbullet"/>
        <w:tabs>
          <w:tab w:val="clear" w:pos="576"/>
          <w:tab w:val="clear" w:pos="4873"/>
          <w:tab w:val="num" w:pos="1132"/>
          <w:tab w:val="num" w:pos="1170"/>
        </w:tabs>
        <w:ind w:left="1080" w:hanging="270"/>
      </w:pPr>
      <w:r w:rsidRPr="00AF1814">
        <w:t xml:space="preserve">If a </w:t>
      </w:r>
      <w:r w:rsidR="00F15342" w:rsidRPr="00AF1814">
        <w:t>woman of childbearing potential</w:t>
      </w:r>
      <w:r w:rsidRPr="00AF1814">
        <w:t xml:space="preserve">, use a highly effective contraceptive method (i.e., with a failure rate of &lt; 1% per year), preferably with low user dependency, as described in </w:t>
      </w:r>
      <w:hyperlink w:anchor="_Appendix_3_Contraception" w:history="1">
        <w:r w:rsidR="00312EBB" w:rsidRPr="00AF1814">
          <w:rPr>
            <w:rStyle w:val="Hyperlink"/>
          </w:rPr>
          <w:t>Appendix 3</w:t>
        </w:r>
      </w:hyperlink>
      <w:r w:rsidR="00312EBB" w:rsidRPr="00AF1814">
        <w:t xml:space="preserve"> </w:t>
      </w:r>
      <w:r w:rsidRPr="00AF1814">
        <w:t xml:space="preserve">for the following time periods: </w:t>
      </w:r>
    </w:p>
    <w:p w14:paraId="1852AF5C" w14:textId="77777777" w:rsidR="00552F0F" w:rsidRPr="00AF1814" w:rsidRDefault="00DA3174" w:rsidP="00552F0F">
      <w:pPr>
        <w:pStyle w:val="List2withbullet"/>
        <w:tabs>
          <w:tab w:val="clear" w:pos="576"/>
          <w:tab w:val="clear" w:pos="4873"/>
          <w:tab w:val="num" w:pos="1132"/>
          <w:tab w:val="num" w:pos="1800"/>
        </w:tabs>
        <w:ind w:left="1440" w:hanging="270"/>
      </w:pPr>
      <w:r w:rsidRPr="00AF1814">
        <w:t xml:space="preserve">Before the first dose of the study intervention(s), if using hormonal contraception: </w:t>
      </w:r>
    </w:p>
    <w:p w14:paraId="371E23E8" w14:textId="77777777" w:rsidR="00552F0F" w:rsidRPr="00AF1814" w:rsidRDefault="00DA3174" w:rsidP="00552F0F">
      <w:pPr>
        <w:pStyle w:val="List2withbullet"/>
        <w:tabs>
          <w:tab w:val="clear" w:pos="576"/>
          <w:tab w:val="clear" w:pos="4873"/>
          <w:tab w:val="num" w:pos="1132"/>
          <w:tab w:val="num" w:pos="1710"/>
          <w:tab w:val="num" w:pos="1800"/>
        </w:tabs>
        <w:ind w:left="1710" w:hanging="180"/>
      </w:pPr>
      <w:r w:rsidRPr="00AF1814">
        <w:t>Has completed at least one 4-week cycle of an oral contraception pill and either had or has begun her menses.</w:t>
      </w:r>
    </w:p>
    <w:p w14:paraId="1A5439B3" w14:textId="77777777" w:rsidR="00552F0F" w:rsidRPr="00AF1814" w:rsidRDefault="00DA3174" w:rsidP="00552F0F">
      <w:pPr>
        <w:pStyle w:val="List2withbullet"/>
        <w:numPr>
          <w:ilvl w:val="0"/>
          <w:numId w:val="0"/>
        </w:numPr>
        <w:tabs>
          <w:tab w:val="num" w:pos="1710"/>
          <w:tab w:val="num" w:pos="1800"/>
        </w:tabs>
        <w:ind w:left="1710" w:hanging="180"/>
      </w:pPr>
      <w:r w:rsidRPr="00AF1814">
        <w:t>OR</w:t>
      </w:r>
    </w:p>
    <w:p w14:paraId="2C364745" w14:textId="77777777" w:rsidR="00552F0F" w:rsidRPr="00AF1814" w:rsidRDefault="00DA3174" w:rsidP="00552F0F">
      <w:pPr>
        <w:pStyle w:val="List2withbullet"/>
        <w:tabs>
          <w:tab w:val="clear" w:pos="576"/>
          <w:tab w:val="clear" w:pos="4873"/>
          <w:tab w:val="num" w:pos="1132"/>
          <w:tab w:val="num" w:pos="1710"/>
          <w:tab w:val="num" w:pos="1800"/>
        </w:tabs>
        <w:ind w:left="1710" w:hanging="180"/>
      </w:pPr>
      <w:r w:rsidRPr="00AF1814">
        <w:t>Has used a depot contraceptive or extended-cycle oral contraceptive for least 28</w:t>
      </w:r>
      <w:r w:rsidR="004942EA" w:rsidRPr="00AF1814">
        <w:t> </w:t>
      </w:r>
      <w:r w:rsidRPr="00AF1814">
        <w:t>days and has a documented negative pregnancy test using a highly sensitive assay.</w:t>
      </w:r>
    </w:p>
    <w:p w14:paraId="3958E13B" w14:textId="77777777" w:rsidR="00552F0F" w:rsidRPr="00AF1814" w:rsidRDefault="00DA3174" w:rsidP="00552F0F">
      <w:pPr>
        <w:pStyle w:val="List2withbullet"/>
        <w:tabs>
          <w:tab w:val="clear" w:pos="576"/>
          <w:tab w:val="clear" w:pos="4873"/>
          <w:tab w:val="num" w:pos="1132"/>
          <w:tab w:val="left" w:pos="1440"/>
          <w:tab w:val="left" w:pos="1530"/>
        </w:tabs>
        <w:ind w:left="1440" w:hanging="270"/>
      </w:pPr>
      <w:r w:rsidRPr="00AF1814">
        <w:t>During the intervention period</w:t>
      </w:r>
    </w:p>
    <w:p w14:paraId="21C572FF" w14:textId="77777777" w:rsidR="00552F0F" w:rsidRPr="00AF1814" w:rsidRDefault="00DA3174" w:rsidP="00552F0F">
      <w:pPr>
        <w:pStyle w:val="List2withbullet"/>
        <w:tabs>
          <w:tab w:val="clear" w:pos="576"/>
          <w:tab w:val="clear" w:pos="4873"/>
          <w:tab w:val="num" w:pos="1132"/>
          <w:tab w:val="left" w:pos="1440"/>
          <w:tab w:val="left" w:pos="1530"/>
        </w:tabs>
        <w:ind w:left="1440" w:hanging="270"/>
      </w:pPr>
      <w:r w:rsidRPr="00AF1814">
        <w:t>After the study intervention period (i.e., after the last dose of study intervention is administered) for at least 2 months (6 months for participants who receive bevacizumab).</w:t>
      </w:r>
      <w:r w:rsidR="00073766" w:rsidRPr="00AF1814">
        <w:t xml:space="preserve"> Contraceptive measures should be continued as per guidance specified in labeling document for approved chemotherapies. If not specified, continue measures similar to the investigational agent, i.e.</w:t>
      </w:r>
      <w:r w:rsidR="00BE4C09" w:rsidRPr="00AF1814">
        <w:t>,</w:t>
      </w:r>
      <w:r w:rsidR="00073766" w:rsidRPr="00AF1814">
        <w:t xml:space="preserve"> for at least 2 months (6</w:t>
      </w:r>
      <w:r w:rsidR="004942EA" w:rsidRPr="00AF1814">
        <w:t> </w:t>
      </w:r>
      <w:r w:rsidR="00073766" w:rsidRPr="00AF1814">
        <w:t>months for participants who receive bevacizumab) after the last dose of study intervention and agree not to donate eggs (ova, oocytes) for reproduction during this period.</w:t>
      </w:r>
      <w:r w:rsidRPr="00AF1814">
        <w:t xml:space="preserve"> </w:t>
      </w:r>
    </w:p>
    <w:p w14:paraId="2ED95CF5" w14:textId="77777777" w:rsidR="00552F0F" w:rsidRPr="00AF1814" w:rsidRDefault="00DA3174" w:rsidP="00F24FF2">
      <w:pPr>
        <w:pStyle w:val="BodyText"/>
        <w:ind w:left="709"/>
      </w:pPr>
      <w:r w:rsidRPr="00AF1814">
        <w:t xml:space="preserve">The Investigator evaluates the effectiveness of the contraceptive method in relationship to the first dose of study intervention. </w:t>
      </w:r>
    </w:p>
    <w:p w14:paraId="63CFDEF2" w14:textId="77777777" w:rsidR="00552F0F" w:rsidRPr="00AF1814" w:rsidRDefault="00DA3174" w:rsidP="00F24FF2">
      <w:pPr>
        <w:pStyle w:val="BodyText"/>
        <w:ind w:left="709"/>
        <w:rPr>
          <w:lang w:eastAsia="zh-CN"/>
        </w:rPr>
      </w:pPr>
      <w:r w:rsidRPr="00AF1814">
        <w:t>Have</w:t>
      </w:r>
      <w:r w:rsidRPr="00AF1814">
        <w:rPr>
          <w:lang w:eastAsia="zh-CN"/>
        </w:rPr>
        <w:t xml:space="preserve"> a </w:t>
      </w:r>
      <w:r w:rsidRPr="00AF1814">
        <w:t>negative</w:t>
      </w:r>
      <w:r w:rsidRPr="00AF1814">
        <w:rPr>
          <w:lang w:eastAsia="zh-CN"/>
        </w:rPr>
        <w:t xml:space="preserve"> </w:t>
      </w:r>
      <w:r w:rsidRPr="00AF1814">
        <w:rPr>
          <w:rFonts w:eastAsia="MS Gothic"/>
          <w:lang w:eastAsia="zh-CN"/>
        </w:rPr>
        <w:t>serum or highly sensitive urine</w:t>
      </w:r>
      <w:r w:rsidRPr="00AF1814">
        <w:rPr>
          <w:lang w:eastAsia="zh-CN"/>
        </w:rPr>
        <w:t xml:space="preserve"> pregnancy test,</w:t>
      </w:r>
      <w:r w:rsidRPr="00AF1814">
        <w:rPr>
          <w:rFonts w:eastAsia="MS Gothic"/>
          <w:lang w:eastAsia="zh-CN"/>
        </w:rPr>
        <w:t xml:space="preserve"> </w:t>
      </w:r>
      <w:r w:rsidRPr="00AF1814">
        <w:rPr>
          <w:lang w:eastAsia="zh-CN"/>
        </w:rPr>
        <w:t xml:space="preserve">as required by local regulations, within </w:t>
      </w:r>
      <w:r w:rsidRPr="00AF1814">
        <w:rPr>
          <w:rFonts w:eastAsia="MS Gothic"/>
          <w:lang w:eastAsia="zh-CN"/>
        </w:rPr>
        <w:t xml:space="preserve">24 hours </w:t>
      </w:r>
      <w:r w:rsidRPr="00AF1814">
        <w:rPr>
          <w:lang w:eastAsia="zh-CN"/>
        </w:rPr>
        <w:t>before the first dose of study intervention</w:t>
      </w:r>
      <w:r w:rsidRPr="00AF1814">
        <w:rPr>
          <w:rFonts w:eastAsia="MS Gothic"/>
          <w:lang w:eastAsia="zh-CN"/>
        </w:rPr>
        <w:t>. If a urine test cannot be confirmed as negative (e.g., an ambiguous result), a serum pregnancy test is required.</w:t>
      </w:r>
    </w:p>
    <w:p w14:paraId="38A8CFBE" w14:textId="0B37A76F" w:rsidR="00552F0F" w:rsidRPr="00AF1814" w:rsidRDefault="00DA3174" w:rsidP="00F24FF2">
      <w:pPr>
        <w:pStyle w:val="BodyText"/>
        <w:ind w:left="709"/>
      </w:pPr>
      <w:r w:rsidRPr="00AF1814">
        <w:t xml:space="preserve">Additional requirements for pregnancy testing during and after study intervention are in </w:t>
      </w:r>
      <w:r w:rsidRPr="00E44F28">
        <w:t>Section</w:t>
      </w:r>
      <w:r w:rsidR="00BE4C09" w:rsidRPr="00E44F28">
        <w:t>s</w:t>
      </w:r>
      <w:r w:rsidR="00B86169" w:rsidRPr="00E44F28">
        <w:t> </w:t>
      </w:r>
      <w:r w:rsidR="009C3E81" w:rsidRPr="00E44F28">
        <w:fldChar w:fldCharType="begin"/>
      </w:r>
      <w:r w:rsidR="009C3E81" w:rsidRPr="00E44F28">
        <w:instrText xml:space="preserve"> REF _Ref33109698 \w \h </w:instrText>
      </w:r>
      <w:r w:rsidR="00F15279" w:rsidRPr="00E44F28">
        <w:instrText xml:space="preserve"> \* MERGEFORMAT </w:instrText>
      </w:r>
      <w:r w:rsidR="009C3E81" w:rsidRPr="00E44F28">
        <w:fldChar w:fldCharType="separate"/>
      </w:r>
      <w:r w:rsidR="00C548C3" w:rsidRPr="00E44F28">
        <w:t>8.2.4</w:t>
      </w:r>
      <w:r w:rsidR="009C3E81" w:rsidRPr="00E44F28">
        <w:fldChar w:fldCharType="end"/>
      </w:r>
      <w:r w:rsidR="009C3E81" w:rsidRPr="00E44F28">
        <w:t xml:space="preserve"> and </w:t>
      </w:r>
      <w:r w:rsidR="009C3E81" w:rsidRPr="00E44F28">
        <w:fldChar w:fldCharType="begin"/>
      </w:r>
      <w:r w:rsidR="009C3E81" w:rsidRPr="00E44F28">
        <w:instrText xml:space="preserve"> REF _Ref33109706 \w \h </w:instrText>
      </w:r>
      <w:r w:rsidR="00F15279" w:rsidRPr="00E44F28">
        <w:instrText xml:space="preserve"> \* MERGEFORMAT </w:instrText>
      </w:r>
      <w:r w:rsidR="009C3E81" w:rsidRPr="00E44F28">
        <w:fldChar w:fldCharType="separate"/>
      </w:r>
      <w:r w:rsidR="00C548C3" w:rsidRPr="00E44F28">
        <w:t>8.3.5</w:t>
      </w:r>
      <w:r w:rsidR="009C3E81" w:rsidRPr="00E44F28">
        <w:fldChar w:fldCharType="end"/>
      </w:r>
      <w:r w:rsidRPr="00E44F28">
        <w:t>.</w:t>
      </w:r>
    </w:p>
    <w:p w14:paraId="3F368018" w14:textId="77777777" w:rsidR="00552F0F" w:rsidRPr="00AF1814" w:rsidRDefault="00DA3174" w:rsidP="00F24FF2">
      <w:pPr>
        <w:pStyle w:val="BodyText"/>
        <w:ind w:left="709"/>
      </w:pPr>
      <w:r w:rsidRPr="00AF1814">
        <w:t>The Investigator reviews the medical history, menstrual history, and recent sexual activity to decrease the risk for inclusion of a female with an early undetected pregnancy.</w:t>
      </w:r>
    </w:p>
    <w:p w14:paraId="28DCEAEB" w14:textId="77777777" w:rsidR="00552F0F" w:rsidRPr="00AF1814" w:rsidRDefault="00DA3174" w:rsidP="004942EA">
      <w:pPr>
        <w:pStyle w:val="BodyText"/>
        <w:keepNext/>
        <w:widowControl w:val="0"/>
        <w:rPr>
          <w:b/>
        </w:rPr>
      </w:pPr>
      <w:r w:rsidRPr="00AF1814">
        <w:rPr>
          <w:b/>
        </w:rPr>
        <w:t>Informed Consent</w:t>
      </w:r>
    </w:p>
    <w:p w14:paraId="3E2CF6D0" w14:textId="6C4DC59D" w:rsidR="00552F0F" w:rsidRPr="00AF1814" w:rsidRDefault="00DA3174" w:rsidP="00D41352">
      <w:pPr>
        <w:pStyle w:val="List2withoutbullet"/>
        <w:numPr>
          <w:ilvl w:val="0"/>
          <w:numId w:val="15"/>
        </w:numPr>
        <w:tabs>
          <w:tab w:val="clear" w:pos="576"/>
          <w:tab w:val="left" w:pos="851"/>
        </w:tabs>
      </w:pPr>
      <w:r w:rsidRPr="00AF1814">
        <w:t xml:space="preserve">Capable of giving signed informed consent, as indicated in </w:t>
      </w:r>
      <w:hyperlink w:anchor="_Appendix_2_Study" w:history="1">
        <w:r w:rsidRPr="00AF1814">
          <w:rPr>
            <w:rStyle w:val="Hyperlink"/>
          </w:rPr>
          <w:t>Appendix</w:t>
        </w:r>
        <w:r w:rsidR="00312EBB" w:rsidRPr="00AF1814">
          <w:rPr>
            <w:rStyle w:val="Hyperlink"/>
          </w:rPr>
          <w:t xml:space="preserve"> </w:t>
        </w:r>
        <w:r w:rsidRPr="00AF1814">
          <w:rPr>
            <w:rStyle w:val="Hyperlink"/>
          </w:rPr>
          <w:t>2</w:t>
        </w:r>
      </w:hyperlink>
      <w:r w:rsidRPr="00AF1814">
        <w:t xml:space="preserve">, which includes </w:t>
      </w:r>
      <w:r w:rsidR="009C3E81" w:rsidRPr="00AF1814">
        <w:t>compliance</w:t>
      </w:r>
      <w:r w:rsidRPr="00AF1814">
        <w:t xml:space="preserve"> with the requirements and restrictions listed in the informed consent form (ICF) and this protocol.</w:t>
      </w:r>
    </w:p>
    <w:p w14:paraId="5E05614D" w14:textId="77777777" w:rsidR="00945494" w:rsidRPr="00AF1814" w:rsidRDefault="00DA3174" w:rsidP="00891091">
      <w:pPr>
        <w:pStyle w:val="Heading2"/>
      </w:pPr>
      <w:bookmarkStart w:id="101" w:name="_Ref32398835"/>
      <w:bookmarkStart w:id="102" w:name="_Toc44601658"/>
      <w:r w:rsidRPr="00AF1814">
        <w:lastRenderedPageBreak/>
        <w:t>Exclusion Criteria</w:t>
      </w:r>
      <w:bookmarkEnd w:id="101"/>
      <w:bookmarkEnd w:id="102"/>
    </w:p>
    <w:p w14:paraId="0F72BBB7" w14:textId="77777777" w:rsidR="00E633E1" w:rsidRPr="00AF1814" w:rsidRDefault="00DA3174" w:rsidP="00C60C34">
      <w:pPr>
        <w:pStyle w:val="List1withoutbullet"/>
        <w:ind w:left="0"/>
      </w:pPr>
      <w:r w:rsidRPr="00AF1814">
        <w:t>Participants are excluded from the study if any of the following criteria apply:</w:t>
      </w:r>
    </w:p>
    <w:p w14:paraId="3F980ECF" w14:textId="77777777" w:rsidR="00BD4190" w:rsidRPr="00AF1814" w:rsidRDefault="00DA3174" w:rsidP="00C60C34">
      <w:pPr>
        <w:pStyle w:val="BodyText"/>
      </w:pPr>
      <w:r w:rsidRPr="00AF1814">
        <w:t>For all participants:</w:t>
      </w:r>
    </w:p>
    <w:p w14:paraId="477CDEEF" w14:textId="77777777" w:rsidR="00E633E1" w:rsidRPr="00AF1814" w:rsidRDefault="00DA3174" w:rsidP="00C60C34">
      <w:pPr>
        <w:pStyle w:val="List1withoutbullet"/>
        <w:ind w:left="0"/>
        <w:rPr>
          <w:b/>
        </w:rPr>
      </w:pPr>
      <w:r w:rsidRPr="00AF1814">
        <w:rPr>
          <w:b/>
        </w:rPr>
        <w:t>Medical Conditions</w:t>
      </w:r>
    </w:p>
    <w:p w14:paraId="1C815875" w14:textId="77777777" w:rsidR="00E633E1" w:rsidRPr="00AF1814" w:rsidRDefault="00DA3174" w:rsidP="00D41352">
      <w:pPr>
        <w:pStyle w:val="BodyText"/>
        <w:numPr>
          <w:ilvl w:val="0"/>
          <w:numId w:val="8"/>
        </w:numPr>
      </w:pPr>
      <w:r w:rsidRPr="00AF1814">
        <w:t xml:space="preserve">Participants with active central nervous system (CNS) metastases causing clinical symptoms or metastases that require therapeutic intervention are excluded. Participants with a history of treated CNS metastases (by surgery or radiation therapy) are not eligible unless they have fully recovered from treatment, demonstrated no progression for at least 4 weeks, and are not using steroids for at least 7 days prior to the start of study </w:t>
      </w:r>
      <w:r w:rsidR="002B41FF" w:rsidRPr="00AF1814">
        <w:t>intervention</w:t>
      </w:r>
      <w:r w:rsidRPr="00AF1814">
        <w:t xml:space="preserve">. </w:t>
      </w:r>
    </w:p>
    <w:p w14:paraId="292B4DFB" w14:textId="77777777" w:rsidR="00E633E1" w:rsidRPr="00AF1814" w:rsidRDefault="00DA3174" w:rsidP="00D41352">
      <w:pPr>
        <w:pStyle w:val="BodyText"/>
        <w:numPr>
          <w:ilvl w:val="0"/>
          <w:numId w:val="8"/>
        </w:numPr>
      </w:pPr>
      <w:r w:rsidRPr="00AF1814">
        <w:t>Receipt of any organ transplantation, including allogeneic stem-cell transplantation, but with the exception of transplants that do not require immunosuppression (e.g., corneal transplant, hair transplant).</w:t>
      </w:r>
    </w:p>
    <w:p w14:paraId="7D5B68FA" w14:textId="77777777" w:rsidR="00E633E1" w:rsidRPr="00AF1814" w:rsidRDefault="00DA3174" w:rsidP="00D41352">
      <w:pPr>
        <w:pStyle w:val="BodyText"/>
        <w:numPr>
          <w:ilvl w:val="0"/>
          <w:numId w:val="8"/>
        </w:numPr>
      </w:pPr>
      <w:r w:rsidRPr="00AF1814">
        <w:t xml:space="preserve">Significant acute or chronic infections including but not limited to: </w:t>
      </w:r>
    </w:p>
    <w:p w14:paraId="5ABAD207" w14:textId="77777777" w:rsidR="00540898" w:rsidRDefault="00DA3174" w:rsidP="00540898">
      <w:pPr>
        <w:pStyle w:val="BodyText"/>
        <w:ind w:left="720"/>
      </w:pPr>
      <w:r w:rsidRPr="00AF1814">
        <w:t>a. Participants with active tuberculosis (history of exposure or history of positive tuberculosis test; plus presence of clinical symptoms, physical, or radiographic findings).</w:t>
      </w:r>
    </w:p>
    <w:p w14:paraId="78F30DDC" w14:textId="4461104A" w:rsidR="00E633E1" w:rsidRPr="00AF1814" w:rsidRDefault="00DA3174" w:rsidP="00540898">
      <w:pPr>
        <w:pStyle w:val="BodyText"/>
        <w:ind w:left="720"/>
      </w:pPr>
      <w:r w:rsidRPr="00AF1814">
        <w:t>b. Active bacterial or fungal infection requiring systemic therapy (except as indicated, discuss alternative scenarios with the Medical Monitor).</w:t>
      </w:r>
    </w:p>
    <w:p w14:paraId="1F67A8A9" w14:textId="77777777" w:rsidR="00E633E1" w:rsidRPr="00AF1814" w:rsidRDefault="00DA3174" w:rsidP="00D41352">
      <w:pPr>
        <w:pStyle w:val="BodyText"/>
        <w:numPr>
          <w:ilvl w:val="0"/>
          <w:numId w:val="8"/>
        </w:numPr>
      </w:pPr>
      <w:r w:rsidRPr="00AF1814">
        <w:t>Active autoimmune disease that might deteriorate when receiving an immunostimulatory agent, except:</w:t>
      </w:r>
    </w:p>
    <w:p w14:paraId="4CCC9BAA" w14:textId="77777777" w:rsidR="00540898" w:rsidRDefault="00DA3174" w:rsidP="00540898">
      <w:pPr>
        <w:pStyle w:val="BodyText"/>
        <w:ind w:left="720"/>
      </w:pPr>
      <w:r w:rsidRPr="00AF1814">
        <w:t xml:space="preserve">a. </w:t>
      </w:r>
      <w:r w:rsidR="009977EF" w:rsidRPr="00AF1814">
        <w:t>Participants with diabetes Type 1, vitiligo, alopecia, psoriasis, hypo- or hyperthyroid disease not requiring immunosuppressive treatment are eligible.</w:t>
      </w:r>
    </w:p>
    <w:p w14:paraId="12757A5B" w14:textId="77777777" w:rsidR="00540898" w:rsidRDefault="00DA3174" w:rsidP="00540898">
      <w:pPr>
        <w:pStyle w:val="BodyText"/>
        <w:ind w:left="720"/>
      </w:pPr>
      <w:r w:rsidRPr="00AF1814">
        <w:t xml:space="preserve">b. </w:t>
      </w:r>
      <w:r w:rsidR="009977EF" w:rsidRPr="00AF1814">
        <w:t>Participants requiring hormone replacement with corticosteroids are eligible if the steroids are administered only for the purpose of hormonal replacement and at doses ≤ 10</w:t>
      </w:r>
      <w:r w:rsidR="00785FF1" w:rsidRPr="00AF1814">
        <w:t> </w:t>
      </w:r>
      <w:r w:rsidR="009977EF" w:rsidRPr="00AF1814">
        <w:t>mg of prednisone or equivalent per day.</w:t>
      </w:r>
    </w:p>
    <w:p w14:paraId="5AD21E18" w14:textId="271958EE" w:rsidR="00E633E1" w:rsidRPr="00AF1814" w:rsidRDefault="00DA3174" w:rsidP="00540898">
      <w:pPr>
        <w:pStyle w:val="BodyText"/>
        <w:ind w:left="720"/>
      </w:pPr>
      <w:r w:rsidRPr="00AF1814">
        <w:t xml:space="preserve">c. </w:t>
      </w:r>
      <w:r w:rsidR="009977EF" w:rsidRPr="00AF1814">
        <w:t>Administration of steroids for other conditions through a route known to result in a minimal systemic exposure (topical, intranasal, intr</w:t>
      </w:r>
      <w:r w:rsidR="00564BFE" w:rsidRPr="00AF1814">
        <w:t>o-</w:t>
      </w:r>
      <w:r w:rsidR="009977EF" w:rsidRPr="00AF1814">
        <w:t>ocular, or inhalation) is acceptable.</w:t>
      </w:r>
    </w:p>
    <w:p w14:paraId="49D95988" w14:textId="77777777" w:rsidR="00E633E1" w:rsidRPr="00AF1814" w:rsidRDefault="00DA3174" w:rsidP="00D41352">
      <w:pPr>
        <w:pStyle w:val="BodyText"/>
        <w:numPr>
          <w:ilvl w:val="0"/>
          <w:numId w:val="8"/>
        </w:numPr>
      </w:pPr>
      <w:r w:rsidRPr="00AF1814">
        <w:t>Any history of anaphylaxis, or recent (within 5 months) history of uncontrollable asthma,</w:t>
      </w:r>
      <w:r w:rsidR="004E7988" w:rsidRPr="00AF1814">
        <w:t xml:space="preserve"> </w:t>
      </w:r>
      <w:r w:rsidRPr="00AF1814">
        <w:t>known severe hypersensitivity (Grade ≥ 3 National Cancer Institute</w:t>
      </w:r>
      <w:r w:rsidR="00BE4C09" w:rsidRPr="00AF1814">
        <w:t>-</w:t>
      </w:r>
      <w:r w:rsidRPr="00AF1814">
        <w:t>Common Terminology Criteria for Adverse Events Version 5.0 [NCI</w:t>
      </w:r>
      <w:r w:rsidR="00FB3735" w:rsidRPr="00AF1814">
        <w:t>-</w:t>
      </w:r>
      <w:r w:rsidRPr="00AF1814">
        <w:t xml:space="preserve">CTCAE </w:t>
      </w:r>
      <w:r w:rsidR="00B56CC3" w:rsidRPr="00AF1814">
        <w:t>v</w:t>
      </w:r>
      <w:r w:rsidRPr="00AF1814">
        <w:t>5.0]) to any study intervention or any component in the formulation</w:t>
      </w:r>
      <w:r w:rsidR="00D510C8" w:rsidRPr="00AF1814">
        <w:t>s</w:t>
      </w:r>
      <w:r w:rsidR="00B62895" w:rsidRPr="00AF1814">
        <w:t>.</w:t>
      </w:r>
    </w:p>
    <w:p w14:paraId="324C95F1" w14:textId="77777777" w:rsidR="00E633E1" w:rsidRPr="00AF1814" w:rsidRDefault="00DA3174" w:rsidP="00D41352">
      <w:pPr>
        <w:pStyle w:val="BodyText"/>
        <w:numPr>
          <w:ilvl w:val="0"/>
          <w:numId w:val="8"/>
        </w:numPr>
      </w:pPr>
      <w:r w:rsidRPr="00AF1814">
        <w:t>Persisting Grade &gt; 1 NCI</w:t>
      </w:r>
      <w:r w:rsidR="00FB3735" w:rsidRPr="00AF1814">
        <w:t>-</w:t>
      </w:r>
      <w:r w:rsidRPr="00AF1814">
        <w:t xml:space="preserve">CTCAE </w:t>
      </w:r>
      <w:r w:rsidR="00B56CC3" w:rsidRPr="00AF1814">
        <w:t>v</w:t>
      </w:r>
      <w:r w:rsidRPr="00AF1814">
        <w:t>5.0 toxicity (except alopecia and vitiligo) related to prior therapy; however, sensory neuropathy Grade ≤ 2 is acceptable.</w:t>
      </w:r>
    </w:p>
    <w:p w14:paraId="3F2108BB" w14:textId="77777777" w:rsidR="00E633E1" w:rsidRPr="00AF1814" w:rsidRDefault="00DA3174" w:rsidP="00D41352">
      <w:pPr>
        <w:pStyle w:val="BodyText"/>
        <w:numPr>
          <w:ilvl w:val="0"/>
          <w:numId w:val="8"/>
        </w:numPr>
      </w:pPr>
      <w:r w:rsidRPr="00AF1814">
        <w:t xml:space="preserve">Has drug-induced interstitial lung disease OR has had a history of drug-induced pneumonitis that has required oral or </w:t>
      </w:r>
      <w:r w:rsidR="004A0E01" w:rsidRPr="00AF1814">
        <w:t>intravenous</w:t>
      </w:r>
      <w:r w:rsidRPr="00AF1814">
        <w:t xml:space="preserve"> steroids</w:t>
      </w:r>
      <w:r w:rsidR="00293B49" w:rsidRPr="00AF1814">
        <w:t>.</w:t>
      </w:r>
    </w:p>
    <w:p w14:paraId="7158C107" w14:textId="77777777" w:rsidR="00E633E1" w:rsidRPr="00AF1814" w:rsidRDefault="00DA3174" w:rsidP="00D41352">
      <w:pPr>
        <w:pStyle w:val="BodyText"/>
        <w:numPr>
          <w:ilvl w:val="0"/>
          <w:numId w:val="8"/>
        </w:numPr>
      </w:pPr>
      <w:r w:rsidRPr="00AF1814">
        <w:lastRenderedPageBreak/>
        <w:t xml:space="preserve">Clinically significant cardiovascular/cerebrovascular disease including: cerebral vascular accident/stroke (&lt; 6 months prior to enrollment), myocardial infarction (&lt; 6 months prior to enrollment), unstable angina, congestive heart failure (New York Heart Association Classification Class </w:t>
      </w:r>
      <w:r w:rsidR="00BE4C09" w:rsidRPr="00AF1814">
        <w:t xml:space="preserve">≥ </w:t>
      </w:r>
      <w:r w:rsidRPr="00AF1814">
        <w:t xml:space="preserve">II), or serious cardiac arrhythmia. </w:t>
      </w:r>
    </w:p>
    <w:p w14:paraId="74F2143D" w14:textId="77777777" w:rsidR="00E633E1" w:rsidRPr="00AF1814" w:rsidRDefault="00DA3174" w:rsidP="00D41352">
      <w:pPr>
        <w:pStyle w:val="BodyText"/>
        <w:numPr>
          <w:ilvl w:val="0"/>
          <w:numId w:val="8"/>
        </w:numPr>
      </w:pPr>
      <w:r w:rsidRPr="00AF1814">
        <w:t>Participants with history of bleeding diathesis or recent major bleeding events (i.e.</w:t>
      </w:r>
      <w:r w:rsidR="00BE4C09" w:rsidRPr="00AF1814">
        <w:t>,</w:t>
      </w:r>
      <w:r w:rsidRPr="00AF1814">
        <w:t xml:space="preserve"> Grade</w:t>
      </w:r>
      <w:r w:rsidR="00ED2192" w:rsidRPr="00AF1814">
        <w:t> </w:t>
      </w:r>
      <w:r w:rsidRPr="00AF1814">
        <w:t>≥</w:t>
      </w:r>
      <w:r w:rsidR="00ED2192" w:rsidRPr="00AF1814">
        <w:t> </w:t>
      </w:r>
      <w:r w:rsidRPr="00AF1814">
        <w:t>2 bleeding events in the month prior treatment) considered by the Investigator as high risk for investigational drug treatment are also excluded.</w:t>
      </w:r>
    </w:p>
    <w:p w14:paraId="05FF5B2E" w14:textId="77777777" w:rsidR="00E633E1" w:rsidRPr="00AF1814" w:rsidRDefault="00DA3174" w:rsidP="00D41352">
      <w:pPr>
        <w:pStyle w:val="BodyText"/>
        <w:numPr>
          <w:ilvl w:val="0"/>
          <w:numId w:val="8"/>
        </w:numPr>
      </w:pPr>
      <w:r w:rsidRPr="00AF1814">
        <w:t xml:space="preserve">Severe and/or clinically relevant acute or chronic diseases which, in the opinion of the Investigator, might impair the participant’s tolerance for the study or ability to consistently participate in study procedures. </w:t>
      </w:r>
    </w:p>
    <w:p w14:paraId="3059A04B" w14:textId="77777777" w:rsidR="00E633E1" w:rsidRPr="00AF1814" w:rsidRDefault="00DA3174" w:rsidP="00E633E1">
      <w:pPr>
        <w:pStyle w:val="List1withoutbullet"/>
        <w:rPr>
          <w:b/>
        </w:rPr>
      </w:pPr>
      <w:r w:rsidRPr="00AF1814">
        <w:rPr>
          <w:b/>
        </w:rPr>
        <w:t>Prior/Concomitant Therapy</w:t>
      </w:r>
    </w:p>
    <w:p w14:paraId="79673A01" w14:textId="4B43C31B" w:rsidR="00E633E1" w:rsidRPr="00E44F28" w:rsidRDefault="00DA3174" w:rsidP="00BE059F">
      <w:pPr>
        <w:pStyle w:val="List1withoutbullet"/>
        <w:numPr>
          <w:ilvl w:val="0"/>
          <w:numId w:val="8"/>
        </w:numPr>
        <w:tabs>
          <w:tab w:val="clear" w:pos="284"/>
          <w:tab w:val="left" w:pos="567"/>
        </w:tabs>
      </w:pPr>
      <w:r w:rsidRPr="00AF1814">
        <w:t>Has received prior cancer treatment with any other immunotherapy or checkpoint inhibitors, such as anti-</w:t>
      </w:r>
      <w:r w:rsidR="00EB18DD" w:rsidRPr="00AF1814">
        <w:t>programmed death-1 (</w:t>
      </w:r>
      <w:r w:rsidRPr="00AF1814">
        <w:t>PD-</w:t>
      </w:r>
      <w:r w:rsidR="00EB18DD" w:rsidRPr="00AF1814">
        <w:t>1)</w:t>
      </w:r>
      <w:r w:rsidRPr="00AF1814">
        <w:t>, anti-PD-L1, anti-PD</w:t>
      </w:r>
      <w:r w:rsidR="003765C0" w:rsidRPr="00AF1814">
        <w:noBreakHyphen/>
      </w:r>
      <w:r w:rsidRPr="00AF1814">
        <w:t>L2, anti</w:t>
      </w:r>
      <w:r w:rsidR="003765C0" w:rsidRPr="00AF1814">
        <w:noBreakHyphen/>
      </w:r>
      <w:r w:rsidRPr="00AF1814">
        <w:t>cytotoxic T-cell lymphocyte</w:t>
      </w:r>
      <w:r w:rsidR="00ED2192" w:rsidRPr="00AF1814">
        <w:noBreakHyphen/>
      </w:r>
      <w:r w:rsidRPr="00AF1814">
        <w:t>associated antigen-4 (CTLA-4), or any other immune</w:t>
      </w:r>
      <w:r w:rsidR="003765C0" w:rsidRPr="00AF1814">
        <w:noBreakHyphen/>
      </w:r>
      <w:r w:rsidRPr="00AF1814">
        <w:t>modulating mAb (e.g.</w:t>
      </w:r>
      <w:r w:rsidR="00BE4C09" w:rsidRPr="00AF1814">
        <w:t>,</w:t>
      </w:r>
      <w:r w:rsidRPr="00AF1814">
        <w:t xml:space="preserve"> any other antibody or drug specifically targeting T</w:t>
      </w:r>
      <w:r w:rsidR="003765C0" w:rsidRPr="00AF1814">
        <w:noBreakHyphen/>
      </w:r>
      <w:r w:rsidRPr="00AF1814">
        <w:t>cell co</w:t>
      </w:r>
      <w:r w:rsidR="003765C0" w:rsidRPr="00AF1814">
        <w:noBreakHyphen/>
      </w:r>
      <w:r w:rsidRPr="00AF1814">
        <w:t>stimulation, checkpoint pathways or immune-suppressive pathways [e.g.</w:t>
      </w:r>
      <w:r w:rsidR="003765C0" w:rsidRPr="00AF1814">
        <w:t>,</w:t>
      </w:r>
      <w:r w:rsidRPr="00AF1814">
        <w:t xml:space="preserve"> TGF</w:t>
      </w:r>
      <w:r w:rsidR="003440DD" w:rsidRPr="00AF1814">
        <w:noBreakHyphen/>
      </w:r>
      <w:r w:rsidRPr="00AF1814">
        <w:t xml:space="preserve">β]). </w:t>
      </w:r>
      <w:r w:rsidR="002E1736" w:rsidRPr="00AF1814">
        <w:t xml:space="preserve">Also see </w:t>
      </w:r>
      <w:r w:rsidR="002E1736" w:rsidRPr="00E44F28">
        <w:t xml:space="preserve">Section </w:t>
      </w:r>
      <w:r w:rsidR="002E1736" w:rsidRPr="00E44F28">
        <w:fldChar w:fldCharType="begin"/>
      </w:r>
      <w:r w:rsidR="002E1736" w:rsidRPr="00E44F28">
        <w:instrText xml:space="preserve"> REF _Ref31713354 \r \h </w:instrText>
      </w:r>
      <w:r w:rsidR="00BE059F" w:rsidRPr="00E44F28">
        <w:instrText xml:space="preserve"> \* MERGEFORMAT </w:instrText>
      </w:r>
      <w:r w:rsidR="002E1736" w:rsidRPr="00E44F28">
        <w:fldChar w:fldCharType="separate"/>
      </w:r>
      <w:r w:rsidR="00C548C3" w:rsidRPr="00E44F28">
        <w:t>5.1</w:t>
      </w:r>
      <w:r w:rsidR="002E1736" w:rsidRPr="00E44F28">
        <w:fldChar w:fldCharType="end"/>
      </w:r>
      <w:r w:rsidR="009D7F19" w:rsidRPr="00E44F28">
        <w:t>.</w:t>
      </w:r>
    </w:p>
    <w:p w14:paraId="082933A0" w14:textId="0CD9D058" w:rsidR="00E633E1" w:rsidRPr="00E44F28" w:rsidRDefault="00DA3174" w:rsidP="00D41352">
      <w:pPr>
        <w:pStyle w:val="List1withoutbullet"/>
        <w:numPr>
          <w:ilvl w:val="0"/>
          <w:numId w:val="8"/>
        </w:numPr>
        <w:tabs>
          <w:tab w:val="clear" w:pos="284"/>
          <w:tab w:val="left" w:pos="630"/>
        </w:tabs>
      </w:pPr>
      <w:r w:rsidRPr="00E44F28">
        <w:t>Concurrent treatment with prohibited drugs (see Section</w:t>
      </w:r>
      <w:r w:rsidR="00BF04C1" w:rsidRPr="00E44F28">
        <w:t xml:space="preserve"> </w:t>
      </w:r>
      <w:r w:rsidR="009C3E81" w:rsidRPr="00E44F28">
        <w:fldChar w:fldCharType="begin"/>
      </w:r>
      <w:r w:rsidR="009C3E81" w:rsidRPr="00E44F28">
        <w:instrText xml:space="preserve"> REF _Ref29478257 \w \h </w:instrText>
      </w:r>
      <w:r w:rsidR="00BE059F" w:rsidRPr="00E44F28">
        <w:instrText xml:space="preserve"> \* MERGEFORMAT </w:instrText>
      </w:r>
      <w:r w:rsidR="009C3E81" w:rsidRPr="00E44F28">
        <w:fldChar w:fldCharType="separate"/>
      </w:r>
      <w:r w:rsidR="00C548C3" w:rsidRPr="00E44F28">
        <w:t>6.5.2</w:t>
      </w:r>
      <w:r w:rsidR="009C3E81" w:rsidRPr="00E44F28">
        <w:fldChar w:fldCharType="end"/>
      </w:r>
      <w:r w:rsidRPr="00E44F28">
        <w:t xml:space="preserve">). </w:t>
      </w:r>
    </w:p>
    <w:p w14:paraId="2FAE2CF6" w14:textId="77777777" w:rsidR="00E633E1" w:rsidRPr="00AF1814" w:rsidRDefault="00DA3174" w:rsidP="00D41352">
      <w:pPr>
        <w:pStyle w:val="List1withoutbullet"/>
        <w:numPr>
          <w:ilvl w:val="0"/>
          <w:numId w:val="8"/>
        </w:numPr>
        <w:tabs>
          <w:tab w:val="clear" w:pos="284"/>
          <w:tab w:val="left" w:pos="630"/>
        </w:tabs>
      </w:pPr>
      <w:r w:rsidRPr="00E44F28">
        <w:t xml:space="preserve">Systemic therapy with immunosuppressive agents within 7 days before </w:t>
      </w:r>
      <w:r w:rsidRPr="00AF1814">
        <w:t xml:space="preserve">the start of study intervention; or use of any investigational drug within 28 days before the start of study intervention. </w:t>
      </w:r>
    </w:p>
    <w:p w14:paraId="47FF96CF" w14:textId="77777777" w:rsidR="00E633E1" w:rsidRPr="00AF1814" w:rsidRDefault="00DA3174" w:rsidP="00D41352">
      <w:pPr>
        <w:pStyle w:val="List1withoutbullet"/>
        <w:numPr>
          <w:ilvl w:val="0"/>
          <w:numId w:val="8"/>
        </w:numPr>
        <w:tabs>
          <w:tab w:val="clear" w:pos="284"/>
          <w:tab w:val="left" w:pos="630"/>
        </w:tabs>
      </w:pPr>
      <w:r w:rsidRPr="00AF1814">
        <w:t xml:space="preserve">Has received or will receive a live vaccine within 30 days prior to the first administration of study intervention. Seasonal flu vaccines that do not contain a live virus are permitted. </w:t>
      </w:r>
    </w:p>
    <w:p w14:paraId="33495AF1" w14:textId="77777777" w:rsidR="00E633E1" w:rsidRPr="00AF1814" w:rsidRDefault="00DA3174" w:rsidP="00E633E1">
      <w:pPr>
        <w:pStyle w:val="List1withoutbullet"/>
        <w:rPr>
          <w:b/>
        </w:rPr>
      </w:pPr>
      <w:r w:rsidRPr="00AF1814">
        <w:rPr>
          <w:b/>
        </w:rPr>
        <w:t>Prior/Concurrent Clinical Study Experience</w:t>
      </w:r>
    </w:p>
    <w:p w14:paraId="20329DEE" w14:textId="77777777" w:rsidR="00E633E1" w:rsidRPr="00AF1814" w:rsidRDefault="00DA3174" w:rsidP="00D41352">
      <w:pPr>
        <w:pStyle w:val="List1withoutbullet"/>
        <w:numPr>
          <w:ilvl w:val="0"/>
          <w:numId w:val="8"/>
        </w:numPr>
        <w:tabs>
          <w:tab w:val="clear" w:pos="284"/>
          <w:tab w:val="left" w:pos="567"/>
        </w:tabs>
      </w:pPr>
      <w:r w:rsidRPr="00AF1814">
        <w:t xml:space="preserve">Participants, who received chemotherapy, radiation therapy (with the exception of palliative </w:t>
      </w:r>
      <w:r w:rsidR="00EB18DD" w:rsidRPr="00AF1814">
        <w:t>radiotherapy</w:t>
      </w:r>
      <w:r w:rsidRPr="00AF1814">
        <w:t xml:space="preserve"> delivered in a normal organ-sparing technique), or biological therapy (e.g.</w:t>
      </w:r>
      <w:r w:rsidR="00BE4C09" w:rsidRPr="00AF1814">
        <w:t>,</w:t>
      </w:r>
      <w:r w:rsidRPr="00AF1814">
        <w:t xml:space="preserve"> antibodies) within 4 weeks, or who have been treated with small molecule therapeutics or investigational agents within 4 weeks prior to starting bintrafusp alfa or who have not recovered from the side effects of such therapy (except for alopecia or potentially neuropathy).</w:t>
      </w:r>
    </w:p>
    <w:p w14:paraId="50E166C9" w14:textId="77777777" w:rsidR="00E633E1" w:rsidRPr="00AF1814" w:rsidRDefault="00DA3174" w:rsidP="00E633E1">
      <w:pPr>
        <w:pStyle w:val="List1withoutbullet"/>
        <w:rPr>
          <w:b/>
        </w:rPr>
      </w:pPr>
      <w:r w:rsidRPr="00AF1814">
        <w:rPr>
          <w:b/>
        </w:rPr>
        <w:t>Other Exclusions</w:t>
      </w:r>
    </w:p>
    <w:p w14:paraId="7231171E" w14:textId="77777777" w:rsidR="00E633E1" w:rsidRPr="00AF1814" w:rsidRDefault="00DA3174" w:rsidP="00D41352">
      <w:pPr>
        <w:pStyle w:val="List1withoutbullet"/>
        <w:numPr>
          <w:ilvl w:val="0"/>
          <w:numId w:val="8"/>
        </w:numPr>
        <w:tabs>
          <w:tab w:val="left" w:pos="567"/>
        </w:tabs>
      </w:pPr>
      <w:r w:rsidRPr="00AF1814">
        <w:t>Major surgery within 28 days before the start of study intervention (diagnostic biopsy, for example, is not considered major surgery).</w:t>
      </w:r>
    </w:p>
    <w:p w14:paraId="6050BB87" w14:textId="77777777" w:rsidR="00E633E1" w:rsidRPr="00AF1814" w:rsidRDefault="00DA3174" w:rsidP="00D41352">
      <w:pPr>
        <w:pStyle w:val="List1withoutbullet"/>
        <w:numPr>
          <w:ilvl w:val="0"/>
          <w:numId w:val="8"/>
        </w:numPr>
        <w:tabs>
          <w:tab w:val="left" w:pos="567"/>
        </w:tabs>
      </w:pPr>
      <w:r w:rsidRPr="00AF1814">
        <w:t xml:space="preserve">Pregnancy or breast feeding. </w:t>
      </w:r>
    </w:p>
    <w:p w14:paraId="14371DF6" w14:textId="77777777" w:rsidR="00E633E1" w:rsidRPr="00AF1814" w:rsidRDefault="00DA3174" w:rsidP="00D41352">
      <w:pPr>
        <w:pStyle w:val="List1withoutbullet"/>
        <w:numPr>
          <w:ilvl w:val="0"/>
          <w:numId w:val="8"/>
        </w:numPr>
        <w:tabs>
          <w:tab w:val="left" w:pos="567"/>
        </w:tabs>
      </w:pPr>
      <w:r w:rsidRPr="00AF1814">
        <w:t>Known active alcohol or drug abuse.</w:t>
      </w:r>
    </w:p>
    <w:p w14:paraId="218519C5" w14:textId="77777777" w:rsidR="00E633E1" w:rsidRPr="00AF1814" w:rsidRDefault="00DA3174" w:rsidP="00D41352">
      <w:pPr>
        <w:pStyle w:val="List1withoutbullet"/>
        <w:numPr>
          <w:ilvl w:val="0"/>
          <w:numId w:val="8"/>
        </w:numPr>
        <w:tabs>
          <w:tab w:val="left" w:pos="567"/>
        </w:tabs>
      </w:pPr>
      <w:r w:rsidRPr="00AF1814">
        <w:t>Grade ≥ 2 peripheral neuropathy as defined by NCI</w:t>
      </w:r>
      <w:r w:rsidR="00FB3735" w:rsidRPr="00AF1814">
        <w:t>-</w:t>
      </w:r>
      <w:r w:rsidRPr="00AF1814">
        <w:t xml:space="preserve">CTCAE </w:t>
      </w:r>
      <w:r w:rsidR="00B56CC3" w:rsidRPr="00AF1814">
        <w:t>v</w:t>
      </w:r>
      <w:r w:rsidR="00452B02" w:rsidRPr="00AF1814">
        <w:t>5</w:t>
      </w:r>
      <w:r w:rsidRPr="00AF1814">
        <w:t>.0 criteria (paclitaxel).</w:t>
      </w:r>
    </w:p>
    <w:p w14:paraId="0A3A6546" w14:textId="77777777" w:rsidR="00503E11" w:rsidRPr="00AF1814" w:rsidRDefault="00DA3174" w:rsidP="00322CD5">
      <w:pPr>
        <w:pStyle w:val="BodyText"/>
        <w:keepNext/>
        <w:ind w:left="272"/>
        <w:rPr>
          <w:b/>
        </w:rPr>
      </w:pPr>
      <w:bookmarkStart w:id="103" w:name="_Hlk30401106"/>
      <w:r w:rsidRPr="00AF1814">
        <w:rPr>
          <w:b/>
        </w:rPr>
        <w:lastRenderedPageBreak/>
        <w:t xml:space="preserve">Exclusion Specific to </w:t>
      </w:r>
      <w:r w:rsidR="001441A7" w:rsidRPr="00AF1814">
        <w:rPr>
          <w:b/>
        </w:rPr>
        <w:t>Participants</w:t>
      </w:r>
      <w:r w:rsidRPr="00AF1814">
        <w:rPr>
          <w:b/>
        </w:rPr>
        <w:t xml:space="preserve"> Enrolling in Cohort 1A: </w:t>
      </w:r>
    </w:p>
    <w:p w14:paraId="7D4BE593" w14:textId="442889C3" w:rsidR="00BD4190" w:rsidRPr="00AF1814" w:rsidRDefault="00ED0796" w:rsidP="00BD4190">
      <w:pPr>
        <w:pStyle w:val="BodyText"/>
        <w:ind w:left="270"/>
        <w:rPr>
          <w:b/>
        </w:rPr>
      </w:pPr>
      <w:r w:rsidRPr="00ED0796">
        <w:t xml:space="preserve">Given the specific toxicities related to bevacizumab, the </w:t>
      </w:r>
      <w:r w:rsidR="00727D74">
        <w:t>local physician</w:t>
      </w:r>
      <w:r w:rsidRPr="00ED0796">
        <w:t xml:space="preserve"> is responsible for ensuring a </w:t>
      </w:r>
      <w:r w:rsidR="00BD0DCB">
        <w:t>participant</w:t>
      </w:r>
      <w:r w:rsidRPr="00ED0796">
        <w:t xml:space="preserve"> is clinically appropriate to receive bevacizumab. </w:t>
      </w:r>
      <w:r w:rsidR="00DA3174" w:rsidRPr="00AF1814">
        <w:t xml:space="preserve">The following </w:t>
      </w:r>
      <w:r>
        <w:t>specific</w:t>
      </w:r>
      <w:r w:rsidRPr="00AF1814">
        <w:t xml:space="preserve"> </w:t>
      </w:r>
      <w:r w:rsidR="00DA3174" w:rsidRPr="00AF1814">
        <w:t xml:space="preserve">exclusion criteria are </w:t>
      </w:r>
      <w:r w:rsidR="00503E11" w:rsidRPr="00AF1814">
        <w:t>ap</w:t>
      </w:r>
      <w:r w:rsidR="003A181F" w:rsidRPr="00AF1814">
        <w:t>p</w:t>
      </w:r>
      <w:r w:rsidR="00503E11" w:rsidRPr="00AF1814">
        <w:t xml:space="preserve">licable </w:t>
      </w:r>
      <w:r w:rsidR="00DA3174" w:rsidRPr="00AF1814">
        <w:t>only for participants</w:t>
      </w:r>
      <w:r w:rsidR="00503E11" w:rsidRPr="00AF1814">
        <w:t xml:space="preserve"> enrolling</w:t>
      </w:r>
      <w:r w:rsidR="00DA3174" w:rsidRPr="00AF1814">
        <w:t xml:space="preserve"> in Cohort 1A (exclusion</w:t>
      </w:r>
      <w:r w:rsidR="00BC470F" w:rsidRPr="00AF1814">
        <w:t xml:space="preserve"> criteria</w:t>
      </w:r>
      <w:r w:rsidR="00DA3174" w:rsidRPr="00AF1814">
        <w:t xml:space="preserve"> related to bevacizumab)</w:t>
      </w:r>
      <w:r w:rsidR="00564C4C" w:rsidRPr="00AF1814">
        <w:t>:</w:t>
      </w:r>
      <w:r w:rsidR="00DA3174" w:rsidRPr="00AF1814">
        <w:t xml:space="preserve"> </w:t>
      </w:r>
    </w:p>
    <w:bookmarkEnd w:id="103"/>
    <w:p w14:paraId="63B32C9D" w14:textId="38B55630" w:rsidR="00BD4190" w:rsidRPr="00AF1814" w:rsidRDefault="00DA3174" w:rsidP="00D41352">
      <w:pPr>
        <w:pStyle w:val="List1withoutbullet"/>
        <w:numPr>
          <w:ilvl w:val="0"/>
          <w:numId w:val="8"/>
        </w:numPr>
        <w:tabs>
          <w:tab w:val="left" w:pos="567"/>
        </w:tabs>
      </w:pPr>
      <w:r w:rsidRPr="00AF1814">
        <w:t>Inadequately controlled hypertension (defined as systolic blood pressure &gt; 150</w:t>
      </w:r>
      <w:r w:rsidR="00C8754C">
        <w:t> </w:t>
      </w:r>
      <w:r w:rsidRPr="00AF1814">
        <w:t>mmHg and/or diastolic blood pressure &gt;</w:t>
      </w:r>
      <w:r w:rsidR="00C8754C">
        <w:t> </w:t>
      </w:r>
      <w:r w:rsidRPr="00AF1814">
        <w:t>100 mmHg). Anti-hypertensive therapy to achieve these parameters is allowable.</w:t>
      </w:r>
    </w:p>
    <w:p w14:paraId="6BC378BF" w14:textId="77777777" w:rsidR="00BD4190" w:rsidRPr="00AF1814" w:rsidRDefault="00DA3174" w:rsidP="00D41352">
      <w:pPr>
        <w:pStyle w:val="List1withoutbullet"/>
        <w:numPr>
          <w:ilvl w:val="0"/>
          <w:numId w:val="8"/>
        </w:numPr>
        <w:tabs>
          <w:tab w:val="left" w:pos="567"/>
        </w:tabs>
      </w:pPr>
      <w:r w:rsidRPr="00AF1814">
        <w:t xml:space="preserve">Prior history of hypertensive crisis or hypertensive encephalopathy. </w:t>
      </w:r>
    </w:p>
    <w:p w14:paraId="44FC1EF0" w14:textId="77777777" w:rsidR="00BD4190" w:rsidRPr="00AF1814" w:rsidRDefault="00DA3174" w:rsidP="00D41352">
      <w:pPr>
        <w:pStyle w:val="List1withoutbullet"/>
        <w:numPr>
          <w:ilvl w:val="0"/>
          <w:numId w:val="8"/>
        </w:numPr>
        <w:tabs>
          <w:tab w:val="left" w:pos="567"/>
        </w:tabs>
      </w:pPr>
      <w:r w:rsidRPr="00AF1814">
        <w:t>Significant vascular disease (e.g., aortic aneurysm requiring surgical repair or recent peripheral arterial thrombosis) within 6 months prior to Screening.</w:t>
      </w:r>
    </w:p>
    <w:p w14:paraId="173BB83A" w14:textId="77777777" w:rsidR="00BD4190" w:rsidRPr="00AF1814" w:rsidRDefault="00DA3174" w:rsidP="00D41352">
      <w:pPr>
        <w:pStyle w:val="List1withoutbullet"/>
        <w:numPr>
          <w:ilvl w:val="0"/>
          <w:numId w:val="8"/>
        </w:numPr>
        <w:tabs>
          <w:tab w:val="left" w:pos="567"/>
        </w:tabs>
      </w:pPr>
      <w:r w:rsidRPr="00AF1814">
        <w:t>History of hemoptysis (≥ one-half teaspoon of bright red blood per episode) within 1 month prior to Screening.</w:t>
      </w:r>
    </w:p>
    <w:p w14:paraId="69175725" w14:textId="77777777" w:rsidR="00BD4190" w:rsidRPr="00AF1814" w:rsidRDefault="00DA3174" w:rsidP="00F12F8D">
      <w:pPr>
        <w:pStyle w:val="List1withoutbullet"/>
        <w:numPr>
          <w:ilvl w:val="0"/>
          <w:numId w:val="8"/>
        </w:numPr>
        <w:tabs>
          <w:tab w:val="left" w:pos="567"/>
        </w:tabs>
      </w:pPr>
      <w:r w:rsidRPr="00AF1814">
        <w:t>Evidence of bleeding diathesis or coagulopathy (in the absence of therapeutic anticoagulation).</w:t>
      </w:r>
    </w:p>
    <w:p w14:paraId="3F770A9F" w14:textId="77777777" w:rsidR="00BD4190" w:rsidRPr="00AF1814" w:rsidRDefault="00DA3174" w:rsidP="00D41352">
      <w:pPr>
        <w:pStyle w:val="List1withoutbullet"/>
        <w:numPr>
          <w:ilvl w:val="0"/>
          <w:numId w:val="8"/>
        </w:numPr>
        <w:tabs>
          <w:tab w:val="left" w:pos="567"/>
        </w:tabs>
      </w:pPr>
      <w:r w:rsidRPr="00AF1814">
        <w:t>Current use of full-dose oral or parenteral anticoagulants or thrombolytic agents for therapeutic purposes.</w:t>
      </w:r>
    </w:p>
    <w:p w14:paraId="54DF49FB" w14:textId="77777777" w:rsidR="00BD4190" w:rsidRPr="00AF1814" w:rsidRDefault="00DA3174" w:rsidP="00124830">
      <w:pPr>
        <w:pStyle w:val="List1withbullet"/>
        <w:tabs>
          <w:tab w:val="num" w:pos="373"/>
          <w:tab w:val="num" w:pos="1132"/>
        </w:tabs>
        <w:ind w:left="1132"/>
      </w:pPr>
      <w:r w:rsidRPr="00AF1814">
        <w:t>Prophylactic anticoagulation for the patency of venous access devices is allowed, provided the activity of the agent results in an INR</w:t>
      </w:r>
      <w:r w:rsidR="00785FF1" w:rsidRPr="00AF1814">
        <w:t xml:space="preserve"> </w:t>
      </w:r>
      <w:r w:rsidRPr="00AF1814">
        <w:t>&lt; 1.5 ×</w:t>
      </w:r>
      <w:r w:rsidR="00785FF1" w:rsidRPr="00AF1814">
        <w:t xml:space="preserve"> </w:t>
      </w:r>
      <w:r w:rsidRPr="00AF1814">
        <w:t xml:space="preserve">ULN and aPTT is within normal limits within 14 days prior to Screening. </w:t>
      </w:r>
    </w:p>
    <w:p w14:paraId="15260252" w14:textId="77777777" w:rsidR="00BD4190" w:rsidRPr="00AF1814" w:rsidRDefault="00DA3174" w:rsidP="00124830">
      <w:pPr>
        <w:pStyle w:val="List1withbullet"/>
        <w:tabs>
          <w:tab w:val="num" w:pos="373"/>
          <w:tab w:val="num" w:pos="1132"/>
        </w:tabs>
        <w:ind w:left="1132"/>
      </w:pPr>
      <w:r w:rsidRPr="00AF1814">
        <w:t>Prophylactic use of low-molecular-weight heparin (i.e., enoxaparin 40 mg/day) is permitted.</w:t>
      </w:r>
    </w:p>
    <w:p w14:paraId="6E33B8FC" w14:textId="77777777" w:rsidR="00BD4190" w:rsidRPr="00AF1814" w:rsidRDefault="00DA3174" w:rsidP="00D41352">
      <w:pPr>
        <w:pStyle w:val="List1withoutbullet"/>
        <w:numPr>
          <w:ilvl w:val="0"/>
          <w:numId w:val="8"/>
        </w:numPr>
        <w:tabs>
          <w:tab w:val="left" w:pos="567"/>
        </w:tabs>
      </w:pPr>
      <w:bookmarkStart w:id="104" w:name="_Ref37679009"/>
      <w:r w:rsidRPr="00AF1814">
        <w:t>Core biopsy or other minor surgical procedure, excluding placement of a vascular access device, within 7 days prior to the first dose of bevacizumab.</w:t>
      </w:r>
      <w:bookmarkEnd w:id="104"/>
    </w:p>
    <w:p w14:paraId="514C9A66" w14:textId="77777777" w:rsidR="00BD4190" w:rsidRPr="00AF1814" w:rsidRDefault="00DA3174" w:rsidP="00D41352">
      <w:pPr>
        <w:pStyle w:val="List1withoutbullet"/>
        <w:numPr>
          <w:ilvl w:val="0"/>
          <w:numId w:val="8"/>
        </w:numPr>
        <w:tabs>
          <w:tab w:val="left" w:pos="567"/>
        </w:tabs>
      </w:pPr>
      <w:r w:rsidRPr="00AF1814">
        <w:t xml:space="preserve">History of abdominal or </w:t>
      </w:r>
      <w:r w:rsidR="00BE4C09" w:rsidRPr="00AF1814">
        <w:t>tracheoesophageal</w:t>
      </w:r>
      <w:r w:rsidRPr="00AF1814">
        <w:t xml:space="preserve"> fistula or gastrointestinal</w:t>
      </w:r>
      <w:r w:rsidR="00407A72" w:rsidRPr="00AF1814">
        <w:t xml:space="preserve"> (GI)</w:t>
      </w:r>
      <w:r w:rsidRPr="00AF1814">
        <w:t xml:space="preserve"> perforation within 6</w:t>
      </w:r>
      <w:r w:rsidR="00236E24" w:rsidRPr="00AF1814">
        <w:t> </w:t>
      </w:r>
      <w:r w:rsidRPr="00AF1814">
        <w:t>months prior to Screening.</w:t>
      </w:r>
    </w:p>
    <w:p w14:paraId="02CC28D4" w14:textId="77777777" w:rsidR="00BD4190" w:rsidRPr="00AF1814" w:rsidRDefault="00DA3174" w:rsidP="00D41352">
      <w:pPr>
        <w:pStyle w:val="List1withoutbullet"/>
        <w:numPr>
          <w:ilvl w:val="0"/>
          <w:numId w:val="8"/>
        </w:numPr>
        <w:tabs>
          <w:tab w:val="left" w:pos="567"/>
        </w:tabs>
      </w:pPr>
      <w:r w:rsidRPr="00AF1814">
        <w:t xml:space="preserve">Clinical signs of </w:t>
      </w:r>
      <w:r w:rsidR="00407A72" w:rsidRPr="00AF1814">
        <w:t>GI</w:t>
      </w:r>
      <w:r w:rsidRPr="00AF1814">
        <w:t xml:space="preserve"> obstruction or requirement for routine parenteral hydration, parenteral nutrition, or tube feeding.</w:t>
      </w:r>
    </w:p>
    <w:p w14:paraId="6D470476" w14:textId="77777777" w:rsidR="00BD4190" w:rsidRPr="00AF1814" w:rsidRDefault="00DA3174" w:rsidP="00D41352">
      <w:pPr>
        <w:pStyle w:val="List1withoutbullet"/>
        <w:numPr>
          <w:ilvl w:val="0"/>
          <w:numId w:val="8"/>
        </w:numPr>
        <w:tabs>
          <w:tab w:val="left" w:pos="567"/>
        </w:tabs>
      </w:pPr>
      <w:r w:rsidRPr="00AF1814">
        <w:t>Evidence of abdominal free air not explained by paracentesis or recent surgical procedure.</w:t>
      </w:r>
    </w:p>
    <w:p w14:paraId="58830C98" w14:textId="77777777" w:rsidR="00BD4190" w:rsidRPr="00AF1814" w:rsidRDefault="00DA3174" w:rsidP="00D41352">
      <w:pPr>
        <w:pStyle w:val="List1withoutbullet"/>
        <w:numPr>
          <w:ilvl w:val="0"/>
          <w:numId w:val="8"/>
        </w:numPr>
        <w:tabs>
          <w:tab w:val="left" w:pos="567"/>
        </w:tabs>
      </w:pPr>
      <w:r w:rsidRPr="00AF1814">
        <w:t xml:space="preserve">Serious, nonhealing wound, active ulcer, or untreated bone fracture. </w:t>
      </w:r>
    </w:p>
    <w:p w14:paraId="3686F903" w14:textId="77777777" w:rsidR="00BD4190" w:rsidRPr="00AF1814" w:rsidRDefault="00DA3174" w:rsidP="00D41352">
      <w:pPr>
        <w:pStyle w:val="List1withoutbullet"/>
        <w:numPr>
          <w:ilvl w:val="0"/>
          <w:numId w:val="8"/>
        </w:numPr>
        <w:tabs>
          <w:tab w:val="left" w:pos="567"/>
        </w:tabs>
      </w:pPr>
      <w:r w:rsidRPr="00AF1814">
        <w:t>Proteinuria, as demonstrated by urine dipstick or &gt; 1.0 g of protein in a 24</w:t>
      </w:r>
      <w:r w:rsidR="00236E24" w:rsidRPr="00AF1814">
        <w:noBreakHyphen/>
      </w:r>
      <w:r w:rsidRPr="00AF1814">
        <w:t>hour urine collection. All pa</w:t>
      </w:r>
      <w:r w:rsidR="00DF2C46" w:rsidRPr="00AF1814">
        <w:t>rticipants</w:t>
      </w:r>
      <w:r w:rsidRPr="00AF1814">
        <w:t xml:space="preserve"> with ≥ 2+ protein on dipstick urinalysis at </w:t>
      </w:r>
      <w:r w:rsidR="00F94DA2" w:rsidRPr="00AF1814">
        <w:t>B</w:t>
      </w:r>
      <w:r w:rsidRPr="00AF1814">
        <w:t>aseline must undergo a 24-hour urine collection and must demonstrate ≤ 1 g of protein in 24 hours.</w:t>
      </w:r>
    </w:p>
    <w:p w14:paraId="730BC11A" w14:textId="77777777" w:rsidR="00945494" w:rsidRPr="00AF1814" w:rsidRDefault="00DA3174" w:rsidP="00227F32">
      <w:pPr>
        <w:pStyle w:val="Heading2"/>
        <w:ind w:left="2019" w:hanging="2019"/>
      </w:pPr>
      <w:bookmarkStart w:id="105" w:name="_Toc44601659"/>
      <w:r w:rsidRPr="00AF1814">
        <w:lastRenderedPageBreak/>
        <w:t>Lifestyle Considerations</w:t>
      </w:r>
      <w:bookmarkEnd w:id="105"/>
    </w:p>
    <w:p w14:paraId="24FBFA8F" w14:textId="77777777" w:rsidR="00F534A3" w:rsidRPr="00AF1814" w:rsidRDefault="00DA3174" w:rsidP="00F534A3">
      <w:pPr>
        <w:pStyle w:val="Bodytext-keepwithnext"/>
      </w:pPr>
      <w:r w:rsidRPr="00AF1814">
        <w:t>Not applicable.</w:t>
      </w:r>
      <w:bookmarkStart w:id="106" w:name="_Toc503449473"/>
      <w:bookmarkStart w:id="107" w:name="_Toc506469820"/>
      <w:bookmarkStart w:id="108" w:name="_Toc503449474"/>
      <w:bookmarkStart w:id="109" w:name="_Toc506469821"/>
      <w:bookmarkStart w:id="110" w:name="_Toc503449475"/>
      <w:bookmarkStart w:id="111" w:name="_Toc506469822"/>
      <w:bookmarkStart w:id="112" w:name="_Toc503449476"/>
      <w:bookmarkStart w:id="113" w:name="_Toc506469823"/>
      <w:bookmarkStart w:id="114" w:name="_Toc503449477"/>
      <w:bookmarkStart w:id="115" w:name="_Toc506469824"/>
      <w:bookmarkStart w:id="116" w:name="_Toc503449478"/>
      <w:bookmarkStart w:id="117" w:name="_Toc506469825"/>
      <w:bookmarkStart w:id="118" w:name="_Toc503449479"/>
      <w:bookmarkStart w:id="119" w:name="_Toc506469826"/>
      <w:bookmarkStart w:id="120" w:name="_Toc503449480"/>
      <w:bookmarkStart w:id="121" w:name="_Toc506469827"/>
      <w:bookmarkStart w:id="122" w:name="_Toc506469832"/>
      <w:bookmarkStart w:id="123" w:name="_Toc506469837"/>
      <w:bookmarkStart w:id="124" w:name="_Toc506469840"/>
      <w:bookmarkStart w:id="125" w:name="_Toc506469841"/>
      <w:bookmarkStart w:id="126" w:name="_Ref28878644"/>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71C7FA04" w14:textId="77777777" w:rsidR="00945494" w:rsidRPr="00AF1814" w:rsidRDefault="00DA3174" w:rsidP="00DE0305">
      <w:pPr>
        <w:pStyle w:val="Heading2"/>
      </w:pPr>
      <w:bookmarkStart w:id="127" w:name="_Ref34080667"/>
      <w:bookmarkStart w:id="128" w:name="_Toc44601660"/>
      <w:r w:rsidRPr="00AF1814">
        <w:t>Screen Failures</w:t>
      </w:r>
      <w:bookmarkEnd w:id="126"/>
      <w:bookmarkEnd w:id="127"/>
      <w:bookmarkEnd w:id="128"/>
    </w:p>
    <w:p w14:paraId="1FCF62E4" w14:textId="77777777" w:rsidR="00E633E1" w:rsidRPr="00AF1814" w:rsidRDefault="00DA3174" w:rsidP="00E633E1">
      <w:pPr>
        <w:pStyle w:val="BodyText"/>
      </w:pPr>
      <w:r w:rsidRPr="00AF1814">
        <w:t>Individuals who do not meet the criteria for participation in this study (screen failure) may be rescreened once within 2 weeks from original screen failure date. Rescreened participants will be assigned a new participant number.</w:t>
      </w:r>
    </w:p>
    <w:p w14:paraId="72118CFB" w14:textId="77777777" w:rsidR="00E633E1" w:rsidRPr="00AF1814" w:rsidRDefault="00DA3174" w:rsidP="00E633E1">
      <w:pPr>
        <w:pStyle w:val="BodyText"/>
      </w:pPr>
      <w:r w:rsidRPr="00AF1814">
        <w:t>For the participants whose indication for screen failure may resolve (e.g</w:t>
      </w:r>
      <w:r w:rsidR="00376B42" w:rsidRPr="00AF1814">
        <w:t>.</w:t>
      </w:r>
      <w:r w:rsidR="00BE4C09" w:rsidRPr="00AF1814">
        <w:t>,</w:t>
      </w:r>
      <w:r w:rsidRPr="00AF1814">
        <w:t xml:space="preserve"> abnormal laboratory value that may correct, or prohibited concomitant medication that will be discontinued, or prohibited procedure that will be completed), </w:t>
      </w:r>
      <w:r w:rsidR="00A32C3E" w:rsidRPr="00AF1814">
        <w:t>S</w:t>
      </w:r>
      <w:r w:rsidRPr="00AF1814">
        <w:t xml:space="preserve">creening period may be extended for up to 2 weeks after discussion with the Medical Monitor. </w:t>
      </w:r>
    </w:p>
    <w:p w14:paraId="265A7651" w14:textId="11F8F90E" w:rsidR="00E633E1" w:rsidRPr="00AF1814" w:rsidRDefault="00DA3174" w:rsidP="00E633E1">
      <w:pPr>
        <w:pStyle w:val="BodyText"/>
      </w:pPr>
      <w:r w:rsidRPr="00AF1814">
        <w:t xml:space="preserve">For participants who have been rescreened </w:t>
      </w:r>
      <w:r w:rsidR="001B258A">
        <w:t>or</w:t>
      </w:r>
      <w:r w:rsidR="001B258A" w:rsidRPr="00AF1814">
        <w:t xml:space="preserve"> </w:t>
      </w:r>
      <w:r w:rsidRPr="00AF1814">
        <w:t xml:space="preserve">their </w:t>
      </w:r>
      <w:r w:rsidR="00A32C3E" w:rsidRPr="00AF1814">
        <w:t>S</w:t>
      </w:r>
      <w:r w:rsidRPr="00AF1814">
        <w:t xml:space="preserve">creening period was extended, baseline tumor scans must be within </w:t>
      </w:r>
      <w:r w:rsidR="002018A5">
        <w:t xml:space="preserve">indicated </w:t>
      </w:r>
      <w:r w:rsidRPr="00AF1814">
        <w:t>time window</w:t>
      </w:r>
      <w:r w:rsidR="006B3000">
        <w:t xml:space="preserve"> (See Section </w:t>
      </w:r>
      <w:r w:rsidR="005C72C6">
        <w:fldChar w:fldCharType="begin"/>
      </w:r>
      <w:r w:rsidR="005C72C6">
        <w:instrText xml:space="preserve"> REF _Ref33108756 \r \h </w:instrText>
      </w:r>
      <w:r w:rsidR="005C72C6">
        <w:fldChar w:fldCharType="separate"/>
      </w:r>
      <w:r w:rsidR="005C72C6">
        <w:t>1.3</w:t>
      </w:r>
      <w:r w:rsidR="005C72C6">
        <w:fldChar w:fldCharType="end"/>
      </w:r>
      <w:r w:rsidR="006B3000">
        <w:t>)</w:t>
      </w:r>
      <w:r w:rsidRPr="00AF1814">
        <w:t xml:space="preserve">. </w:t>
      </w:r>
    </w:p>
    <w:p w14:paraId="7779C216" w14:textId="77777777" w:rsidR="00945494" w:rsidRPr="00AF1814" w:rsidRDefault="00DA3174" w:rsidP="006B155C">
      <w:pPr>
        <w:pStyle w:val="Heading1"/>
        <w:tabs>
          <w:tab w:val="clear" w:pos="4716"/>
        </w:tabs>
        <w:ind w:left="2070" w:hanging="2070"/>
      </w:pPr>
      <w:bookmarkStart w:id="129" w:name="_Toc506469846"/>
      <w:bookmarkStart w:id="130" w:name="_Ref30403099"/>
      <w:bookmarkStart w:id="131" w:name="_Ref30403455"/>
      <w:bookmarkStart w:id="132" w:name="_Ref30403475"/>
      <w:bookmarkStart w:id="133" w:name="_Toc44601661"/>
      <w:bookmarkEnd w:id="129"/>
      <w:r w:rsidRPr="00AF1814">
        <w:t>Study Intervention(s)</w:t>
      </w:r>
      <w:bookmarkEnd w:id="130"/>
      <w:bookmarkEnd w:id="131"/>
      <w:bookmarkEnd w:id="132"/>
      <w:bookmarkEnd w:id="133"/>
    </w:p>
    <w:p w14:paraId="1517BCD5" w14:textId="77777777" w:rsidR="00945494" w:rsidRPr="00AF1814" w:rsidRDefault="00DA3174" w:rsidP="00331A84">
      <w:pPr>
        <w:pStyle w:val="List1withoutbullet"/>
        <w:tabs>
          <w:tab w:val="clear" w:pos="284"/>
          <w:tab w:val="left" w:pos="0"/>
        </w:tabs>
        <w:ind w:left="0"/>
      </w:pPr>
      <w:r w:rsidRPr="00AF1814">
        <w:t xml:space="preserve">Study intervention is any investigational intervention(s), marketed product(s), placebo, or medical device(s) intended to be administered to a study participant </w:t>
      </w:r>
      <w:r w:rsidR="006613C6" w:rsidRPr="00AF1814">
        <w:t>per</w:t>
      </w:r>
      <w:r w:rsidRPr="00AF1814">
        <w:t xml:space="preserve"> the study protocol.</w:t>
      </w:r>
      <w:bookmarkStart w:id="134" w:name="_Toc506469849"/>
      <w:bookmarkEnd w:id="134"/>
    </w:p>
    <w:p w14:paraId="4AB3EE27" w14:textId="77777777" w:rsidR="00945494" w:rsidRPr="00AF1814" w:rsidRDefault="00DA3174" w:rsidP="00DE0305">
      <w:pPr>
        <w:pStyle w:val="Heading2"/>
      </w:pPr>
      <w:bookmarkStart w:id="135" w:name="_Toc506469850"/>
      <w:bookmarkStart w:id="136" w:name="_Toc44601662"/>
      <w:bookmarkEnd w:id="135"/>
      <w:r w:rsidRPr="00AF1814">
        <w:t>Study Intervention(s) Administration</w:t>
      </w:r>
      <w:bookmarkEnd w:id="136"/>
    </w:p>
    <w:p w14:paraId="73C41F8A" w14:textId="77777777" w:rsidR="00B07557" w:rsidRPr="00AF1814" w:rsidRDefault="00DA3174" w:rsidP="00B07557">
      <w:pPr>
        <w:pStyle w:val="BodyText"/>
      </w:pPr>
      <w:r w:rsidRPr="00AF1814">
        <w:t xml:space="preserve">Cohort 1A: the order of infusion is bintrafusp alfa </w:t>
      </w:r>
      <w:r w:rsidRPr="00AF1814">
        <w:rPr>
          <w:rFonts w:ascii="Symbol" w:eastAsia="Symbol" w:hAnsi="Symbol" w:cs="Symbol"/>
        </w:rPr>
        <w:sym w:font="Symbol" w:char="F0AE"/>
      </w:r>
      <w:r w:rsidRPr="00AF1814">
        <w:t xml:space="preserve"> </w:t>
      </w:r>
      <w:r w:rsidR="00597978" w:rsidRPr="00AF1814">
        <w:t>bevacizumab</w:t>
      </w:r>
      <w:r w:rsidRPr="00AF1814">
        <w:t xml:space="preserve"> </w:t>
      </w:r>
      <w:r w:rsidRPr="00AF1814">
        <w:rPr>
          <w:rFonts w:ascii="Symbol" w:eastAsia="Symbol" w:hAnsi="Symbol" w:cs="Symbol"/>
        </w:rPr>
        <w:sym w:font="Symbol" w:char="F0AE"/>
      </w:r>
      <w:r w:rsidRPr="00AF1814">
        <w:t xml:space="preserve"> cisplatin or carboplatin plus paclitaxel.</w:t>
      </w:r>
    </w:p>
    <w:p w14:paraId="45FAD503" w14:textId="77777777" w:rsidR="00B07557" w:rsidRPr="00AF1814" w:rsidRDefault="00DA3174" w:rsidP="00B07557">
      <w:pPr>
        <w:pStyle w:val="BodyText"/>
      </w:pPr>
      <w:r w:rsidRPr="00AF1814">
        <w:t xml:space="preserve">Cohort 1B: the order of infusion is bintrafusp alfa </w:t>
      </w:r>
      <w:r w:rsidRPr="00AF1814">
        <w:rPr>
          <w:rFonts w:ascii="Symbol" w:eastAsia="Symbol" w:hAnsi="Symbol" w:cs="Symbol"/>
        </w:rPr>
        <w:sym w:font="Symbol" w:char="F0AE"/>
      </w:r>
      <w:r w:rsidRPr="00AF1814">
        <w:t xml:space="preserve"> cisplatin or carboplatin plus paclitaxel.</w:t>
      </w:r>
    </w:p>
    <w:p w14:paraId="42CAB2E0" w14:textId="17773906" w:rsidR="00B07557" w:rsidRPr="00AF1814" w:rsidRDefault="00DA3174" w:rsidP="00B07557">
      <w:pPr>
        <w:pStyle w:val="List1withoutbullet"/>
        <w:ind w:left="0"/>
      </w:pPr>
      <w:r w:rsidRPr="00AF1814">
        <w:t xml:space="preserve">Cohort 2: the order of treatment during cCRT is bintrafusp alfa </w:t>
      </w:r>
      <w:r w:rsidRPr="00AF1814">
        <w:rPr>
          <w:rFonts w:ascii="Symbol" w:eastAsia="Symbol" w:hAnsi="Symbol" w:cs="Symbol"/>
        </w:rPr>
        <w:sym w:font="Symbol" w:char="F0AE"/>
      </w:r>
      <w:r w:rsidRPr="00AF1814">
        <w:t xml:space="preserve"> cisplatin </w:t>
      </w:r>
      <w:r w:rsidRPr="00AF1814">
        <w:rPr>
          <w:rFonts w:ascii="Symbol" w:eastAsia="Symbol" w:hAnsi="Symbol" w:cs="Symbol"/>
        </w:rPr>
        <w:sym w:font="Symbol" w:char="F0AE"/>
      </w:r>
      <w:r w:rsidRPr="00AF1814">
        <w:t xml:space="preserve"> radiotherapy.</w:t>
      </w:r>
    </w:p>
    <w:p w14:paraId="753D0C98" w14:textId="77777777" w:rsidR="0048625A" w:rsidRPr="00AF1814" w:rsidRDefault="00DA3174" w:rsidP="0048625A">
      <w:pPr>
        <w:pStyle w:val="Heading3"/>
      </w:pPr>
      <w:bookmarkStart w:id="137" w:name="_Toc44601663"/>
      <w:r w:rsidRPr="00AF1814">
        <w:lastRenderedPageBreak/>
        <w:t>Bintrafusp alfa</w:t>
      </w:r>
      <w:bookmarkEnd w:id="137"/>
    </w:p>
    <w:p w14:paraId="42191F86" w14:textId="3F07E439" w:rsidR="00B632F6" w:rsidRPr="00AF1814" w:rsidRDefault="00DA3174" w:rsidP="00B632F6">
      <w:pPr>
        <w:pStyle w:val="Caption"/>
        <w:keepLines w:val="0"/>
      </w:pPr>
      <w:bookmarkStart w:id="138" w:name="_Toc44601751"/>
      <w:r w:rsidRPr="00AF1814">
        <w:t xml:space="preserve">Table </w:t>
      </w:r>
      <w:r w:rsidRPr="00AF1814">
        <w:fldChar w:fldCharType="begin"/>
      </w:r>
      <w:r w:rsidRPr="00AF1814">
        <w:instrText xml:space="preserve"> SEQ Table \* ARABIC </w:instrText>
      </w:r>
      <w:r w:rsidRPr="00AF1814">
        <w:fldChar w:fldCharType="separate"/>
      </w:r>
      <w:r w:rsidR="00C548C3">
        <w:rPr>
          <w:noProof/>
        </w:rPr>
        <w:t>7</w:t>
      </w:r>
      <w:r w:rsidRPr="00AF1814">
        <w:fldChar w:fldCharType="end"/>
      </w:r>
      <w:r w:rsidRPr="00AF1814">
        <w:tab/>
        <w:t>Administration of Bintrafusp alfa (M7824)</w:t>
      </w:r>
      <w:bookmarkEnd w:id="13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823"/>
        <w:gridCol w:w="5529"/>
      </w:tblGrid>
      <w:tr w:rsidR="002108B2" w:rsidRPr="00AF1814" w14:paraId="49216C0E" w14:textId="77777777" w:rsidTr="000E3512">
        <w:trPr>
          <w:trHeight w:val="346"/>
          <w:tblHeader/>
          <w:jc w:val="center"/>
        </w:trPr>
        <w:tc>
          <w:tcPr>
            <w:tcW w:w="2044" w:type="pct"/>
          </w:tcPr>
          <w:p w14:paraId="58DB3EB4" w14:textId="77777777" w:rsidR="00B632F6" w:rsidRPr="00AF1814" w:rsidRDefault="00DA3174" w:rsidP="000E3512">
            <w:pPr>
              <w:keepNext/>
              <w:spacing w:before="80" w:after="80"/>
              <w:rPr>
                <w:rFonts w:ascii="Arial" w:hAnsi="Arial" w:cs="Arial"/>
                <w:b/>
                <w:sz w:val="18"/>
                <w:szCs w:val="18"/>
              </w:rPr>
            </w:pPr>
            <w:r w:rsidRPr="00AF1814">
              <w:rPr>
                <w:rFonts w:ascii="Arial" w:hAnsi="Arial" w:cs="Arial"/>
                <w:b/>
                <w:sz w:val="18"/>
                <w:szCs w:val="18"/>
              </w:rPr>
              <w:t>Intervention Name</w:t>
            </w:r>
          </w:p>
        </w:tc>
        <w:tc>
          <w:tcPr>
            <w:tcW w:w="2956" w:type="pct"/>
          </w:tcPr>
          <w:p w14:paraId="6E017639" w14:textId="77777777" w:rsidR="00B632F6" w:rsidRPr="00AF1814" w:rsidRDefault="00DA3174" w:rsidP="00EF08F6">
            <w:pPr>
              <w:keepNext/>
              <w:spacing w:before="80" w:after="80"/>
              <w:jc w:val="left"/>
              <w:rPr>
                <w:rFonts w:ascii="Arial" w:hAnsi="Arial" w:cs="Arial"/>
                <w:b/>
                <w:sz w:val="18"/>
                <w:szCs w:val="18"/>
              </w:rPr>
            </w:pPr>
            <w:r w:rsidRPr="00AF1814">
              <w:rPr>
                <w:rFonts w:ascii="Arial" w:hAnsi="Arial" w:cs="Arial"/>
                <w:b/>
                <w:sz w:val="18"/>
                <w:szCs w:val="18"/>
              </w:rPr>
              <w:t>bintrafusp alfa (M7824)</w:t>
            </w:r>
          </w:p>
        </w:tc>
      </w:tr>
      <w:tr w:rsidR="002108B2" w:rsidRPr="00AF1814" w14:paraId="3AA0E28F" w14:textId="77777777" w:rsidTr="000E3512">
        <w:trPr>
          <w:trHeight w:val="273"/>
          <w:jc w:val="center"/>
        </w:trPr>
        <w:tc>
          <w:tcPr>
            <w:tcW w:w="2044" w:type="pct"/>
          </w:tcPr>
          <w:p w14:paraId="223B3EF6" w14:textId="77777777" w:rsidR="00B632F6" w:rsidRPr="00AF1814" w:rsidRDefault="00DA3174" w:rsidP="000E3512">
            <w:pPr>
              <w:keepNext/>
              <w:widowControl w:val="0"/>
              <w:spacing w:before="40" w:after="40"/>
              <w:jc w:val="left"/>
              <w:rPr>
                <w:rFonts w:ascii="Arial" w:hAnsi="Arial"/>
                <w:b/>
                <w:sz w:val="18"/>
              </w:rPr>
            </w:pPr>
            <w:r w:rsidRPr="00AF1814">
              <w:rPr>
                <w:rFonts w:ascii="Arial" w:hAnsi="Arial"/>
                <w:b/>
                <w:sz w:val="18"/>
              </w:rPr>
              <w:t>Dose Formulation</w:t>
            </w:r>
          </w:p>
        </w:tc>
        <w:tc>
          <w:tcPr>
            <w:tcW w:w="2956" w:type="pct"/>
          </w:tcPr>
          <w:p w14:paraId="55EB3018" w14:textId="77777777" w:rsidR="00B632F6" w:rsidRPr="00AF1814" w:rsidRDefault="00DA3174" w:rsidP="000E3512">
            <w:pPr>
              <w:keepNext/>
              <w:widowControl w:val="0"/>
              <w:spacing w:before="40" w:after="40"/>
              <w:jc w:val="left"/>
              <w:rPr>
                <w:rFonts w:ascii="Arial" w:hAnsi="Arial"/>
                <w:sz w:val="18"/>
              </w:rPr>
            </w:pPr>
            <w:r w:rsidRPr="00AF1814">
              <w:rPr>
                <w:rFonts w:ascii="Arial" w:hAnsi="Arial"/>
                <w:sz w:val="18"/>
              </w:rPr>
              <w:t>Sterile concentrate solution for infusion</w:t>
            </w:r>
          </w:p>
        </w:tc>
      </w:tr>
      <w:tr w:rsidR="002108B2" w:rsidRPr="00AF1814" w14:paraId="1C2E6065" w14:textId="77777777" w:rsidTr="000E3512">
        <w:trPr>
          <w:trHeight w:val="251"/>
          <w:jc w:val="center"/>
        </w:trPr>
        <w:tc>
          <w:tcPr>
            <w:tcW w:w="2044" w:type="pct"/>
          </w:tcPr>
          <w:p w14:paraId="4920599F" w14:textId="77777777" w:rsidR="00B632F6" w:rsidRPr="00AF1814" w:rsidRDefault="00DA3174" w:rsidP="000E3512">
            <w:pPr>
              <w:keepNext/>
              <w:widowControl w:val="0"/>
              <w:spacing w:before="40" w:after="40"/>
              <w:jc w:val="left"/>
              <w:rPr>
                <w:rFonts w:ascii="Arial" w:hAnsi="Arial"/>
                <w:b/>
                <w:sz w:val="18"/>
              </w:rPr>
            </w:pPr>
            <w:r w:rsidRPr="00AF1814">
              <w:rPr>
                <w:rFonts w:ascii="Arial" w:hAnsi="Arial"/>
                <w:b/>
                <w:sz w:val="18"/>
              </w:rPr>
              <w:t>Unit Dose Strength(s)/ Dosage Level(s)</w:t>
            </w:r>
          </w:p>
        </w:tc>
        <w:tc>
          <w:tcPr>
            <w:tcW w:w="2956" w:type="pct"/>
          </w:tcPr>
          <w:p w14:paraId="791B0226" w14:textId="77777777" w:rsidR="00B632F6" w:rsidRPr="00AF1814" w:rsidRDefault="00DA3174" w:rsidP="000E3512">
            <w:pPr>
              <w:keepNext/>
              <w:widowControl w:val="0"/>
              <w:spacing w:before="40" w:after="40"/>
              <w:jc w:val="left"/>
              <w:rPr>
                <w:rFonts w:ascii="Arial" w:hAnsi="Arial"/>
                <w:sz w:val="18"/>
              </w:rPr>
            </w:pPr>
            <w:r w:rsidRPr="00AF1814">
              <w:rPr>
                <w:rFonts w:ascii="Arial" w:hAnsi="Arial"/>
                <w:sz w:val="18"/>
              </w:rPr>
              <w:t>10 mg/mL in single</w:t>
            </w:r>
            <w:r w:rsidRPr="00AF1814">
              <w:rPr>
                <w:rFonts w:ascii="Arial" w:hAnsi="Arial"/>
                <w:sz w:val="18"/>
              </w:rPr>
              <w:noBreakHyphen/>
              <w:t>use glass vials</w:t>
            </w:r>
          </w:p>
        </w:tc>
      </w:tr>
      <w:tr w:rsidR="002108B2" w:rsidRPr="00AF1814" w14:paraId="45E85836" w14:textId="77777777" w:rsidTr="000E3512">
        <w:trPr>
          <w:trHeight w:val="190"/>
          <w:jc w:val="center"/>
        </w:trPr>
        <w:tc>
          <w:tcPr>
            <w:tcW w:w="2044" w:type="pct"/>
          </w:tcPr>
          <w:p w14:paraId="3A34CE72" w14:textId="77777777" w:rsidR="00B632F6" w:rsidRPr="00AF1814" w:rsidRDefault="00DA3174" w:rsidP="000E3512">
            <w:pPr>
              <w:keepNext/>
              <w:widowControl w:val="0"/>
              <w:spacing w:before="40" w:after="40"/>
              <w:jc w:val="left"/>
              <w:rPr>
                <w:rFonts w:ascii="Arial" w:hAnsi="Arial"/>
                <w:b/>
                <w:sz w:val="18"/>
              </w:rPr>
            </w:pPr>
            <w:r w:rsidRPr="00AF1814">
              <w:rPr>
                <w:rFonts w:ascii="Arial" w:hAnsi="Arial"/>
                <w:b/>
                <w:sz w:val="18"/>
              </w:rPr>
              <w:t>Route of Administration</w:t>
            </w:r>
          </w:p>
        </w:tc>
        <w:tc>
          <w:tcPr>
            <w:tcW w:w="2956" w:type="pct"/>
            <w:vAlign w:val="center"/>
          </w:tcPr>
          <w:p w14:paraId="16E0B765" w14:textId="77777777" w:rsidR="00B632F6" w:rsidRPr="00AF1814" w:rsidRDefault="00DA3174" w:rsidP="000E3512">
            <w:pPr>
              <w:keepNext/>
              <w:widowControl w:val="0"/>
              <w:spacing w:before="40" w:after="40"/>
              <w:jc w:val="left"/>
              <w:rPr>
                <w:rFonts w:ascii="Arial" w:hAnsi="Arial"/>
                <w:sz w:val="18"/>
                <w:lang w:val="fr-FR"/>
              </w:rPr>
            </w:pPr>
            <w:r w:rsidRPr="00AF1814">
              <w:rPr>
                <w:rFonts w:ascii="Arial" w:hAnsi="Arial"/>
                <w:sz w:val="18"/>
                <w:lang w:val="fr-FR"/>
              </w:rPr>
              <w:t>Intravenous infusion</w:t>
            </w:r>
          </w:p>
        </w:tc>
      </w:tr>
      <w:tr w:rsidR="002108B2" w:rsidRPr="00AF1814" w14:paraId="5396DC93" w14:textId="77777777" w:rsidTr="000E3512">
        <w:trPr>
          <w:trHeight w:val="550"/>
          <w:jc w:val="center"/>
        </w:trPr>
        <w:tc>
          <w:tcPr>
            <w:tcW w:w="2044" w:type="pct"/>
          </w:tcPr>
          <w:p w14:paraId="7D8CE422" w14:textId="77777777" w:rsidR="00B632F6" w:rsidRPr="00AF1814" w:rsidRDefault="00DA3174" w:rsidP="000E3512">
            <w:pPr>
              <w:keepNext/>
              <w:widowControl w:val="0"/>
              <w:spacing w:before="40" w:after="40"/>
              <w:jc w:val="left"/>
              <w:rPr>
                <w:rFonts w:ascii="Arial" w:hAnsi="Arial"/>
                <w:b/>
                <w:sz w:val="18"/>
              </w:rPr>
            </w:pPr>
            <w:r w:rsidRPr="00AF1814">
              <w:rPr>
                <w:rFonts w:ascii="Arial" w:hAnsi="Arial"/>
                <w:b/>
                <w:sz w:val="18"/>
              </w:rPr>
              <w:t>Dosing Instructions</w:t>
            </w:r>
          </w:p>
        </w:tc>
        <w:tc>
          <w:tcPr>
            <w:tcW w:w="2956" w:type="pct"/>
          </w:tcPr>
          <w:p w14:paraId="2118E85C" w14:textId="77777777" w:rsidR="00B632F6" w:rsidRPr="00AF1814" w:rsidRDefault="00DA3174" w:rsidP="000E3512">
            <w:pPr>
              <w:keepNext/>
              <w:widowControl w:val="0"/>
              <w:spacing w:before="40" w:after="40"/>
              <w:jc w:val="left"/>
              <w:rPr>
                <w:rFonts w:ascii="Arial" w:eastAsia="Arial Unicode MS" w:hAnsi="Arial"/>
                <w:sz w:val="18"/>
              </w:rPr>
            </w:pPr>
            <w:r w:rsidRPr="00AF1814">
              <w:rPr>
                <w:rFonts w:ascii="Arial" w:eastAsia="Arial Unicode MS" w:hAnsi="Arial"/>
                <w:sz w:val="18"/>
              </w:rPr>
              <w:t>Flat dose of 2400 mg administered over a minimum of 1 hour and up to 2 hours</w:t>
            </w:r>
          </w:p>
        </w:tc>
      </w:tr>
      <w:tr w:rsidR="002108B2" w:rsidRPr="00AF1814" w14:paraId="65B7C42A" w14:textId="77777777" w:rsidTr="000E3512">
        <w:trPr>
          <w:trHeight w:val="680"/>
          <w:jc w:val="center"/>
        </w:trPr>
        <w:tc>
          <w:tcPr>
            <w:tcW w:w="2044" w:type="pct"/>
            <w:shd w:val="clear" w:color="auto" w:fill="auto"/>
          </w:tcPr>
          <w:p w14:paraId="5D98D45C" w14:textId="53D351BA" w:rsidR="00B632F6" w:rsidRPr="00AF1814" w:rsidRDefault="00715AE5" w:rsidP="000E3512">
            <w:pPr>
              <w:keepNext/>
              <w:widowControl w:val="0"/>
              <w:spacing w:before="40" w:after="40"/>
              <w:jc w:val="left"/>
              <w:rPr>
                <w:rFonts w:ascii="Arial" w:hAnsi="Arial"/>
                <w:b/>
                <w:sz w:val="18"/>
              </w:rPr>
            </w:pPr>
            <w:r w:rsidRPr="00715AE5">
              <w:rPr>
                <w:rFonts w:ascii="Arial" w:hAnsi="Arial"/>
                <w:b/>
                <w:sz w:val="18"/>
              </w:rPr>
              <w:t>Sourcing</w:t>
            </w:r>
          </w:p>
        </w:tc>
        <w:tc>
          <w:tcPr>
            <w:tcW w:w="2956" w:type="pct"/>
          </w:tcPr>
          <w:p w14:paraId="4B17A8E9" w14:textId="6CF32F66" w:rsidR="00B632F6" w:rsidRPr="00AF1814" w:rsidRDefault="00715AE5" w:rsidP="000E3512">
            <w:pPr>
              <w:keepNext/>
              <w:widowControl w:val="0"/>
              <w:spacing w:before="40" w:after="40"/>
              <w:jc w:val="left"/>
              <w:rPr>
                <w:rFonts w:ascii="Arial" w:hAnsi="Arial"/>
                <w:sz w:val="18"/>
              </w:rPr>
            </w:pPr>
            <w:r w:rsidRPr="00715AE5">
              <w:rPr>
                <w:rFonts w:ascii="Arial" w:hAnsi="Arial"/>
                <w:sz w:val="18"/>
              </w:rPr>
              <w:t>Provided centrally by the Sponsor</w:t>
            </w:r>
          </w:p>
        </w:tc>
      </w:tr>
      <w:tr w:rsidR="002108B2" w:rsidRPr="00AF1814" w14:paraId="56A25384" w14:textId="77777777" w:rsidTr="000E3512">
        <w:trPr>
          <w:trHeight w:val="540"/>
          <w:jc w:val="center"/>
        </w:trPr>
        <w:tc>
          <w:tcPr>
            <w:tcW w:w="2044" w:type="pct"/>
            <w:shd w:val="clear" w:color="auto" w:fill="auto"/>
          </w:tcPr>
          <w:p w14:paraId="55ED7113" w14:textId="77777777" w:rsidR="00B632F6" w:rsidRPr="00AF1814" w:rsidRDefault="00DA3174" w:rsidP="000E3512">
            <w:pPr>
              <w:keepNext/>
              <w:widowControl w:val="0"/>
              <w:spacing w:before="40" w:after="40"/>
              <w:jc w:val="left"/>
              <w:rPr>
                <w:rFonts w:ascii="Arial" w:hAnsi="Arial"/>
                <w:b/>
                <w:sz w:val="18"/>
              </w:rPr>
            </w:pPr>
            <w:r w:rsidRPr="00AF1814">
              <w:rPr>
                <w:rFonts w:ascii="Arial" w:hAnsi="Arial"/>
                <w:b/>
                <w:sz w:val="18"/>
              </w:rPr>
              <w:t>Packaging and Labeling</w:t>
            </w:r>
          </w:p>
        </w:tc>
        <w:tc>
          <w:tcPr>
            <w:tcW w:w="2956" w:type="pct"/>
          </w:tcPr>
          <w:p w14:paraId="1117BC5F" w14:textId="77777777" w:rsidR="00B632F6" w:rsidRPr="00AF1814" w:rsidRDefault="00DA3174" w:rsidP="000E3512">
            <w:pPr>
              <w:keepNext/>
              <w:widowControl w:val="0"/>
              <w:spacing w:before="40" w:after="40"/>
              <w:jc w:val="left"/>
              <w:rPr>
                <w:rFonts w:ascii="Arial" w:hAnsi="Arial"/>
                <w:sz w:val="18"/>
              </w:rPr>
            </w:pPr>
            <w:r w:rsidRPr="00AF1814">
              <w:rPr>
                <w:rFonts w:ascii="Arial" w:hAnsi="Arial"/>
                <w:sz w:val="18"/>
              </w:rPr>
              <w:t>Each vial will be packaged and labeled per all applicable regulatory requirements and Good Manufacturing Practice Guidelines.</w:t>
            </w:r>
          </w:p>
        </w:tc>
      </w:tr>
    </w:tbl>
    <w:p w14:paraId="2C6AC1FA" w14:textId="049EF495" w:rsidR="00B632F6" w:rsidRPr="00AF1814" w:rsidRDefault="00DA3174" w:rsidP="004F480D">
      <w:pPr>
        <w:pStyle w:val="BodyText"/>
      </w:pPr>
      <w:bookmarkStart w:id="139" w:name="_Hlk35376562"/>
      <w:r w:rsidRPr="00AF1814">
        <w:t xml:space="preserve">Current experience in </w:t>
      </w:r>
      <w:r w:rsidR="00C8754C">
        <w:t>close to</w:t>
      </w:r>
      <w:r w:rsidRPr="00AF1814">
        <w:t xml:space="preserve"> 700 study participants revealed that IRRs to bintrafusp alfa occur seldomly and are generally mild to moderate in severity. Therefore, administration of a premedication is generally not required (see </w:t>
      </w:r>
      <w:r w:rsidRPr="00E44F28">
        <w:t xml:space="preserve">Section </w:t>
      </w:r>
      <w:r w:rsidRPr="00E44F28">
        <w:fldChar w:fldCharType="begin"/>
      </w:r>
      <w:r w:rsidRPr="00E44F28">
        <w:instrText xml:space="preserve"> REF _Ref29478485 \r \h </w:instrText>
      </w:r>
      <w:r w:rsidR="00AF1814" w:rsidRPr="00E44F28">
        <w:instrText xml:space="preserve"> \* MERGEFORMAT </w:instrText>
      </w:r>
      <w:r w:rsidRPr="00E44F28">
        <w:fldChar w:fldCharType="separate"/>
      </w:r>
      <w:r w:rsidR="00C548C3" w:rsidRPr="00E44F28">
        <w:t>8.3.6.1</w:t>
      </w:r>
      <w:r w:rsidRPr="00E44F28">
        <w:fldChar w:fldCharType="end"/>
      </w:r>
      <w:r w:rsidRPr="00E44F28">
        <w:t>).</w:t>
      </w:r>
    </w:p>
    <w:p w14:paraId="16A05130" w14:textId="77777777" w:rsidR="00B632F6" w:rsidRPr="00AF1814" w:rsidRDefault="00DA3174" w:rsidP="004F480D">
      <w:pPr>
        <w:pStyle w:val="BodyText"/>
      </w:pPr>
      <w:r w:rsidRPr="00AF1814">
        <w:t>If an Investigator deems necessary to administer a premedication to a particular participant, an antihistamine (e.g., 25 to 50 mg diphenhydramine) and paracetamol (acetaminophen, 500 to 650 mg intravenously or equivalent oral dose) 30 to 60 minutes prior to bintrafusp alfa infusion is recommended. Premedication should be administered for subsequent bintrafusp alfa doses based upon clinical judgment and presence/severity of prior infusion reactions. This regimen may be modified based on local treatment standards and guidelines as appropriate provided it does not include systemic corticosteroids.</w:t>
      </w:r>
      <w:bookmarkEnd w:id="139"/>
    </w:p>
    <w:p w14:paraId="1F576F36" w14:textId="2D4D2D6A" w:rsidR="00B632F6" w:rsidRPr="00AF1814" w:rsidRDefault="00DA3174" w:rsidP="00B632F6">
      <w:pPr>
        <w:pStyle w:val="Heading3"/>
      </w:pPr>
      <w:bookmarkStart w:id="140" w:name="_Ref36560248"/>
      <w:bookmarkStart w:id="141" w:name="_Toc44601664"/>
      <w:bookmarkStart w:id="142" w:name="_Hlk35538815"/>
      <w:r w:rsidRPr="00AF1814">
        <w:t>Chemotherapy</w:t>
      </w:r>
      <w:bookmarkEnd w:id="140"/>
      <w:r w:rsidR="00BD7094">
        <w:t xml:space="preserve"> and Bevacizumab</w:t>
      </w:r>
      <w:bookmarkEnd w:id="141"/>
    </w:p>
    <w:p w14:paraId="78523D1C" w14:textId="7B10A0D6" w:rsidR="00B632F6" w:rsidRPr="00AF1814" w:rsidRDefault="00DA3174" w:rsidP="00B632F6">
      <w:pPr>
        <w:pStyle w:val="BodyText"/>
      </w:pPr>
      <w:r w:rsidRPr="00AF1814">
        <w:t>Study interventions other than bintrafusp alfa are to be administrated as indicated for standard of care treatment. Refer to each agent</w:t>
      </w:r>
      <w:r w:rsidR="00214EEF">
        <w:t>´s</w:t>
      </w:r>
      <w:r w:rsidRPr="00AF1814">
        <w:t xml:space="preserve"> Summary of Product Characteristics or package insert for more information. The descriptions below are general guidelines; modifications per local standard of care are allowed after prior agreement with the Sponsor medical representative.  </w:t>
      </w:r>
    </w:p>
    <w:p w14:paraId="05FF5ADB" w14:textId="3E769832" w:rsidR="00B632F6" w:rsidRPr="00AF1814" w:rsidRDefault="00DA3174" w:rsidP="00D41352">
      <w:pPr>
        <w:pStyle w:val="Bodytext-keepwithnext"/>
        <w:keepNext w:val="0"/>
        <w:widowControl w:val="0"/>
      </w:pPr>
      <w:r w:rsidRPr="00AF1814">
        <w:t xml:space="preserve">Depending on the local regulations, chemotherapy agent(s) may be either sourced from a local hospital pharmacy or supplied by the Sponsor </w:t>
      </w:r>
      <w:r w:rsidR="00214EEF">
        <w:t>(</w:t>
      </w:r>
      <w:r w:rsidR="0024379C">
        <w:t>or designated</w:t>
      </w:r>
      <w:r w:rsidR="0024379C" w:rsidRPr="00AF1814">
        <w:t xml:space="preserve"> </w:t>
      </w:r>
      <w:r w:rsidRPr="00AF1814">
        <w:t>service provider</w:t>
      </w:r>
      <w:r w:rsidR="00214EEF">
        <w:t xml:space="preserve">) </w:t>
      </w:r>
      <w:r w:rsidRPr="00AF1814">
        <w:t>and</w:t>
      </w:r>
      <w:r w:rsidR="00214EEF" w:rsidRPr="00214EEF">
        <w:t xml:space="preserve"> </w:t>
      </w:r>
      <w:r w:rsidR="00214EEF" w:rsidRPr="00C618B1">
        <w:t>will be packaged/labeled according to local requirements</w:t>
      </w:r>
      <w:r w:rsidRPr="00AF1814">
        <w:t>. All participants may be premedicated with oral or injectable steroids according to the approved product label and/or standard practice. A corticosteroid-sparing approach for antiemetic prophylaxis should be preferred and evaluated on a case</w:t>
      </w:r>
      <w:r w:rsidR="00525B38" w:rsidRPr="00AF1814">
        <w:t>-</w:t>
      </w:r>
      <w:r w:rsidRPr="00AF1814">
        <w:t>by</w:t>
      </w:r>
      <w:r w:rsidR="00525B38" w:rsidRPr="00AF1814">
        <w:t>-</w:t>
      </w:r>
      <w:r w:rsidRPr="00AF1814">
        <w:t xml:space="preserve">case and chemotherapy regimen basis. Drugs used in premedication must be reported in the </w:t>
      </w:r>
      <w:r w:rsidR="00525B38" w:rsidRPr="00AF1814">
        <w:t>electronic case report form (eCRF)</w:t>
      </w:r>
      <w:r w:rsidRPr="00AF1814">
        <w:t xml:space="preserve">. See specific labels for dose modification. </w:t>
      </w:r>
    </w:p>
    <w:p w14:paraId="304D2474" w14:textId="77777777" w:rsidR="00B632F6" w:rsidRPr="00AF1814" w:rsidRDefault="00DA3174" w:rsidP="00D41352">
      <w:pPr>
        <w:pStyle w:val="BodyText"/>
        <w:keepNext/>
        <w:rPr>
          <w:b/>
          <w:u w:val="single"/>
        </w:rPr>
      </w:pPr>
      <w:r w:rsidRPr="00AF1814">
        <w:rPr>
          <w:b/>
          <w:u w:val="single"/>
        </w:rPr>
        <w:lastRenderedPageBreak/>
        <w:t>Cisplatin</w:t>
      </w:r>
    </w:p>
    <w:p w14:paraId="1A7C4604" w14:textId="6FBBBC8F" w:rsidR="00B632F6" w:rsidRPr="00AF1814" w:rsidRDefault="00DA3174" w:rsidP="00B632F6">
      <w:pPr>
        <w:pStyle w:val="BodyText"/>
      </w:pPr>
      <w:r w:rsidRPr="00AF1814">
        <w:t>Cisplatin is administered intravenously as per standard of care, for example 50 mg/m</w:t>
      </w:r>
      <w:r w:rsidRPr="00AF1814">
        <w:rPr>
          <w:vertAlign w:val="superscript"/>
        </w:rPr>
        <w:t>2</w:t>
      </w:r>
      <w:r w:rsidRPr="00AF1814">
        <w:t xml:space="preserve"> every 3</w:t>
      </w:r>
      <w:r w:rsidR="00BC0FFC" w:rsidRPr="00AF1814">
        <w:t> </w:t>
      </w:r>
      <w:r w:rsidRPr="00AF1814">
        <w:t>weeks in Cohort 1 or 40 mg/m</w:t>
      </w:r>
      <w:r w:rsidRPr="00AF1814">
        <w:rPr>
          <w:vertAlign w:val="superscript"/>
        </w:rPr>
        <w:t>2</w:t>
      </w:r>
      <w:r w:rsidRPr="00AF1814">
        <w:t xml:space="preserve"> </w:t>
      </w:r>
      <w:r w:rsidR="000A6A02">
        <w:t xml:space="preserve">(a maximum of 70 mg as total dose) </w:t>
      </w:r>
      <w:r w:rsidRPr="00AF1814">
        <w:t>weekly for 5 weeks in Cohort 2. All the medications used as hydration (drugs and fluids) must be reported in the eCRF.</w:t>
      </w:r>
    </w:p>
    <w:p w14:paraId="2C96D30F" w14:textId="77777777" w:rsidR="00B632F6" w:rsidRPr="00AF1814" w:rsidRDefault="00DA3174" w:rsidP="00B632F6">
      <w:pPr>
        <w:pStyle w:val="BodyText"/>
        <w:rPr>
          <w:b/>
          <w:u w:val="single"/>
        </w:rPr>
      </w:pPr>
      <w:r w:rsidRPr="00AF1814">
        <w:rPr>
          <w:b/>
          <w:u w:val="single"/>
        </w:rPr>
        <w:t>Carboplatin</w:t>
      </w:r>
    </w:p>
    <w:p w14:paraId="312BA47E" w14:textId="5F14FD97" w:rsidR="00B632F6" w:rsidRPr="00AF1814" w:rsidRDefault="00DA3174" w:rsidP="00B632F6">
      <w:pPr>
        <w:pStyle w:val="BodyText"/>
      </w:pPr>
      <w:r w:rsidRPr="00AF1814">
        <w:t>Carboplatin is administered intravenously as per standard of care, for example AUC 5 every 3 weeks in Cohort 1.</w:t>
      </w:r>
    </w:p>
    <w:p w14:paraId="72523888" w14:textId="77777777" w:rsidR="00B632F6" w:rsidRPr="00AF1814" w:rsidRDefault="00DA3174" w:rsidP="00B632F6">
      <w:pPr>
        <w:pStyle w:val="BodyText"/>
        <w:rPr>
          <w:b/>
          <w:u w:val="single"/>
        </w:rPr>
      </w:pPr>
      <w:r w:rsidRPr="00AF1814">
        <w:rPr>
          <w:b/>
          <w:u w:val="single"/>
        </w:rPr>
        <w:t>Paclitaxel</w:t>
      </w:r>
    </w:p>
    <w:p w14:paraId="574FB38A" w14:textId="77777777" w:rsidR="00B632F6" w:rsidRPr="00AF1814" w:rsidRDefault="00DA3174" w:rsidP="00B632F6">
      <w:pPr>
        <w:pStyle w:val="Bodytext-keepwithnext"/>
      </w:pPr>
      <w:r w:rsidRPr="00AF1814">
        <w:t>Paclitaxel is administered intravenously as per standard of care (e</w:t>
      </w:r>
      <w:r w:rsidR="00EF08F6" w:rsidRPr="00AF1814">
        <w:t>.</w:t>
      </w:r>
      <w:r w:rsidRPr="00AF1814">
        <w:t>g</w:t>
      </w:r>
      <w:r w:rsidR="00EF08F6" w:rsidRPr="00AF1814">
        <w:t>.</w:t>
      </w:r>
      <w:r w:rsidRPr="00AF1814">
        <w:t>, 175 mg/m</w:t>
      </w:r>
      <w:r w:rsidRPr="00AF1814">
        <w:rPr>
          <w:vertAlign w:val="superscript"/>
        </w:rPr>
        <w:t>2</w:t>
      </w:r>
      <w:r w:rsidR="00051074" w:rsidRPr="00AF1814">
        <w:t xml:space="preserve"> over 3 hours</w:t>
      </w:r>
      <w:r w:rsidRPr="00AF1814">
        <w:t>) every 3 weeks in Cohort 1.</w:t>
      </w:r>
    </w:p>
    <w:p w14:paraId="0E6C966D" w14:textId="01FB7410" w:rsidR="00214EEF" w:rsidRPr="00214EEF" w:rsidRDefault="00214EEF" w:rsidP="00214EEF">
      <w:pPr>
        <w:pStyle w:val="BodyText"/>
      </w:pPr>
      <w:r w:rsidRPr="00612DE3">
        <w:rPr>
          <w:b/>
          <w:u w:val="single"/>
        </w:rPr>
        <w:t>Bevacizumab</w:t>
      </w:r>
    </w:p>
    <w:p w14:paraId="6297B2F4" w14:textId="77777777" w:rsidR="00B632F6" w:rsidRPr="00AF1814" w:rsidRDefault="00DA3174" w:rsidP="00B632F6">
      <w:pPr>
        <w:pStyle w:val="Bodytext-keepwithnext"/>
      </w:pPr>
      <w:r w:rsidRPr="00AF1814">
        <w:rPr>
          <w:rStyle w:val="BodyTextChar"/>
        </w:rPr>
        <w:t>Bevacizumab is to be administrated as indicated for standard of care treatment, 15 mg/kg every 3</w:t>
      </w:r>
      <w:r w:rsidR="00BC0FFC" w:rsidRPr="00AF1814">
        <w:rPr>
          <w:rStyle w:val="BodyTextChar"/>
        </w:rPr>
        <w:t> </w:t>
      </w:r>
      <w:r w:rsidRPr="00AF1814">
        <w:rPr>
          <w:rStyle w:val="BodyTextChar"/>
        </w:rPr>
        <w:t>weeks in Cohort 1A. First infusion is to be administered over 90 minutes. Second infusion is to be administered over 60 minutes if first infusion was tolerated; all subsequent infusions are to be administered over 30 minutes if infusion over 60 minutes was tolerated</w:t>
      </w:r>
      <w:r w:rsidRPr="00AF1814">
        <w:t>.</w:t>
      </w:r>
    </w:p>
    <w:p w14:paraId="70B92F00" w14:textId="77777777" w:rsidR="00B632F6" w:rsidRPr="00C8754C" w:rsidRDefault="00DA3174" w:rsidP="00B632F6">
      <w:pPr>
        <w:pStyle w:val="Heading3"/>
      </w:pPr>
      <w:bookmarkStart w:id="143" w:name="_Ref38479037"/>
      <w:bookmarkStart w:id="144" w:name="_Toc44601665"/>
      <w:r w:rsidRPr="00C8754C">
        <w:t>Radiation</w:t>
      </w:r>
      <w:bookmarkEnd w:id="143"/>
      <w:bookmarkEnd w:id="144"/>
    </w:p>
    <w:p w14:paraId="21BE2EF2" w14:textId="77777777" w:rsidR="00953A18" w:rsidRPr="00C8754C" w:rsidRDefault="00DA3174" w:rsidP="00B632F6">
      <w:r w:rsidRPr="00C8754C">
        <w:t>Radiation is intended to be administered per standard of care practices. As a general guideline, this is anticipated to be 40</w:t>
      </w:r>
      <w:r w:rsidR="00525B38" w:rsidRPr="00C8754C">
        <w:t xml:space="preserve"> to </w:t>
      </w:r>
      <w:r w:rsidRPr="00C8754C">
        <w:t xml:space="preserve">50 Gy </w:t>
      </w:r>
      <w:r w:rsidR="00EF08F6" w:rsidRPr="00C8754C">
        <w:t>External Beam Radiation Therapy (E</w:t>
      </w:r>
      <w:r w:rsidRPr="00C8754C">
        <w:t>BRT</w:t>
      </w:r>
      <w:r w:rsidR="00EF08F6" w:rsidRPr="00C8754C">
        <w:t>)</w:t>
      </w:r>
      <w:r w:rsidRPr="00C8754C">
        <w:t>. Brachytherapy is allowed per local standard of care</w:t>
      </w:r>
      <w:r w:rsidR="001E5536" w:rsidRPr="00C8754C">
        <w:t xml:space="preserve"> with typical doses of 25</w:t>
      </w:r>
      <w:r w:rsidR="00BE059F" w:rsidRPr="00C8754C">
        <w:t xml:space="preserve"> to </w:t>
      </w:r>
      <w:r w:rsidR="001E5536" w:rsidRPr="00C8754C">
        <w:t>30 Gy</w:t>
      </w:r>
      <w:r w:rsidRPr="00C8754C">
        <w:t>. Variations to the guidelines</w:t>
      </w:r>
      <w:r w:rsidR="00C63B71" w:rsidRPr="00C8754C">
        <w:t>/practices</w:t>
      </w:r>
      <w:r w:rsidRPr="00C8754C">
        <w:t xml:space="preserve"> above are allowed after prior agreement with the Sponsor medical representative.</w:t>
      </w:r>
      <w:r w:rsidR="00865CE0" w:rsidRPr="00C8754C">
        <w:t xml:space="preserve"> </w:t>
      </w:r>
    </w:p>
    <w:p w14:paraId="0B4D1694" w14:textId="2FA7994F" w:rsidR="00B632F6" w:rsidRPr="00C8754C" w:rsidRDefault="00DA3174" w:rsidP="00B632F6">
      <w:r w:rsidRPr="00C8754C">
        <w:t xml:space="preserve">The Schedule of Activities </w:t>
      </w:r>
      <w:r w:rsidR="00BC0FFC" w:rsidRPr="00C8754C">
        <w:t xml:space="preserve">(Section </w:t>
      </w:r>
      <w:r w:rsidR="00525B38" w:rsidRPr="00C8754C">
        <w:fldChar w:fldCharType="begin"/>
      </w:r>
      <w:r w:rsidR="00525B38" w:rsidRPr="00C8754C">
        <w:instrText xml:space="preserve"> REF _Ref36560499 \w \h </w:instrText>
      </w:r>
      <w:r w:rsidR="00AF1814" w:rsidRPr="00C8754C">
        <w:instrText xml:space="preserve"> \* MERGEFORMAT </w:instrText>
      </w:r>
      <w:r w:rsidR="00525B38" w:rsidRPr="00C8754C">
        <w:fldChar w:fldCharType="separate"/>
      </w:r>
      <w:r w:rsidR="00C548C3" w:rsidRPr="00C8754C">
        <w:t>1.3.2</w:t>
      </w:r>
      <w:r w:rsidR="00525B38" w:rsidRPr="00C8754C">
        <w:fldChar w:fldCharType="end"/>
      </w:r>
      <w:r w:rsidR="00BC0FFC" w:rsidRPr="00C8754C">
        <w:t xml:space="preserve">) </w:t>
      </w:r>
      <w:r w:rsidRPr="00C8754C">
        <w:t xml:space="preserve">reflects an example of standard of care </w:t>
      </w:r>
      <w:r w:rsidR="001E5536" w:rsidRPr="00C8754C">
        <w:t xml:space="preserve">EBRT </w:t>
      </w:r>
      <w:r w:rsidRPr="00C8754C">
        <w:t xml:space="preserve">administration of 5 fractions per week over 5 weeks. </w:t>
      </w:r>
      <w:bookmarkEnd w:id="142"/>
      <w:r w:rsidR="001E5536" w:rsidRPr="00C8754C">
        <w:t>Radiotherapy should be completed within 8</w:t>
      </w:r>
      <w:r w:rsidR="00E44F28" w:rsidRPr="00C8754C">
        <w:t> </w:t>
      </w:r>
      <w:r w:rsidR="001E5536" w:rsidRPr="00C8754C">
        <w:t>weeks.</w:t>
      </w:r>
      <w:r w:rsidR="0072636C" w:rsidRPr="00C8754C">
        <w:t xml:space="preserve"> The period for cCRT can be extended up to 1 week in case of technical and logistical issues and if participants require withholding of the study intervention due to toxicities.</w:t>
      </w:r>
    </w:p>
    <w:p w14:paraId="2767DDBF" w14:textId="77777777" w:rsidR="00B44D8E" w:rsidRPr="00AF1814" w:rsidRDefault="00DA3174" w:rsidP="006936EB">
      <w:pPr>
        <w:pStyle w:val="Heading2"/>
        <w:ind w:left="2019" w:hanging="2019"/>
      </w:pPr>
      <w:bookmarkStart w:id="145" w:name="_Toc44601666"/>
      <w:r w:rsidRPr="00C8754C">
        <w:t xml:space="preserve">Study </w:t>
      </w:r>
      <w:r w:rsidR="009977EF" w:rsidRPr="00C8754C">
        <w:t xml:space="preserve">Intervention(s) Preparation, Handling, Storage, and </w:t>
      </w:r>
      <w:r w:rsidR="009977EF" w:rsidRPr="00AF1814">
        <w:t>Accountability</w:t>
      </w:r>
      <w:bookmarkEnd w:id="145"/>
    </w:p>
    <w:p w14:paraId="56B2A1C8" w14:textId="77777777" w:rsidR="00BF4D5F" w:rsidRPr="00AF1814" w:rsidRDefault="00DA3174" w:rsidP="00277829">
      <w:pPr>
        <w:pStyle w:val="BodyText"/>
      </w:pPr>
      <w:r w:rsidRPr="00AF1814">
        <w:t>The Investigator, institution, or the head of the medical institution (where applicable) is responsible for study intervention accountability, reconciliation, and record maintenance (i.e., receipt, reconciliation, and final disposition records).</w:t>
      </w:r>
    </w:p>
    <w:p w14:paraId="1DF554BE" w14:textId="77777777" w:rsidR="00BF4D5F" w:rsidRPr="00AF1814" w:rsidRDefault="00DA3174" w:rsidP="00277829">
      <w:pPr>
        <w:pStyle w:val="List1withbullet"/>
      </w:pPr>
      <w:r w:rsidRPr="00AF1814">
        <w:t xml:space="preserve">Upon receipt of the study intervention(s), the Investigator or designee </w:t>
      </w:r>
      <w:r w:rsidR="000B28E2" w:rsidRPr="00AF1814">
        <w:t xml:space="preserve">will </w:t>
      </w:r>
      <w:r w:rsidRPr="00AF1814">
        <w:t xml:space="preserve">confirm appropriate temperature conditions have been maintained during transit and any discrepancies are reported and resolved before use. Also, the responsible person will check </w:t>
      </w:r>
      <w:r w:rsidRPr="00AF1814">
        <w:lastRenderedPageBreak/>
        <w:t xml:space="preserve">for accurate delivery. </w:t>
      </w:r>
      <w:bookmarkStart w:id="146" w:name="_Hlk32588732"/>
      <w:r w:rsidRPr="00AF1814">
        <w:t>Further guidance and information for study intervention accountability are provided in the</w:t>
      </w:r>
      <w:r w:rsidRPr="00AF1814">
        <w:rPr>
          <w:color w:val="0070C0"/>
        </w:rPr>
        <w:t xml:space="preserve"> </w:t>
      </w:r>
      <w:r w:rsidRPr="00AF1814">
        <w:t>Pharmacy Manual.</w:t>
      </w:r>
    </w:p>
    <w:bookmarkEnd w:id="146"/>
    <w:p w14:paraId="67C0C3C1" w14:textId="77777777" w:rsidR="00BF4D5F" w:rsidRPr="00AF1814" w:rsidRDefault="00DA3174" w:rsidP="00277829">
      <w:pPr>
        <w:pStyle w:val="List1withbullet"/>
      </w:pPr>
      <w:r w:rsidRPr="00AF1814">
        <w:t xml:space="preserve">Only participants enrolled in the study may receive study intervention(s) and only authorized site staff may supply it. All study intervention(s) </w:t>
      </w:r>
      <w:r w:rsidR="000B28E2" w:rsidRPr="00AF1814">
        <w:t>will</w:t>
      </w:r>
      <w:r w:rsidRPr="00AF1814">
        <w:t xml:space="preserve"> be stored in a secure, environmentally controlled, and monitored (manual or automated) area, per the labeled storage conditions, and with access limited to the Investigator and authorized site staff.</w:t>
      </w:r>
    </w:p>
    <w:p w14:paraId="6922AEEF" w14:textId="77777777" w:rsidR="00BF4D5F" w:rsidRPr="00AF1814" w:rsidRDefault="00DA3174" w:rsidP="00277829">
      <w:pPr>
        <w:pStyle w:val="List1withbullet"/>
      </w:pPr>
      <w:r w:rsidRPr="00AF1814">
        <w:t>Dispensing will be recorded on the appropriate accountability forms so that accurate records will be available for verification at each monitoring visit.</w:t>
      </w:r>
    </w:p>
    <w:p w14:paraId="729DEF46" w14:textId="77777777" w:rsidR="00BF4D5F" w:rsidRPr="00AF1814" w:rsidRDefault="00DA3174" w:rsidP="00277829">
      <w:pPr>
        <w:pStyle w:val="List1withbullet"/>
      </w:pPr>
      <w:r w:rsidRPr="00AF1814">
        <w:t>Study intervention(s) accountability records at the study site will include the following:</w:t>
      </w:r>
    </w:p>
    <w:p w14:paraId="2FF13236" w14:textId="77777777" w:rsidR="00BF4D5F" w:rsidRPr="00AF1814" w:rsidRDefault="00DA3174" w:rsidP="00F24FF2">
      <w:pPr>
        <w:pStyle w:val="List2withbullet"/>
        <w:numPr>
          <w:ilvl w:val="1"/>
          <w:numId w:val="3"/>
        </w:numPr>
      </w:pPr>
      <w:r w:rsidRPr="00AF1814">
        <w:t>Confirmation of receipt, in good condition and in the defined temperature range.</w:t>
      </w:r>
    </w:p>
    <w:p w14:paraId="53201D1B" w14:textId="77777777" w:rsidR="00BF4D5F" w:rsidRPr="00AF1814" w:rsidRDefault="00DA3174" w:rsidP="00F24FF2">
      <w:pPr>
        <w:pStyle w:val="List2withbullet"/>
        <w:numPr>
          <w:ilvl w:val="1"/>
          <w:numId w:val="3"/>
        </w:numPr>
      </w:pPr>
      <w:r w:rsidRPr="00AF1814">
        <w:t>The inventory provided for the clinical study and prepared at the site.</w:t>
      </w:r>
    </w:p>
    <w:p w14:paraId="12096655" w14:textId="77777777" w:rsidR="00BF4D5F" w:rsidRPr="00AF1814" w:rsidRDefault="00DA3174" w:rsidP="00F24FF2">
      <w:pPr>
        <w:pStyle w:val="List2withbullet"/>
        <w:numPr>
          <w:ilvl w:val="1"/>
          <w:numId w:val="3"/>
        </w:numPr>
      </w:pPr>
      <w:r w:rsidRPr="00AF1814">
        <w:t>The dose(s) each participant used during the study.</w:t>
      </w:r>
    </w:p>
    <w:p w14:paraId="0DA79656" w14:textId="77777777" w:rsidR="00BF4D5F" w:rsidRPr="00AF1814" w:rsidRDefault="00DA3174" w:rsidP="00F24FF2">
      <w:pPr>
        <w:pStyle w:val="List2withbullet"/>
        <w:numPr>
          <w:ilvl w:val="1"/>
          <w:numId w:val="3"/>
        </w:numPr>
      </w:pPr>
      <w:r w:rsidRPr="00AF1814">
        <w:t>The disposition (including return, if applicable) of any unused study intervention(s).</w:t>
      </w:r>
    </w:p>
    <w:p w14:paraId="713F1158" w14:textId="77777777" w:rsidR="00BF4D5F" w:rsidRPr="00AF1814" w:rsidRDefault="00DA3174" w:rsidP="00F24FF2">
      <w:pPr>
        <w:pStyle w:val="List2withbullet"/>
        <w:numPr>
          <w:ilvl w:val="1"/>
          <w:numId w:val="3"/>
        </w:numPr>
      </w:pPr>
      <w:r w:rsidRPr="00AF1814">
        <w:t>Dates, quantities, batch numbers, vial numbers, expiry dates, formulations, and the participant numbers.</w:t>
      </w:r>
    </w:p>
    <w:p w14:paraId="1B894E56" w14:textId="77777777" w:rsidR="00BF4D5F" w:rsidRPr="00AF1814" w:rsidRDefault="00DA3174" w:rsidP="00277829">
      <w:pPr>
        <w:pStyle w:val="List1withbullet"/>
      </w:pPr>
      <w:r w:rsidRPr="00AF1814">
        <w:t>The Investigator site will maintain records, which adequately documents that participants were provided the doses specified in this protocol, and all study intervention(s) provided were fully reconciled.</w:t>
      </w:r>
    </w:p>
    <w:p w14:paraId="7D8F0C56" w14:textId="77777777" w:rsidR="00BF4D5F" w:rsidRPr="00AF1814" w:rsidRDefault="00DA3174" w:rsidP="00277829">
      <w:pPr>
        <w:pStyle w:val="List1withbullet"/>
      </w:pPr>
      <w:r w:rsidRPr="00AF1814">
        <w:t>Unused study intervention(s) will not be discarded or used for any purpose other than the present study. No study intervention that is dispensed to a participant may be re-dispensed to a different participant.</w:t>
      </w:r>
    </w:p>
    <w:p w14:paraId="73D929F0" w14:textId="77777777" w:rsidR="00BF4D5F" w:rsidRPr="00AF1814" w:rsidRDefault="00DA3174" w:rsidP="00277829">
      <w:pPr>
        <w:pStyle w:val="List1withbullet"/>
      </w:pPr>
      <w:r w:rsidRPr="00AF1814">
        <w:t>A Study Monitor will periodically collect the study intervention(s) accountability forms.</w:t>
      </w:r>
    </w:p>
    <w:p w14:paraId="6D2ACF33" w14:textId="77777777" w:rsidR="00BF4D5F" w:rsidRPr="00AF1814" w:rsidRDefault="00DA3174" w:rsidP="00277829">
      <w:pPr>
        <w:pStyle w:val="List1withbullet"/>
      </w:pPr>
      <w:r w:rsidRPr="00AF1814">
        <w:t>Destruction of used and unused study intervention(s) should be performed at the site if allowed by local law only after Sponsor authorization. If that is not possible, the Sponsor/designee will be responsible.</w:t>
      </w:r>
    </w:p>
    <w:p w14:paraId="1E5BD0D7" w14:textId="77777777" w:rsidR="00BF4D5F" w:rsidRPr="00AF1814" w:rsidRDefault="00DA3174" w:rsidP="00277829">
      <w:pPr>
        <w:pStyle w:val="List1withbullet"/>
      </w:pPr>
      <w:bookmarkStart w:id="147" w:name="_Hlk1736760"/>
      <w:r w:rsidRPr="00AF1814">
        <w:t>Further guidance and information for the final disposition of unused study intervention(s) are provided in the</w:t>
      </w:r>
      <w:r w:rsidRPr="00AF1814">
        <w:rPr>
          <w:color w:val="0070C0"/>
        </w:rPr>
        <w:t xml:space="preserve"> </w:t>
      </w:r>
      <w:r w:rsidR="008E34F9" w:rsidRPr="00AF1814">
        <w:t xml:space="preserve">Pharmacy </w:t>
      </w:r>
      <w:r w:rsidRPr="00AF1814">
        <w:t>Manual.</w:t>
      </w:r>
      <w:bookmarkEnd w:id="147"/>
    </w:p>
    <w:p w14:paraId="43677E94" w14:textId="77777777" w:rsidR="00BF4D5F" w:rsidRPr="00AF1814" w:rsidRDefault="00DA3174" w:rsidP="00BF4D5F">
      <w:pPr>
        <w:pStyle w:val="BodyText"/>
      </w:pPr>
      <w:r w:rsidRPr="00AF1814">
        <w:t>Bintrafusp alfa should be stored in a refrigerator (2°C to 8°C) until use. Bintrafusp alfa must not be frozen and should be stored in the original packaging.</w:t>
      </w:r>
    </w:p>
    <w:p w14:paraId="746FCFA0" w14:textId="5509368E" w:rsidR="00BF4D5F" w:rsidRPr="00AF1814" w:rsidRDefault="00DA3174" w:rsidP="00BF4D5F">
      <w:pPr>
        <w:pStyle w:val="BodyText"/>
      </w:pPr>
      <w:r w:rsidRPr="00AF1814">
        <w:t>Additional instructions for the preparation, handling, storage, and disposal of bintrafusp alfa will be provided in the Pharmacy Manual.</w:t>
      </w:r>
      <w:r w:rsidR="00214EEF">
        <w:t xml:space="preserve"> </w:t>
      </w:r>
      <w:r w:rsidR="00214EEF" w:rsidRPr="00612DE3">
        <w:t>For instructions on preparation, handling, storage and disposal of other study interventions refer to the agent’s Summary of Product Characteristics or package insert.</w:t>
      </w:r>
    </w:p>
    <w:p w14:paraId="007D217E" w14:textId="77777777" w:rsidR="00B44D8E" w:rsidRPr="00AF1814" w:rsidRDefault="00DA3174" w:rsidP="00947E23">
      <w:pPr>
        <w:pStyle w:val="Heading2"/>
      </w:pPr>
      <w:bookmarkStart w:id="148" w:name="_Toc506469877"/>
      <w:bookmarkStart w:id="149" w:name="_Toc508207441"/>
      <w:bookmarkStart w:id="150" w:name="_Toc509570592"/>
      <w:bookmarkStart w:id="151" w:name="_Toc509570923"/>
      <w:bookmarkStart w:id="152" w:name="_Toc509587358"/>
      <w:bookmarkStart w:id="153" w:name="_Toc509587756"/>
      <w:bookmarkStart w:id="154" w:name="_Toc44601667"/>
      <w:bookmarkEnd w:id="148"/>
      <w:bookmarkEnd w:id="149"/>
      <w:bookmarkEnd w:id="150"/>
      <w:bookmarkEnd w:id="151"/>
      <w:bookmarkEnd w:id="152"/>
      <w:bookmarkEnd w:id="153"/>
      <w:r w:rsidRPr="00AF1814">
        <w:lastRenderedPageBreak/>
        <w:t>Measures to Minimize Bias: Study Intervention Assignment</w:t>
      </w:r>
      <w:r w:rsidR="003F5906" w:rsidRPr="00AF1814">
        <w:t xml:space="preserve"> and Blinding</w:t>
      </w:r>
      <w:bookmarkEnd w:id="154"/>
    </w:p>
    <w:p w14:paraId="5B7A95B2" w14:textId="77777777" w:rsidR="008B5110" w:rsidRPr="00AF1814" w:rsidRDefault="00DA3174" w:rsidP="00E468A4">
      <w:pPr>
        <w:pStyle w:val="Heading3"/>
        <w:ind w:left="2019" w:hanging="2019"/>
      </w:pPr>
      <w:bookmarkStart w:id="155" w:name="_Toc44601668"/>
      <w:r w:rsidRPr="00AF1814">
        <w:t>Study Intervention Assignment</w:t>
      </w:r>
      <w:bookmarkEnd w:id="155"/>
    </w:p>
    <w:p w14:paraId="08CDACFA" w14:textId="5D7EC891" w:rsidR="00097788" w:rsidRPr="00AF1814" w:rsidRDefault="00DA3174" w:rsidP="00097788">
      <w:pPr>
        <w:pStyle w:val="BodyText"/>
      </w:pPr>
      <w:r w:rsidRPr="00AF1814">
        <w:t xml:space="preserve">Participants will be assigned to </w:t>
      </w:r>
      <w:r w:rsidR="002C1396" w:rsidRPr="00AF1814">
        <w:t>each</w:t>
      </w:r>
      <w:r w:rsidRPr="00AF1814">
        <w:t xml:space="preserve"> cohort based on the eligibility criteria and the Investigator’s assessment. The allocation of participants to cohorts per determination by the Investigator will be recorded in the Interactive Web Response System (IWRS). Enrollment will be controlled by IWRS to ensure that over enrollment into a single cohort does not occur.</w:t>
      </w:r>
    </w:p>
    <w:p w14:paraId="5571B38F" w14:textId="77777777" w:rsidR="00097788" w:rsidRPr="00AF1814" w:rsidRDefault="00DA3174" w:rsidP="00097788">
      <w:pPr>
        <w:pStyle w:val="BodyText"/>
      </w:pPr>
      <w:r w:rsidRPr="00AF1814">
        <w:t>The IWRS will be used to assign a unique participant identifier number to eligible participants at the time of informed consent signature. Participant identifiers will be comprised of digits representing the study number, the site number, and the participant number, which is allocated sequentially.</w:t>
      </w:r>
    </w:p>
    <w:p w14:paraId="06024C65" w14:textId="77777777" w:rsidR="00B44D8E" w:rsidRPr="00AF1814" w:rsidRDefault="00DA3174" w:rsidP="00E468A4">
      <w:pPr>
        <w:pStyle w:val="Heading3"/>
        <w:ind w:left="2019" w:hanging="2019"/>
      </w:pPr>
      <w:bookmarkStart w:id="156" w:name="_Toc44601669"/>
      <w:r w:rsidRPr="00AF1814">
        <w:t>Blinding</w:t>
      </w:r>
      <w:bookmarkEnd w:id="156"/>
    </w:p>
    <w:p w14:paraId="21397132" w14:textId="77777777" w:rsidR="00097788" w:rsidRPr="00AF1814" w:rsidRDefault="00DA3174" w:rsidP="00097788">
      <w:pPr>
        <w:pStyle w:val="BodyText"/>
      </w:pPr>
      <w:r w:rsidRPr="00AF1814">
        <w:t xml:space="preserve">This is an open-label study; thus, study intervention is not blinded to participants or Investigators. </w:t>
      </w:r>
    </w:p>
    <w:p w14:paraId="33B84EFA" w14:textId="77777777" w:rsidR="002D5216" w:rsidRPr="00AF1814" w:rsidRDefault="00DA3174" w:rsidP="00E468A4">
      <w:pPr>
        <w:pStyle w:val="Heading2"/>
        <w:ind w:left="2019" w:hanging="2019"/>
      </w:pPr>
      <w:bookmarkStart w:id="157" w:name="_Toc506469906"/>
      <w:bookmarkStart w:id="158" w:name="_Toc508207470"/>
      <w:bookmarkStart w:id="159" w:name="_Toc506469907"/>
      <w:bookmarkStart w:id="160" w:name="_Toc508207471"/>
      <w:bookmarkStart w:id="161" w:name="_Toc44601670"/>
      <w:bookmarkEnd w:id="157"/>
      <w:bookmarkEnd w:id="158"/>
      <w:bookmarkEnd w:id="159"/>
      <w:bookmarkEnd w:id="160"/>
      <w:r w:rsidRPr="00AF1814">
        <w:t>Study Intervention Compliance</w:t>
      </w:r>
      <w:bookmarkEnd w:id="161"/>
    </w:p>
    <w:p w14:paraId="40BA8F0F" w14:textId="77777777" w:rsidR="00AE1007" w:rsidRPr="00AF1814" w:rsidRDefault="00DA3174" w:rsidP="00AE1007">
      <w:pPr>
        <w:pStyle w:val="BodyText"/>
      </w:pPr>
      <w:r w:rsidRPr="00AF1814">
        <w:t xml:space="preserve">In this study, participants will receive study intervention at the study site. </w:t>
      </w:r>
      <w:r w:rsidR="00E468A4" w:rsidRPr="00AF1814">
        <w:t xml:space="preserve">When participants are dosed at the site, they will receive study intervention directly from the Investigator or designee, under medical supervision. The date and time of each dose administered in the clinic will be recorded in the source documents and recorded in the </w:t>
      </w:r>
      <w:r w:rsidR="000B0699" w:rsidRPr="00AF1814">
        <w:t>e</w:t>
      </w:r>
      <w:r w:rsidR="00E468A4" w:rsidRPr="00AF1814">
        <w:t>CRF.  The dose of study intervention and study participant identification will be confirmed at the time of dosing by a member of the study site staff other than the person administering the study intervention.</w:t>
      </w:r>
    </w:p>
    <w:p w14:paraId="500EFBCE" w14:textId="77777777" w:rsidR="00AE1007" w:rsidRPr="00AF1814" w:rsidRDefault="00DA3174" w:rsidP="00AE1007">
      <w:pPr>
        <w:pStyle w:val="BodyText"/>
      </w:pPr>
      <w:r w:rsidRPr="00AF1814">
        <w:t xml:space="preserve">Noncompliance is defined as a participant missing &gt; 1 </w:t>
      </w:r>
      <w:r w:rsidR="00BC6F06" w:rsidRPr="00AF1814">
        <w:t xml:space="preserve">consecutive </w:t>
      </w:r>
      <w:r w:rsidRPr="00AF1814">
        <w:t xml:space="preserve">infusion of study intervention for nonmedical reasons and barring any extenuating circumstances in the opinion of the Investigator. Extenuating circumstances should be documented, and when possible, discussed with the Sponsor in advance. If 1 infusion is missed and the interval between the subsequent infusion and the last administered treatment is longer than </w:t>
      </w:r>
      <w:r w:rsidR="009956C2" w:rsidRPr="00AF1814">
        <w:t>6</w:t>
      </w:r>
      <w:r w:rsidRPr="00AF1814">
        <w:t xml:space="preserve"> weeks for nonmedical reasons, the criterion of insufficient compliance is met as well.</w:t>
      </w:r>
    </w:p>
    <w:p w14:paraId="69DEE101" w14:textId="7A112205" w:rsidR="00AE1007" w:rsidRPr="00AF1814" w:rsidRDefault="00DA3174" w:rsidP="00AE1007">
      <w:pPr>
        <w:pStyle w:val="BodyText"/>
      </w:pPr>
      <w:r w:rsidRPr="00AF1814">
        <w:t xml:space="preserve">Consequences of noncompliance may lead to discontinuation of study interventions as described in </w:t>
      </w:r>
      <w:r w:rsidRPr="00E44F28">
        <w:t xml:space="preserve">Section </w:t>
      </w:r>
      <w:r w:rsidR="00E44F28">
        <w:fldChar w:fldCharType="begin"/>
      </w:r>
      <w:r w:rsidR="00E44F28">
        <w:instrText xml:space="preserve"> REF _Ref36812907 \w \h </w:instrText>
      </w:r>
      <w:r w:rsidR="00E44F28">
        <w:fldChar w:fldCharType="separate"/>
      </w:r>
      <w:r w:rsidR="00E44F28">
        <w:t>7.1</w:t>
      </w:r>
      <w:r w:rsidR="00E44F28">
        <w:fldChar w:fldCharType="end"/>
      </w:r>
      <w:r w:rsidRPr="00E44F28">
        <w:t xml:space="preserve">. In case of overdose, see Section </w:t>
      </w:r>
      <w:r w:rsidR="00E44F28">
        <w:fldChar w:fldCharType="begin"/>
      </w:r>
      <w:r w:rsidR="00E44F28">
        <w:instrText xml:space="preserve"> REF _Ref43384953 \w \h </w:instrText>
      </w:r>
      <w:r w:rsidR="00E44F28">
        <w:fldChar w:fldCharType="separate"/>
      </w:r>
      <w:r w:rsidR="00E44F28">
        <w:t>8.4</w:t>
      </w:r>
      <w:r w:rsidR="00E44F28">
        <w:fldChar w:fldCharType="end"/>
      </w:r>
      <w:r w:rsidRPr="00E44F28">
        <w:t>.</w:t>
      </w:r>
    </w:p>
    <w:p w14:paraId="266AD508" w14:textId="77777777" w:rsidR="002D5216" w:rsidRPr="00AF1814" w:rsidRDefault="00DA3174" w:rsidP="00712D48">
      <w:pPr>
        <w:pStyle w:val="Heading2"/>
      </w:pPr>
      <w:bookmarkStart w:id="162" w:name="_Toc506469913"/>
      <w:bookmarkStart w:id="163" w:name="_Toc508207477"/>
      <w:bookmarkStart w:id="164" w:name="_Ref31713892"/>
      <w:bookmarkStart w:id="165" w:name="_Toc44601671"/>
      <w:bookmarkEnd w:id="162"/>
      <w:bookmarkEnd w:id="163"/>
      <w:r w:rsidRPr="00AF1814">
        <w:t>Concomitant Therapy</w:t>
      </w:r>
      <w:bookmarkEnd w:id="164"/>
      <w:bookmarkEnd w:id="165"/>
    </w:p>
    <w:p w14:paraId="6B7B5C6F" w14:textId="77777777" w:rsidR="00230EDF" w:rsidRPr="00AF1814" w:rsidRDefault="00DA3174" w:rsidP="00230EDF">
      <w:pPr>
        <w:pStyle w:val="List1withoutbullet"/>
        <w:tabs>
          <w:tab w:val="clear" w:pos="284"/>
          <w:tab w:val="left" w:pos="90"/>
        </w:tabs>
        <w:ind w:left="0"/>
      </w:pPr>
      <w:r w:rsidRPr="00AF1814">
        <w:t xml:space="preserve">Record in the </w:t>
      </w:r>
      <w:r w:rsidR="000B0699" w:rsidRPr="00AF1814">
        <w:t>e</w:t>
      </w:r>
      <w:r w:rsidRPr="00AF1814">
        <w:t>CRF all concomitant therapies (e.g., medicines or nondrug interventions) used from the time the participant signs the informed consent until completion of the study, including any changes. For prescription and over-the-counter medicines, vaccines, vitamins, and herbal supplements, record the name, reason for use, dates administered, and dosing information.</w:t>
      </w:r>
    </w:p>
    <w:p w14:paraId="769607EE" w14:textId="77777777" w:rsidR="0013522F" w:rsidRPr="00AF1814" w:rsidRDefault="00DA3174" w:rsidP="000760BF">
      <w:pPr>
        <w:pStyle w:val="BodyText"/>
        <w:tabs>
          <w:tab w:val="left" w:pos="90"/>
        </w:tabs>
      </w:pPr>
      <w:r w:rsidRPr="00AF1814">
        <w:lastRenderedPageBreak/>
        <w:t>Any additional concomitant therapy that becomes necessary during the study and any change to concomitant drugs must be recorded in the corresponding section of the eCRF, noting the name, dose, duration, and indication of each drug.</w:t>
      </w:r>
    </w:p>
    <w:p w14:paraId="74BB2E2B" w14:textId="77777777" w:rsidR="002D5216" w:rsidRPr="00AF1814" w:rsidRDefault="00DA3174" w:rsidP="000760BF">
      <w:pPr>
        <w:pStyle w:val="List1withoutbullet"/>
        <w:tabs>
          <w:tab w:val="clear" w:pos="284"/>
          <w:tab w:val="left" w:pos="90"/>
        </w:tabs>
        <w:ind w:left="0"/>
      </w:pPr>
      <w:r w:rsidRPr="00AF1814">
        <w:t xml:space="preserve">Contact the Medical Monitor for any questions </w:t>
      </w:r>
      <w:r w:rsidR="00F860F7" w:rsidRPr="00AF1814">
        <w:t>on</w:t>
      </w:r>
      <w:r w:rsidRPr="00AF1814">
        <w:t xml:space="preserve"> concomitant or prior therapy.</w:t>
      </w:r>
    </w:p>
    <w:p w14:paraId="4BE71970" w14:textId="77777777" w:rsidR="002D5216" w:rsidRPr="00AF1814" w:rsidRDefault="00DA3174" w:rsidP="00EA6244">
      <w:pPr>
        <w:pStyle w:val="Heading3"/>
      </w:pPr>
      <w:bookmarkStart w:id="166" w:name="_Toc44601672"/>
      <w:r w:rsidRPr="00AF1814">
        <w:t>Permitted Medicines</w:t>
      </w:r>
      <w:bookmarkEnd w:id="166"/>
    </w:p>
    <w:p w14:paraId="7BC7B43A" w14:textId="77777777" w:rsidR="000760BF" w:rsidRPr="00AF1814" w:rsidRDefault="00DA3174" w:rsidP="000760BF">
      <w:pPr>
        <w:pStyle w:val="List1withoutbullet"/>
        <w:ind w:left="0"/>
        <w:rPr>
          <w:noProof/>
        </w:rPr>
      </w:pPr>
      <w:r w:rsidRPr="00AF1814">
        <w:rPr>
          <w:noProof/>
        </w:rPr>
        <w:t>The only permitted medications are the following:</w:t>
      </w:r>
    </w:p>
    <w:p w14:paraId="375A0D68" w14:textId="67A5451C" w:rsidR="000760BF" w:rsidRPr="00E44F28" w:rsidRDefault="00DA3174" w:rsidP="008E7142">
      <w:pPr>
        <w:pStyle w:val="List1withoutbullet"/>
        <w:numPr>
          <w:ilvl w:val="0"/>
          <w:numId w:val="27"/>
        </w:numPr>
        <w:tabs>
          <w:tab w:val="clear" w:pos="284"/>
          <w:tab w:val="left" w:pos="360"/>
        </w:tabs>
      </w:pPr>
      <w:r w:rsidRPr="00AF1814">
        <w:t xml:space="preserve">Any medications (other than prohibited in </w:t>
      </w:r>
      <w:r w:rsidRPr="00E44F28">
        <w:t>Sectio</w:t>
      </w:r>
      <w:r w:rsidR="001E4379" w:rsidRPr="00E44F28">
        <w:t xml:space="preserve">n </w:t>
      </w:r>
      <w:r w:rsidR="001E4379" w:rsidRPr="00E44F28">
        <w:fldChar w:fldCharType="begin"/>
      </w:r>
      <w:r w:rsidR="001E4379" w:rsidRPr="00E44F28">
        <w:instrText xml:space="preserve"> REF _Ref29478315 \r \h </w:instrText>
      </w:r>
      <w:r w:rsidR="00AF1814" w:rsidRPr="00E44F28">
        <w:instrText xml:space="preserve"> \* MERGEFORMAT </w:instrText>
      </w:r>
      <w:r w:rsidR="001E4379" w:rsidRPr="00E44F28">
        <w:fldChar w:fldCharType="separate"/>
      </w:r>
      <w:r w:rsidR="00C548C3" w:rsidRPr="00E44F28">
        <w:t>6.5.2</w:t>
      </w:r>
      <w:r w:rsidR="001E4379" w:rsidRPr="00E44F28">
        <w:fldChar w:fldCharType="end"/>
      </w:r>
      <w:r w:rsidRPr="00E44F28">
        <w:t>) that are considered necessary for the participants’ welfare and will not interfere with the study intervention may be given at the Investigator’s discretion</w:t>
      </w:r>
      <w:r w:rsidR="00B53177" w:rsidRPr="00E44F28">
        <w:t>.</w:t>
      </w:r>
    </w:p>
    <w:p w14:paraId="14C11DD5" w14:textId="5CFC113C" w:rsidR="000760BF" w:rsidRPr="00AF1814" w:rsidRDefault="00DA3174" w:rsidP="008E7142">
      <w:pPr>
        <w:pStyle w:val="List1withoutbullet"/>
        <w:numPr>
          <w:ilvl w:val="0"/>
          <w:numId w:val="27"/>
        </w:numPr>
        <w:tabs>
          <w:tab w:val="clear" w:pos="284"/>
          <w:tab w:val="left" w:pos="360"/>
        </w:tabs>
      </w:pPr>
      <w:r w:rsidRPr="00E44F28">
        <w:t>Other drugs to be used for non-steroid premedication (antihistamine and acetaminophen) for the treatment of anaphylactic reactions, IRRs, and severe hypersensitivity reactions/flu</w:t>
      </w:r>
      <w:r w:rsidR="009118BD" w:rsidRPr="00E44F28">
        <w:noBreakHyphen/>
      </w:r>
      <w:r w:rsidRPr="00E44F28">
        <w:t>like symptoms and irAEs (see Section</w:t>
      </w:r>
      <w:r w:rsidR="001E4379" w:rsidRPr="00E44F28">
        <w:t xml:space="preserve"> </w:t>
      </w:r>
      <w:r w:rsidR="008B4566" w:rsidRPr="00E44F28">
        <w:fldChar w:fldCharType="begin"/>
      </w:r>
      <w:r w:rsidR="008B4566" w:rsidRPr="00E44F28">
        <w:instrText xml:space="preserve"> REF _Ref35192502 \w \h  \* MERGEFORMAT </w:instrText>
      </w:r>
      <w:r w:rsidR="008B4566" w:rsidRPr="00E44F28">
        <w:fldChar w:fldCharType="separate"/>
      </w:r>
      <w:r w:rsidR="00C548C3" w:rsidRPr="00E44F28">
        <w:t>8.3.6</w:t>
      </w:r>
      <w:r w:rsidR="008B4566" w:rsidRPr="00E44F28">
        <w:fldChar w:fldCharType="end"/>
      </w:r>
      <w:r w:rsidRPr="00AF1814">
        <w:t>)</w:t>
      </w:r>
      <w:r w:rsidR="00B53177" w:rsidRPr="00AF1814">
        <w:t>.</w:t>
      </w:r>
      <w:r w:rsidRPr="00AF1814">
        <w:t xml:space="preserve"> </w:t>
      </w:r>
    </w:p>
    <w:p w14:paraId="4FA2400E" w14:textId="77777777" w:rsidR="000760BF" w:rsidRPr="00AF1814" w:rsidRDefault="00DA3174" w:rsidP="008E7142">
      <w:pPr>
        <w:pStyle w:val="List1withoutbullet"/>
        <w:numPr>
          <w:ilvl w:val="0"/>
          <w:numId w:val="27"/>
        </w:numPr>
        <w:tabs>
          <w:tab w:val="clear" w:pos="284"/>
          <w:tab w:val="left" w:pos="360"/>
        </w:tabs>
      </w:pPr>
      <w:r w:rsidRPr="00AF1814">
        <w:t>Blood transfusions and erythroid growth factors are permitted as clinically indicated.</w:t>
      </w:r>
    </w:p>
    <w:p w14:paraId="1E804476" w14:textId="77777777" w:rsidR="00473824" w:rsidRPr="00AF1814" w:rsidRDefault="00DA3174" w:rsidP="008E7142">
      <w:pPr>
        <w:pStyle w:val="List1withoutbullet"/>
        <w:numPr>
          <w:ilvl w:val="0"/>
          <w:numId w:val="27"/>
        </w:numPr>
        <w:tabs>
          <w:tab w:val="left" w:pos="360"/>
        </w:tabs>
      </w:pPr>
      <w:r w:rsidRPr="00AF1814">
        <w:t>Secondary prophylaxis with granulocyte-colony stimulating factor (G-CSF) is allowed if clinically indicated per Investigator assessment.</w:t>
      </w:r>
    </w:p>
    <w:p w14:paraId="39CF2182" w14:textId="77777777" w:rsidR="00473824" w:rsidRPr="00AF1814" w:rsidRDefault="00DA3174" w:rsidP="008E7142">
      <w:pPr>
        <w:pStyle w:val="List1withoutbullet"/>
        <w:numPr>
          <w:ilvl w:val="0"/>
          <w:numId w:val="27"/>
        </w:numPr>
        <w:tabs>
          <w:tab w:val="left" w:pos="360"/>
        </w:tabs>
      </w:pPr>
      <w:r w:rsidRPr="00AF1814">
        <w:t xml:space="preserve">Corticosteroids use on study as a premedication for </w:t>
      </w:r>
      <w:r w:rsidR="007C47D9" w:rsidRPr="00AF1814">
        <w:t>intravenous</w:t>
      </w:r>
      <w:r w:rsidRPr="00AF1814">
        <w:t xml:space="preserve"> contrast allergies/reactions (related to scans).</w:t>
      </w:r>
    </w:p>
    <w:p w14:paraId="5A454C5F" w14:textId="77777777" w:rsidR="00473824" w:rsidRPr="00AF1814" w:rsidRDefault="00DA3174" w:rsidP="008E7142">
      <w:pPr>
        <w:pStyle w:val="List1withoutbullet"/>
        <w:numPr>
          <w:ilvl w:val="0"/>
          <w:numId w:val="27"/>
        </w:numPr>
        <w:tabs>
          <w:tab w:val="left" w:pos="360"/>
        </w:tabs>
      </w:pPr>
      <w:r w:rsidRPr="00AF1814">
        <w:t>Corticosteroids use for hormonal replacement and at low doses (typically ≤ 10 mg of prednisone or equivalent per day).</w:t>
      </w:r>
    </w:p>
    <w:p w14:paraId="2F8FB1AD" w14:textId="77777777" w:rsidR="00473824" w:rsidRPr="00AF1814" w:rsidRDefault="00DA3174" w:rsidP="008E7142">
      <w:pPr>
        <w:pStyle w:val="List1withoutbullet"/>
        <w:numPr>
          <w:ilvl w:val="0"/>
          <w:numId w:val="27"/>
        </w:numPr>
        <w:tabs>
          <w:tab w:val="left" w:pos="360"/>
        </w:tabs>
      </w:pPr>
      <w:r w:rsidRPr="00AF1814">
        <w:t>Administration of steroids through a route known to result in a minimal systemic exposure (topical, intranasal, intraocular, or inhalation) is acceptable.</w:t>
      </w:r>
    </w:p>
    <w:p w14:paraId="36A01988" w14:textId="77777777" w:rsidR="000760BF" w:rsidRPr="00AF1814" w:rsidRDefault="00DA3174" w:rsidP="000760BF">
      <w:pPr>
        <w:pStyle w:val="List1withoutbullet"/>
        <w:ind w:left="0"/>
      </w:pPr>
      <w:r w:rsidRPr="00AF1814">
        <w:t>Any medicines that are considered necessary to protect the participant’s welfare in emergencies may be given at the Investigator’s discretion, regardless if it results in a protocol deviation.</w:t>
      </w:r>
    </w:p>
    <w:p w14:paraId="37004E86" w14:textId="77777777" w:rsidR="002D5216" w:rsidRPr="00AF1814" w:rsidRDefault="00DA3174" w:rsidP="00EA6244">
      <w:pPr>
        <w:pStyle w:val="Heading3"/>
      </w:pPr>
      <w:bookmarkStart w:id="167" w:name="_Ref29478257"/>
      <w:bookmarkStart w:id="168" w:name="_Ref29478315"/>
      <w:bookmarkStart w:id="169" w:name="_Ref29479333"/>
      <w:bookmarkStart w:id="170" w:name="_Toc44601673"/>
      <w:r w:rsidRPr="00AF1814">
        <w:t>Prohibited Medicines</w:t>
      </w:r>
      <w:bookmarkEnd w:id="167"/>
      <w:bookmarkEnd w:id="168"/>
      <w:bookmarkEnd w:id="169"/>
      <w:bookmarkEnd w:id="170"/>
    </w:p>
    <w:p w14:paraId="21D13589" w14:textId="77777777" w:rsidR="000760BF" w:rsidRPr="00AF1814" w:rsidRDefault="00DA3174" w:rsidP="000760BF">
      <w:pPr>
        <w:pStyle w:val="BodyText"/>
      </w:pPr>
      <w:r w:rsidRPr="00AF1814">
        <w:t>The following treatments must not be administered during the 28-day Screening period and for the duration of study intervention. If the administration of a nonpermitted concomitant drug becomes necessary during the study, the participant will be withdrawn from study intervention (the Sponsor may be contacted to discuss whether the study intervention must be discontinued).</w:t>
      </w:r>
    </w:p>
    <w:p w14:paraId="71FF8DDA" w14:textId="77777777" w:rsidR="000760BF" w:rsidRPr="004B330B" w:rsidRDefault="00DA3174" w:rsidP="004B330B">
      <w:pPr>
        <w:pStyle w:val="List1withbullet"/>
        <w:rPr>
          <w:rStyle w:val="List1withbulletZchn"/>
          <w:rFonts w:eastAsiaTheme="minorEastAsia"/>
        </w:rPr>
      </w:pPr>
      <w:r w:rsidRPr="004B330B">
        <w:rPr>
          <w:rStyle w:val="List1withbulletZchn"/>
          <w:rFonts w:eastAsiaTheme="minorEastAsia"/>
        </w:rPr>
        <w:t>Immunotherapy, immunosuppressive drugs (e.g., chemotherapy or systemic corticosteroids), or other experimental pharmaceutical products are prohibited. Exceptions are allowed for short</w:t>
      </w:r>
      <w:r w:rsidR="009118BD" w:rsidRPr="004B330B">
        <w:rPr>
          <w:rStyle w:val="List1withbulletZchn"/>
          <w:rFonts w:eastAsiaTheme="minorEastAsia"/>
        </w:rPr>
        <w:noBreakHyphen/>
      </w:r>
      <w:r w:rsidRPr="004B330B">
        <w:rPr>
          <w:rStyle w:val="List1withbulletZchn"/>
          <w:rFonts w:eastAsiaTheme="minorEastAsia"/>
        </w:rPr>
        <w:t>term treatment of allergic reactions</w:t>
      </w:r>
      <w:r w:rsidR="00652CD7" w:rsidRPr="004B330B">
        <w:rPr>
          <w:rStyle w:val="List1withbulletZchn"/>
          <w:rFonts w:eastAsiaTheme="minorEastAsia"/>
        </w:rPr>
        <w:t>,</w:t>
      </w:r>
      <w:r w:rsidRPr="004B330B">
        <w:rPr>
          <w:rStyle w:val="List1withbulletZchn"/>
          <w:rFonts w:eastAsiaTheme="minorEastAsia"/>
        </w:rPr>
        <w:t xml:space="preserve"> </w:t>
      </w:r>
      <w:r w:rsidR="00652CD7" w:rsidRPr="004B330B">
        <w:rPr>
          <w:rStyle w:val="List1withbulletZchn"/>
          <w:rFonts w:eastAsiaTheme="minorEastAsia"/>
        </w:rPr>
        <w:t xml:space="preserve">as otherwise described in the protocol, </w:t>
      </w:r>
      <w:r w:rsidRPr="004B330B">
        <w:rPr>
          <w:rStyle w:val="List1withbulletZchn"/>
          <w:rFonts w:eastAsiaTheme="minorEastAsia"/>
        </w:rPr>
        <w:t>or for the treatment of irAEs, specifically:</w:t>
      </w:r>
    </w:p>
    <w:p w14:paraId="73F1D02A" w14:textId="77777777" w:rsidR="000760BF" w:rsidRPr="00AF1814" w:rsidRDefault="00DA3174" w:rsidP="008B4566">
      <w:pPr>
        <w:pStyle w:val="List2withbullet"/>
        <w:numPr>
          <w:ilvl w:val="1"/>
          <w:numId w:val="3"/>
        </w:numPr>
      </w:pPr>
      <w:r w:rsidRPr="00AF1814">
        <w:t>Short</w:t>
      </w:r>
      <w:r w:rsidRPr="00AF1814">
        <w:noBreakHyphen/>
        <w:t xml:space="preserve">term administration of systemic steroid (i.e., for allergic reactions, for prophylaxis and management of radiographic contrast allergy or the management of irAEs) is allowed. </w:t>
      </w:r>
    </w:p>
    <w:p w14:paraId="1ECBD1B9" w14:textId="77777777" w:rsidR="000760BF" w:rsidRPr="00AF1814" w:rsidRDefault="00DA3174" w:rsidP="008B4566">
      <w:pPr>
        <w:pStyle w:val="List2withbullet"/>
        <w:numPr>
          <w:ilvl w:val="1"/>
          <w:numId w:val="3"/>
        </w:numPr>
      </w:pPr>
      <w:r w:rsidRPr="00AF1814">
        <w:t>Steroids with no or minimal systemic effect (topical, intranasal, intro-ocular, inhalation) are allowed.</w:t>
      </w:r>
    </w:p>
    <w:p w14:paraId="0C39606E" w14:textId="77777777" w:rsidR="000760BF" w:rsidRPr="00AF1814" w:rsidRDefault="00DA3174" w:rsidP="004B330B">
      <w:pPr>
        <w:pStyle w:val="List1withbullet"/>
      </w:pPr>
      <w:r w:rsidRPr="00AF1814">
        <w:lastRenderedPageBreak/>
        <w:t>Hormone replacement with corticosteroids for adrenal insufficiency is allowed if the steroids are administered only for the purpose of hormonal replacement and at doses ≤ 10 mg or equivalent predniso</w:t>
      </w:r>
      <w:r w:rsidR="00B3423F" w:rsidRPr="00AF1814">
        <w:t>lo</w:t>
      </w:r>
      <w:r w:rsidRPr="00AF1814">
        <w:t>ne per day.</w:t>
      </w:r>
    </w:p>
    <w:p w14:paraId="1035149C" w14:textId="77777777" w:rsidR="000760BF" w:rsidRPr="00AF1814" w:rsidRDefault="00DA3174" w:rsidP="004B330B">
      <w:pPr>
        <w:pStyle w:val="List1withbullet"/>
      </w:pPr>
      <w:r w:rsidRPr="00AF1814">
        <w:t>P</w:t>
      </w:r>
      <w:r w:rsidR="000753DC" w:rsidRPr="00AF1814">
        <w:t>remedication with steroids for bintrafusp alfa is not allowed</w:t>
      </w:r>
      <w:r w:rsidR="009977EF" w:rsidRPr="00AF1814">
        <w:t>.</w:t>
      </w:r>
    </w:p>
    <w:p w14:paraId="5F64646F" w14:textId="77777777" w:rsidR="000760BF" w:rsidRPr="00AF1814" w:rsidRDefault="00DA3174" w:rsidP="004B330B">
      <w:pPr>
        <w:pStyle w:val="List1withbullet"/>
      </w:pPr>
      <w:r w:rsidRPr="00AF1814">
        <w:t>Concomitant local or regional treatment (radio/chemo-embolization) is prohibited.</w:t>
      </w:r>
    </w:p>
    <w:p w14:paraId="296DE645" w14:textId="2C575253" w:rsidR="000760BF" w:rsidRPr="00AF1814" w:rsidRDefault="00DA3174" w:rsidP="004B330B">
      <w:pPr>
        <w:pStyle w:val="List1withbullet"/>
      </w:pPr>
      <w:r w:rsidRPr="00AF1814">
        <w:t>Other systemic anti</w:t>
      </w:r>
      <w:r w:rsidR="00D77787">
        <w:noBreakHyphen/>
      </w:r>
      <w:r w:rsidRPr="00AF1814">
        <w:t>cancer therapy</w:t>
      </w:r>
      <w:r w:rsidR="00564BFE" w:rsidRPr="00AF1814">
        <w:t>.</w:t>
      </w:r>
    </w:p>
    <w:p w14:paraId="7827A6C7" w14:textId="77777777" w:rsidR="000760BF" w:rsidRPr="00AF1814" w:rsidRDefault="00DA3174" w:rsidP="004B330B">
      <w:pPr>
        <w:pStyle w:val="List1withbullet"/>
      </w:pPr>
      <w:r w:rsidRPr="00AF1814">
        <w:t>Live vaccines are prohibited. Administration of inactivated vaccines is allowed (e.g., inactivated influenza vaccines).</w:t>
      </w:r>
    </w:p>
    <w:p w14:paraId="24360599" w14:textId="261EB951" w:rsidR="000760BF" w:rsidRPr="00AF1814" w:rsidRDefault="00DA3174" w:rsidP="004B330B">
      <w:pPr>
        <w:pStyle w:val="List1withbullet"/>
      </w:pPr>
      <w:bookmarkStart w:id="171" w:name="_Hlk527476785"/>
      <w:r w:rsidRPr="00AF1814">
        <w:t>Any traditional Chinese medication used as anti</w:t>
      </w:r>
      <w:r w:rsidR="00D77787">
        <w:noBreakHyphen/>
      </w:r>
      <w:r w:rsidRPr="00AF1814">
        <w:t>cancer treatment (regardless of the type of cancer) is prohibited. Traditional Chinese medication for indications other than anti</w:t>
      </w:r>
      <w:r w:rsidR="00D77787">
        <w:noBreakHyphen/>
      </w:r>
      <w:r w:rsidRPr="00AF1814">
        <w:t>cancer treatment, such as supportive care, may be administered at the discretion of the Investigator.</w:t>
      </w:r>
      <w:bookmarkEnd w:id="171"/>
      <w:r w:rsidRPr="00AF1814">
        <w:t xml:space="preserve"> </w:t>
      </w:r>
    </w:p>
    <w:p w14:paraId="4781883D" w14:textId="77777777" w:rsidR="000760BF" w:rsidRPr="00AF1814" w:rsidRDefault="00DA3174" w:rsidP="004B330B">
      <w:pPr>
        <w:pStyle w:val="List1withbullet"/>
      </w:pPr>
      <w:r w:rsidRPr="00AF1814">
        <w:t xml:space="preserve">Herbal remedies with immunostimulating properties (e.g., mistletoe extract) or known to potentially interfere with major organ function (e.g., hypericin). </w:t>
      </w:r>
    </w:p>
    <w:p w14:paraId="4F5454D7" w14:textId="77777777" w:rsidR="000760BF" w:rsidRPr="00AF1814" w:rsidRDefault="00DA3174" w:rsidP="000760BF">
      <w:pPr>
        <w:pStyle w:val="BodyText"/>
      </w:pPr>
      <w:r w:rsidRPr="00AF1814">
        <w:t xml:space="preserve">Medications other than those specifically excluded in this study (see above) may be administered for the management of symptoms associated with the administration of </w:t>
      </w:r>
      <w:r w:rsidRPr="00AF1814">
        <w:rPr>
          <w:rFonts w:eastAsia="Calibri"/>
        </w:rPr>
        <w:t>bintrafusp alfa</w:t>
      </w:r>
      <w:r w:rsidRPr="00AF1814">
        <w:t xml:space="preserve"> as required. These might include analgesics, antinausea medications, antihistamines, diuretics, antianxiety medications, and medication for pain management, including narcotic agents.</w:t>
      </w:r>
    </w:p>
    <w:p w14:paraId="71479D49" w14:textId="77777777" w:rsidR="002D5216" w:rsidRPr="00AF1814" w:rsidRDefault="00DA3174" w:rsidP="00EA6244">
      <w:pPr>
        <w:pStyle w:val="Heading3"/>
      </w:pPr>
      <w:bookmarkStart w:id="172" w:name="_Toc44601674"/>
      <w:r w:rsidRPr="00AF1814">
        <w:t>Other Interventions</w:t>
      </w:r>
      <w:bookmarkEnd w:id="172"/>
    </w:p>
    <w:p w14:paraId="6369E9E9" w14:textId="77777777" w:rsidR="000760BF" w:rsidRPr="00AF1814" w:rsidRDefault="00DA3174" w:rsidP="000760BF">
      <w:pPr>
        <w:pStyle w:val="BodyText"/>
      </w:pPr>
      <w:r w:rsidRPr="00AF1814">
        <w:t>Palliative organ-sparing radiotherapy may be administered only for specific clinical indications during the study. The assessment of PD will be made according to RECIST 1.1 and not based on the necessity for palliative radiotherapy.</w:t>
      </w:r>
    </w:p>
    <w:p w14:paraId="713F7B2A" w14:textId="77777777" w:rsidR="002D5216" w:rsidRPr="00AF1814" w:rsidRDefault="00DA3174" w:rsidP="00A978D3">
      <w:pPr>
        <w:pStyle w:val="Heading2"/>
      </w:pPr>
      <w:bookmarkStart w:id="173" w:name="_Toc44601675"/>
      <w:r w:rsidRPr="00AF1814">
        <w:t xml:space="preserve">Dose Selection </w:t>
      </w:r>
      <w:r w:rsidR="00523A2F" w:rsidRPr="00AF1814">
        <w:t>and Modification</w:t>
      </w:r>
      <w:bookmarkEnd w:id="173"/>
    </w:p>
    <w:p w14:paraId="2B64ED33" w14:textId="7D90C38D" w:rsidR="00B54E1F" w:rsidRPr="00AF1814" w:rsidRDefault="00DA3174" w:rsidP="007176F5">
      <w:pPr>
        <w:pStyle w:val="BodyText"/>
      </w:pPr>
      <w:r w:rsidRPr="00AF1814">
        <w:t xml:space="preserve">Doses cannot be delayed beyond the treatment window. Participants must skip dose if the treatment window is missed. Every attempt should be made to perform applicable assessments as in </w:t>
      </w:r>
      <w:r w:rsidR="00BC4591" w:rsidRPr="00E44F28">
        <w:t>Section </w:t>
      </w:r>
      <w:r w:rsidR="00BC4591" w:rsidRPr="00E44F28">
        <w:fldChar w:fldCharType="begin"/>
      </w:r>
      <w:r w:rsidR="00BC4591" w:rsidRPr="00E44F28">
        <w:instrText xml:space="preserve"> REF _Ref33108761 \w \h </w:instrText>
      </w:r>
      <w:r w:rsidR="007176F5" w:rsidRPr="00E44F28">
        <w:instrText xml:space="preserve"> \* MERGEFORMAT </w:instrText>
      </w:r>
      <w:r w:rsidR="00BC4591" w:rsidRPr="00E44F28">
        <w:fldChar w:fldCharType="separate"/>
      </w:r>
      <w:r w:rsidR="00C548C3" w:rsidRPr="00E44F28">
        <w:t>1.3</w:t>
      </w:r>
      <w:r w:rsidR="00BC4591" w:rsidRPr="00E44F28">
        <w:fldChar w:fldCharType="end"/>
      </w:r>
      <w:r w:rsidRPr="00E44F28">
        <w:t xml:space="preserve"> for </w:t>
      </w:r>
      <w:r w:rsidRPr="00AF1814">
        <w:t xml:space="preserve">any missed visits. Complete the next visit following the </w:t>
      </w:r>
      <w:r w:rsidR="00824BE5" w:rsidRPr="00AF1814">
        <w:t>S</w:t>
      </w:r>
      <w:r w:rsidRPr="00AF1814">
        <w:t xml:space="preserve">chedule of </w:t>
      </w:r>
      <w:r w:rsidR="00824BE5" w:rsidRPr="00AF1814">
        <w:t>Activities</w:t>
      </w:r>
      <w:r w:rsidRPr="00AF1814">
        <w:t>.</w:t>
      </w:r>
    </w:p>
    <w:p w14:paraId="59EC8994" w14:textId="77777777" w:rsidR="000342A9" w:rsidRPr="00AF1814" w:rsidRDefault="00DA3174" w:rsidP="007176F5">
      <w:pPr>
        <w:pStyle w:val="BodyText"/>
      </w:pPr>
      <w:r w:rsidRPr="00AF1814">
        <w:t>Dose modification of bintrafusp alfa is not allowed</w:t>
      </w:r>
      <w:bookmarkStart w:id="174" w:name="_Hlk527477032"/>
      <w:r w:rsidRPr="00AF1814">
        <w:t>.</w:t>
      </w:r>
      <w:r w:rsidR="00B54E1F" w:rsidRPr="00AF1814">
        <w:t xml:space="preserve"> For other study interventions used in this study, dose</w:t>
      </w:r>
      <w:r w:rsidR="00564BFE" w:rsidRPr="00AF1814">
        <w:t xml:space="preserve"> </w:t>
      </w:r>
      <w:r w:rsidR="00B54E1F" w:rsidRPr="00AF1814">
        <w:t>modification may be performed as per label.</w:t>
      </w:r>
    </w:p>
    <w:p w14:paraId="6266DA9D" w14:textId="77777777" w:rsidR="009179F1" w:rsidRPr="000E5620" w:rsidRDefault="00DA3174" w:rsidP="00655176">
      <w:pPr>
        <w:pStyle w:val="Heading3"/>
        <w:rPr>
          <w:rFonts w:eastAsia="TimesNewRoman"/>
        </w:rPr>
      </w:pPr>
      <w:bookmarkStart w:id="175" w:name="_Toc531348463"/>
      <w:bookmarkStart w:id="176" w:name="_Ref536701108"/>
      <w:bookmarkStart w:id="177" w:name="_Ref34061922"/>
      <w:bookmarkStart w:id="178" w:name="_Ref36819890"/>
      <w:bookmarkStart w:id="179" w:name="_Toc44601676"/>
      <w:bookmarkEnd w:id="174"/>
      <w:r w:rsidRPr="000E5620">
        <w:rPr>
          <w:rFonts w:eastAsia="TimesNewRoman"/>
        </w:rPr>
        <w:t>Safety Monitoring Committee</w:t>
      </w:r>
      <w:bookmarkEnd w:id="175"/>
      <w:bookmarkEnd w:id="176"/>
      <w:bookmarkEnd w:id="177"/>
      <w:bookmarkEnd w:id="178"/>
      <w:bookmarkEnd w:id="179"/>
    </w:p>
    <w:p w14:paraId="48DB1D3D" w14:textId="77777777" w:rsidR="0078517E" w:rsidRDefault="00DA3174" w:rsidP="00A700A4">
      <w:pPr>
        <w:pStyle w:val="BodyText"/>
      </w:pPr>
      <w:r w:rsidRPr="00AF1814">
        <w:t xml:space="preserve">During </w:t>
      </w:r>
      <w:r w:rsidR="000342A9" w:rsidRPr="00AF1814">
        <w:t xml:space="preserve">this </w:t>
      </w:r>
      <w:r w:rsidRPr="00AF1814">
        <w:t xml:space="preserve">study, the SMC will </w:t>
      </w:r>
      <w:r w:rsidR="0040619D" w:rsidRPr="00AF1814">
        <w:t xml:space="preserve">periodically </w:t>
      </w:r>
      <w:r w:rsidRPr="00AF1814">
        <w:t>evaluate the safety (including DLTs)</w:t>
      </w:r>
      <w:r w:rsidR="00141FDD" w:rsidRPr="00AF1814">
        <w:t xml:space="preserve"> and other available </w:t>
      </w:r>
      <w:r w:rsidRPr="00AF1814">
        <w:t>data.</w:t>
      </w:r>
      <w:r w:rsidR="00176621" w:rsidRPr="00AF1814">
        <w:t xml:space="preserve"> </w:t>
      </w:r>
      <w:r w:rsidR="00BA1150" w:rsidRPr="00AF1814">
        <w:t xml:space="preserve">Evaluations will be done once the </w:t>
      </w:r>
      <w:r w:rsidR="00791B9F">
        <w:t>3</w:t>
      </w:r>
      <w:r w:rsidR="00791B9F" w:rsidRPr="00791B9F">
        <w:rPr>
          <w:vertAlign w:val="superscript"/>
        </w:rPr>
        <w:t>rd</w:t>
      </w:r>
      <w:r w:rsidR="00791B9F">
        <w:t xml:space="preserve"> as well as the </w:t>
      </w:r>
      <w:r w:rsidR="005F0C56" w:rsidRPr="00AF1814">
        <w:t>8</w:t>
      </w:r>
      <w:r w:rsidR="005F0C56" w:rsidRPr="00AF1814">
        <w:rPr>
          <w:vertAlign w:val="superscript"/>
        </w:rPr>
        <w:t>th</w:t>
      </w:r>
      <w:r w:rsidR="00DA034C" w:rsidRPr="00AF1814">
        <w:t xml:space="preserve"> evaluable </w:t>
      </w:r>
      <w:r w:rsidR="001441A7" w:rsidRPr="00AF1814">
        <w:t>participant</w:t>
      </w:r>
      <w:r w:rsidR="00BA1150" w:rsidRPr="00AF1814">
        <w:t xml:space="preserve"> of a respective cohort has finished the DLT period.</w:t>
      </w:r>
      <w:r w:rsidRPr="00AF1814">
        <w:t xml:space="preserve"> </w:t>
      </w:r>
    </w:p>
    <w:p w14:paraId="1EDDAFCD" w14:textId="3C028CAA" w:rsidR="006F6C11" w:rsidRPr="00AF1814" w:rsidRDefault="00DA3174" w:rsidP="00A700A4">
      <w:pPr>
        <w:pStyle w:val="BodyText"/>
      </w:pPr>
      <w:r w:rsidRPr="00AF1814">
        <w:t xml:space="preserve">The SMC will decide </w:t>
      </w:r>
      <w:r w:rsidR="008063F7" w:rsidRPr="00AF1814">
        <w:t xml:space="preserve">if the combinations as defined in this protocol </w:t>
      </w:r>
      <w:r w:rsidR="00141FDD" w:rsidRPr="00AF1814">
        <w:t xml:space="preserve">should be continued and </w:t>
      </w:r>
      <w:r w:rsidR="00D92ACE" w:rsidRPr="00AF1814">
        <w:t xml:space="preserve">are </w:t>
      </w:r>
      <w:r w:rsidR="008063F7" w:rsidRPr="00AF1814">
        <w:t>safe for future studies</w:t>
      </w:r>
      <w:r w:rsidRPr="00AF1814">
        <w:t xml:space="preserve">. </w:t>
      </w:r>
      <w:r w:rsidR="00BA1150" w:rsidRPr="00AF1814">
        <w:t xml:space="preserve">The SMC will recommend appropriate risk mitigation measures, if </w:t>
      </w:r>
      <w:r w:rsidR="00BA1150" w:rsidRPr="00AF1814">
        <w:lastRenderedPageBreak/>
        <w:t>necessary.</w:t>
      </w:r>
      <w:r w:rsidR="00A700A4" w:rsidRPr="00AF1814">
        <w:t xml:space="preserve"> Furthermore, if deemed appropriate by SMC, additional participants could be enrolled to further evaluate the safety of a specific cohort.</w:t>
      </w:r>
      <w:r w:rsidR="00051074" w:rsidRPr="00AF1814">
        <w:t xml:space="preserve"> All participants will be reviewed by the SMC once the last evaluable participant has completed the DLT period.</w:t>
      </w:r>
    </w:p>
    <w:p w14:paraId="39ADFB21" w14:textId="77777777" w:rsidR="006F6C11" w:rsidRPr="00AF1814" w:rsidRDefault="00DA3174" w:rsidP="00FE6564">
      <w:pPr>
        <w:pStyle w:val="BodyText"/>
      </w:pPr>
      <w:r w:rsidRPr="00AF1814">
        <w:t>Specifically, the SMC will evaluate:</w:t>
      </w:r>
    </w:p>
    <w:p w14:paraId="49B866D4" w14:textId="424DBBEA" w:rsidR="00214EEF" w:rsidRDefault="00214EEF" w:rsidP="00FE6564">
      <w:pPr>
        <w:pStyle w:val="List1withbullet"/>
      </w:pPr>
      <w:r w:rsidRPr="00AF1814">
        <w:t>If DLTs are observed in ≥</w:t>
      </w:r>
      <w:r>
        <w:t> 1 out of 3 participants</w:t>
      </w:r>
      <w:r w:rsidRPr="00AF1814">
        <w:t xml:space="preserve"> </w:t>
      </w:r>
      <w:r>
        <w:t xml:space="preserve">or </w:t>
      </w:r>
      <w:r w:rsidRPr="00AF1814">
        <w:t xml:space="preserve">≥ 3 of the 8 participants, </w:t>
      </w:r>
      <w:r>
        <w:t xml:space="preserve">respectively, </w:t>
      </w:r>
      <w:r w:rsidRPr="00AF1814">
        <w:t>the SMC will give a recommendation regarding clearing the corresponding combination or risk mitigation measures, as appropriate, based on a review of all relevant parameters including AEs and serious adverse events (SAEs) and risk-benefit assessment for that cohort. Furthermore, if deemed appropriate by SMC, additional participants could be enrolled to further evaluate the safety of a specific cohort.</w:t>
      </w:r>
    </w:p>
    <w:p w14:paraId="6287E88B" w14:textId="36ECB8AE" w:rsidR="006F6C11" w:rsidRPr="00AF1814" w:rsidRDefault="00DA3174" w:rsidP="00FE6564">
      <w:pPr>
        <w:pStyle w:val="List1withbullet"/>
      </w:pPr>
      <w:r w:rsidRPr="00AF1814">
        <w:t xml:space="preserve">The corresponding combination will be cleared when DLTs are observed in ≤ 2 out of 8 participants. </w:t>
      </w:r>
    </w:p>
    <w:p w14:paraId="12F1083F" w14:textId="486C05D0" w:rsidR="006F6C11" w:rsidRPr="00AF1814" w:rsidRDefault="00DA3174" w:rsidP="00214EEF">
      <w:pPr>
        <w:pStyle w:val="BodyText"/>
      </w:pPr>
      <w:r w:rsidRPr="00AF1814">
        <w:t xml:space="preserve">The probability for observing DLTs in ≥ 3 out of 8 participants is 4% if the underlying true rate is 10%, increases to 52% if the underlying true rate is 33%. </w:t>
      </w:r>
      <w:r w:rsidR="00214EEF" w:rsidRPr="00651DA9">
        <w:t xml:space="preserve">Similarly, the probability for observing DLTs in ≥ 1 out of 3 participants is 27% if the underlying true rate is 10%, increases to 70% if the underlying true rate is 33% and to 78% if the underlying true rate is 40%. </w:t>
      </w:r>
    </w:p>
    <w:p w14:paraId="43D61401" w14:textId="77777777" w:rsidR="009179F1" w:rsidRPr="00AF1814" w:rsidRDefault="00DA3174" w:rsidP="006F6C11">
      <w:pPr>
        <w:pStyle w:val="BodyText"/>
      </w:pPr>
      <w:r w:rsidRPr="00AF1814">
        <w:t>The specific working procedures</w:t>
      </w:r>
      <w:r w:rsidR="0040619D" w:rsidRPr="00AF1814">
        <w:t xml:space="preserve"> including the full membership, mandate</w:t>
      </w:r>
      <w:r w:rsidR="0089522D" w:rsidRPr="00AF1814">
        <w:t>,</w:t>
      </w:r>
      <w:r w:rsidR="0040619D" w:rsidRPr="00AF1814">
        <w:t xml:space="preserve"> and processes</w:t>
      </w:r>
      <w:r w:rsidRPr="00AF1814">
        <w:t xml:space="preserve"> will be described in an SMC charter, which will be established </w:t>
      </w:r>
      <w:r w:rsidR="005B39A2" w:rsidRPr="00AF1814">
        <w:t>before first informed consent signed</w:t>
      </w:r>
      <w:r w:rsidRPr="00AF1814">
        <w:t>.</w:t>
      </w:r>
    </w:p>
    <w:p w14:paraId="06CA5045" w14:textId="77777777" w:rsidR="00E2469F" w:rsidRPr="00AF1814" w:rsidRDefault="00DA3174" w:rsidP="006F6C11">
      <w:pPr>
        <w:pStyle w:val="Heading3"/>
      </w:pPr>
      <w:bookmarkStart w:id="180" w:name="_Ref28878737"/>
      <w:bookmarkStart w:id="181" w:name="_Toc44601677"/>
      <w:r w:rsidRPr="00AF1814">
        <w:t>Definition of Dose-limiting Toxicity</w:t>
      </w:r>
      <w:bookmarkEnd w:id="180"/>
      <w:bookmarkEnd w:id="181"/>
      <w:r w:rsidRPr="00AF1814">
        <w:t xml:space="preserve"> </w:t>
      </w:r>
    </w:p>
    <w:p w14:paraId="1A761BBE" w14:textId="79265511" w:rsidR="00C019DC" w:rsidRPr="00E44F28" w:rsidRDefault="00DA3174" w:rsidP="006F6C11">
      <w:pPr>
        <w:pStyle w:val="BodyText"/>
      </w:pPr>
      <w:bookmarkStart w:id="182" w:name="_Hlk32325141"/>
      <w:r w:rsidRPr="00AF1814">
        <w:t>This is not a dose escalation study</w:t>
      </w:r>
      <w:r w:rsidR="009977EF" w:rsidRPr="00AF1814">
        <w:t>.</w:t>
      </w:r>
      <w:r w:rsidR="00564BFE" w:rsidRPr="00AF1814">
        <w:t xml:space="preserve"> </w:t>
      </w:r>
      <w:r w:rsidR="009977EF" w:rsidRPr="00AF1814">
        <w:t xml:space="preserve">However, this study is evaluating DLTs in order to assess the safety and tolerability of the combination of bintrafusp alfa plus existing standard </w:t>
      </w:r>
      <w:r w:rsidR="009977EF" w:rsidRPr="00E44F28">
        <w:t>of care treatments in</w:t>
      </w:r>
      <w:r w:rsidR="00525B38" w:rsidRPr="00E44F28">
        <w:t xml:space="preserve"> Cohort 1 (Cohort 1A and Cohort 1B)</w:t>
      </w:r>
      <w:r w:rsidR="009977EF" w:rsidRPr="00E44F28">
        <w:t xml:space="preserve"> and 2 (treatments are described in Section</w:t>
      </w:r>
      <w:r w:rsidR="009118BD" w:rsidRPr="00E44F28">
        <w:t> </w:t>
      </w:r>
      <w:r w:rsidR="007D3E75" w:rsidRPr="00E44F28">
        <w:fldChar w:fldCharType="begin"/>
      </w:r>
      <w:r w:rsidR="007D3E75" w:rsidRPr="00E44F28">
        <w:instrText xml:space="preserve"> REF _Ref32402221 \r \h </w:instrText>
      </w:r>
      <w:r w:rsidR="00AF1814" w:rsidRPr="00E44F28">
        <w:instrText xml:space="preserve"> \* MERGEFORMAT </w:instrText>
      </w:r>
      <w:r w:rsidR="007D3E75" w:rsidRPr="00E44F28">
        <w:fldChar w:fldCharType="separate"/>
      </w:r>
      <w:r w:rsidR="00C548C3" w:rsidRPr="00E44F28">
        <w:t>4.1</w:t>
      </w:r>
      <w:r w:rsidR="007D3E75" w:rsidRPr="00E44F28">
        <w:fldChar w:fldCharType="end"/>
      </w:r>
      <w:r w:rsidR="009977EF" w:rsidRPr="00E44F28">
        <w:t xml:space="preserve">). </w:t>
      </w:r>
    </w:p>
    <w:p w14:paraId="40131619" w14:textId="77777777" w:rsidR="00603466" w:rsidRPr="00AF1814" w:rsidRDefault="00DA3174" w:rsidP="006F6C11">
      <w:pPr>
        <w:pStyle w:val="BodyText"/>
      </w:pPr>
      <w:r w:rsidRPr="00AF1814">
        <w:t xml:space="preserve">A DLT is defined as any of the following AEs according to the NCI-CTCAE </w:t>
      </w:r>
      <w:r w:rsidR="00B56CC3" w:rsidRPr="00AF1814">
        <w:t>v</w:t>
      </w:r>
      <w:r w:rsidRPr="00AF1814">
        <w:t>5.0</w:t>
      </w:r>
      <w:r w:rsidRPr="00AF1814">
        <w:rPr>
          <w:color w:val="0070C0"/>
        </w:rPr>
        <w:t xml:space="preserve"> </w:t>
      </w:r>
      <w:r w:rsidRPr="00AF1814">
        <w:t xml:space="preserve">assessed by the Investigator and/or the Sponsor and judged to be related to study </w:t>
      </w:r>
      <w:r w:rsidR="003B5DA3" w:rsidRPr="00AF1814">
        <w:t xml:space="preserve">intervention </w:t>
      </w:r>
      <w:r w:rsidRPr="00AF1814">
        <w:t>occurring during the DLT observation period of 4 weeks following the first dose of bintrafusp alfa (W1D1 visit) for each participant.</w:t>
      </w:r>
    </w:p>
    <w:p w14:paraId="3743A143" w14:textId="4B4C0AA0" w:rsidR="000F4732" w:rsidRDefault="00DA3174" w:rsidP="006F6C11">
      <w:pPr>
        <w:pStyle w:val="BodyText"/>
      </w:pPr>
      <w:r w:rsidRPr="00AF1814">
        <w:t>A DLT must be confirmed by the SMC.</w:t>
      </w:r>
    </w:p>
    <w:p w14:paraId="3F407777" w14:textId="373E6C14" w:rsidR="005040DD" w:rsidRPr="00AF1814" w:rsidRDefault="005040DD" w:rsidP="006F6C11">
      <w:pPr>
        <w:pStyle w:val="BodyText"/>
      </w:pPr>
      <w:r w:rsidRPr="00E44F28">
        <w:t>During the DLT observation period, in the event a participant discontinues for reasons other than AE</w:t>
      </w:r>
      <w:r>
        <w:t xml:space="preserve"> or is otherwise non-evaluable</w:t>
      </w:r>
      <w:r w:rsidRPr="00E44F28">
        <w:t xml:space="preserve">, the Sponsor may elect to add </w:t>
      </w:r>
      <w:r w:rsidR="00775BB4">
        <w:t xml:space="preserve">an </w:t>
      </w:r>
      <w:r w:rsidRPr="00E44F28">
        <w:t xml:space="preserve">additional participant. </w:t>
      </w:r>
      <w:r>
        <w:t xml:space="preserve">Participants </w:t>
      </w:r>
      <w:r w:rsidRPr="005040DD">
        <w:t xml:space="preserve">with severe hypersensitivity reaction to paclitaxel during the DLT period should be discontinued from </w:t>
      </w:r>
      <w:r>
        <w:t>study</w:t>
      </w:r>
      <w:r w:rsidRPr="005040DD">
        <w:t xml:space="preserve"> and replaced for DLT assessment</w:t>
      </w:r>
      <w:r>
        <w:t>.</w:t>
      </w:r>
    </w:p>
    <w:p w14:paraId="388E5B8F" w14:textId="3458CAEF" w:rsidR="00BD4190" w:rsidRPr="00AF1814" w:rsidRDefault="00DA3174" w:rsidP="005040DD">
      <w:pPr>
        <w:pStyle w:val="BodyText"/>
        <w:keepNext/>
        <w:rPr>
          <w:b/>
        </w:rPr>
      </w:pPr>
      <w:r w:rsidRPr="00AF1814">
        <w:rPr>
          <w:b/>
        </w:rPr>
        <w:t>DLTs are defined as:</w:t>
      </w:r>
    </w:p>
    <w:p w14:paraId="485B5D15" w14:textId="77777777" w:rsidR="00BD4190" w:rsidRPr="00AF1814" w:rsidRDefault="00DA3174" w:rsidP="00124830">
      <w:pPr>
        <w:pStyle w:val="List1withbullet"/>
      </w:pPr>
      <w:r w:rsidRPr="00AF1814">
        <w:t>Grade 4 nonhematologic toxicity (not laboratory)</w:t>
      </w:r>
    </w:p>
    <w:p w14:paraId="740ECA30" w14:textId="77777777" w:rsidR="00BD4190" w:rsidRPr="00AF1814" w:rsidRDefault="00DA3174" w:rsidP="00124830">
      <w:pPr>
        <w:pStyle w:val="List1withbullet"/>
      </w:pPr>
      <w:r w:rsidRPr="00AF1814">
        <w:t>Grade 4 hematologic toxicity lasting ≥ 7 days despite medical intervention</w:t>
      </w:r>
    </w:p>
    <w:p w14:paraId="766F924A" w14:textId="77777777" w:rsidR="00BD4190" w:rsidRPr="00AF1814" w:rsidRDefault="00DA3174" w:rsidP="00124830">
      <w:pPr>
        <w:pStyle w:val="List1withbullet"/>
      </w:pPr>
      <w:r w:rsidRPr="00AF1814">
        <w:t>Grade 3 nausea, vomiting</w:t>
      </w:r>
      <w:r w:rsidR="00564BFE" w:rsidRPr="00AF1814">
        <w:t>,</w:t>
      </w:r>
      <w:r w:rsidRPr="00AF1814">
        <w:t xml:space="preserve"> and diarrhea lasting ≥ 3 days despite optimal supportive care</w:t>
      </w:r>
    </w:p>
    <w:p w14:paraId="314C0EA7" w14:textId="77777777" w:rsidR="00BD4190" w:rsidRPr="00AF1814" w:rsidRDefault="00DA3174" w:rsidP="004F480D">
      <w:pPr>
        <w:pStyle w:val="List1withbullet"/>
        <w:keepNext/>
        <w:ind w:hanging="357"/>
      </w:pPr>
      <w:r w:rsidRPr="00AF1814">
        <w:lastRenderedPageBreak/>
        <w:t>Any Grade 3 or Grade 4 nonhematologic laboratory value if:</w:t>
      </w:r>
    </w:p>
    <w:p w14:paraId="4DDAFA8D" w14:textId="77777777" w:rsidR="00BD4190" w:rsidRPr="00AF1814" w:rsidRDefault="00DA3174" w:rsidP="004F480D">
      <w:pPr>
        <w:pStyle w:val="List2withbullet"/>
        <w:keepNext/>
        <w:numPr>
          <w:ilvl w:val="1"/>
          <w:numId w:val="3"/>
        </w:numPr>
        <w:ind w:hanging="357"/>
      </w:pPr>
      <w:r w:rsidRPr="00AF1814">
        <w:t>The abnormality leads to hospitalization, or</w:t>
      </w:r>
    </w:p>
    <w:p w14:paraId="64CAE3EA" w14:textId="77777777" w:rsidR="00BD4190" w:rsidRPr="00AF1814" w:rsidRDefault="00DA3174" w:rsidP="00124830">
      <w:pPr>
        <w:pStyle w:val="List2withbullet"/>
        <w:numPr>
          <w:ilvl w:val="1"/>
          <w:numId w:val="3"/>
        </w:numPr>
      </w:pPr>
      <w:r w:rsidRPr="00AF1814">
        <w:t>The abnormality persists for ≥ 7 days</w:t>
      </w:r>
    </w:p>
    <w:p w14:paraId="5696690A" w14:textId="77777777" w:rsidR="00BD4190" w:rsidRPr="00AF1814" w:rsidRDefault="00DA3174" w:rsidP="00124830">
      <w:pPr>
        <w:pStyle w:val="List1withbullet"/>
      </w:pPr>
      <w:r w:rsidRPr="00AF1814">
        <w:t>Febrile neutropenia Grade 3 or Grade 4:</w:t>
      </w:r>
    </w:p>
    <w:p w14:paraId="63488716" w14:textId="77777777" w:rsidR="00BD4190" w:rsidRPr="00AF1814" w:rsidRDefault="00DA3174" w:rsidP="00124830">
      <w:pPr>
        <w:pStyle w:val="List2withbullet"/>
        <w:numPr>
          <w:ilvl w:val="1"/>
          <w:numId w:val="3"/>
        </w:numPr>
      </w:pPr>
      <w:r w:rsidRPr="00AF1814">
        <w:t>Grade 3 is defined as ANC &lt; 1</w:t>
      </w:r>
      <w:r w:rsidR="00D87687" w:rsidRPr="00AF1814">
        <w:t>,</w:t>
      </w:r>
      <w:r w:rsidRPr="00AF1814">
        <w:t>000/mm</w:t>
      </w:r>
      <w:r w:rsidRPr="00AF1814">
        <w:rPr>
          <w:vertAlign w:val="superscript"/>
        </w:rPr>
        <w:t>3</w:t>
      </w:r>
      <w:r w:rsidRPr="00AF1814">
        <w:t xml:space="preserve"> with a single temperature of &gt; 38.3°C (101°F) or a sustained temperature of ≥ 38°C (100.4°F) for more than 1 hour</w:t>
      </w:r>
    </w:p>
    <w:p w14:paraId="70734AC1" w14:textId="77777777" w:rsidR="00BD4190" w:rsidRPr="00AF1814" w:rsidRDefault="00DA3174" w:rsidP="00124830">
      <w:pPr>
        <w:pStyle w:val="List2withbullet"/>
        <w:numPr>
          <w:ilvl w:val="1"/>
          <w:numId w:val="3"/>
        </w:numPr>
      </w:pPr>
      <w:r w:rsidRPr="00AF1814">
        <w:t>Grade 4 is defined as ANC &lt; 1</w:t>
      </w:r>
      <w:r w:rsidR="00D87687" w:rsidRPr="00AF1814">
        <w:t>,</w:t>
      </w:r>
      <w:r w:rsidRPr="00AF1814">
        <w:t>000/mm</w:t>
      </w:r>
      <w:r w:rsidRPr="00AF1814">
        <w:rPr>
          <w:vertAlign w:val="superscript"/>
        </w:rPr>
        <w:t>3</w:t>
      </w:r>
      <w:r w:rsidRPr="00AF1814">
        <w:t xml:space="preserve"> with a single temperature of &gt; 38.3°C (101°F) or a sustained temperature of ≥ 38°C (100.4°F) for more than 1 hour, with life-threatening consequences and urgent intervention indicated</w:t>
      </w:r>
    </w:p>
    <w:p w14:paraId="1207C04F" w14:textId="77777777" w:rsidR="00BD4190" w:rsidRPr="00AF1814" w:rsidRDefault="00DA3174" w:rsidP="00D87687">
      <w:pPr>
        <w:pStyle w:val="List1withbullet"/>
        <w:tabs>
          <w:tab w:val="left" w:pos="6521"/>
        </w:tabs>
      </w:pPr>
      <w:r w:rsidRPr="00AF1814">
        <w:t>Thrombocytopenia &lt; 25</w:t>
      </w:r>
      <w:r w:rsidR="00D87687" w:rsidRPr="00AF1814">
        <w:t>,</w:t>
      </w:r>
      <w:r w:rsidRPr="00AF1814">
        <w:t>000/mm</w:t>
      </w:r>
      <w:r w:rsidRPr="00AF1814">
        <w:rPr>
          <w:vertAlign w:val="superscript"/>
        </w:rPr>
        <w:t>3</w:t>
      </w:r>
      <w:r w:rsidRPr="00AF1814">
        <w:t xml:space="preserve"> if associated with:</w:t>
      </w:r>
    </w:p>
    <w:p w14:paraId="4E694348" w14:textId="77777777" w:rsidR="00BD4190" w:rsidRPr="00AF1814" w:rsidRDefault="00DA3174" w:rsidP="00124830">
      <w:pPr>
        <w:pStyle w:val="List2withbullet"/>
        <w:numPr>
          <w:ilvl w:val="1"/>
          <w:numId w:val="3"/>
        </w:numPr>
      </w:pPr>
      <w:r w:rsidRPr="00AF1814">
        <w:t>A bleeding event which does not result in hemodynamic instability but requires an elective platelet transfusion, or</w:t>
      </w:r>
    </w:p>
    <w:p w14:paraId="3746FDEB" w14:textId="77777777" w:rsidR="00BD4190" w:rsidRPr="00AF1814" w:rsidRDefault="00DA3174" w:rsidP="00124830">
      <w:pPr>
        <w:pStyle w:val="List2withbullet"/>
        <w:numPr>
          <w:ilvl w:val="1"/>
          <w:numId w:val="3"/>
        </w:numPr>
      </w:pPr>
      <w:r w:rsidRPr="00AF1814">
        <w:t xml:space="preserve">A life-threatening bleeding event which results in urgent intervention and admission to an </w:t>
      </w:r>
      <w:r w:rsidR="00564BFE" w:rsidRPr="00AF1814">
        <w:t>i</w:t>
      </w:r>
      <w:r w:rsidRPr="00AF1814">
        <w:t xml:space="preserve">ntensive </w:t>
      </w:r>
      <w:r w:rsidR="00564BFE" w:rsidRPr="00AF1814">
        <w:t>c</w:t>
      </w:r>
      <w:r w:rsidRPr="00AF1814">
        <w:t xml:space="preserve">are </w:t>
      </w:r>
      <w:r w:rsidR="00564BFE" w:rsidRPr="00AF1814">
        <w:t>u</w:t>
      </w:r>
      <w:r w:rsidRPr="00AF1814">
        <w:t>nit</w:t>
      </w:r>
    </w:p>
    <w:p w14:paraId="3987F544" w14:textId="77777777" w:rsidR="00BD4190" w:rsidRPr="00AF1814" w:rsidRDefault="00DA3174" w:rsidP="00124830">
      <w:pPr>
        <w:pStyle w:val="List1withbullet"/>
      </w:pPr>
      <w:r w:rsidRPr="00AF1814">
        <w:t>Bleeding events ≥ Grade 3 that occur within 5 days of bintrafusp alfa treatment (regardless of causality)</w:t>
      </w:r>
    </w:p>
    <w:p w14:paraId="2FD903D3" w14:textId="7327CADC" w:rsidR="00BD4190" w:rsidRPr="00AF1814" w:rsidRDefault="00DA3174" w:rsidP="00124830">
      <w:pPr>
        <w:pStyle w:val="List1withbullet"/>
      </w:pPr>
      <w:r w:rsidRPr="00AF1814">
        <w:t xml:space="preserve">Prolonged delay (&gt; </w:t>
      </w:r>
      <w:r w:rsidR="00D5117A">
        <w:t>3</w:t>
      </w:r>
      <w:r w:rsidR="00D5117A" w:rsidRPr="00AF1814">
        <w:t xml:space="preserve"> </w:t>
      </w:r>
      <w:r w:rsidRPr="00AF1814">
        <w:t>weeks) in initiating Cycle 2 due to treatment-related toxicity</w:t>
      </w:r>
    </w:p>
    <w:p w14:paraId="3374927D" w14:textId="77777777" w:rsidR="00BD4190" w:rsidRPr="00AF1814" w:rsidRDefault="00DA3174" w:rsidP="00124830">
      <w:pPr>
        <w:pStyle w:val="List1withbullet"/>
      </w:pPr>
      <w:r w:rsidRPr="00AF1814">
        <w:t>Grade 5 toxicity</w:t>
      </w:r>
    </w:p>
    <w:p w14:paraId="1A24A146" w14:textId="77777777" w:rsidR="00BD4190" w:rsidRPr="00AF1814" w:rsidRDefault="00DA3174" w:rsidP="00BD4190">
      <w:pPr>
        <w:pStyle w:val="BodyText"/>
        <w:rPr>
          <w:b/>
        </w:rPr>
      </w:pPr>
      <w:r w:rsidRPr="00AF1814">
        <w:rPr>
          <w:b/>
        </w:rPr>
        <w:t>The following are NOT considered as DLTs:</w:t>
      </w:r>
    </w:p>
    <w:p w14:paraId="0A4BC86F" w14:textId="77777777" w:rsidR="00BD4190" w:rsidRPr="00AF1814" w:rsidRDefault="00DA3174" w:rsidP="00124830">
      <w:pPr>
        <w:pStyle w:val="List1withbullet"/>
      </w:pPr>
      <w:r w:rsidRPr="00AF1814">
        <w:t>Grade 3 IRRs resolving within 6 hours from the end of infusion and controlled with medical management.</w:t>
      </w:r>
    </w:p>
    <w:p w14:paraId="1855012D" w14:textId="77777777" w:rsidR="00BD4190" w:rsidRPr="00AF1814" w:rsidRDefault="00DA3174" w:rsidP="00124830">
      <w:pPr>
        <w:pStyle w:val="List1withbullet"/>
      </w:pPr>
      <w:r w:rsidRPr="00AF1814">
        <w:t>Transient (&lt; 3 days) Grade 3 fatigue, local reactions, headache, nausea, emesis that resolves to Grade ≤ 1.</w:t>
      </w:r>
    </w:p>
    <w:p w14:paraId="101ACD54" w14:textId="77777777" w:rsidR="00BD4190" w:rsidRPr="00AF1814" w:rsidRDefault="00DA3174" w:rsidP="00124830">
      <w:pPr>
        <w:pStyle w:val="List1withbullet"/>
      </w:pPr>
      <w:r w:rsidRPr="00AF1814">
        <w:t>Transient (&lt; 2 days) Grade 3 flu-like symptoms or fever, which is controlled with medical management.</w:t>
      </w:r>
    </w:p>
    <w:p w14:paraId="6F43C8E8" w14:textId="77777777" w:rsidR="00BD4190" w:rsidRPr="00AF1814" w:rsidRDefault="00DA3174" w:rsidP="00124830">
      <w:pPr>
        <w:pStyle w:val="List1withbullet"/>
      </w:pPr>
      <w:r w:rsidRPr="00AF1814">
        <w:t>Tumor flare phenomenon defined as local pain, irritation, or rash localized at sites of known or suspected tumor that resolve to Grade ≤ 2 within 7 days.</w:t>
      </w:r>
    </w:p>
    <w:p w14:paraId="167F71BB" w14:textId="77777777" w:rsidR="00BD4190" w:rsidRPr="00AF1814" w:rsidRDefault="00DA3174" w:rsidP="00124830">
      <w:pPr>
        <w:pStyle w:val="List1withbullet"/>
      </w:pPr>
      <w:r w:rsidRPr="00AF1814">
        <w:t>Skin lesion related to TGF</w:t>
      </w:r>
      <w:r w:rsidR="003440DD" w:rsidRPr="00AF1814">
        <w:noBreakHyphen/>
      </w:r>
      <w:r w:rsidRPr="00AF1814">
        <w:t>β inhibition (i.e.</w:t>
      </w:r>
      <w:r w:rsidR="00564BFE" w:rsidRPr="00AF1814">
        <w:t>,</w:t>
      </w:r>
      <w:r w:rsidRPr="00AF1814">
        <w:t xml:space="preserve"> </w:t>
      </w:r>
      <w:r w:rsidR="00564BFE" w:rsidRPr="00AF1814">
        <w:t>k</w:t>
      </w:r>
      <w:r w:rsidR="00E260CD" w:rsidRPr="00AF1814">
        <w:t>eratoacanthoma [</w:t>
      </w:r>
      <w:r w:rsidRPr="00AF1814">
        <w:t>KA</w:t>
      </w:r>
      <w:r w:rsidR="00E260CD" w:rsidRPr="00AF1814">
        <w:t>]</w:t>
      </w:r>
      <w:r w:rsidRPr="00AF1814">
        <w:t>, squamous cell carcinoma) that is local and can be resected with negative resection margins.</w:t>
      </w:r>
    </w:p>
    <w:p w14:paraId="323AD9BE" w14:textId="77777777" w:rsidR="00BD4190" w:rsidRPr="00AF1814" w:rsidRDefault="00DA3174" w:rsidP="00124830">
      <w:pPr>
        <w:pStyle w:val="List1withbullet"/>
      </w:pPr>
      <w:r w:rsidRPr="00AF1814">
        <w:t xml:space="preserve">Grade 3 skin toxicity </w:t>
      </w:r>
      <w:r w:rsidR="000F4732" w:rsidRPr="00AF1814">
        <w:t xml:space="preserve">other than radiation dermatitis </w:t>
      </w:r>
      <w:r w:rsidRPr="00AF1814">
        <w:t>that resolves to ≤ Grade 1 in less than 7 days after medical management (e.g.</w:t>
      </w:r>
      <w:r w:rsidR="002A3C2E" w:rsidRPr="00AF1814">
        <w:t>,</w:t>
      </w:r>
      <w:r w:rsidRPr="00AF1814">
        <w:t xml:space="preserve"> immunosuppressant treatment) has been initiated.</w:t>
      </w:r>
    </w:p>
    <w:p w14:paraId="16C01A74" w14:textId="77777777" w:rsidR="000F4732" w:rsidRPr="00AF1814" w:rsidRDefault="00DA3174" w:rsidP="00F12F8D">
      <w:pPr>
        <w:pStyle w:val="List1withbullet"/>
      </w:pPr>
      <w:r w:rsidRPr="00AF1814">
        <w:t>Grade 3 radiation dermatitis that resolves to Grade ≤</w:t>
      </w:r>
      <w:r w:rsidR="0089522D" w:rsidRPr="00AF1814">
        <w:t xml:space="preserve"> </w:t>
      </w:r>
      <w:r w:rsidRPr="00AF1814">
        <w:t>2 with supportive measures within 5</w:t>
      </w:r>
      <w:r w:rsidR="00D52486" w:rsidRPr="00AF1814">
        <w:t> </w:t>
      </w:r>
      <w:r w:rsidRPr="00AF1814">
        <w:t>weeks.</w:t>
      </w:r>
    </w:p>
    <w:p w14:paraId="62C3921B" w14:textId="77777777" w:rsidR="00BD4190" w:rsidRPr="00AF1814" w:rsidRDefault="00DA3174" w:rsidP="00124830">
      <w:pPr>
        <w:pStyle w:val="List1withbullet"/>
      </w:pPr>
      <w:r w:rsidRPr="00AF1814">
        <w:t xml:space="preserve">Grade 3 asymptomatic increases in </w:t>
      </w:r>
      <w:r w:rsidR="00E260CD" w:rsidRPr="00AF1814">
        <w:t>liver function tests</w:t>
      </w:r>
      <w:r w:rsidR="00564BFE" w:rsidRPr="00AF1814">
        <w:t>:</w:t>
      </w:r>
      <w:r w:rsidRPr="00AF1814">
        <w:t xml:space="preserve"> AST, ALT, </w:t>
      </w:r>
      <w:r w:rsidR="00E260CD" w:rsidRPr="00AF1814">
        <w:t>alkaline phosphatase</w:t>
      </w:r>
      <w:r w:rsidR="0089522D" w:rsidRPr="00AF1814">
        <w:t>,</w:t>
      </w:r>
      <w:r w:rsidR="002A321A" w:rsidRPr="00AF1814">
        <w:t xml:space="preserve"> or lipase</w:t>
      </w:r>
      <w:r w:rsidRPr="00AF1814">
        <w:t xml:space="preserve"> that resolve to ≤ Grade 1 within 7 days after medical management (e.g.</w:t>
      </w:r>
      <w:r w:rsidR="00564BFE" w:rsidRPr="00AF1814">
        <w:t>,</w:t>
      </w:r>
      <w:r w:rsidRPr="00AF1814">
        <w:t xml:space="preserve"> immunosuppressant treatment) has been initiated.</w:t>
      </w:r>
    </w:p>
    <w:p w14:paraId="03C8F7F8" w14:textId="77777777" w:rsidR="00BD4190" w:rsidRPr="00AF1814" w:rsidRDefault="00DA3174" w:rsidP="00124830">
      <w:pPr>
        <w:pStyle w:val="List1withbullet"/>
      </w:pPr>
      <w:r w:rsidRPr="00AF1814">
        <w:lastRenderedPageBreak/>
        <w:t>Single laboratory values out of normal range that are assessed as unrelated to study intervention according to the Investigator and/or do not have any clinical correlate and resolve to ≤ Grade</w:t>
      </w:r>
      <w:r w:rsidR="00E260CD" w:rsidRPr="00AF1814">
        <w:t> </w:t>
      </w:r>
      <w:r w:rsidRPr="00AF1814">
        <w:t>1 within 7 days with adequate medical management.</w:t>
      </w:r>
    </w:p>
    <w:p w14:paraId="4FDD969F" w14:textId="77777777" w:rsidR="00BD4190" w:rsidRPr="00AF1814" w:rsidRDefault="00DA3174" w:rsidP="00124830">
      <w:pPr>
        <w:pStyle w:val="List1withbullet"/>
      </w:pPr>
      <w:r w:rsidRPr="00AF1814">
        <w:t>Grade 3 diarrhea persisting &lt; 3 days after initiation of medical management</w:t>
      </w:r>
      <w:r w:rsidR="00564BFE" w:rsidRPr="00AF1814">
        <w:t>.</w:t>
      </w:r>
      <w:r w:rsidRPr="00AF1814">
        <w:t xml:space="preserve"> </w:t>
      </w:r>
    </w:p>
    <w:p w14:paraId="02E82E14" w14:textId="77777777" w:rsidR="00BD4190" w:rsidRPr="00AF1814" w:rsidRDefault="00DA3174" w:rsidP="00124830">
      <w:pPr>
        <w:pStyle w:val="List1withbullet"/>
      </w:pPr>
      <w:r w:rsidRPr="00AF1814">
        <w:t>Isolated Grade 4 lymphopenia without clinical correlate</w:t>
      </w:r>
      <w:r w:rsidR="00564BFE" w:rsidRPr="00AF1814">
        <w:t>.</w:t>
      </w:r>
      <w:r w:rsidRPr="00AF1814">
        <w:t xml:space="preserve"> </w:t>
      </w:r>
    </w:p>
    <w:p w14:paraId="203C605A" w14:textId="77777777" w:rsidR="00BD4190" w:rsidRPr="00AF1814" w:rsidRDefault="00DA3174" w:rsidP="00124830">
      <w:pPr>
        <w:pStyle w:val="List1withbullet"/>
      </w:pPr>
      <w:r w:rsidRPr="00AF1814">
        <w:t>Any Grade 3 autoimmune thyroid-related toxicity that clinically resolves to ≤ Grade 2 within 7 days of initiating therapy</w:t>
      </w:r>
      <w:r w:rsidR="00564BFE" w:rsidRPr="00AF1814">
        <w:t>.</w:t>
      </w:r>
    </w:p>
    <w:p w14:paraId="4749212F" w14:textId="77777777" w:rsidR="00BD4190" w:rsidRPr="00AF1814" w:rsidRDefault="00DA3174" w:rsidP="00124830">
      <w:pPr>
        <w:pStyle w:val="List1withbullet"/>
      </w:pPr>
      <w:r w:rsidRPr="00AF1814">
        <w:t>Any death due to the underlying disease or extraneous causes.</w:t>
      </w:r>
    </w:p>
    <w:p w14:paraId="5B8AD34D" w14:textId="77777777" w:rsidR="00972F84" w:rsidRPr="00AF1814" w:rsidRDefault="00DA3174" w:rsidP="00972F84">
      <w:pPr>
        <w:pStyle w:val="BodyText"/>
        <w:tabs>
          <w:tab w:val="center" w:pos="1890"/>
        </w:tabs>
        <w:rPr>
          <w:b/>
        </w:rPr>
      </w:pPr>
      <w:r w:rsidRPr="00AF1814">
        <w:rPr>
          <w:b/>
        </w:rPr>
        <w:t>Additionally, the SMC may identify DLT</w:t>
      </w:r>
      <w:r w:rsidR="00564BFE" w:rsidRPr="00AF1814">
        <w:rPr>
          <w:b/>
        </w:rPr>
        <w:t xml:space="preserve"> as</w:t>
      </w:r>
      <w:r w:rsidRPr="00AF1814">
        <w:rPr>
          <w:b/>
        </w:rPr>
        <w:t>:</w:t>
      </w:r>
    </w:p>
    <w:p w14:paraId="77D918E5" w14:textId="77777777" w:rsidR="00BD4190" w:rsidRPr="00AF1814" w:rsidRDefault="00DA3174" w:rsidP="00972F84">
      <w:pPr>
        <w:pStyle w:val="List1withbullet"/>
        <w:rPr>
          <w:b/>
        </w:rPr>
      </w:pPr>
      <w:r w:rsidRPr="00AF1814">
        <w:t>Related AEs</w:t>
      </w:r>
      <w:r w:rsidR="00B62895" w:rsidRPr="00AF1814">
        <w:t xml:space="preserve"> (outside of the DLT period) that in the opinion of the SMC is of potential clinical significance and considered to reflect an unacceptable risk.</w:t>
      </w:r>
    </w:p>
    <w:p w14:paraId="5E9D06EB" w14:textId="77777777" w:rsidR="002D5216" w:rsidRPr="00AF1814" w:rsidRDefault="00DA3174" w:rsidP="002B2701">
      <w:pPr>
        <w:pStyle w:val="Heading2"/>
      </w:pPr>
      <w:bookmarkStart w:id="183" w:name="_Toc44601678"/>
      <w:bookmarkEnd w:id="182"/>
      <w:r w:rsidRPr="00AF1814">
        <w:t xml:space="preserve">Study Intervention </w:t>
      </w:r>
      <w:r w:rsidR="00564BFE" w:rsidRPr="00AF1814">
        <w:t>A</w:t>
      </w:r>
      <w:r w:rsidRPr="00AF1814">
        <w:t>fter the End of the Study</w:t>
      </w:r>
      <w:bookmarkEnd w:id="183"/>
    </w:p>
    <w:p w14:paraId="491F5DC8" w14:textId="77777777" w:rsidR="00B83336" w:rsidRPr="00AF1814" w:rsidRDefault="00DA3174" w:rsidP="00B83336">
      <w:pPr>
        <w:pStyle w:val="BodyText"/>
      </w:pPr>
      <w:bookmarkStart w:id="184" w:name="_Hlk527478202"/>
      <w:r w:rsidRPr="00AF1814">
        <w:t>After a participant has completed the study, has withdrawn consent, or has been withdrawn early, symptom guided appropriate treatment will be administered, if required, in accordance with the study site’s standard of care and generally accepted medical practice and depending on the participant’s individual medical needs.</w:t>
      </w:r>
    </w:p>
    <w:p w14:paraId="535D9786" w14:textId="77777777" w:rsidR="00B83336" w:rsidRPr="00AF1814" w:rsidRDefault="00DA3174" w:rsidP="00B83336">
      <w:pPr>
        <w:pStyle w:val="BodyText"/>
      </w:pPr>
      <w:r w:rsidRPr="00AF1814">
        <w:t>On withdrawal from the study, participants may receive care they and their physicians agree upon.</w:t>
      </w:r>
    </w:p>
    <w:p w14:paraId="488ACFAA" w14:textId="77777777" w:rsidR="00E3688C" w:rsidRPr="00AF1814" w:rsidRDefault="00DA3174" w:rsidP="00B83336">
      <w:pPr>
        <w:pStyle w:val="BodyText"/>
      </w:pPr>
      <w:r w:rsidRPr="00AF1814">
        <w:t xml:space="preserve">The Sponsor will not provide any additional care to participants after they leave the study because such care would not differ from what is normally expected for patients with </w:t>
      </w:r>
      <w:r w:rsidR="009D6B73" w:rsidRPr="00AF1814">
        <w:t xml:space="preserve">advanced </w:t>
      </w:r>
      <w:r w:rsidRPr="00AF1814">
        <w:t>cervical cancer.</w:t>
      </w:r>
    </w:p>
    <w:p w14:paraId="104D7A63" w14:textId="77777777" w:rsidR="002D5216" w:rsidRPr="00AF1814" w:rsidRDefault="00DA3174" w:rsidP="00805347">
      <w:pPr>
        <w:pStyle w:val="Heading2"/>
      </w:pPr>
      <w:bookmarkStart w:id="185" w:name="_Ref29478171"/>
      <w:bookmarkStart w:id="186" w:name="_Ref29479104"/>
      <w:bookmarkStart w:id="187" w:name="_Ref29479218"/>
      <w:bookmarkStart w:id="188" w:name="_Toc44601679"/>
      <w:bookmarkEnd w:id="184"/>
      <w:r w:rsidRPr="00AF1814">
        <w:t>Special Precautions</w:t>
      </w:r>
      <w:bookmarkEnd w:id="185"/>
      <w:bookmarkEnd w:id="186"/>
      <w:bookmarkEnd w:id="187"/>
      <w:bookmarkEnd w:id="188"/>
    </w:p>
    <w:p w14:paraId="075CE256" w14:textId="0A81F59A" w:rsidR="006632FA" w:rsidRPr="00AF1814" w:rsidRDefault="00DA3174" w:rsidP="00120B5B">
      <w:pPr>
        <w:pStyle w:val="Heading3"/>
      </w:pPr>
      <w:bookmarkStart w:id="189" w:name="_Toc44601680"/>
      <w:bookmarkStart w:id="190" w:name="_Hlk527478081"/>
      <w:r w:rsidRPr="00AF1814">
        <w:t>General Guidance</w:t>
      </w:r>
      <w:bookmarkEnd w:id="189"/>
    </w:p>
    <w:p w14:paraId="004550F2" w14:textId="32A8DC99" w:rsidR="00C26AB6" w:rsidRDefault="00DA3174" w:rsidP="00CE39C6">
      <w:pPr>
        <w:pStyle w:val="BodyText"/>
      </w:pPr>
      <w:r w:rsidRPr="00AF1814">
        <w:t xml:space="preserve">In any case, if ≥ 2 doses </w:t>
      </w:r>
      <w:r w:rsidR="00D32195" w:rsidRPr="00AF1814">
        <w:t xml:space="preserve">of bintrafusp alfa </w:t>
      </w:r>
      <w:r w:rsidRPr="00AF1814">
        <w:t>are missed due to AE, the Medical Monitor should be consulted.</w:t>
      </w:r>
      <w:r w:rsidR="002A321A" w:rsidRPr="00AF1814">
        <w:t xml:space="preserve"> The Medical Monitor should also be notified in the event of significant delay/omission of </w:t>
      </w:r>
      <w:r w:rsidR="00487D3B" w:rsidRPr="00AF1814">
        <w:t>s</w:t>
      </w:r>
      <w:r w:rsidR="002A321A" w:rsidRPr="00AF1814">
        <w:t xml:space="preserve">tandard of </w:t>
      </w:r>
      <w:r w:rsidR="00487D3B" w:rsidRPr="00AF1814">
        <w:t>c</w:t>
      </w:r>
      <w:r w:rsidR="002A321A" w:rsidRPr="00AF1814">
        <w:t xml:space="preserve">are therapy due to </w:t>
      </w:r>
      <w:r w:rsidR="00564BFE" w:rsidRPr="00AF1814">
        <w:t>AE</w:t>
      </w:r>
      <w:r w:rsidR="002A321A" w:rsidRPr="00AF1814">
        <w:t xml:space="preserve">. </w:t>
      </w:r>
    </w:p>
    <w:p w14:paraId="20F92BB2" w14:textId="5E100008" w:rsidR="00CE39C6" w:rsidRDefault="00CE39C6" w:rsidP="00CE39C6">
      <w:pPr>
        <w:pStyle w:val="BodyText"/>
      </w:pPr>
      <w:r w:rsidRPr="002D5921">
        <w:t>During the DLT period</w:t>
      </w:r>
      <w:r>
        <w:t xml:space="preserve">, </w:t>
      </w:r>
      <w:r w:rsidRPr="002D5921">
        <w:t>if one drug in a combination is delayed due to toxicity in a participant, the other drugs in the combination should be delayed in the participant. After the DLT period, if one drug in a combination needs to be delayed</w:t>
      </w:r>
      <w:r w:rsidR="004370DE">
        <w:t>,</w:t>
      </w:r>
      <w:r w:rsidRPr="002D5921">
        <w:t xml:space="preserve"> the </w:t>
      </w:r>
      <w:r w:rsidR="00775BB4">
        <w:t>M</w:t>
      </w:r>
      <w:r w:rsidRPr="002D5921">
        <w:t>edical Monitor should be consulted if the participant should be allowed to receive other drugs in the combination</w:t>
      </w:r>
      <w:r>
        <w:t>.</w:t>
      </w:r>
    </w:p>
    <w:p w14:paraId="3B5C538A" w14:textId="77777777" w:rsidR="00120B5B" w:rsidRPr="00AF1814" w:rsidRDefault="00DA3174" w:rsidP="00120B5B">
      <w:pPr>
        <w:pStyle w:val="Heading3"/>
      </w:pPr>
      <w:bookmarkStart w:id="191" w:name="_Toc44601681"/>
      <w:r w:rsidRPr="00AF1814">
        <w:t>Bintrafusp alfa</w:t>
      </w:r>
      <w:bookmarkEnd w:id="191"/>
    </w:p>
    <w:p w14:paraId="5FFD9F76" w14:textId="77777777" w:rsidR="005D6925" w:rsidRPr="00AF1814" w:rsidRDefault="00DA3174" w:rsidP="005D6925">
      <w:pPr>
        <w:pStyle w:val="BodyText"/>
      </w:pPr>
      <w:r w:rsidRPr="00AF1814">
        <w:t xml:space="preserve">Any </w:t>
      </w:r>
      <w:r w:rsidR="00E94FF3" w:rsidRPr="00AF1814">
        <w:t>t</w:t>
      </w:r>
      <w:r w:rsidR="00525B38" w:rsidRPr="00AF1814">
        <w:t>reatment-emergent adverse event (</w:t>
      </w:r>
      <w:r w:rsidRPr="00AF1814">
        <w:t>TEAE</w:t>
      </w:r>
      <w:r w:rsidR="00525B38" w:rsidRPr="00AF1814">
        <w:t>)</w:t>
      </w:r>
      <w:r w:rsidRPr="00AF1814">
        <w:t xml:space="preserve"> that is assessed as related to bintrafusp alfa, may require permanent or transient discontinuation of bintrafusp alfa treatment. </w:t>
      </w:r>
    </w:p>
    <w:p w14:paraId="1FDB52E7" w14:textId="77777777" w:rsidR="005D6925" w:rsidRPr="00AF1814" w:rsidRDefault="00DA3174" w:rsidP="005D6925">
      <w:pPr>
        <w:pStyle w:val="BodyText"/>
      </w:pPr>
      <w:r w:rsidRPr="00AF1814">
        <w:lastRenderedPageBreak/>
        <w:t>Single laboratory values out of the normal range that do not have any clinical correlate do not necessarily need treatment interruption. Questions or concerns with regard to management and/or follow-up of TEAEs should be discussed with the Medical Monitor.</w:t>
      </w:r>
    </w:p>
    <w:p w14:paraId="3C082403" w14:textId="77777777" w:rsidR="005D6925" w:rsidRPr="00AF1814" w:rsidRDefault="00DA3174" w:rsidP="005D6925">
      <w:pPr>
        <w:pStyle w:val="BodyText"/>
      </w:pPr>
      <w:r w:rsidRPr="00AF1814">
        <w:t>Immune-related AEs, IRRs, anemia, potentially TGF</w:t>
      </w:r>
      <w:r w:rsidR="003440DD" w:rsidRPr="00AF1814">
        <w:noBreakHyphen/>
      </w:r>
      <w:r w:rsidRPr="00AF1814">
        <w:t>β-mediated skin AEs, and bleeding events are managed and followed up in their respective sections as indicated below. Permanent study intervention discontinuation may be recommended, so the relevant section must be reviewed:</w:t>
      </w:r>
    </w:p>
    <w:p w14:paraId="1F5A547E" w14:textId="16A205B5" w:rsidR="006C1FD4" w:rsidRPr="00E44F28" w:rsidRDefault="00DA3174" w:rsidP="00F15279">
      <w:pPr>
        <w:pStyle w:val="List1withbullet"/>
        <w:rPr>
          <w:rFonts w:eastAsia="MS Mincho"/>
          <w:lang w:eastAsia="ja-JP" w:bidi="he-IL"/>
        </w:rPr>
      </w:pPr>
      <w:r w:rsidRPr="00AF1814">
        <w:t xml:space="preserve">For </w:t>
      </w:r>
      <w:r w:rsidRPr="00E44F28">
        <w:t>suspected irAEs, general management by NCI-CTCAE v5.0 toxicity grading is listed in Section</w:t>
      </w:r>
      <w:r w:rsidR="00EE51B7" w:rsidRPr="00E44F28">
        <w:t xml:space="preserve"> </w:t>
      </w:r>
      <w:r w:rsidR="00EE51B7" w:rsidRPr="00E44F28">
        <w:fldChar w:fldCharType="begin"/>
      </w:r>
      <w:r w:rsidR="00EE51B7" w:rsidRPr="00E44F28">
        <w:instrText xml:space="preserve"> REF _Ref14268516 \r \h </w:instrText>
      </w:r>
      <w:r w:rsidR="00AF1814" w:rsidRPr="00E44F28">
        <w:instrText xml:space="preserve"> \* MERGEFORMAT </w:instrText>
      </w:r>
      <w:r w:rsidR="00EE51B7" w:rsidRPr="00E44F28">
        <w:fldChar w:fldCharType="separate"/>
      </w:r>
      <w:r w:rsidR="00C548C3" w:rsidRPr="00E44F28">
        <w:t>8.3.6.2</w:t>
      </w:r>
      <w:r w:rsidR="00EE51B7" w:rsidRPr="00E44F28">
        <w:fldChar w:fldCharType="end"/>
      </w:r>
      <w:r w:rsidRPr="00E44F28">
        <w:t>. Recommended guidance and management for specific irAEs as per published guidelines is provided in</w:t>
      </w:r>
      <w:r w:rsidR="006727AA" w:rsidRPr="00E44F28">
        <w:t xml:space="preserve"> the </w:t>
      </w:r>
      <w:r w:rsidR="006727AA" w:rsidRPr="00E44F28">
        <w:rPr>
          <w:rFonts w:eastAsia="MS Mincho"/>
          <w:lang w:eastAsia="ja-JP" w:bidi="he-IL"/>
        </w:rPr>
        <w:t xml:space="preserve">current </w:t>
      </w:r>
      <w:r w:rsidR="00D42E4E" w:rsidRPr="00E44F28">
        <w:rPr>
          <w:rFonts w:eastAsia="MS Mincho"/>
          <w:lang w:eastAsia="ja-JP" w:bidi="he-IL"/>
        </w:rPr>
        <w:t>National Comprehensive Cancer Network (</w:t>
      </w:r>
      <w:r w:rsidR="006727AA" w:rsidRPr="00E44F28">
        <w:rPr>
          <w:rFonts w:eastAsia="MS Mincho"/>
          <w:lang w:eastAsia="ja-JP" w:bidi="he-IL"/>
        </w:rPr>
        <w:t>NCCN</w:t>
      </w:r>
      <w:r w:rsidR="00D42E4E" w:rsidRPr="00E44F28">
        <w:rPr>
          <w:rFonts w:eastAsia="MS Mincho"/>
          <w:lang w:eastAsia="ja-JP" w:bidi="he-IL"/>
        </w:rPr>
        <w:t>)</w:t>
      </w:r>
      <w:r w:rsidR="006727AA" w:rsidRPr="00E44F28">
        <w:rPr>
          <w:rFonts w:eastAsia="MS Mincho"/>
          <w:lang w:eastAsia="ja-JP" w:bidi="he-IL"/>
        </w:rPr>
        <w:t xml:space="preserve"> guideline</w:t>
      </w:r>
      <w:r w:rsidR="00971FB7" w:rsidRPr="00E44F28">
        <w:rPr>
          <w:rFonts w:eastAsia="MS Mincho"/>
          <w:lang w:eastAsia="ja-JP" w:bidi="he-IL"/>
        </w:rPr>
        <w:t xml:space="preserve"> </w:t>
      </w:r>
      <w:r w:rsidR="0071207E" w:rsidRPr="00E44F28">
        <w:rPr>
          <w:rFonts w:eastAsia="MS Mincho"/>
          <w:lang w:eastAsia="ja-JP" w:bidi="he-IL"/>
        </w:rPr>
        <w:t xml:space="preserve">available </w:t>
      </w:r>
      <w:r w:rsidR="00971FB7" w:rsidRPr="00E44F28">
        <w:rPr>
          <w:rFonts w:eastAsia="MS Mincho"/>
          <w:lang w:eastAsia="ja-JP" w:bidi="he-IL"/>
        </w:rPr>
        <w:t xml:space="preserve">at </w:t>
      </w:r>
      <w:r w:rsidR="0089522D" w:rsidRPr="00E44F28">
        <w:rPr>
          <w:rFonts w:eastAsia="MS Mincho"/>
          <w:lang w:eastAsia="ja-JP" w:bidi="he-IL"/>
        </w:rPr>
        <w:t>http://www.nccn.org</w:t>
      </w:r>
      <w:r w:rsidRPr="00E44F28">
        <w:t xml:space="preserve">. </w:t>
      </w:r>
    </w:p>
    <w:p w14:paraId="67683199" w14:textId="023BC0CA" w:rsidR="006C1FD4" w:rsidRPr="00E44F28" w:rsidRDefault="00DA3174" w:rsidP="00F15279">
      <w:pPr>
        <w:pStyle w:val="List1withbullet"/>
        <w:rPr>
          <w:rFonts w:eastAsia="MS Mincho"/>
          <w:lang w:eastAsia="ja-JP" w:bidi="he-IL"/>
        </w:rPr>
      </w:pPr>
      <w:r w:rsidRPr="00E44F28">
        <w:t>IRR and hypersensitivity reaction guidance are presented in Section </w:t>
      </w:r>
      <w:r w:rsidR="00EE51B7" w:rsidRPr="00E44F28">
        <w:fldChar w:fldCharType="begin"/>
      </w:r>
      <w:r w:rsidR="00EE51B7" w:rsidRPr="00E44F28">
        <w:instrText xml:space="preserve"> REF _Ref29478485 \r \h </w:instrText>
      </w:r>
      <w:r w:rsidR="00AF1814" w:rsidRPr="00E44F28">
        <w:instrText xml:space="preserve"> \* MERGEFORMAT </w:instrText>
      </w:r>
      <w:r w:rsidR="00EE51B7" w:rsidRPr="00E44F28">
        <w:fldChar w:fldCharType="separate"/>
      </w:r>
      <w:r w:rsidR="00C548C3" w:rsidRPr="00E44F28">
        <w:t>8.3.6.1</w:t>
      </w:r>
      <w:r w:rsidR="00EE51B7" w:rsidRPr="00E44F28">
        <w:fldChar w:fldCharType="end"/>
      </w:r>
      <w:r w:rsidRPr="00E44F28">
        <w:t>.</w:t>
      </w:r>
      <w:r w:rsidRPr="00E44F28">
        <w:rPr>
          <w:rFonts w:eastAsia="MS Mincho"/>
          <w:lang w:eastAsia="ja-JP" w:bidi="he-IL"/>
        </w:rPr>
        <w:t xml:space="preserve"> </w:t>
      </w:r>
    </w:p>
    <w:p w14:paraId="2343B3E5" w14:textId="752D2528" w:rsidR="006C1FD4" w:rsidRPr="00E44F28" w:rsidRDefault="00DA3174" w:rsidP="00F15279">
      <w:pPr>
        <w:pStyle w:val="List1withbullet"/>
        <w:rPr>
          <w:rFonts w:eastAsia="MS Mincho"/>
          <w:lang w:eastAsia="ja-JP" w:bidi="he-IL"/>
        </w:rPr>
      </w:pPr>
      <w:r w:rsidRPr="00E44F28">
        <w:t>Anemia guidance is presented in Sectio</w:t>
      </w:r>
      <w:r w:rsidR="00EE51B7" w:rsidRPr="00E44F28">
        <w:t xml:space="preserve">n </w:t>
      </w:r>
      <w:r w:rsidR="00EE51B7" w:rsidRPr="00E44F28">
        <w:fldChar w:fldCharType="begin"/>
      </w:r>
      <w:r w:rsidR="00EE51B7" w:rsidRPr="00E44F28">
        <w:instrText xml:space="preserve"> REF _Ref29478529 \r \h </w:instrText>
      </w:r>
      <w:r w:rsidR="00AF1814" w:rsidRPr="00E44F28">
        <w:instrText xml:space="preserve"> \* MERGEFORMAT </w:instrText>
      </w:r>
      <w:r w:rsidR="00EE51B7" w:rsidRPr="00E44F28">
        <w:fldChar w:fldCharType="separate"/>
      </w:r>
      <w:r w:rsidR="00C548C3" w:rsidRPr="00E44F28">
        <w:t>8.3.6.4</w:t>
      </w:r>
      <w:r w:rsidR="00EE51B7" w:rsidRPr="00E44F28">
        <w:fldChar w:fldCharType="end"/>
      </w:r>
      <w:r w:rsidRPr="00E44F28">
        <w:t>.</w:t>
      </w:r>
    </w:p>
    <w:p w14:paraId="77590E96" w14:textId="33440882" w:rsidR="00D41352" w:rsidRPr="00E44F28" w:rsidRDefault="00DA3174" w:rsidP="00F15279">
      <w:pPr>
        <w:pStyle w:val="List1withbullet"/>
        <w:rPr>
          <w:rFonts w:eastAsia="MS Mincho"/>
          <w:lang w:eastAsia="ja-JP" w:bidi="he-IL"/>
        </w:rPr>
      </w:pPr>
      <w:r w:rsidRPr="00E44F28">
        <w:t>Potential TGF</w:t>
      </w:r>
      <w:r w:rsidR="003440DD" w:rsidRPr="00E44F28">
        <w:noBreakHyphen/>
      </w:r>
      <w:r w:rsidRPr="00E44F28">
        <w:t>β</w:t>
      </w:r>
      <w:r w:rsidRPr="00E44F28">
        <w:noBreakHyphen/>
        <w:t>mediated skin AEs guidance and management are provided in Section</w:t>
      </w:r>
      <w:r w:rsidR="0022740F" w:rsidRPr="00E44F28">
        <w:t> </w:t>
      </w:r>
      <w:r w:rsidR="00EE51B7" w:rsidRPr="00E44F28">
        <w:fldChar w:fldCharType="begin"/>
      </w:r>
      <w:r w:rsidR="00EE51B7" w:rsidRPr="00E44F28">
        <w:instrText xml:space="preserve"> REF _Ref13668751 \r \h </w:instrText>
      </w:r>
      <w:r w:rsidR="00AF1814" w:rsidRPr="00E44F28">
        <w:instrText xml:space="preserve"> \* MERGEFORMAT </w:instrText>
      </w:r>
      <w:r w:rsidR="00EE51B7" w:rsidRPr="00E44F28">
        <w:fldChar w:fldCharType="separate"/>
      </w:r>
      <w:r w:rsidR="00C548C3" w:rsidRPr="00E44F28">
        <w:t>8.3.6.3</w:t>
      </w:r>
      <w:r w:rsidR="00EE51B7" w:rsidRPr="00E44F28">
        <w:fldChar w:fldCharType="end"/>
      </w:r>
      <w:r w:rsidRPr="00E44F28">
        <w:t>.</w:t>
      </w:r>
    </w:p>
    <w:p w14:paraId="2E918BC0" w14:textId="3534618C" w:rsidR="005D6925" w:rsidRPr="00E44F28" w:rsidRDefault="00DA3174" w:rsidP="00F15279">
      <w:pPr>
        <w:pStyle w:val="List1withbullet"/>
        <w:rPr>
          <w:rFonts w:eastAsia="MS Mincho"/>
          <w:lang w:eastAsia="ja-JP" w:bidi="he-IL"/>
        </w:rPr>
      </w:pPr>
      <w:r w:rsidRPr="00E44F28">
        <w:t>For guidance and management of bleeding events, see Section</w:t>
      </w:r>
      <w:r w:rsidR="00EE51B7" w:rsidRPr="00E44F28">
        <w:t xml:space="preserve"> </w:t>
      </w:r>
      <w:r w:rsidR="00EE51B7" w:rsidRPr="00E44F28">
        <w:fldChar w:fldCharType="begin"/>
      </w:r>
      <w:r w:rsidR="00EE51B7" w:rsidRPr="00E44F28">
        <w:instrText xml:space="preserve"> REF _Ref29478792 \r \h </w:instrText>
      </w:r>
      <w:r w:rsidR="00AF1814" w:rsidRPr="00E44F28">
        <w:instrText xml:space="preserve"> \* MERGEFORMAT </w:instrText>
      </w:r>
      <w:r w:rsidR="00EE51B7" w:rsidRPr="00E44F28">
        <w:fldChar w:fldCharType="separate"/>
      </w:r>
      <w:r w:rsidR="00C548C3" w:rsidRPr="00E44F28">
        <w:t>8.3.7</w:t>
      </w:r>
      <w:r w:rsidR="00EE51B7" w:rsidRPr="00E44F28">
        <w:fldChar w:fldCharType="end"/>
      </w:r>
      <w:r w:rsidRPr="00E44F28">
        <w:t xml:space="preserve">. </w:t>
      </w:r>
    </w:p>
    <w:p w14:paraId="20AB16F3" w14:textId="77777777" w:rsidR="00D41352" w:rsidRPr="00AF1814" w:rsidRDefault="00DA3174" w:rsidP="00D41352">
      <w:pPr>
        <w:pStyle w:val="BodyText"/>
      </w:pPr>
      <w:r w:rsidRPr="00AF1814">
        <w:t>General guidance for bintrafusp alfa:</w:t>
      </w:r>
    </w:p>
    <w:p w14:paraId="5E9C25B8" w14:textId="77777777" w:rsidR="00D41352" w:rsidRPr="00AF1814" w:rsidRDefault="00DA3174" w:rsidP="008E7142">
      <w:pPr>
        <w:pStyle w:val="BodyText"/>
        <w:numPr>
          <w:ilvl w:val="0"/>
          <w:numId w:val="28"/>
        </w:numPr>
        <w:ind w:left="284" w:hanging="284"/>
      </w:pPr>
      <w:r w:rsidRPr="00AF1814">
        <w:t>Inability to reduce corticosteroid dose to 10 mg or less of predniso</w:t>
      </w:r>
      <w:r w:rsidR="00C34ABC" w:rsidRPr="00AF1814">
        <w:t>lo</w:t>
      </w:r>
      <w:r w:rsidRPr="00AF1814">
        <w:t xml:space="preserve">ne or equivalent per day within 12 weeks </w:t>
      </w:r>
      <w:r w:rsidR="004D5F1A" w:rsidRPr="00AF1814">
        <w:t xml:space="preserve">after an </w:t>
      </w:r>
      <w:r w:rsidR="001953AC" w:rsidRPr="00AF1814">
        <w:t>irAE</w:t>
      </w:r>
      <w:r w:rsidRPr="00AF1814">
        <w:t xml:space="preserve"> is an indication for permanent treatment discontinuation (except for use of steroids as hormone substitution).</w:t>
      </w:r>
    </w:p>
    <w:p w14:paraId="275FDB96" w14:textId="77777777" w:rsidR="005D6925" w:rsidRPr="00AF1814" w:rsidRDefault="00DA3174" w:rsidP="008E7142">
      <w:pPr>
        <w:pStyle w:val="BodyText"/>
        <w:numPr>
          <w:ilvl w:val="0"/>
          <w:numId w:val="28"/>
        </w:numPr>
        <w:ind w:left="284" w:hanging="284"/>
      </w:pPr>
      <w:r w:rsidRPr="00AF1814">
        <w:t>Persistent endocrinopathies controlled with hormone replacement therapy generally do not require permanent treatment discontinuation, however, persistent Grade 2 treatment</w:t>
      </w:r>
      <w:r w:rsidR="00904E9F" w:rsidRPr="00AF1814">
        <w:noBreakHyphen/>
      </w:r>
      <w:r w:rsidRPr="00AF1814">
        <w:t xml:space="preserve">related </w:t>
      </w:r>
      <w:r w:rsidR="0089522D" w:rsidRPr="00AF1814">
        <w:t>AEs</w:t>
      </w:r>
      <w:r w:rsidRPr="00AF1814">
        <w:t xml:space="preserve"> that either do not resolve or improve to Grade 1 within 12 weeks after last dose of study intervention is an indication for permanent treatment discontinuation.</w:t>
      </w:r>
    </w:p>
    <w:p w14:paraId="2377D7DF" w14:textId="77777777" w:rsidR="005D6925" w:rsidRPr="00AF1814" w:rsidRDefault="00DA3174" w:rsidP="005D6925">
      <w:pPr>
        <w:pStyle w:val="BodyText"/>
      </w:pPr>
      <w:r w:rsidRPr="00AF1814">
        <w:t xml:space="preserve">In general, the following applies for TEAEs related to </w:t>
      </w:r>
      <w:r w:rsidRPr="00AF1814">
        <w:rPr>
          <w:rFonts w:eastAsia="Calibri"/>
        </w:rPr>
        <w:t>bintrafusp alfa</w:t>
      </w:r>
      <w:r w:rsidRPr="00AF1814">
        <w:t xml:space="preserve"> that are not covered by the recommendations for irAE management in</w:t>
      </w:r>
      <w:r w:rsidR="006727AA" w:rsidRPr="00AF1814">
        <w:t xml:space="preserve"> the </w:t>
      </w:r>
      <w:r w:rsidR="006727AA" w:rsidRPr="00AF1814">
        <w:rPr>
          <w:rFonts w:eastAsia="MS Mincho"/>
          <w:lang w:eastAsia="ja-JP" w:bidi="he-IL"/>
        </w:rPr>
        <w:t>current NCCN guideline</w:t>
      </w:r>
      <w:r w:rsidR="00971FB7" w:rsidRPr="00AF1814">
        <w:rPr>
          <w:rFonts w:eastAsia="MS Mincho"/>
          <w:lang w:eastAsia="ja-JP" w:bidi="he-IL"/>
        </w:rPr>
        <w:t xml:space="preserve"> </w:t>
      </w:r>
      <w:r w:rsidR="0089522D" w:rsidRPr="00AF1814">
        <w:rPr>
          <w:rFonts w:eastAsia="MS Mincho"/>
          <w:lang w:eastAsia="ja-JP" w:bidi="he-IL"/>
        </w:rPr>
        <w:t xml:space="preserve">available </w:t>
      </w:r>
      <w:r w:rsidR="00971FB7" w:rsidRPr="00AF1814">
        <w:rPr>
          <w:rFonts w:eastAsia="MS Mincho"/>
          <w:lang w:eastAsia="ja-JP" w:bidi="he-IL"/>
        </w:rPr>
        <w:t xml:space="preserve">at </w:t>
      </w:r>
      <w:r w:rsidR="0089522D" w:rsidRPr="00AF1814">
        <w:rPr>
          <w:rFonts w:eastAsia="MS Mincho"/>
          <w:lang w:eastAsia="ja-JP" w:bidi="he-IL"/>
        </w:rPr>
        <w:t>http://www.nccn.org</w:t>
      </w:r>
      <w:r w:rsidRPr="00AF1814">
        <w:t>:</w:t>
      </w:r>
    </w:p>
    <w:p w14:paraId="47A13956" w14:textId="77777777" w:rsidR="005D6925" w:rsidRPr="00AF1814" w:rsidRDefault="00DA3174" w:rsidP="00BD71E7">
      <w:pPr>
        <w:pStyle w:val="List1withbullet"/>
        <w:keepNext/>
        <w:widowControl w:val="0"/>
        <w:numPr>
          <w:ilvl w:val="0"/>
          <w:numId w:val="0"/>
        </w:numPr>
        <w:ind w:left="284" w:hanging="284"/>
        <w:rPr>
          <w:b/>
        </w:rPr>
      </w:pPr>
      <w:r w:rsidRPr="00AF1814">
        <w:rPr>
          <w:b/>
        </w:rPr>
        <w:t>Grade 4 treatment-related TEAEs</w:t>
      </w:r>
    </w:p>
    <w:p w14:paraId="0F218258" w14:textId="77777777" w:rsidR="005D6925" w:rsidRPr="00AF1814" w:rsidRDefault="00DA3174" w:rsidP="00D41352">
      <w:pPr>
        <w:pStyle w:val="List1withbullet"/>
        <w:numPr>
          <w:ilvl w:val="0"/>
          <w:numId w:val="10"/>
        </w:numPr>
      </w:pPr>
      <w:r w:rsidRPr="00AF1814">
        <w:t>Any Grade 4 treatment-related TEAEs require permanent treatment discontinuation, except</w:t>
      </w:r>
      <w:r w:rsidR="00904E9F" w:rsidRPr="00AF1814">
        <w:t>:</w:t>
      </w:r>
      <w:r w:rsidRPr="00AF1814">
        <w:t xml:space="preserve"> </w:t>
      </w:r>
    </w:p>
    <w:p w14:paraId="1392253D" w14:textId="3971AC76" w:rsidR="005D6925" w:rsidRPr="00AF1814" w:rsidRDefault="00DA3174" w:rsidP="008E7142">
      <w:pPr>
        <w:pStyle w:val="List1withoutbullet"/>
        <w:numPr>
          <w:ilvl w:val="0"/>
          <w:numId w:val="24"/>
        </w:numPr>
      </w:pPr>
      <w:r w:rsidRPr="00AF1814">
        <w:t>E</w:t>
      </w:r>
      <w:r w:rsidR="009977EF" w:rsidRPr="00AF1814">
        <w:t>ndocrinopathies that have been controlled by hormone replacement</w:t>
      </w:r>
      <w:r w:rsidR="0039658A">
        <w:t>.</w:t>
      </w:r>
      <w:r w:rsidR="009977EF" w:rsidRPr="00AF1814">
        <w:t xml:space="preserve"> </w:t>
      </w:r>
    </w:p>
    <w:p w14:paraId="68AB62A2" w14:textId="58F20E98" w:rsidR="005D6925" w:rsidRPr="00AF1814" w:rsidRDefault="00DA3174" w:rsidP="008E7142">
      <w:pPr>
        <w:pStyle w:val="List1withoutbullet"/>
        <w:numPr>
          <w:ilvl w:val="0"/>
          <w:numId w:val="24"/>
        </w:numPr>
      </w:pPr>
      <w:r w:rsidRPr="00AF1814">
        <w:t>I</w:t>
      </w:r>
      <w:r w:rsidR="009977EF" w:rsidRPr="00AF1814">
        <w:t>solated laboratory values out of normal range that do not have any clinical correlation. Discuss with Medical Monitor regarding work-up, management, and treatment continuation versus hold versus discontinuation for isolated Grade 4 laboratory abnormalities</w:t>
      </w:r>
      <w:r w:rsidR="0039658A">
        <w:t>.</w:t>
      </w:r>
    </w:p>
    <w:p w14:paraId="11F3DA04" w14:textId="77777777" w:rsidR="005D6925" w:rsidRPr="00AF1814" w:rsidRDefault="00DA3174" w:rsidP="008E7142">
      <w:pPr>
        <w:pStyle w:val="ListParagraph"/>
        <w:numPr>
          <w:ilvl w:val="0"/>
          <w:numId w:val="24"/>
        </w:numPr>
        <w:rPr>
          <w:szCs w:val="20"/>
        </w:rPr>
      </w:pPr>
      <w:r w:rsidRPr="00AF1814">
        <w:rPr>
          <w:szCs w:val="20"/>
        </w:rPr>
        <w:t>I</w:t>
      </w:r>
      <w:r w:rsidR="009977EF" w:rsidRPr="00AF1814">
        <w:rPr>
          <w:szCs w:val="20"/>
        </w:rPr>
        <w:t>f alternative explanation is identified for Grade 4 non-tumor bleeding.</w:t>
      </w:r>
    </w:p>
    <w:p w14:paraId="52FF73EA" w14:textId="77777777" w:rsidR="005D6925" w:rsidRPr="00AF1814" w:rsidRDefault="00DA3174" w:rsidP="005D6925">
      <w:pPr>
        <w:pStyle w:val="BodyText"/>
      </w:pPr>
      <w:r w:rsidRPr="00AF1814">
        <w:lastRenderedPageBreak/>
        <w:t>See</w:t>
      </w:r>
      <w:r w:rsidR="006727AA" w:rsidRPr="00AF1814">
        <w:t xml:space="preserve"> </w:t>
      </w:r>
      <w:r w:rsidR="006727AA" w:rsidRPr="00AF1814">
        <w:rPr>
          <w:rFonts w:eastAsia="MS Mincho"/>
          <w:lang w:eastAsia="ja-JP" w:bidi="he-IL"/>
        </w:rPr>
        <w:t>the current NCCN guideline</w:t>
      </w:r>
      <w:r w:rsidR="00971FB7" w:rsidRPr="00AF1814">
        <w:rPr>
          <w:rFonts w:eastAsia="MS Mincho"/>
          <w:lang w:eastAsia="ja-JP" w:bidi="he-IL"/>
        </w:rPr>
        <w:t xml:space="preserve"> </w:t>
      </w:r>
      <w:r w:rsidR="0089522D" w:rsidRPr="00AF1814">
        <w:rPr>
          <w:rFonts w:eastAsia="MS Mincho"/>
          <w:lang w:eastAsia="ja-JP" w:bidi="he-IL"/>
        </w:rPr>
        <w:t xml:space="preserve">available </w:t>
      </w:r>
      <w:r w:rsidR="00971FB7" w:rsidRPr="00AF1814">
        <w:rPr>
          <w:rFonts w:eastAsia="MS Mincho"/>
          <w:lang w:eastAsia="ja-JP" w:bidi="he-IL"/>
        </w:rPr>
        <w:t xml:space="preserve">at </w:t>
      </w:r>
      <w:r w:rsidR="0089522D" w:rsidRPr="00AF1814">
        <w:rPr>
          <w:rFonts w:eastAsia="MS Mincho"/>
          <w:lang w:eastAsia="ja-JP" w:bidi="he-IL"/>
        </w:rPr>
        <w:t>http://www.nccn.org</w:t>
      </w:r>
      <w:r w:rsidR="00BD71E7" w:rsidRPr="00AF1814">
        <w:rPr>
          <w:rStyle w:val="Hyperlink"/>
        </w:rPr>
        <w:t xml:space="preserve"> </w:t>
      </w:r>
      <w:r w:rsidRPr="00AF1814">
        <w:t>for guidance on specific Grade 4 irAEs, as most require permanent treatment discontinuation</w:t>
      </w:r>
      <w:r w:rsidR="00602931" w:rsidRPr="00AF1814">
        <w:t>.</w:t>
      </w:r>
    </w:p>
    <w:p w14:paraId="2D0EB525" w14:textId="77777777" w:rsidR="005D6925" w:rsidRPr="00AF1814" w:rsidRDefault="00DA3174" w:rsidP="0089522D">
      <w:pPr>
        <w:pStyle w:val="BodyText"/>
        <w:keepNext/>
        <w:rPr>
          <w:b/>
        </w:rPr>
      </w:pPr>
      <w:r w:rsidRPr="00AF1814">
        <w:rPr>
          <w:b/>
        </w:rPr>
        <w:t xml:space="preserve">Grade 3 treatment-related TEAE </w:t>
      </w:r>
    </w:p>
    <w:p w14:paraId="28481DD1" w14:textId="77777777" w:rsidR="005D6925" w:rsidRPr="00AF1814" w:rsidRDefault="00DA3174" w:rsidP="00E95F9F">
      <w:pPr>
        <w:pStyle w:val="List1withbullet"/>
        <w:numPr>
          <w:ilvl w:val="0"/>
          <w:numId w:val="38"/>
        </w:numPr>
      </w:pPr>
      <w:r w:rsidRPr="00AF1814">
        <w:t xml:space="preserve">Participants with any recurrent Grade 3 treatment-related </w:t>
      </w:r>
      <w:r w:rsidR="00E94FF3" w:rsidRPr="00AF1814">
        <w:t>AEs</w:t>
      </w:r>
      <w:r w:rsidR="00904E9F" w:rsidRPr="00AF1814">
        <w:t xml:space="preserve"> </w:t>
      </w:r>
      <w:r w:rsidRPr="00AF1814">
        <w:t>that recur should be permanently discontinued. Exceptions may be considered for the following after discussion with Medical Monitor:</w:t>
      </w:r>
    </w:p>
    <w:p w14:paraId="71AC9870" w14:textId="5926D45B" w:rsidR="005D6925" w:rsidRPr="00AF1814" w:rsidRDefault="00DA3174" w:rsidP="008E7142">
      <w:pPr>
        <w:pStyle w:val="List1withoutbullet"/>
        <w:numPr>
          <w:ilvl w:val="0"/>
          <w:numId w:val="25"/>
        </w:numPr>
        <w:tabs>
          <w:tab w:val="clear" w:pos="284"/>
        </w:tabs>
      </w:pPr>
      <w:r w:rsidRPr="00AF1814">
        <w:t>Transient Grade 3 flu-like symptoms or fever that is controlled with medical management</w:t>
      </w:r>
      <w:r w:rsidR="0039658A">
        <w:t>.</w:t>
      </w:r>
    </w:p>
    <w:p w14:paraId="056105C4" w14:textId="41AD798E" w:rsidR="005D6925" w:rsidRPr="00AF1814" w:rsidRDefault="00DA3174" w:rsidP="008E7142">
      <w:pPr>
        <w:pStyle w:val="List1withoutbullet"/>
        <w:numPr>
          <w:ilvl w:val="0"/>
          <w:numId w:val="25"/>
        </w:numPr>
        <w:tabs>
          <w:tab w:val="clear" w:pos="284"/>
        </w:tabs>
      </w:pPr>
      <w:r w:rsidRPr="00AF1814">
        <w:t>Transient Grade 3 fatigue, local reactions, headache, nausea, emesis that resolves to ≤</w:t>
      </w:r>
      <w:r w:rsidR="00904E9F" w:rsidRPr="00AF1814">
        <w:t> </w:t>
      </w:r>
      <w:r w:rsidRPr="00AF1814">
        <w:t>Grade 1 or baseline</w:t>
      </w:r>
      <w:r w:rsidR="0039658A">
        <w:t>.</w:t>
      </w:r>
    </w:p>
    <w:p w14:paraId="7626D417" w14:textId="371D15E7" w:rsidR="005D6925" w:rsidRPr="00AF1814" w:rsidRDefault="00DA3174" w:rsidP="008E7142">
      <w:pPr>
        <w:pStyle w:val="List1withoutbullet"/>
        <w:numPr>
          <w:ilvl w:val="0"/>
          <w:numId w:val="25"/>
        </w:numPr>
        <w:tabs>
          <w:tab w:val="clear" w:pos="284"/>
        </w:tabs>
      </w:pPr>
      <w:r w:rsidRPr="00AF1814">
        <w:t>Tumor flare phenomenon defined as local pain, irritation, or rash localized at sites of known or suspected tumors</w:t>
      </w:r>
      <w:r w:rsidR="0039658A">
        <w:t>.</w:t>
      </w:r>
    </w:p>
    <w:p w14:paraId="4AA376C8" w14:textId="4D7CEFC9" w:rsidR="005D6925" w:rsidRPr="00AF1814" w:rsidRDefault="00DA3174" w:rsidP="008E7142">
      <w:pPr>
        <w:pStyle w:val="List1withoutbullet"/>
        <w:numPr>
          <w:ilvl w:val="0"/>
          <w:numId w:val="25"/>
        </w:numPr>
        <w:tabs>
          <w:tab w:val="clear" w:pos="284"/>
        </w:tabs>
      </w:pPr>
      <w:r w:rsidRPr="00AF1814">
        <w:t>Any Grade ≥ 3 drug-related amylase or lipase abnormality that is not associated with symptoms or clinical manifestations of pancreatitis</w:t>
      </w:r>
      <w:r w:rsidR="0039658A">
        <w:t>.</w:t>
      </w:r>
    </w:p>
    <w:p w14:paraId="7C10BD61" w14:textId="4D07DC44" w:rsidR="005D6925" w:rsidRPr="00AF1814" w:rsidRDefault="00DA3174" w:rsidP="008E7142">
      <w:pPr>
        <w:pStyle w:val="List1withoutbullet"/>
        <w:numPr>
          <w:ilvl w:val="0"/>
          <w:numId w:val="25"/>
        </w:numPr>
        <w:tabs>
          <w:tab w:val="clear" w:pos="284"/>
        </w:tabs>
      </w:pPr>
      <w:r w:rsidRPr="00AF1814">
        <w:t xml:space="preserve">Grade 3 </w:t>
      </w:r>
      <w:r w:rsidR="0022740F" w:rsidRPr="00AF1814">
        <w:t>hemoglobin</w:t>
      </w:r>
      <w:r w:rsidRPr="00AF1814">
        <w:t xml:space="preserve"> decrease (&lt; 8.0 g/dL) that is clinically manageable with blood transfusions or erythroid growth factor use</w:t>
      </w:r>
      <w:r w:rsidR="0039658A">
        <w:t>.</w:t>
      </w:r>
    </w:p>
    <w:p w14:paraId="293E3391" w14:textId="77777777" w:rsidR="005D6925" w:rsidRPr="00AF1814" w:rsidRDefault="00DA3174" w:rsidP="008E7142">
      <w:pPr>
        <w:pStyle w:val="List1withoutbullet"/>
        <w:numPr>
          <w:ilvl w:val="0"/>
          <w:numId w:val="25"/>
        </w:numPr>
        <w:tabs>
          <w:tab w:val="clear" w:pos="284"/>
        </w:tabs>
      </w:pPr>
      <w:r w:rsidRPr="00AF1814">
        <w:rPr>
          <w:rFonts w:hint="eastAsia"/>
        </w:rPr>
        <w:t xml:space="preserve">Increases in ECOG PS </w:t>
      </w:r>
      <w:r w:rsidRPr="00AF1814">
        <w:t>≥</w:t>
      </w:r>
      <w:r w:rsidRPr="00AF1814">
        <w:rPr>
          <w:rFonts w:hint="eastAsia"/>
        </w:rPr>
        <w:t xml:space="preserve"> 3 that resolves to </w:t>
      </w:r>
      <w:r w:rsidRPr="00AF1814">
        <w:t>≤</w:t>
      </w:r>
      <w:r w:rsidRPr="00AF1814">
        <w:rPr>
          <w:rFonts w:hint="eastAsia"/>
        </w:rPr>
        <w:t xml:space="preserve"> 2 by Day 1 of the next infusion (i</w:t>
      </w:r>
      <w:r w:rsidR="00904E9F" w:rsidRPr="00AF1814">
        <w:t>.</w:t>
      </w:r>
      <w:r w:rsidRPr="00AF1814">
        <w:rPr>
          <w:rFonts w:hint="eastAsia"/>
        </w:rPr>
        <w:t>e</w:t>
      </w:r>
      <w:r w:rsidR="00904E9F" w:rsidRPr="00AF1814">
        <w:t>.</w:t>
      </w:r>
      <w:r w:rsidRPr="00AF1814">
        <w:rPr>
          <w:rFonts w:hint="eastAsia"/>
        </w:rPr>
        <w:t xml:space="preserve">, infusions should not be given if the ECOG PS is </w:t>
      </w:r>
      <w:r w:rsidRPr="00AF1814">
        <w:t>≥</w:t>
      </w:r>
      <w:r w:rsidRPr="00AF1814">
        <w:rPr>
          <w:rFonts w:hint="eastAsia"/>
        </w:rPr>
        <w:t xml:space="preserve"> 3 on the day of treatment and should be delayed until ECOG PS </w:t>
      </w:r>
      <w:r w:rsidRPr="00AF1814">
        <w:t>≤</w:t>
      </w:r>
      <w:r w:rsidRPr="00AF1814">
        <w:rPr>
          <w:rFonts w:hint="eastAsia"/>
        </w:rPr>
        <w:t xml:space="preserve"> 2).</w:t>
      </w:r>
    </w:p>
    <w:p w14:paraId="524D08EF" w14:textId="419A0C46" w:rsidR="005D6925" w:rsidRPr="00AF1814" w:rsidRDefault="00DA3174" w:rsidP="008E7142">
      <w:pPr>
        <w:pStyle w:val="List1withoutbullet"/>
        <w:numPr>
          <w:ilvl w:val="0"/>
          <w:numId w:val="25"/>
        </w:numPr>
        <w:tabs>
          <w:tab w:val="clear" w:pos="284"/>
        </w:tabs>
      </w:pPr>
      <w:r w:rsidRPr="00AF1814">
        <w:t>Keratoacanthoma and cutaneous squamous cell carcinoma (cSCC)</w:t>
      </w:r>
      <w:r w:rsidR="0039658A">
        <w:t>.</w:t>
      </w:r>
    </w:p>
    <w:p w14:paraId="705C88B2" w14:textId="77777777" w:rsidR="005D6925" w:rsidRPr="00AF1814" w:rsidRDefault="00DA3174" w:rsidP="008E7142">
      <w:pPr>
        <w:pStyle w:val="List1withoutbullet"/>
        <w:numPr>
          <w:ilvl w:val="0"/>
          <w:numId w:val="25"/>
        </w:numPr>
        <w:tabs>
          <w:tab w:val="clear" w:pos="284"/>
        </w:tabs>
      </w:pPr>
      <w:r w:rsidRPr="00AF1814">
        <w:t>Grade 3 non-tumor bleeding requiring intervention or hospitalization if alternative explanation can be identified (such as concomitant use of antithrombotic agents, traumatic event, etc</w:t>
      </w:r>
      <w:r w:rsidR="0022740F" w:rsidRPr="00AF1814">
        <w:t>.</w:t>
      </w:r>
      <w:r w:rsidRPr="00AF1814">
        <w:t xml:space="preserve">). </w:t>
      </w:r>
    </w:p>
    <w:p w14:paraId="28F506A2" w14:textId="77777777" w:rsidR="005D6925" w:rsidRPr="00AF1814" w:rsidRDefault="00DA3174" w:rsidP="00E95F9F">
      <w:pPr>
        <w:pStyle w:val="List1withbullet"/>
        <w:numPr>
          <w:ilvl w:val="0"/>
          <w:numId w:val="38"/>
        </w:numPr>
      </w:pPr>
      <w:r w:rsidRPr="00AF1814">
        <w:t xml:space="preserve">AST or ALT &gt; 5 times ULN or total bilirubin </w:t>
      </w:r>
      <w:r w:rsidR="0022740F" w:rsidRPr="00AF1814">
        <w:t xml:space="preserve">&gt; </w:t>
      </w:r>
      <w:r w:rsidRPr="00AF1814">
        <w:t>3 times ULN must be permanently discontinued, except for participants with liver metastases (for example) who begin treatment with Grade 2 AST or ALT. These participants should be discontinued if AST</w:t>
      </w:r>
      <w:r w:rsidRPr="00AF1814">
        <w:rPr>
          <w:rFonts w:hint="eastAsia"/>
        </w:rPr>
        <w:t xml:space="preserve"> or ALT increases by </w:t>
      </w:r>
      <w:r w:rsidRPr="00AF1814">
        <w:t>≥</w:t>
      </w:r>
      <w:r w:rsidRPr="00AF1814">
        <w:rPr>
          <w:rFonts w:hint="eastAsia"/>
        </w:rPr>
        <w:t xml:space="preserve"> 50% relative to baseline and lasts for at least 1 week.</w:t>
      </w:r>
    </w:p>
    <w:p w14:paraId="5B0C32F7" w14:textId="77777777" w:rsidR="005D6925" w:rsidRPr="00AF1814" w:rsidRDefault="00DA3174" w:rsidP="00E95F9F">
      <w:pPr>
        <w:pStyle w:val="List1withbullet"/>
        <w:numPr>
          <w:ilvl w:val="0"/>
          <w:numId w:val="38"/>
        </w:numPr>
      </w:pPr>
      <w:r w:rsidRPr="00AF1814">
        <w:t xml:space="preserve">Persistent Grade 3 </w:t>
      </w:r>
      <w:r w:rsidR="00922578" w:rsidRPr="00AF1814">
        <w:t>AEs</w:t>
      </w:r>
      <w:r w:rsidR="00904E9F" w:rsidRPr="00AF1814">
        <w:t xml:space="preserve"> </w:t>
      </w:r>
      <w:r w:rsidRPr="00AF1814">
        <w:t>(excluding endocrinopathies controlled with hormone replacement therapy) that either do not resolve or improve to Grade 1</w:t>
      </w:r>
      <w:r w:rsidR="0022740F" w:rsidRPr="00AF1814">
        <w:t xml:space="preserve"> </w:t>
      </w:r>
      <w:r w:rsidRPr="00AF1814">
        <w:t xml:space="preserve">within 12 weeks after last dose of treatment must be permanently discontinued. </w:t>
      </w:r>
    </w:p>
    <w:p w14:paraId="7E0C1DD2" w14:textId="77777777" w:rsidR="005D6925" w:rsidRPr="00AF1814" w:rsidRDefault="00DA3174" w:rsidP="005D6925">
      <w:pPr>
        <w:pStyle w:val="BodyText"/>
      </w:pPr>
      <w:r w:rsidRPr="00AF1814">
        <w:t xml:space="preserve">See </w:t>
      </w:r>
      <w:r w:rsidR="006727AA" w:rsidRPr="00AF1814">
        <w:rPr>
          <w:rFonts w:eastAsia="MS Mincho"/>
          <w:lang w:eastAsia="ja-JP" w:bidi="he-IL"/>
        </w:rPr>
        <w:t>the current NCCN guideline</w:t>
      </w:r>
      <w:r w:rsidR="00BD71E7" w:rsidRPr="00AF1814">
        <w:rPr>
          <w:rFonts w:eastAsia="MS Mincho"/>
          <w:lang w:eastAsia="ja-JP" w:bidi="he-IL"/>
        </w:rPr>
        <w:t xml:space="preserve"> </w:t>
      </w:r>
      <w:r w:rsidR="0089522D" w:rsidRPr="00AF1814">
        <w:rPr>
          <w:rFonts w:eastAsia="MS Mincho"/>
          <w:lang w:eastAsia="ja-JP" w:bidi="he-IL"/>
        </w:rPr>
        <w:t xml:space="preserve">available </w:t>
      </w:r>
      <w:r w:rsidR="00971FB7" w:rsidRPr="00AF1814">
        <w:rPr>
          <w:rFonts w:eastAsia="MS Mincho"/>
          <w:lang w:eastAsia="ja-JP" w:bidi="he-IL"/>
        </w:rPr>
        <w:t xml:space="preserve">at </w:t>
      </w:r>
      <w:r w:rsidR="0089522D" w:rsidRPr="00AF1814">
        <w:rPr>
          <w:rFonts w:eastAsia="MS Mincho"/>
          <w:lang w:eastAsia="ja-JP" w:bidi="he-IL"/>
        </w:rPr>
        <w:t>http://www.nccn.org</w:t>
      </w:r>
      <w:r w:rsidR="006727AA" w:rsidRPr="00AF1814">
        <w:rPr>
          <w:rFonts w:eastAsia="MS Mincho"/>
          <w:lang w:eastAsia="ja-JP" w:bidi="he-IL"/>
        </w:rPr>
        <w:t xml:space="preserve"> </w:t>
      </w:r>
      <w:r w:rsidRPr="00AF1814">
        <w:t>for guidance on specific Grade</w:t>
      </w:r>
      <w:r w:rsidR="0089522D" w:rsidRPr="00AF1814">
        <w:t> </w:t>
      </w:r>
      <w:r w:rsidRPr="00AF1814">
        <w:t>3 irAEs as many require permanent treatment discontinuation, including pneumonitis and nephritis.</w:t>
      </w:r>
    </w:p>
    <w:p w14:paraId="31E0F74D" w14:textId="77777777" w:rsidR="005D6925" w:rsidRPr="00AF1814" w:rsidRDefault="00DA3174" w:rsidP="005D6925">
      <w:pPr>
        <w:pStyle w:val="BodyText"/>
        <w:rPr>
          <w:b/>
        </w:rPr>
      </w:pPr>
      <w:r w:rsidRPr="00AF1814">
        <w:rPr>
          <w:b/>
        </w:rPr>
        <w:t>Grade 2 treatment-related TEAE</w:t>
      </w:r>
    </w:p>
    <w:p w14:paraId="1E7C221C" w14:textId="77777777" w:rsidR="005D6925" w:rsidRPr="00AF1814" w:rsidRDefault="00DA3174" w:rsidP="008E7142">
      <w:pPr>
        <w:pStyle w:val="BodyText"/>
        <w:numPr>
          <w:ilvl w:val="0"/>
          <w:numId w:val="29"/>
        </w:numPr>
      </w:pPr>
      <w:r w:rsidRPr="00AF1814">
        <w:t>If a Grade 2 treatment-related TEAE resolves to Grade ≤ 1 by the day before the next infusion, study intervention may be continued.</w:t>
      </w:r>
    </w:p>
    <w:p w14:paraId="1B355D8C" w14:textId="77777777" w:rsidR="005D6925" w:rsidRPr="00AF1814" w:rsidRDefault="00DA3174" w:rsidP="008E7142">
      <w:pPr>
        <w:pStyle w:val="BodyText"/>
        <w:numPr>
          <w:ilvl w:val="0"/>
          <w:numId w:val="29"/>
        </w:numPr>
      </w:pPr>
      <w:r w:rsidRPr="00AF1814">
        <w:t xml:space="preserve">If a Grade 2 treatment-related TEAE does not resolve to Grade ≤ 1 by the day before the next infusion, but it is manageable and/or not clinically relevant, the Medical Monitor </w:t>
      </w:r>
      <w:r w:rsidRPr="00AF1814">
        <w:lastRenderedPageBreak/>
        <w:t>should be consulted to assess if it is clinically reasonable to administer the following infusion.</w:t>
      </w:r>
    </w:p>
    <w:p w14:paraId="69528160" w14:textId="77777777" w:rsidR="005D6925" w:rsidRPr="00AF1814" w:rsidRDefault="00DA3174" w:rsidP="005D6925">
      <w:pPr>
        <w:pStyle w:val="BodyText"/>
      </w:pPr>
      <w:r w:rsidRPr="00AF1814">
        <w:t xml:space="preserve">Note that treatment recommendations regarding continuation, hold, or discontinuation by grade are different depending on the specific toxicity (see </w:t>
      </w:r>
      <w:r w:rsidR="00BD71E7" w:rsidRPr="00AF1814">
        <w:rPr>
          <w:rFonts w:eastAsia="MS Mincho"/>
          <w:lang w:eastAsia="ja-JP" w:bidi="he-IL"/>
        </w:rPr>
        <w:t>the current NCCN guideline</w:t>
      </w:r>
      <w:r w:rsidR="0089522D" w:rsidRPr="00AF1814">
        <w:rPr>
          <w:rFonts w:eastAsia="MS Mincho"/>
          <w:lang w:eastAsia="ja-JP" w:bidi="he-IL"/>
        </w:rPr>
        <w:t xml:space="preserve"> available</w:t>
      </w:r>
      <w:r w:rsidR="00BD71E7" w:rsidRPr="00AF1814">
        <w:rPr>
          <w:rFonts w:eastAsia="MS Mincho"/>
          <w:lang w:eastAsia="ja-JP" w:bidi="he-IL"/>
        </w:rPr>
        <w:t xml:space="preserve"> at </w:t>
      </w:r>
      <w:r w:rsidR="0089522D" w:rsidRPr="00AF1814">
        <w:rPr>
          <w:rFonts w:eastAsia="MS Mincho"/>
          <w:lang w:eastAsia="ja-JP" w:bidi="he-IL"/>
        </w:rPr>
        <w:t>http://www.nccn.org</w:t>
      </w:r>
      <w:r w:rsidRPr="00AF1814">
        <w:t xml:space="preserve">). Toxicity grading is assigned based on NCI-CTCAE </w:t>
      </w:r>
      <w:r w:rsidR="00B56CC3" w:rsidRPr="00AF1814">
        <w:t>v</w:t>
      </w:r>
      <w:r w:rsidRPr="00AF1814">
        <w:t xml:space="preserve">5.0. </w:t>
      </w:r>
    </w:p>
    <w:p w14:paraId="1D3A1E96" w14:textId="77777777" w:rsidR="003836EF" w:rsidRPr="00AF1814" w:rsidRDefault="00DA3174" w:rsidP="00FE4B0F">
      <w:pPr>
        <w:pStyle w:val="Heading3"/>
      </w:pPr>
      <w:bookmarkStart w:id="192" w:name="_Toc44601682"/>
      <w:r w:rsidRPr="00AF1814">
        <w:t>Bevacizumab</w:t>
      </w:r>
      <w:bookmarkEnd w:id="192"/>
    </w:p>
    <w:p w14:paraId="59B42ABF" w14:textId="77777777" w:rsidR="00AE6D1C" w:rsidRPr="00AF1814" w:rsidRDefault="00DA3174" w:rsidP="00FE4B0F">
      <w:pPr>
        <w:pStyle w:val="BodyText"/>
      </w:pPr>
      <w:r w:rsidRPr="00AF1814">
        <w:rPr>
          <w:rFonts w:eastAsia="Calibri"/>
        </w:rPr>
        <w:t xml:space="preserve">Participants who receive bevacizumab must be monitored </w:t>
      </w:r>
      <w:r w:rsidR="00487D3B" w:rsidRPr="00AF1814">
        <w:t>as per local standards and approved labeling documents recommendations</w:t>
      </w:r>
      <w:r w:rsidR="00487D3B" w:rsidRPr="00AF1814">
        <w:rPr>
          <w:rFonts w:eastAsia="Calibri"/>
        </w:rPr>
        <w:t xml:space="preserve"> </w:t>
      </w:r>
      <w:r w:rsidRPr="00AF1814">
        <w:rPr>
          <w:rFonts w:eastAsia="Calibri"/>
        </w:rPr>
        <w:t xml:space="preserve">for </w:t>
      </w:r>
      <w:r w:rsidR="00407A72" w:rsidRPr="00AF1814">
        <w:rPr>
          <w:rFonts w:eastAsia="Calibri"/>
        </w:rPr>
        <w:t>GI</w:t>
      </w:r>
      <w:r w:rsidRPr="00AF1814">
        <w:rPr>
          <w:rFonts w:eastAsia="Calibri"/>
        </w:rPr>
        <w:t xml:space="preserve"> perforations</w:t>
      </w:r>
      <w:r w:rsidR="00487D3B" w:rsidRPr="00AF1814">
        <w:rPr>
          <w:rFonts w:eastAsia="Calibri"/>
        </w:rPr>
        <w:t>,</w:t>
      </w:r>
      <w:r w:rsidR="0031540B" w:rsidRPr="00AF1814">
        <w:rPr>
          <w:rFonts w:eastAsia="Calibri"/>
        </w:rPr>
        <w:t xml:space="preserve"> </w:t>
      </w:r>
      <w:r w:rsidR="00407A72" w:rsidRPr="00AF1814">
        <w:rPr>
          <w:rFonts w:eastAsia="Calibri"/>
        </w:rPr>
        <w:t>GI</w:t>
      </w:r>
      <w:r w:rsidR="0031540B" w:rsidRPr="00AF1814">
        <w:rPr>
          <w:rFonts w:eastAsia="Calibri"/>
        </w:rPr>
        <w:t>,</w:t>
      </w:r>
      <w:r w:rsidR="00487D3B" w:rsidRPr="00AF1814">
        <w:rPr>
          <w:rFonts w:eastAsia="Calibri"/>
        </w:rPr>
        <w:t xml:space="preserve"> </w:t>
      </w:r>
      <w:r w:rsidR="0031540B" w:rsidRPr="00AF1814">
        <w:rPr>
          <w:rFonts w:eastAsia="Calibri"/>
        </w:rPr>
        <w:t>GI-vaginal and tracheoesophageal</w:t>
      </w:r>
      <w:r w:rsidRPr="00AF1814">
        <w:rPr>
          <w:rFonts w:eastAsia="Calibri"/>
        </w:rPr>
        <w:t xml:space="preserve"> fistula, </w:t>
      </w:r>
      <w:r w:rsidRPr="00AF1814">
        <w:t>wound healing complications, hemorrhage, arterial</w:t>
      </w:r>
      <w:r w:rsidR="0031540B" w:rsidRPr="00AF1814">
        <w:t xml:space="preserve"> and venous </w:t>
      </w:r>
      <w:r w:rsidRPr="00AF1814">
        <w:t>thromboembolic events, hypertension, posterior reversible encephalopathy syndrome, renal injury and proteinuria</w:t>
      </w:r>
      <w:r w:rsidR="00487D3B" w:rsidRPr="00AF1814">
        <w:t xml:space="preserve">, </w:t>
      </w:r>
      <w:r w:rsidR="00FD07A7" w:rsidRPr="00AF1814">
        <w:t>IRRs</w:t>
      </w:r>
      <w:r w:rsidRPr="00AF1814">
        <w:t>, embryofetal toxicity</w:t>
      </w:r>
      <w:r w:rsidR="00487D3B" w:rsidRPr="00AF1814">
        <w:t xml:space="preserve">, </w:t>
      </w:r>
      <w:r w:rsidRPr="00AF1814">
        <w:t>ovarian failure, congestive heart failure</w:t>
      </w:r>
      <w:r w:rsidR="00487D3B" w:rsidRPr="00AF1814">
        <w:t>.</w:t>
      </w:r>
    </w:p>
    <w:p w14:paraId="6FD8BB73" w14:textId="14779FB2" w:rsidR="00AE6D1C" w:rsidRPr="00AF1814" w:rsidRDefault="00DA3174" w:rsidP="00AE6D1C">
      <w:pPr>
        <w:pStyle w:val="Heading4"/>
      </w:pPr>
      <w:bookmarkStart w:id="193" w:name="_Toc44601683"/>
      <w:r w:rsidRPr="00AF1814">
        <w:t>Risk Management for Bevacizumab</w:t>
      </w:r>
      <w:bookmarkEnd w:id="193"/>
    </w:p>
    <w:p w14:paraId="689C115A" w14:textId="77777777" w:rsidR="00AE6D1C" w:rsidRPr="00AF1814" w:rsidRDefault="00DA3174" w:rsidP="00AE6D1C">
      <w:pPr>
        <w:pStyle w:val="BodyText"/>
      </w:pPr>
      <w:r w:rsidRPr="00AF1814">
        <w:t>In general, bevacizumab will not be dose reduced; however, if the patient’s weight changes by ≥</w:t>
      </w:r>
      <w:r w:rsidR="00701ABC" w:rsidRPr="00AF1814">
        <w:t> </w:t>
      </w:r>
      <w:r w:rsidRPr="00AF1814">
        <w:t>10% during the study, the dose of bevacizumab will be recalculated.</w:t>
      </w:r>
    </w:p>
    <w:p w14:paraId="46529D29" w14:textId="77777777" w:rsidR="00AE6D1C" w:rsidRPr="00AF1814" w:rsidRDefault="00DA3174" w:rsidP="00AE6D1C">
      <w:pPr>
        <w:pStyle w:val="BodyText"/>
      </w:pPr>
      <w:r w:rsidRPr="00AF1814">
        <w:t>If chemotherapy is held for a low ANC or thrombocytopenia, bevacizumab will also be held.</w:t>
      </w:r>
    </w:p>
    <w:p w14:paraId="6A640436" w14:textId="77777777" w:rsidR="000B3917" w:rsidRPr="00AF1814" w:rsidRDefault="00DA3174" w:rsidP="00AE6D1C">
      <w:pPr>
        <w:pStyle w:val="BodyText"/>
      </w:pPr>
      <w:r w:rsidRPr="00AF1814">
        <w:t xml:space="preserve">Bevacizumab should be withheld or discontinued according to approved product label and/or standard practice for GI perforations and fistulae, wound healing complications, hemorrhage, thromboembolic events, hypertension, posterior reversible encephalopathy syndrome, renal injury and proteinuria, IRR, and congestive heart failure. </w:t>
      </w:r>
      <w:r w:rsidR="00CE77D4" w:rsidRPr="00AF1814">
        <w:t xml:space="preserve"> </w:t>
      </w:r>
    </w:p>
    <w:p w14:paraId="1A026F0D" w14:textId="77777777" w:rsidR="003836EF" w:rsidRPr="00AF1814" w:rsidRDefault="00DA3174" w:rsidP="009172DD">
      <w:pPr>
        <w:pStyle w:val="Heading3"/>
        <w:keepLines w:val="0"/>
      </w:pPr>
      <w:bookmarkStart w:id="194" w:name="_Toc44601684"/>
      <w:r w:rsidRPr="00AF1814">
        <w:t>Cisplatin, Carboplatin</w:t>
      </w:r>
      <w:r w:rsidR="00FD07A7" w:rsidRPr="00AF1814">
        <w:t>,</w:t>
      </w:r>
      <w:r w:rsidRPr="00AF1814">
        <w:t xml:space="preserve"> and Paclitaxel</w:t>
      </w:r>
      <w:bookmarkEnd w:id="194"/>
    </w:p>
    <w:p w14:paraId="6A6AFA9F" w14:textId="77777777" w:rsidR="00834BF4" w:rsidRPr="00AF1814" w:rsidRDefault="00DA3174" w:rsidP="009172DD">
      <w:pPr>
        <w:pStyle w:val="BodyText"/>
        <w:keepNext/>
        <w:rPr>
          <w:b/>
          <w:u w:val="single"/>
        </w:rPr>
      </w:pPr>
      <w:r w:rsidRPr="00AF1814">
        <w:rPr>
          <w:b/>
          <w:u w:val="single"/>
        </w:rPr>
        <w:t>Cisplatin</w:t>
      </w:r>
    </w:p>
    <w:p w14:paraId="251D88BE" w14:textId="77777777" w:rsidR="00834BF4" w:rsidRPr="00AF1814" w:rsidRDefault="00DA3174" w:rsidP="00834BF4">
      <w:pPr>
        <w:pStyle w:val="BodyText"/>
        <w:rPr>
          <w:rFonts w:eastAsia="Calibri"/>
        </w:rPr>
      </w:pPr>
      <w:r w:rsidRPr="00AF1814">
        <w:rPr>
          <w:rFonts w:eastAsia="Calibri"/>
        </w:rPr>
        <w:t>Participants who receive cisplatin must be monitored for nephrotoxicity,</w:t>
      </w:r>
      <w:r w:rsidR="00BB665D" w:rsidRPr="00AF1814">
        <w:rPr>
          <w:rFonts w:eastAsia="Calibri"/>
        </w:rPr>
        <w:t xml:space="preserve"> </w:t>
      </w:r>
      <w:r w:rsidRPr="00AF1814">
        <w:rPr>
          <w:rFonts w:eastAsia="Calibri"/>
        </w:rPr>
        <w:t>ototoxicity, neuropathy</w:t>
      </w:r>
      <w:r w:rsidR="00D45E52" w:rsidRPr="00AF1814">
        <w:rPr>
          <w:rFonts w:eastAsia="Calibri"/>
        </w:rPr>
        <w:t>, and hepatic toxicities</w:t>
      </w:r>
      <w:r w:rsidR="00487D3B" w:rsidRPr="00AF1814">
        <w:rPr>
          <w:rFonts w:eastAsia="Calibri"/>
        </w:rPr>
        <w:t xml:space="preserve"> </w:t>
      </w:r>
      <w:r w:rsidRPr="00AF1814">
        <w:rPr>
          <w:rFonts w:eastAsia="Calibri"/>
        </w:rPr>
        <w:t>in addition to myelosuppression</w:t>
      </w:r>
      <w:r w:rsidR="00D45E52" w:rsidRPr="00AF1814">
        <w:rPr>
          <w:rFonts w:eastAsia="Calibri"/>
        </w:rPr>
        <w:t xml:space="preserve"> and hypersensitivities, including anaphylax</w:t>
      </w:r>
      <w:r w:rsidR="00FD07A7" w:rsidRPr="00AF1814">
        <w:rPr>
          <w:rFonts w:eastAsia="Calibri"/>
        </w:rPr>
        <w:t>is</w:t>
      </w:r>
      <w:r w:rsidRPr="00AF1814">
        <w:rPr>
          <w:rFonts w:eastAsia="Calibri"/>
        </w:rPr>
        <w:t xml:space="preserve">. </w:t>
      </w:r>
      <w:r w:rsidRPr="00AF1814">
        <w:t xml:space="preserve">Cisplatin should not be employed in </w:t>
      </w:r>
      <w:r w:rsidRPr="00AF1814">
        <w:rPr>
          <w:rFonts w:eastAsia="MS Mincho"/>
        </w:rPr>
        <w:t>participant</w:t>
      </w:r>
      <w:r w:rsidRPr="00AF1814">
        <w:t>s with hearing impairment.</w:t>
      </w:r>
      <w:r w:rsidRPr="00AF1814">
        <w:rPr>
          <w:rFonts w:eastAsia="Calibri"/>
        </w:rPr>
        <w:t xml:space="preserve"> Caution must be observed in case of nausea, vomiting, and dehydration. Premedication with antiemetics and hydration</w:t>
      </w:r>
      <w:r w:rsidR="00D45E52" w:rsidRPr="00AF1814">
        <w:rPr>
          <w:rFonts w:eastAsia="Calibri"/>
        </w:rPr>
        <w:t xml:space="preserve"> and other precautionary measures</w:t>
      </w:r>
      <w:r w:rsidRPr="00AF1814">
        <w:rPr>
          <w:rFonts w:eastAsia="Calibri"/>
        </w:rPr>
        <w:t xml:space="preserve"> are performed according to local standards and </w:t>
      </w:r>
      <w:r w:rsidR="00010A78" w:rsidRPr="00AF1814">
        <w:rPr>
          <w:rFonts w:eastAsia="Calibri"/>
        </w:rPr>
        <w:t>approved labeling documents</w:t>
      </w:r>
      <w:r w:rsidRPr="00AF1814">
        <w:rPr>
          <w:rFonts w:eastAsia="Calibri"/>
        </w:rPr>
        <w:t>.</w:t>
      </w:r>
    </w:p>
    <w:p w14:paraId="7913B8D6" w14:textId="77777777" w:rsidR="00834BF4" w:rsidRPr="00AF1814" w:rsidRDefault="00DA3174" w:rsidP="00834BF4">
      <w:pPr>
        <w:pStyle w:val="BodyText"/>
        <w:rPr>
          <w:b/>
          <w:u w:val="single"/>
        </w:rPr>
      </w:pPr>
      <w:r w:rsidRPr="00AF1814">
        <w:rPr>
          <w:b/>
          <w:u w:val="single"/>
        </w:rPr>
        <w:t>Carboplatin</w:t>
      </w:r>
    </w:p>
    <w:p w14:paraId="04A6E574" w14:textId="77777777" w:rsidR="00834BF4" w:rsidRPr="00AF1814" w:rsidRDefault="00DA3174" w:rsidP="00834BF4">
      <w:pPr>
        <w:pStyle w:val="BodyText"/>
      </w:pPr>
      <w:r w:rsidRPr="00AF1814">
        <w:t>Participants who</w:t>
      </w:r>
      <w:r w:rsidR="003E44A8" w:rsidRPr="00AF1814">
        <w:t xml:space="preserve"> receive </w:t>
      </w:r>
      <w:r w:rsidRPr="00AF1814">
        <w:t>treatment with carboplatin should be monitored for symptoms of myelosuppression</w:t>
      </w:r>
      <w:r w:rsidR="00487D3B" w:rsidRPr="00AF1814">
        <w:t xml:space="preserve"> and </w:t>
      </w:r>
      <w:r w:rsidR="00B153B4" w:rsidRPr="00AF1814">
        <w:t>hematologic toxicities</w:t>
      </w:r>
      <w:r w:rsidR="00487D3B" w:rsidRPr="00AF1814">
        <w:t>,</w:t>
      </w:r>
      <w:r w:rsidR="00B153B4" w:rsidRPr="00AF1814">
        <w:t xml:space="preserve"> hypersensitivity reactions,</w:t>
      </w:r>
      <w:r w:rsidRPr="00AF1814">
        <w:t xml:space="preserve"> nausea and vomiting</w:t>
      </w:r>
      <w:r w:rsidR="00487D3B" w:rsidRPr="00AF1814">
        <w:t>,</w:t>
      </w:r>
      <w:r w:rsidRPr="00AF1814">
        <w:t xml:space="preserve"> hepatic toxicity</w:t>
      </w:r>
      <w:r w:rsidR="00B153B4" w:rsidRPr="00AF1814">
        <w:t>/portal hypertension</w:t>
      </w:r>
      <w:r w:rsidRPr="00AF1814">
        <w:t>, renal toxicity, ototoxicity</w:t>
      </w:r>
      <w:r w:rsidR="00EF6961" w:rsidRPr="00AF1814">
        <w:t>,</w:t>
      </w:r>
      <w:r w:rsidRPr="00AF1814">
        <w:t xml:space="preserve"> </w:t>
      </w:r>
      <w:r w:rsidR="00B153B4" w:rsidRPr="00AF1814">
        <w:t xml:space="preserve">central </w:t>
      </w:r>
      <w:r w:rsidRPr="00AF1814">
        <w:t>and peripheral neuro</w:t>
      </w:r>
      <w:r w:rsidR="00B153B4" w:rsidRPr="00AF1814">
        <w:t>toxicities</w:t>
      </w:r>
      <w:r w:rsidRPr="00AF1814">
        <w:t xml:space="preserve"> as per </w:t>
      </w:r>
      <w:r w:rsidR="009D6B73" w:rsidRPr="00AF1814">
        <w:t xml:space="preserve">labeling </w:t>
      </w:r>
      <w:r w:rsidRPr="00AF1814">
        <w:t>recommendations.</w:t>
      </w:r>
      <w:r w:rsidR="00B153B4" w:rsidRPr="00AF1814">
        <w:t xml:space="preserve"> Hemolytic</w:t>
      </w:r>
      <w:r w:rsidR="00FD07A7" w:rsidRPr="00AF1814">
        <w:t xml:space="preserve"> </w:t>
      </w:r>
      <w:r w:rsidR="00B153B4" w:rsidRPr="00AF1814">
        <w:t>uremic syndrome</w:t>
      </w:r>
      <w:r w:rsidR="00921147" w:rsidRPr="00AF1814">
        <w:t xml:space="preserve"> has been reported rarely</w:t>
      </w:r>
      <w:r w:rsidR="00B153B4" w:rsidRPr="00AF1814">
        <w:t xml:space="preserve">. </w:t>
      </w:r>
      <w:r w:rsidRPr="00AF1814">
        <w:t>P</w:t>
      </w:r>
      <w:r w:rsidR="00B153B4" w:rsidRPr="00AF1814">
        <w:t>recautionary measures and p</w:t>
      </w:r>
      <w:r w:rsidRPr="00AF1814">
        <w:t>remedication with antiemetics should be performed according to</w:t>
      </w:r>
      <w:r w:rsidR="00B153B4" w:rsidRPr="00AF1814">
        <w:t xml:space="preserve"> </w:t>
      </w:r>
      <w:r w:rsidR="00010A78" w:rsidRPr="00AF1814">
        <w:rPr>
          <w:rFonts w:eastAsia="Calibri"/>
        </w:rPr>
        <w:t xml:space="preserve">approved label </w:t>
      </w:r>
      <w:r w:rsidR="00B153B4" w:rsidRPr="00AF1814">
        <w:t>and</w:t>
      </w:r>
      <w:r w:rsidRPr="00AF1814">
        <w:t xml:space="preserve"> local treatment standards.</w:t>
      </w:r>
      <w:r w:rsidR="000F4732" w:rsidRPr="00AF1814">
        <w:t xml:space="preserve"> Use of desensitization protocols according </w:t>
      </w:r>
      <w:r w:rsidR="000F4732" w:rsidRPr="00AF1814">
        <w:rPr>
          <w:rFonts w:eastAsia="Calibri"/>
        </w:rPr>
        <w:t>to local standards and approved labeling documents is allowed.</w:t>
      </w:r>
    </w:p>
    <w:p w14:paraId="11BD426C" w14:textId="77777777" w:rsidR="00834BF4" w:rsidRPr="00AF1814" w:rsidRDefault="00DA3174" w:rsidP="0089522D">
      <w:pPr>
        <w:pStyle w:val="BodyText"/>
        <w:keepNext/>
        <w:rPr>
          <w:b/>
          <w:u w:val="single"/>
        </w:rPr>
      </w:pPr>
      <w:r w:rsidRPr="00AF1814">
        <w:rPr>
          <w:b/>
          <w:u w:val="single"/>
        </w:rPr>
        <w:lastRenderedPageBreak/>
        <w:t>Paclitaxel</w:t>
      </w:r>
    </w:p>
    <w:p w14:paraId="24A9F451" w14:textId="629E4505" w:rsidR="00BF383C" w:rsidRPr="00AF1814" w:rsidRDefault="00DA3174" w:rsidP="00DB7DA8">
      <w:pPr>
        <w:pStyle w:val="BodyText"/>
      </w:pPr>
      <w:r w:rsidRPr="00AF1814">
        <w:t>Participants who receive treatment with paclitaxel should be monitored for severe hypersensitivity reactions</w:t>
      </w:r>
      <w:r w:rsidR="00701AC5" w:rsidRPr="00AF1814">
        <w:t xml:space="preserve"> including anaphylaxis</w:t>
      </w:r>
      <w:r w:rsidRPr="00AF1814">
        <w:t>.</w:t>
      </w:r>
      <w:r w:rsidR="00EF6961" w:rsidRPr="00AF1814">
        <w:t xml:space="preserve"> </w:t>
      </w:r>
      <w:r w:rsidRPr="00AF1814">
        <w:t xml:space="preserve">All </w:t>
      </w:r>
      <w:r w:rsidR="001441A7" w:rsidRPr="00AF1814">
        <w:t>participants</w:t>
      </w:r>
      <w:r w:rsidRPr="00AF1814">
        <w:t xml:space="preserve"> should be pretreated with corticosteroids, diphenhydramine, and H2 antagonists as per </w:t>
      </w:r>
      <w:r w:rsidR="009D6B73" w:rsidRPr="00AF1814">
        <w:t>labeling</w:t>
      </w:r>
      <w:r w:rsidRPr="00AF1814">
        <w:t xml:space="preserve"> recommendations. </w:t>
      </w:r>
      <w:r w:rsidR="001441A7" w:rsidRPr="00AF1814">
        <w:t>Participant</w:t>
      </w:r>
      <w:r w:rsidRPr="00AF1814">
        <w:t>s who experience severe hypersensitivity reactions to paclitaxel should not be rechallenged with the drug.</w:t>
      </w:r>
      <w:r w:rsidR="00701AC5" w:rsidRPr="00AF1814">
        <w:t xml:space="preserve"> It is required to monitor for myelosuppression, </w:t>
      </w:r>
      <w:r w:rsidR="006C7153" w:rsidRPr="00AF1814">
        <w:t xml:space="preserve">cardiac function, and peripheral neuropathies. Precautionary measures as per local standards and </w:t>
      </w:r>
      <w:r w:rsidR="00010A78" w:rsidRPr="00AF1814">
        <w:rPr>
          <w:rFonts w:eastAsia="Calibri"/>
        </w:rPr>
        <w:t>approved labeling documents</w:t>
      </w:r>
      <w:r w:rsidR="006C7153" w:rsidRPr="00AF1814">
        <w:t xml:space="preserve"> have to be followed.</w:t>
      </w:r>
    </w:p>
    <w:p w14:paraId="270E7B0E" w14:textId="77777777" w:rsidR="00FC7297" w:rsidRPr="00AF1814" w:rsidRDefault="00DA3174" w:rsidP="00FC7297">
      <w:pPr>
        <w:pStyle w:val="Heading4"/>
      </w:pPr>
      <w:bookmarkStart w:id="195" w:name="_Toc44601685"/>
      <w:r w:rsidRPr="00AF1814">
        <w:t>Risk Management for Chemotherapy</w:t>
      </w:r>
      <w:bookmarkEnd w:id="195"/>
    </w:p>
    <w:p w14:paraId="71938154" w14:textId="77777777" w:rsidR="00FC7297" w:rsidRPr="00AF1814" w:rsidRDefault="00DA3174" w:rsidP="00FC7297">
      <w:pPr>
        <w:pStyle w:val="BodyText"/>
      </w:pPr>
      <w:r w:rsidRPr="00AF1814">
        <w:t xml:space="preserve">Refer to the respective label for a full list of adverse reactions for each of the chemotherapy agent used in this study. </w:t>
      </w:r>
    </w:p>
    <w:p w14:paraId="42D56B07" w14:textId="77777777" w:rsidR="00FC7297" w:rsidRPr="00AF1814" w:rsidRDefault="00DA3174" w:rsidP="00FC7297">
      <w:pPr>
        <w:pStyle w:val="BodyText"/>
      </w:pPr>
      <w:r w:rsidRPr="00AF1814">
        <w:t>The Investigator should consider chemotherapy discontinuation for any of the following:</w:t>
      </w:r>
    </w:p>
    <w:p w14:paraId="1077BA98" w14:textId="77777777" w:rsidR="00FC7297" w:rsidRPr="00AF1814" w:rsidRDefault="00DA3174" w:rsidP="00F15279">
      <w:pPr>
        <w:pStyle w:val="List1withbullet"/>
      </w:pPr>
      <w:r w:rsidRPr="00AF1814">
        <w:t xml:space="preserve">Any drug-related AE which recurs after 2 prior dose reductions for the same drug-related AE requires discontinuation of the chemotherapy agent(s) which was/were previously dose reduced. </w:t>
      </w:r>
    </w:p>
    <w:p w14:paraId="5C3E24E5" w14:textId="77777777" w:rsidR="00FC7297" w:rsidRPr="00AF1814" w:rsidRDefault="00DA3174" w:rsidP="00F15279">
      <w:pPr>
        <w:pStyle w:val="List1withbullet"/>
      </w:pPr>
      <w:r w:rsidRPr="00AF1814">
        <w:t xml:space="preserve">Any Grade ≥ 3 drug-related hypersensitivity reaction or infusion reaction requires discontinuation of the chemotherapy agent(s) assessed as causing the reaction. The other study intervention(s) assessed as not related to the hypersensitivity reaction or infusion reaction may be continued. </w:t>
      </w:r>
    </w:p>
    <w:p w14:paraId="571A5090" w14:textId="77777777" w:rsidR="00FC7297" w:rsidRPr="00AF1814" w:rsidRDefault="00DA3174" w:rsidP="00F15279">
      <w:pPr>
        <w:pStyle w:val="List1withbullet"/>
      </w:pPr>
      <w:r w:rsidRPr="00AF1814">
        <w:t>Any Grade 4 drug-related AE deemed by the Investigator as inappropriate to be managed by dose reduction(s) requires discontinuation of chemotherapy agent(s) assessed as causing the event. The other study intervention(s) assessed as not related to the event may be continued.</w:t>
      </w:r>
    </w:p>
    <w:p w14:paraId="27918951" w14:textId="589E5301" w:rsidR="00FC7297" w:rsidRPr="00AF1814" w:rsidRDefault="00DA3174" w:rsidP="00F15279">
      <w:pPr>
        <w:pStyle w:val="List1withbullet"/>
      </w:pPr>
      <w:r w:rsidRPr="00AF1814">
        <w:t xml:space="preserve">Any event that leads to delay in dosing of any study intervention(s) for &gt; </w:t>
      </w:r>
      <w:r w:rsidR="009C67FC">
        <w:t>3</w:t>
      </w:r>
      <w:r w:rsidRPr="00AF1814">
        <w:t xml:space="preserve"> weeks from the previous dose requires discontinuation of the chemotherapy agent(s) with the following exception: </w:t>
      </w:r>
    </w:p>
    <w:p w14:paraId="154DBC93" w14:textId="77777777" w:rsidR="00FC7297" w:rsidRPr="00AF1814" w:rsidRDefault="00DA3174" w:rsidP="006470FD">
      <w:pPr>
        <w:pStyle w:val="List2withbullet"/>
        <w:numPr>
          <w:ilvl w:val="1"/>
          <w:numId w:val="3"/>
        </w:numPr>
      </w:pPr>
      <w:r w:rsidRPr="00AF1814">
        <w:t xml:space="preserve">Dosing delays lasting &gt; 2 weeks from the scheduled administration that occur for non-drug-related reasons may be allowed after discussion with Medical Monitor. </w:t>
      </w:r>
    </w:p>
    <w:p w14:paraId="62480634" w14:textId="77777777" w:rsidR="00FC7297" w:rsidRPr="00AF1814" w:rsidRDefault="00DA3174" w:rsidP="00F15279">
      <w:pPr>
        <w:pStyle w:val="List1withbullet"/>
      </w:pPr>
      <w:r w:rsidRPr="00AF1814">
        <w:t>Any AE, laboratory abnormality, or intercurrent illness which, in the judgment of the Investigator, presents a substantial clinical risk to the participant with continued chemotherapy dosing. Investigators should consult the local labeling for the chemotherapy drugs being administered to any given participant for additional guidance on dose discontinuation.</w:t>
      </w:r>
    </w:p>
    <w:p w14:paraId="0022D894" w14:textId="77777777" w:rsidR="00FC7297" w:rsidRPr="00AF1814" w:rsidRDefault="00DA3174" w:rsidP="00F15279">
      <w:pPr>
        <w:pStyle w:val="List1withbullet"/>
      </w:pPr>
      <w:r w:rsidRPr="00AF1814">
        <w:t xml:space="preserve">If the participant experienced Grade 3 or 4 nonhematological toxicity (except for fatigue, transient arthralgia, and myalgia), treatment with chemotherapy should be withheld until the participant recovers completely or to Grade 1 toxicity. If recovery to Grade 1 toxicity does not occur within 2 weeks, chemotherapy should be discontinued. At the discretion of the Investigator, administration of </w:t>
      </w:r>
      <w:bookmarkStart w:id="196" w:name="_Hlk37323917"/>
      <w:r w:rsidRPr="00AF1814">
        <w:t>bintrafusp alfa</w:t>
      </w:r>
      <w:bookmarkEnd w:id="196"/>
      <w:r w:rsidRPr="00AF1814">
        <w:t xml:space="preserve"> could be continued according to the treatment schedule. A discussion between the Investigator and Sponsor's Medical </w:t>
      </w:r>
      <w:r w:rsidRPr="00AF1814">
        <w:lastRenderedPageBreak/>
        <w:t>Responsible should take place. Dose delays outside the allowed window (± 3 days) and dose reductions for bintrafusp alfa are not permitted.</w:t>
      </w:r>
    </w:p>
    <w:p w14:paraId="53DB5784" w14:textId="77777777" w:rsidR="00FC7297" w:rsidRPr="00AF1814" w:rsidRDefault="00DA3174" w:rsidP="00FC7297">
      <w:pPr>
        <w:pStyle w:val="BodyText"/>
      </w:pPr>
      <w:r w:rsidRPr="00AF1814">
        <w:t>Dose modifications (dose delays) and dose reductions for toxicities should be made according to the approved product label</w:t>
      </w:r>
      <w:r w:rsidR="000F4732" w:rsidRPr="00AF1814">
        <w:t>(s)</w:t>
      </w:r>
      <w:r w:rsidRPr="00AF1814">
        <w:t xml:space="preserve"> and/or standard practice. Discontinuation of chemotherapy due to AEs should also be done in accordance with the approved product label and/or standard practice and discussed with the Sponsor</w:t>
      </w:r>
      <w:r w:rsidR="00C5422C" w:rsidRPr="00AF1814">
        <w:t>.</w:t>
      </w:r>
    </w:p>
    <w:p w14:paraId="20B9542C" w14:textId="6C7294D6" w:rsidR="00177FFE" w:rsidRPr="00E44F28" w:rsidRDefault="00DA3174" w:rsidP="00177FFE">
      <w:pPr>
        <w:pStyle w:val="List1withbullet"/>
      </w:pPr>
      <w:r w:rsidRPr="00E44F28">
        <w:t xml:space="preserve">See </w:t>
      </w:r>
      <w:r w:rsidR="00F76AC0" w:rsidRPr="00E44F28">
        <w:fldChar w:fldCharType="begin"/>
      </w:r>
      <w:r w:rsidR="00F76AC0" w:rsidRPr="00E44F28">
        <w:instrText xml:space="preserve"> REF _Ref38895117 \h </w:instrText>
      </w:r>
      <w:r w:rsidR="00F76AC0" w:rsidRPr="00E44F28">
        <w:fldChar w:fldCharType="separate"/>
      </w:r>
      <w:r w:rsidR="00F76AC0" w:rsidRPr="00E44F28">
        <w:t>Table 8</w:t>
      </w:r>
      <w:r w:rsidR="00F76AC0" w:rsidRPr="00E44F28">
        <w:fldChar w:fldCharType="end"/>
      </w:r>
      <w:r w:rsidRPr="00E44F28">
        <w:t xml:space="preserve"> for predosing considerations for cisplatin.</w:t>
      </w:r>
    </w:p>
    <w:p w14:paraId="526E2B55" w14:textId="77777777" w:rsidR="004F480D" w:rsidRDefault="00DA3174" w:rsidP="004F480D">
      <w:pPr>
        <w:pStyle w:val="List1withbullet"/>
      </w:pPr>
      <w:r w:rsidRPr="00E44F28">
        <w:t>See</w:t>
      </w:r>
      <w:r w:rsidR="00F12F8D" w:rsidRPr="00E44F28">
        <w:t xml:space="preserve"> </w:t>
      </w:r>
      <w:r w:rsidR="00F12F8D" w:rsidRPr="00E44F28">
        <w:fldChar w:fldCharType="begin"/>
      </w:r>
      <w:r w:rsidR="00F12F8D" w:rsidRPr="00E44F28">
        <w:instrText xml:space="preserve"> REF _Ref523151184 \h </w:instrText>
      </w:r>
      <w:r w:rsidR="00AF1814" w:rsidRPr="00E44F28">
        <w:instrText xml:space="preserve"> \* MERGEFORMAT </w:instrText>
      </w:r>
      <w:r w:rsidR="00F12F8D" w:rsidRPr="00E44F28">
        <w:fldChar w:fldCharType="separate"/>
      </w:r>
      <w:r w:rsidR="00C548C3" w:rsidRPr="00E44F28">
        <w:t xml:space="preserve">Table </w:t>
      </w:r>
      <w:r w:rsidR="00C548C3" w:rsidRPr="00E44F28">
        <w:rPr>
          <w:noProof/>
        </w:rPr>
        <w:t>9</w:t>
      </w:r>
      <w:r w:rsidR="00F12F8D" w:rsidRPr="00E44F28">
        <w:fldChar w:fldCharType="end"/>
      </w:r>
      <w:r w:rsidRPr="00E44F28">
        <w:t xml:space="preserve"> for </w:t>
      </w:r>
      <w:r w:rsidRPr="00AF1814">
        <w:t>predosing considerations for carboplatin.</w:t>
      </w:r>
      <w:bookmarkStart w:id="197" w:name="_Ref522626587"/>
      <w:bookmarkStart w:id="198" w:name="_Toc524619934"/>
      <w:bookmarkStart w:id="199" w:name="_Toc524620231"/>
      <w:bookmarkStart w:id="200" w:name="_Toc526326203"/>
      <w:bookmarkStart w:id="201" w:name="_Toc22663912"/>
    </w:p>
    <w:p w14:paraId="03951C52" w14:textId="2B3CB165" w:rsidR="00FC7297" w:rsidRPr="004F480D" w:rsidRDefault="00DA3174" w:rsidP="004F480D">
      <w:pPr>
        <w:pStyle w:val="Caption"/>
      </w:pPr>
      <w:bookmarkStart w:id="202" w:name="_Ref38895117"/>
      <w:bookmarkStart w:id="203" w:name="_Toc44601752"/>
      <w:r w:rsidRPr="004F480D">
        <w:lastRenderedPageBreak/>
        <w:t xml:space="preserve">Table </w:t>
      </w:r>
      <w:r w:rsidRPr="004F480D">
        <w:fldChar w:fldCharType="begin"/>
      </w:r>
      <w:r w:rsidRPr="004F480D">
        <w:instrText xml:space="preserve"> SEQ Table \* ARABIC </w:instrText>
      </w:r>
      <w:r w:rsidRPr="004F480D">
        <w:fldChar w:fldCharType="separate"/>
      </w:r>
      <w:r w:rsidR="00C548C3" w:rsidRPr="004F480D">
        <w:t>8</w:t>
      </w:r>
      <w:r w:rsidRPr="004F480D">
        <w:fldChar w:fldCharType="end"/>
      </w:r>
      <w:bookmarkEnd w:id="197"/>
      <w:bookmarkEnd w:id="202"/>
      <w:r w:rsidRPr="004F480D">
        <w:tab/>
        <w:t>Predosing Consideration for Cisplatin</w:t>
      </w:r>
      <w:bookmarkEnd w:id="198"/>
      <w:bookmarkEnd w:id="199"/>
      <w:bookmarkEnd w:id="200"/>
      <w:bookmarkEnd w:id="201"/>
      <w:bookmarkEnd w:id="2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1"/>
        <w:gridCol w:w="6651"/>
      </w:tblGrid>
      <w:tr w:rsidR="002108B2" w:rsidRPr="00AF1814" w14:paraId="457470C2" w14:textId="77777777" w:rsidTr="004F480D">
        <w:trPr>
          <w:cantSplit/>
          <w:tblHeader/>
        </w:trPr>
        <w:tc>
          <w:tcPr>
            <w:tcW w:w="1444" w:type="pct"/>
          </w:tcPr>
          <w:p w14:paraId="0A6C2DD7" w14:textId="77777777" w:rsidR="00FC7297" w:rsidRPr="00AF1814" w:rsidRDefault="00DA3174" w:rsidP="004F480D">
            <w:pPr>
              <w:pStyle w:val="Tableheading"/>
              <w:keepNext w:val="0"/>
              <w:keepLines w:val="0"/>
            </w:pPr>
            <w:r w:rsidRPr="00AF1814">
              <w:t>Issue/Indication</w:t>
            </w:r>
          </w:p>
        </w:tc>
        <w:tc>
          <w:tcPr>
            <w:tcW w:w="3556" w:type="pct"/>
          </w:tcPr>
          <w:p w14:paraId="73274AFB" w14:textId="77777777" w:rsidR="00FC7297" w:rsidRPr="00AF1814" w:rsidRDefault="00DA3174" w:rsidP="004F480D">
            <w:pPr>
              <w:pStyle w:val="Tableheading"/>
              <w:keepNext w:val="0"/>
              <w:keepLines w:val="0"/>
            </w:pPr>
            <w:r w:rsidRPr="00AF1814">
              <w:t>Recommended Steps</w:t>
            </w:r>
          </w:p>
        </w:tc>
      </w:tr>
      <w:tr w:rsidR="002108B2" w:rsidRPr="00AF1814" w14:paraId="3D75E94F" w14:textId="77777777" w:rsidTr="004F480D">
        <w:trPr>
          <w:cantSplit/>
          <w:tblHeader/>
        </w:trPr>
        <w:tc>
          <w:tcPr>
            <w:tcW w:w="1444" w:type="pct"/>
          </w:tcPr>
          <w:p w14:paraId="1F168BFC" w14:textId="77777777" w:rsidR="00FC7297" w:rsidRPr="00AF1814" w:rsidRDefault="00DA3174" w:rsidP="004F480D">
            <w:pPr>
              <w:pStyle w:val="Tabletext"/>
              <w:keepLines w:val="0"/>
            </w:pPr>
            <w:r w:rsidRPr="00AF1814">
              <w:t>Pre-emesis</w:t>
            </w:r>
          </w:p>
        </w:tc>
        <w:tc>
          <w:tcPr>
            <w:tcW w:w="3556" w:type="pct"/>
          </w:tcPr>
          <w:p w14:paraId="3F04FD4B" w14:textId="77777777" w:rsidR="00FC7297" w:rsidRPr="00AF1814" w:rsidRDefault="00DA3174" w:rsidP="004F480D">
            <w:pPr>
              <w:pStyle w:val="Tabletext"/>
              <w:keepLines w:val="0"/>
            </w:pPr>
            <w:r w:rsidRPr="00AF1814">
              <w:t>Follow current MASCC/ESMO</w:t>
            </w:r>
            <w:r w:rsidRPr="00AF1814">
              <w:rPr>
                <w:vertAlign w:val="superscript"/>
              </w:rPr>
              <w:t>a</w:t>
            </w:r>
            <w:r w:rsidRPr="00AF1814">
              <w:t xml:space="preserve"> or NCCN</w:t>
            </w:r>
            <w:r w:rsidRPr="00AF1814">
              <w:rPr>
                <w:vertAlign w:val="superscript"/>
              </w:rPr>
              <w:t>b</w:t>
            </w:r>
            <w:r w:rsidRPr="00AF1814">
              <w:t xml:space="preserve"> guidelines for chemotherapy-induced nausea and vomiting for a “high risk” regimen</w:t>
            </w:r>
          </w:p>
        </w:tc>
      </w:tr>
      <w:tr w:rsidR="002108B2" w:rsidRPr="00AF1814" w14:paraId="06765A5C" w14:textId="77777777" w:rsidTr="004F480D">
        <w:trPr>
          <w:cantSplit/>
          <w:tblHeader/>
        </w:trPr>
        <w:tc>
          <w:tcPr>
            <w:tcW w:w="1444" w:type="pct"/>
          </w:tcPr>
          <w:p w14:paraId="6F8444FA" w14:textId="77777777" w:rsidR="00FC7297" w:rsidRPr="00AF1814" w:rsidRDefault="00DA3174" w:rsidP="004F480D">
            <w:pPr>
              <w:pStyle w:val="Tabletext"/>
              <w:keepLines w:val="0"/>
            </w:pPr>
            <w:r w:rsidRPr="00AF1814">
              <w:t>Hydration/</w:t>
            </w:r>
            <w:r w:rsidRPr="00AF1814">
              <w:br/>
              <w:t>nephrotoxicity</w:t>
            </w:r>
          </w:p>
        </w:tc>
        <w:tc>
          <w:tcPr>
            <w:tcW w:w="3556" w:type="pct"/>
          </w:tcPr>
          <w:p w14:paraId="40571D63" w14:textId="77777777" w:rsidR="00FC7297" w:rsidRPr="00AF1814" w:rsidRDefault="00DA3174" w:rsidP="004F480D">
            <w:pPr>
              <w:pStyle w:val="Tabletext"/>
              <w:keepLines w:val="0"/>
            </w:pPr>
            <w:r w:rsidRPr="00AF1814">
              <w:t>Per package insert/SmPC for cisplatin</w:t>
            </w:r>
            <w:r w:rsidRPr="00AF1814">
              <w:rPr>
                <w:vertAlign w:val="superscript"/>
              </w:rPr>
              <w:t>c</w:t>
            </w:r>
            <w:r w:rsidRPr="00AF1814">
              <w:t>. Cisplatin causes severe cumulative nephrotoxicity. A urine output of 100 mL/hour or greater will tend to minimize cisplatin nephrotoxicity. Adequate hydration must therefore be maintained to cause sufficient diuresis prior to, during and after treatment with cisplatin. Next to intravenous infusion, forced diuresis may be required and moreover participants are to be requested to drink appropriate quantities of liquids for 24 hours after cisplatin infusion to ensure adequate urine secretion.</w:t>
            </w:r>
          </w:p>
          <w:p w14:paraId="690F2E76" w14:textId="77777777" w:rsidR="00FC7297" w:rsidRPr="00AF1814" w:rsidRDefault="00DA3174" w:rsidP="004F480D">
            <w:pPr>
              <w:pStyle w:val="Tabletext"/>
              <w:keepLines w:val="0"/>
            </w:pPr>
            <w:r w:rsidRPr="00AF1814">
              <w:t>Some institute may provide inpatient planned hydrated to reduce the risk of renal toxicity due to cisplatin; such planned hospital admission will not be considered for SAE reporting criteria.</w:t>
            </w:r>
          </w:p>
        </w:tc>
      </w:tr>
      <w:tr w:rsidR="002108B2" w:rsidRPr="00AF1814" w14:paraId="310EC2B4" w14:textId="77777777" w:rsidTr="004F480D">
        <w:trPr>
          <w:cantSplit/>
          <w:tblHeader/>
        </w:trPr>
        <w:tc>
          <w:tcPr>
            <w:tcW w:w="1444" w:type="pct"/>
          </w:tcPr>
          <w:p w14:paraId="057527B5" w14:textId="77777777" w:rsidR="00FC7297" w:rsidRPr="00AF1814" w:rsidRDefault="00DA3174" w:rsidP="004F480D">
            <w:pPr>
              <w:pStyle w:val="Tabletext"/>
              <w:keepLines w:val="0"/>
            </w:pPr>
            <w:r w:rsidRPr="00AF1814">
              <w:t>Myelosuppression/</w:t>
            </w:r>
            <w:r w:rsidRPr="00AF1814">
              <w:br/>
              <w:t>neutropenia</w:t>
            </w:r>
          </w:p>
        </w:tc>
        <w:tc>
          <w:tcPr>
            <w:tcW w:w="3556" w:type="pct"/>
          </w:tcPr>
          <w:p w14:paraId="7A810BA3" w14:textId="77777777" w:rsidR="00FC7297" w:rsidRPr="00AF1814" w:rsidRDefault="00DA3174" w:rsidP="004F480D">
            <w:pPr>
              <w:pStyle w:val="Tabletext"/>
              <w:keepLines w:val="0"/>
              <w:rPr>
                <w:vertAlign w:val="superscript"/>
              </w:rPr>
            </w:pPr>
            <w:r w:rsidRPr="00AF1814">
              <w:t>Refer to the current package insert/SmPC for modifications in dose and schedule of cisplatin</w:t>
            </w:r>
            <w:r w:rsidRPr="00AF1814">
              <w:rPr>
                <w:vertAlign w:val="superscript"/>
              </w:rPr>
              <w:t>c</w:t>
            </w:r>
            <w:r w:rsidRPr="00AF1814">
              <w:t>. First dose of cisplatin should be withheld if platelet count is less than 100,000 cells/mm</w:t>
            </w:r>
            <w:r w:rsidRPr="00AF1814">
              <w:rPr>
                <w:vertAlign w:val="superscript"/>
              </w:rPr>
              <w:t>3</w:t>
            </w:r>
            <w:r w:rsidRPr="00AF1814">
              <w:t xml:space="preserve"> or neutrophil count is less than 1,500 cells/mm</w:t>
            </w:r>
            <w:r w:rsidRPr="00AF1814">
              <w:rPr>
                <w:vertAlign w:val="superscript"/>
              </w:rPr>
              <w:t>3</w:t>
            </w:r>
            <w:r w:rsidRPr="00AF1814">
              <w:t xml:space="preserve">. </w:t>
            </w:r>
            <w:r w:rsidRPr="00AF1814">
              <w:rPr>
                <w:color w:val="000000" w:themeColor="text1"/>
              </w:rPr>
              <w:t xml:space="preserve">Dose modifications for </w:t>
            </w:r>
            <w:r w:rsidRPr="00AF1814">
              <w:t>subsequent administrations</w:t>
            </w:r>
            <w:r w:rsidRPr="00AF1814">
              <w:rPr>
                <w:color w:val="000000" w:themeColor="text1"/>
              </w:rPr>
              <w:t xml:space="preserve"> will be based on the neutrophil and platelet nadir from the preceding cycle</w:t>
            </w:r>
            <w:r w:rsidRPr="00AF1814">
              <w:t>.</w:t>
            </w:r>
          </w:p>
          <w:p w14:paraId="43A877F5" w14:textId="44A83EED" w:rsidR="00FC7297" w:rsidRPr="00AF1814" w:rsidRDefault="00DA3174" w:rsidP="004F480D">
            <w:pPr>
              <w:pStyle w:val="Tabletext"/>
              <w:keepLines w:val="0"/>
            </w:pPr>
            <w:r w:rsidRPr="00AF1814">
              <w:t>According to NCI-CTCAE v5.0 FN is defined as ANC &lt; 1</w:t>
            </w:r>
            <w:r w:rsidR="00D90C38" w:rsidRPr="00AF1814">
              <w:t>,</w:t>
            </w:r>
            <w:r w:rsidRPr="00AF1814">
              <w:t>000/mm</w:t>
            </w:r>
            <w:r w:rsidRPr="00AF1814">
              <w:rPr>
                <w:vertAlign w:val="superscript"/>
              </w:rPr>
              <w:t>3</w:t>
            </w:r>
            <w:r w:rsidRPr="00AF1814">
              <w:t xml:space="preserve"> and a single temperature of &gt; 38.3</w:t>
            </w:r>
            <w:r w:rsidRPr="00AF1814">
              <w:rPr>
                <w:rFonts w:cs="Arial"/>
              </w:rPr>
              <w:t>°</w:t>
            </w:r>
            <w:r w:rsidRPr="00AF1814">
              <w:t>C (101</w:t>
            </w:r>
            <w:r w:rsidRPr="00AF1814">
              <w:rPr>
                <w:rFonts w:cs="Arial"/>
              </w:rPr>
              <w:t>°</w:t>
            </w:r>
            <w:r w:rsidRPr="00AF1814">
              <w:t xml:space="preserve">F) or a sustained temperature of </w:t>
            </w:r>
            <w:r w:rsidRPr="00AF1814">
              <w:rPr>
                <w:rFonts w:cs="Arial"/>
              </w:rPr>
              <w:t xml:space="preserve">≥ </w:t>
            </w:r>
            <w:r w:rsidRPr="00AF1814">
              <w:t>38</w:t>
            </w:r>
            <w:r w:rsidRPr="00AF1814">
              <w:rPr>
                <w:rFonts w:cs="Arial"/>
              </w:rPr>
              <w:t>°</w:t>
            </w:r>
            <w:r w:rsidRPr="00AF1814">
              <w:t>C (100.4</w:t>
            </w:r>
            <w:r w:rsidRPr="00AF1814">
              <w:rPr>
                <w:rFonts w:cs="Arial"/>
              </w:rPr>
              <w:t>°</w:t>
            </w:r>
            <w:r w:rsidRPr="00AF1814">
              <w:t>F) for more than 1 hour. FN treatment should be done per local practice and reported in eCRF. FN Prophylaxis: Primary prophylaxis with G-CSF in order to reduce the risk of FN is not recommended, according to NCCN guidelines for the use of myeloid growth factors (v1.2018)</w:t>
            </w:r>
            <w:r w:rsidRPr="00AF1814">
              <w:rPr>
                <w:vertAlign w:val="superscript"/>
              </w:rPr>
              <w:t>d</w:t>
            </w:r>
            <w:r w:rsidRPr="00AF1814">
              <w:t>. Secondary prophylaxis with G</w:t>
            </w:r>
            <w:r w:rsidR="00E94FF3" w:rsidRPr="00AF1814">
              <w:noBreakHyphen/>
            </w:r>
            <w:r w:rsidRPr="00AF1814">
              <w:t>CSFs should be considered and the benefit-risk associated with their use must be carefully evaluated. Investigators must be aware that the use of G</w:t>
            </w:r>
            <w:r w:rsidR="00E94FF3" w:rsidRPr="00AF1814">
              <w:noBreakHyphen/>
            </w:r>
            <w:r w:rsidRPr="00AF1814">
              <w:t xml:space="preserve">CSF during chemoradiation is associated with increased of increased incidence of severe thrombocytopenia and anemia. Participants receiving G-CSF during chemoradiation must be closely monitored for these adverse events. The dosage instructions should follow the local guidelines or the NCCN guidelines. </w:t>
            </w:r>
          </w:p>
        </w:tc>
      </w:tr>
      <w:tr w:rsidR="002108B2" w:rsidRPr="00AF1814" w14:paraId="6B61BE14" w14:textId="77777777" w:rsidTr="004F480D">
        <w:trPr>
          <w:cantSplit/>
          <w:tblHeader/>
        </w:trPr>
        <w:tc>
          <w:tcPr>
            <w:tcW w:w="1444" w:type="pct"/>
          </w:tcPr>
          <w:p w14:paraId="1E503EEC" w14:textId="77777777" w:rsidR="00FC7297" w:rsidRPr="00AF1814" w:rsidRDefault="00DA3174" w:rsidP="004F480D">
            <w:pPr>
              <w:pStyle w:val="Tabletext"/>
              <w:keepLines w:val="0"/>
            </w:pPr>
            <w:r w:rsidRPr="00AF1814">
              <w:t>Ototoxicity/</w:t>
            </w:r>
            <w:r w:rsidRPr="00AF1814">
              <w:br/>
              <w:t>neurotoxicity</w:t>
            </w:r>
          </w:p>
        </w:tc>
        <w:tc>
          <w:tcPr>
            <w:tcW w:w="3556" w:type="pct"/>
          </w:tcPr>
          <w:p w14:paraId="078A9ACF" w14:textId="77777777" w:rsidR="00FC7297" w:rsidRPr="00AF1814" w:rsidRDefault="00DA3174" w:rsidP="004F480D">
            <w:pPr>
              <w:pStyle w:val="Tabletext"/>
              <w:keepLines w:val="0"/>
            </w:pPr>
            <w:r w:rsidRPr="00AF1814">
              <w:t>Per SmPC for cisplatin</w:t>
            </w:r>
            <w:r w:rsidRPr="00AF1814">
              <w:rPr>
                <w:vertAlign w:val="superscript"/>
              </w:rPr>
              <w:t>c</w:t>
            </w:r>
            <w:r w:rsidRPr="00AF1814">
              <w:t>. Cisplatin is proven to be cumulative ototoxic and neurotoxic. Neurologic examination and monitoring of potential ototoxicity are to be performed prior to each cisplatin dosing and during the treatment.</w:t>
            </w:r>
          </w:p>
        </w:tc>
      </w:tr>
      <w:tr w:rsidR="002108B2" w:rsidRPr="00AF1814" w14:paraId="17898284" w14:textId="77777777" w:rsidTr="004F480D">
        <w:trPr>
          <w:cantSplit/>
          <w:tblHeader/>
        </w:trPr>
        <w:tc>
          <w:tcPr>
            <w:tcW w:w="5000" w:type="pct"/>
            <w:gridSpan w:val="2"/>
          </w:tcPr>
          <w:p w14:paraId="1FC5FF07" w14:textId="77777777" w:rsidR="00FC7297" w:rsidRPr="00AF1814" w:rsidRDefault="00DA3174" w:rsidP="004F480D">
            <w:pPr>
              <w:pStyle w:val="Tablefootnote"/>
              <w:keepLines w:val="0"/>
            </w:pPr>
            <w:r w:rsidRPr="00AF1814">
              <w:t xml:space="preserve">ANC=absolute neutrophil count, </w:t>
            </w:r>
            <w:r w:rsidR="007644DC" w:rsidRPr="00AF1814">
              <w:t>ASCO=American Society of Clinical Oncology</w:t>
            </w:r>
            <w:r w:rsidR="00EB18DD" w:rsidRPr="00AF1814">
              <w:t>,</w:t>
            </w:r>
            <w:r w:rsidR="007644DC" w:rsidRPr="00AF1814">
              <w:t xml:space="preserve"> </w:t>
            </w:r>
            <w:r w:rsidRPr="00AF1814">
              <w:t xml:space="preserve">eCRF=electronic case report form, </w:t>
            </w:r>
            <w:r w:rsidR="007644DC" w:rsidRPr="00AF1814">
              <w:t>ESMO=European Society for Medical Oncology</w:t>
            </w:r>
            <w:r w:rsidR="00EB18DD" w:rsidRPr="00AF1814">
              <w:t xml:space="preserve">, </w:t>
            </w:r>
            <w:r w:rsidR="007644DC" w:rsidRPr="00AF1814">
              <w:t>FN=febrile neutropenia</w:t>
            </w:r>
            <w:r w:rsidR="00EB18DD" w:rsidRPr="00AF1814">
              <w:t>,</w:t>
            </w:r>
            <w:r w:rsidR="007644DC" w:rsidRPr="00AF1814">
              <w:t xml:space="preserve"> G-CSF=granulocyte-colony stimulating factor</w:t>
            </w:r>
            <w:r w:rsidR="00EB18DD" w:rsidRPr="00AF1814">
              <w:t>,</w:t>
            </w:r>
            <w:r w:rsidR="007644DC" w:rsidRPr="00AF1814">
              <w:t xml:space="preserve"> MASCC=Multinational Association of Supportive Care in Cancer</w:t>
            </w:r>
            <w:r w:rsidR="00EB18DD" w:rsidRPr="00AF1814">
              <w:t>,</w:t>
            </w:r>
            <w:r w:rsidR="007644DC" w:rsidRPr="00AF1814">
              <w:t xml:space="preserve"> NCI-CTCAE=National Cancer Institute</w:t>
            </w:r>
            <w:r w:rsidR="007644DC" w:rsidRPr="00AF1814">
              <w:noBreakHyphen/>
              <w:t>Common Terminology Criteria for Adverse Events</w:t>
            </w:r>
            <w:r w:rsidR="00EB18DD" w:rsidRPr="00AF1814">
              <w:t>,</w:t>
            </w:r>
            <w:r w:rsidR="007644DC" w:rsidRPr="00AF1814">
              <w:t xml:space="preserve"> NCCN=National Comprehensive Cancer Network</w:t>
            </w:r>
            <w:r w:rsidR="00EB18DD" w:rsidRPr="00AF1814">
              <w:t xml:space="preserve">, SAE=serious adverse events, </w:t>
            </w:r>
            <w:r w:rsidR="007644DC" w:rsidRPr="00AF1814">
              <w:t>SmPC=summary of product characteristics.</w:t>
            </w:r>
          </w:p>
          <w:p w14:paraId="09D56977" w14:textId="77777777" w:rsidR="00FC7297" w:rsidRPr="00AF1814" w:rsidRDefault="00DA3174" w:rsidP="004F480D">
            <w:pPr>
              <w:pStyle w:val="Tablefootnote"/>
              <w:keepLines w:val="0"/>
            </w:pPr>
            <w:r w:rsidRPr="00AF1814">
              <w:rPr>
                <w:vertAlign w:val="superscript"/>
              </w:rPr>
              <w:t>a</w:t>
            </w:r>
            <w:r w:rsidR="00B04557" w:rsidRPr="00AF1814">
              <w:rPr>
                <w:vertAlign w:val="superscript"/>
              </w:rPr>
              <w:t xml:space="preserve"> </w:t>
            </w:r>
            <w:r w:rsidRPr="00AF1814">
              <w:t>Annals of Oncology 21 (Supplement 5): v232–v243, 2010</w:t>
            </w:r>
            <w:r w:rsidR="00B04557" w:rsidRPr="00AF1814">
              <w:t>.</w:t>
            </w:r>
          </w:p>
          <w:p w14:paraId="5B3BBD5D" w14:textId="77777777" w:rsidR="00FC7297" w:rsidRPr="00AF1814" w:rsidRDefault="00DA3174" w:rsidP="004F480D">
            <w:pPr>
              <w:pStyle w:val="Tablefootnote"/>
              <w:keepLines w:val="0"/>
            </w:pPr>
            <w:r w:rsidRPr="00AF1814">
              <w:rPr>
                <w:vertAlign w:val="superscript"/>
              </w:rPr>
              <w:t>b</w:t>
            </w:r>
            <w:r w:rsidR="00B04557" w:rsidRPr="00AF1814">
              <w:rPr>
                <w:vertAlign w:val="superscript"/>
              </w:rPr>
              <w:t xml:space="preserve"> </w:t>
            </w:r>
            <w:r w:rsidRPr="00AF1814">
              <w:t>NCCN Guideline for Patients</w:t>
            </w:r>
            <w:r w:rsidRPr="00AF1814">
              <w:rPr>
                <w:vertAlign w:val="superscript"/>
              </w:rPr>
              <w:t>®</w:t>
            </w:r>
            <w:r w:rsidRPr="00AF1814">
              <w:t xml:space="preserve"> - Antiemesis version 1/2019</w:t>
            </w:r>
            <w:r w:rsidR="00B04557" w:rsidRPr="00AF1814">
              <w:t>.</w:t>
            </w:r>
          </w:p>
          <w:p w14:paraId="1DDC8F66" w14:textId="77777777" w:rsidR="00FC7297" w:rsidRPr="00AF1814" w:rsidRDefault="00DA3174" w:rsidP="004F480D">
            <w:pPr>
              <w:pStyle w:val="Tablefootnote"/>
              <w:keepLines w:val="0"/>
            </w:pPr>
            <w:r w:rsidRPr="00AF1814">
              <w:rPr>
                <w:vertAlign w:val="superscript"/>
              </w:rPr>
              <w:t>c</w:t>
            </w:r>
            <w:r w:rsidR="00B04557" w:rsidRPr="00AF1814">
              <w:rPr>
                <w:vertAlign w:val="superscript"/>
              </w:rPr>
              <w:t xml:space="preserve"> </w:t>
            </w:r>
            <w:r w:rsidRPr="00AF1814">
              <w:t>https://www.medicines.org.uk/emc/medicine/25944</w:t>
            </w:r>
            <w:r w:rsidR="00B04557" w:rsidRPr="00AF1814">
              <w:t>.</w:t>
            </w:r>
          </w:p>
          <w:p w14:paraId="31760423" w14:textId="77777777" w:rsidR="00FC7297" w:rsidRPr="00AF1814" w:rsidRDefault="00DA3174" w:rsidP="004F480D">
            <w:pPr>
              <w:pStyle w:val="Tablefootnote"/>
              <w:keepLines w:val="0"/>
            </w:pPr>
            <w:r w:rsidRPr="00AF1814">
              <w:rPr>
                <w:vertAlign w:val="superscript"/>
              </w:rPr>
              <w:t>d</w:t>
            </w:r>
            <w:r w:rsidR="00B04557" w:rsidRPr="00AF1814">
              <w:rPr>
                <w:vertAlign w:val="superscript"/>
              </w:rPr>
              <w:t xml:space="preserve"> </w:t>
            </w:r>
            <w:r w:rsidRPr="00AF1814">
              <w:t>NCCN guidelines Myeloid growth factors version 1, 2018</w:t>
            </w:r>
            <w:r w:rsidR="00B04557" w:rsidRPr="00AF1814">
              <w:t>.</w:t>
            </w:r>
          </w:p>
        </w:tc>
      </w:tr>
    </w:tbl>
    <w:p w14:paraId="48AF5104" w14:textId="35C61585" w:rsidR="00177FFE" w:rsidRPr="00AF1814" w:rsidRDefault="00DA3174" w:rsidP="000F4732">
      <w:pPr>
        <w:pStyle w:val="Caption"/>
      </w:pPr>
      <w:bookmarkStart w:id="204" w:name="_Ref523151184"/>
      <w:bookmarkStart w:id="205" w:name="_Toc44601753"/>
      <w:bookmarkStart w:id="206" w:name="_Toc524619935"/>
      <w:bookmarkStart w:id="207" w:name="_Toc524620232"/>
      <w:bookmarkStart w:id="208" w:name="_Toc526326204"/>
      <w:bookmarkStart w:id="209" w:name="_Toc22663913"/>
      <w:bookmarkStart w:id="210" w:name="_Ref521326769"/>
      <w:r w:rsidRPr="00AF1814">
        <w:lastRenderedPageBreak/>
        <w:t xml:space="preserve">Table </w:t>
      </w:r>
      <w:r w:rsidRPr="00AF1814">
        <w:rPr>
          <w:b w:val="0"/>
        </w:rPr>
        <w:fldChar w:fldCharType="begin"/>
      </w:r>
      <w:r w:rsidRPr="00AF1814">
        <w:instrText xml:space="preserve"> SEQ Table \* ARABIC </w:instrText>
      </w:r>
      <w:r w:rsidRPr="00AF1814">
        <w:rPr>
          <w:b w:val="0"/>
        </w:rPr>
        <w:fldChar w:fldCharType="separate"/>
      </w:r>
      <w:r w:rsidR="00C548C3">
        <w:rPr>
          <w:noProof/>
        </w:rPr>
        <w:t>9</w:t>
      </w:r>
      <w:r w:rsidRPr="00AF1814">
        <w:rPr>
          <w:b w:val="0"/>
        </w:rPr>
        <w:fldChar w:fldCharType="end"/>
      </w:r>
      <w:bookmarkEnd w:id="204"/>
      <w:r w:rsidRPr="00AF1814">
        <w:tab/>
        <w:t>Predosing Consideration for Carboplatin</w:t>
      </w:r>
      <w:bookmarkEnd w:id="205"/>
    </w:p>
    <w:tbl>
      <w:tblPr>
        <w:tblStyle w:val="TableGrid1"/>
        <w:tblW w:w="0" w:type="auto"/>
        <w:tblLook w:val="04A0" w:firstRow="1" w:lastRow="0" w:firstColumn="1" w:lastColumn="0" w:noHBand="0" w:noVBand="1"/>
      </w:tblPr>
      <w:tblGrid>
        <w:gridCol w:w="2689"/>
        <w:gridCol w:w="6663"/>
      </w:tblGrid>
      <w:tr w:rsidR="002108B2" w:rsidRPr="00AF1814" w14:paraId="5BE85700" w14:textId="77777777" w:rsidTr="00942D3A">
        <w:trPr>
          <w:tblHeader/>
        </w:trPr>
        <w:tc>
          <w:tcPr>
            <w:tcW w:w="2689" w:type="dxa"/>
          </w:tcPr>
          <w:p w14:paraId="08C3EF35" w14:textId="77777777" w:rsidR="00177FFE" w:rsidRPr="00AF1814" w:rsidRDefault="00DA3174" w:rsidP="00D62600">
            <w:pPr>
              <w:pStyle w:val="Tableheading"/>
            </w:pPr>
            <w:r w:rsidRPr="00AF1814">
              <w:t>Adverse Reaction</w:t>
            </w:r>
          </w:p>
        </w:tc>
        <w:tc>
          <w:tcPr>
            <w:tcW w:w="6663" w:type="dxa"/>
          </w:tcPr>
          <w:p w14:paraId="5FBC752E" w14:textId="77777777" w:rsidR="00177FFE" w:rsidRPr="00AF1814" w:rsidRDefault="00DA3174" w:rsidP="00D62600">
            <w:pPr>
              <w:pStyle w:val="Tableheading"/>
            </w:pPr>
            <w:r w:rsidRPr="00AF1814">
              <w:t>Recommended Steps</w:t>
            </w:r>
          </w:p>
        </w:tc>
      </w:tr>
      <w:tr w:rsidR="002108B2" w:rsidRPr="00AF1814" w14:paraId="18E1B0F9" w14:textId="77777777" w:rsidTr="00942D3A">
        <w:trPr>
          <w:tblHeader/>
        </w:trPr>
        <w:tc>
          <w:tcPr>
            <w:tcW w:w="2689" w:type="dxa"/>
          </w:tcPr>
          <w:p w14:paraId="7B5E8D6A" w14:textId="77777777" w:rsidR="00177FFE" w:rsidRPr="00AF1814" w:rsidRDefault="00DA3174" w:rsidP="00DE27BF">
            <w:pPr>
              <w:pStyle w:val="Tabletext"/>
            </w:pPr>
            <w:r w:rsidRPr="00AF1814">
              <w:t>Nausea or vomiting</w:t>
            </w:r>
          </w:p>
        </w:tc>
        <w:tc>
          <w:tcPr>
            <w:tcW w:w="6663" w:type="dxa"/>
          </w:tcPr>
          <w:p w14:paraId="7564035B" w14:textId="4DD59EAA" w:rsidR="00177FFE" w:rsidRPr="00AF1814" w:rsidRDefault="00DA3174" w:rsidP="002F4FDE">
            <w:pPr>
              <w:pStyle w:val="Tabletext"/>
            </w:pPr>
            <w:r w:rsidRPr="00AF1814">
              <w:t>Follow current MASCC/ESMO or NCCN</w:t>
            </w:r>
            <w:r w:rsidRPr="00AF1814">
              <w:rPr>
                <w:vertAlign w:val="superscript"/>
              </w:rPr>
              <w:t>a</w:t>
            </w:r>
            <w:r w:rsidRPr="00AF1814">
              <w:t xml:space="preserve"> guidelines for chemotherapy-induced</w:t>
            </w:r>
            <w:r w:rsidR="00513A66" w:rsidRPr="00AF1814">
              <w:t xml:space="preserve"> </w:t>
            </w:r>
            <w:r w:rsidRPr="00AF1814">
              <w:t>nausea and vomiting for a “high risk” regimen</w:t>
            </w:r>
            <w:r w:rsidR="0039658A">
              <w:t>.</w:t>
            </w:r>
          </w:p>
        </w:tc>
      </w:tr>
      <w:tr w:rsidR="002108B2" w:rsidRPr="00AF1814" w14:paraId="545CD88B" w14:textId="77777777" w:rsidTr="00942D3A">
        <w:trPr>
          <w:tblHeader/>
        </w:trPr>
        <w:tc>
          <w:tcPr>
            <w:tcW w:w="2689" w:type="dxa"/>
          </w:tcPr>
          <w:p w14:paraId="254EFE20" w14:textId="77777777" w:rsidR="00177FFE" w:rsidRPr="00AF1814" w:rsidRDefault="00DA3174" w:rsidP="00DE27BF">
            <w:pPr>
              <w:pStyle w:val="Tabletext"/>
            </w:pPr>
            <w:r w:rsidRPr="00AF1814">
              <w:t>Hematological toxicities</w:t>
            </w:r>
          </w:p>
        </w:tc>
        <w:tc>
          <w:tcPr>
            <w:tcW w:w="6663" w:type="dxa"/>
          </w:tcPr>
          <w:p w14:paraId="6277D7E8" w14:textId="77777777" w:rsidR="00177FFE" w:rsidRPr="00AF1814" w:rsidRDefault="00DA3174" w:rsidP="002F4FDE">
            <w:pPr>
              <w:pStyle w:val="Tabletext"/>
            </w:pPr>
            <w:r w:rsidRPr="00AF1814">
              <w:t>Per package insert/SmPC of carboplatin</w:t>
            </w:r>
            <w:r w:rsidRPr="00AF1814">
              <w:rPr>
                <w:vertAlign w:val="superscript"/>
              </w:rPr>
              <w:t>b</w:t>
            </w:r>
            <w:r w:rsidRPr="00AF1814">
              <w:t xml:space="preserve"> can cause leukopenia, neutropenia,</w:t>
            </w:r>
          </w:p>
          <w:p w14:paraId="2AA2C7A8" w14:textId="77777777" w:rsidR="00177FFE" w:rsidRPr="00AF1814" w:rsidRDefault="00DA3174" w:rsidP="002F4FDE">
            <w:pPr>
              <w:pStyle w:val="Tabletext"/>
            </w:pPr>
            <w:r w:rsidRPr="00AF1814">
              <w:t>and thrombocytopenia which are dose-dependent and dose-limiting. Peripheral</w:t>
            </w:r>
          </w:p>
          <w:p w14:paraId="41D252D8" w14:textId="77777777" w:rsidR="00177FFE" w:rsidRPr="00AF1814" w:rsidRDefault="00DA3174" w:rsidP="002F4FDE">
            <w:pPr>
              <w:pStyle w:val="Tabletext"/>
            </w:pPr>
            <w:r w:rsidRPr="00AF1814">
              <w:t>blood counts should be monitored before start of treatment with carboplatin and</w:t>
            </w:r>
          </w:p>
          <w:p w14:paraId="3CC10801" w14:textId="77777777" w:rsidR="00177FFE" w:rsidRPr="00AF1814" w:rsidRDefault="00DA3174" w:rsidP="002F4FDE">
            <w:pPr>
              <w:pStyle w:val="Tabletext"/>
            </w:pPr>
            <w:r w:rsidRPr="00AF1814">
              <w:t>then at weekly intervals and, in case of toxicity, until recovery is achieved.</w:t>
            </w:r>
          </w:p>
        </w:tc>
      </w:tr>
      <w:tr w:rsidR="002108B2" w:rsidRPr="00AF1814" w14:paraId="1DC07DB4" w14:textId="77777777" w:rsidTr="00942D3A">
        <w:trPr>
          <w:tblHeader/>
        </w:trPr>
        <w:tc>
          <w:tcPr>
            <w:tcW w:w="2689" w:type="dxa"/>
          </w:tcPr>
          <w:p w14:paraId="08EC1F98" w14:textId="77777777" w:rsidR="00177FFE" w:rsidRPr="00AF1814" w:rsidRDefault="00DA3174" w:rsidP="00DE27BF">
            <w:pPr>
              <w:pStyle w:val="Tabletext"/>
            </w:pPr>
            <w:r w:rsidRPr="00AF1814">
              <w:t>Neurotoxicity</w:t>
            </w:r>
          </w:p>
        </w:tc>
        <w:tc>
          <w:tcPr>
            <w:tcW w:w="6663" w:type="dxa"/>
          </w:tcPr>
          <w:p w14:paraId="6584CE8D" w14:textId="77777777" w:rsidR="00177FFE" w:rsidRPr="00AF1814" w:rsidRDefault="00DA3174" w:rsidP="002F4FDE">
            <w:pPr>
              <w:pStyle w:val="Tabletext"/>
            </w:pPr>
            <w:r w:rsidRPr="00AF1814">
              <w:t>Refer to the current package insert/SmPC and local guidance for modifications</w:t>
            </w:r>
          </w:p>
          <w:p w14:paraId="32F4EA3D" w14:textId="77777777" w:rsidR="00177FFE" w:rsidRPr="00AF1814" w:rsidRDefault="00DA3174" w:rsidP="002F4FDE">
            <w:pPr>
              <w:pStyle w:val="Tabletext"/>
            </w:pPr>
            <w:r w:rsidRPr="00AF1814">
              <w:t>in dose and schedule. Carboplatin dose should be reduced for Grade 3 or</w:t>
            </w:r>
          </w:p>
          <w:p w14:paraId="78CAF907" w14:textId="77777777" w:rsidR="00177FFE" w:rsidRPr="00AF1814" w:rsidRDefault="00DA3174" w:rsidP="002F4FDE">
            <w:pPr>
              <w:pStyle w:val="Tabletext"/>
            </w:pPr>
            <w:r w:rsidRPr="00AF1814">
              <w:t>Grade 4 neurotoxicity.</w:t>
            </w:r>
          </w:p>
        </w:tc>
      </w:tr>
      <w:tr w:rsidR="002108B2" w:rsidRPr="00AF1814" w14:paraId="37BD1167" w14:textId="77777777" w:rsidTr="00942D3A">
        <w:trPr>
          <w:tblHeader/>
        </w:trPr>
        <w:tc>
          <w:tcPr>
            <w:tcW w:w="2689" w:type="dxa"/>
          </w:tcPr>
          <w:p w14:paraId="7CA3151D" w14:textId="77777777" w:rsidR="00177FFE" w:rsidRPr="00AF1814" w:rsidRDefault="00DA3174" w:rsidP="00DE27BF">
            <w:pPr>
              <w:pStyle w:val="Tabletext"/>
            </w:pPr>
            <w:r w:rsidRPr="00AF1814">
              <w:t>Renal toxicity</w:t>
            </w:r>
          </w:p>
        </w:tc>
        <w:tc>
          <w:tcPr>
            <w:tcW w:w="6663" w:type="dxa"/>
          </w:tcPr>
          <w:p w14:paraId="176DF89E" w14:textId="77777777" w:rsidR="00177FFE" w:rsidRPr="00AF1814" w:rsidRDefault="00DA3174" w:rsidP="002F4FDE">
            <w:pPr>
              <w:pStyle w:val="Tabletext"/>
            </w:pPr>
            <w:r w:rsidRPr="00AF1814">
              <w:t>Per SmPC of carboplatin, impairment of renal function is more likely in patients</w:t>
            </w:r>
          </w:p>
          <w:p w14:paraId="70E77B45" w14:textId="77777777" w:rsidR="00177FFE" w:rsidRPr="00AF1814" w:rsidRDefault="00DA3174" w:rsidP="002F4FDE">
            <w:pPr>
              <w:pStyle w:val="Tabletext"/>
            </w:pPr>
            <w:r w:rsidRPr="00AF1814">
              <w:t>who have previously experienced nephrotoxicity as a result of cisplatin therapy.</w:t>
            </w:r>
          </w:p>
          <w:p w14:paraId="7B70F6E8" w14:textId="77777777" w:rsidR="00177FFE" w:rsidRPr="00AF1814" w:rsidRDefault="00DA3174" w:rsidP="00AA143D">
            <w:pPr>
              <w:pStyle w:val="Tabletext"/>
            </w:pPr>
            <w:r w:rsidRPr="00AF1814">
              <w:t>Dosage reduction or discontinuation of carboplatin therapy is required in the</w:t>
            </w:r>
            <w:r w:rsidR="00AA143D" w:rsidRPr="00AF1814">
              <w:t xml:space="preserve"> </w:t>
            </w:r>
            <w:r w:rsidRPr="00AF1814">
              <w:t>presence of severe alteration in renal function tests.</w:t>
            </w:r>
          </w:p>
        </w:tc>
      </w:tr>
      <w:tr w:rsidR="002108B2" w:rsidRPr="00AF1814" w14:paraId="312A0649" w14:textId="77777777" w:rsidTr="00942D3A">
        <w:trPr>
          <w:tblHeader/>
        </w:trPr>
        <w:tc>
          <w:tcPr>
            <w:tcW w:w="2689" w:type="dxa"/>
          </w:tcPr>
          <w:p w14:paraId="6B515E47" w14:textId="77777777" w:rsidR="00177FFE" w:rsidRPr="00AF1814" w:rsidRDefault="00DA3174" w:rsidP="00DE27BF">
            <w:pPr>
              <w:pStyle w:val="Tabletext"/>
            </w:pPr>
            <w:r w:rsidRPr="00AF1814">
              <w:t>Ototoxicity</w:t>
            </w:r>
          </w:p>
        </w:tc>
        <w:tc>
          <w:tcPr>
            <w:tcW w:w="6663" w:type="dxa"/>
          </w:tcPr>
          <w:p w14:paraId="2B9ABD09" w14:textId="77777777" w:rsidR="00177FFE" w:rsidRPr="00AF1814" w:rsidRDefault="00DA3174" w:rsidP="002F4FDE">
            <w:pPr>
              <w:pStyle w:val="Tabletext"/>
            </w:pPr>
            <w:r w:rsidRPr="00AF1814">
              <w:t>Auditory defects have been reported during carboplatin therapy; concomitant</w:t>
            </w:r>
          </w:p>
          <w:p w14:paraId="6A52C3D4" w14:textId="77777777" w:rsidR="00177FFE" w:rsidRPr="00AF1814" w:rsidRDefault="00DA3174" w:rsidP="002F4FDE">
            <w:pPr>
              <w:pStyle w:val="Tabletext"/>
            </w:pPr>
            <w:r w:rsidRPr="00AF1814">
              <w:t>use of Carboplatin with aminoglycosides should be approached with caution</w:t>
            </w:r>
          </w:p>
          <w:p w14:paraId="042F99C0" w14:textId="77777777" w:rsidR="00177FFE" w:rsidRPr="00AF1814" w:rsidRDefault="00DA3174" w:rsidP="00B85E43">
            <w:pPr>
              <w:pStyle w:val="Tabletext"/>
            </w:pPr>
            <w:r w:rsidRPr="00AF1814">
              <w:t>because of</w:t>
            </w:r>
            <w:r w:rsidR="00B85E43" w:rsidRPr="00AF1814">
              <w:t xml:space="preserve"> </w:t>
            </w:r>
            <w:r w:rsidRPr="00AF1814">
              <w:t>nephrotoxicity and ototoxicity, particularly in patients with kidney failure.</w:t>
            </w:r>
          </w:p>
        </w:tc>
      </w:tr>
      <w:tr w:rsidR="002108B2" w:rsidRPr="00AF1814" w14:paraId="2ED2049E" w14:textId="77777777" w:rsidTr="00942D3A">
        <w:trPr>
          <w:tblHeader/>
        </w:trPr>
        <w:tc>
          <w:tcPr>
            <w:tcW w:w="9352" w:type="dxa"/>
            <w:gridSpan w:val="2"/>
          </w:tcPr>
          <w:p w14:paraId="343FE674" w14:textId="77777777" w:rsidR="00177FFE" w:rsidRPr="00AF1814" w:rsidRDefault="00DA3174" w:rsidP="00DE27BF">
            <w:pPr>
              <w:pStyle w:val="Tablefootnote"/>
            </w:pPr>
            <w:r w:rsidRPr="00AF1814">
              <w:t>ESMO=European Society for Medical Oncology, MASCC = Multinational Association of Supportive Care in Cancer,</w:t>
            </w:r>
            <w:r w:rsidR="00B85E43" w:rsidRPr="00AF1814">
              <w:t xml:space="preserve"> </w:t>
            </w:r>
            <w:r w:rsidRPr="00AF1814">
              <w:t>NCCN=National Comprehensive Cancer Network, SmPC = summary of product characteristics.</w:t>
            </w:r>
          </w:p>
          <w:p w14:paraId="1278B201" w14:textId="77777777" w:rsidR="00177FFE" w:rsidRPr="00AF1814" w:rsidRDefault="00DA3174" w:rsidP="00DE27BF">
            <w:pPr>
              <w:pStyle w:val="Tablefootnote"/>
            </w:pPr>
            <w:r w:rsidRPr="00AF1814">
              <w:rPr>
                <w:vertAlign w:val="superscript"/>
              </w:rPr>
              <w:t>a</w:t>
            </w:r>
            <w:r w:rsidRPr="00AF1814">
              <w:t xml:space="preserve"> NCCN Guidelines Antiemesis version 2/2016.</w:t>
            </w:r>
          </w:p>
          <w:p w14:paraId="3B519D3E" w14:textId="4C07A490" w:rsidR="00177FFE" w:rsidRPr="00AF1814" w:rsidRDefault="00DA3174" w:rsidP="00DE27BF">
            <w:pPr>
              <w:pStyle w:val="Tablefootnote"/>
            </w:pPr>
            <w:r w:rsidRPr="00AF1814">
              <w:rPr>
                <w:vertAlign w:val="superscript"/>
              </w:rPr>
              <w:t>b</w:t>
            </w:r>
            <w:r w:rsidRPr="00AF1814">
              <w:t xml:space="preserve"> https://www.medicines.org.uk/emc/product/3787/smpc</w:t>
            </w:r>
            <w:r w:rsidR="00942D3A" w:rsidRPr="00AF1814">
              <w:t>.</w:t>
            </w:r>
          </w:p>
          <w:p w14:paraId="450A14F0" w14:textId="4352F6FB" w:rsidR="00177FFE" w:rsidRPr="00AF1814" w:rsidRDefault="00DA3174" w:rsidP="00DE27BF">
            <w:pPr>
              <w:pStyle w:val="Tablefootnote"/>
            </w:pPr>
            <w:r w:rsidRPr="00AF1814">
              <w:t>Carboplatin should be discontinued in case of severe and persistent myelosuppression as per SmPC recommendation.</w:t>
            </w:r>
          </w:p>
        </w:tc>
      </w:tr>
    </w:tbl>
    <w:bookmarkEnd w:id="206"/>
    <w:bookmarkEnd w:id="207"/>
    <w:bookmarkEnd w:id="208"/>
    <w:bookmarkEnd w:id="209"/>
    <w:p w14:paraId="4A07FB89" w14:textId="77777777" w:rsidR="00FC7297" w:rsidRPr="00AF1814" w:rsidRDefault="00DA3174" w:rsidP="00FC7297">
      <w:pPr>
        <w:pStyle w:val="BodyText"/>
      </w:pPr>
      <w:r w:rsidRPr="00AF1814">
        <w:t xml:space="preserve">Calculated </w:t>
      </w:r>
      <w:r w:rsidR="00365B12" w:rsidRPr="00AF1814">
        <w:t xml:space="preserve">CrCL must be ≥ 50 mL/min prior to the administration of </w:t>
      </w:r>
      <w:r w:rsidR="00743B17" w:rsidRPr="00AF1814">
        <w:t xml:space="preserve">platinum </w:t>
      </w:r>
      <w:r w:rsidR="00365B12" w:rsidRPr="00AF1814">
        <w:t xml:space="preserve">chemotherapy. </w:t>
      </w:r>
      <w:r w:rsidR="00525FBF" w:rsidRPr="00AF1814">
        <w:t>P</w:t>
      </w:r>
      <w:r w:rsidR="00365B12" w:rsidRPr="00AF1814">
        <w:t xml:space="preserve">latinum may be delayed for up to 2 weeks to allow the participant time to recover from the toxicity. If a participant’s CrCl value has not returned to ≥ 50 mL/min within 2 weeks after the previous dose, platinum must be discontinued. </w:t>
      </w:r>
    </w:p>
    <w:p w14:paraId="2F49A451" w14:textId="77777777" w:rsidR="00743B17" w:rsidRPr="00AF1814" w:rsidRDefault="00DA3174" w:rsidP="00FC7297">
      <w:pPr>
        <w:pStyle w:val="BodyText"/>
      </w:pPr>
      <w:r w:rsidRPr="00AF1814">
        <w:t>For treatments held due to toxicity, treatment should be resumed only after toxicity has decreased to Grade ≤</w:t>
      </w:r>
      <w:r w:rsidR="00106F2B" w:rsidRPr="00AF1814">
        <w:t xml:space="preserve"> </w:t>
      </w:r>
      <w:r w:rsidRPr="00AF1814">
        <w:t>1. Toxicities that are not able to resolve to Grade ≤</w:t>
      </w:r>
      <w:r w:rsidR="00106F2B" w:rsidRPr="00AF1814">
        <w:t xml:space="preserve"> </w:t>
      </w:r>
      <w:r w:rsidRPr="00AF1814">
        <w:t xml:space="preserve">1 within 2 weeks should warrant consideration for discontinuing agent(s) responsible for toxicity.  </w:t>
      </w:r>
    </w:p>
    <w:bookmarkEnd w:id="210"/>
    <w:p w14:paraId="37318055" w14:textId="77777777" w:rsidR="00FC7297" w:rsidRPr="00AF1814" w:rsidRDefault="00DA3174" w:rsidP="00FC7297">
      <w:pPr>
        <w:pStyle w:val="BodyText"/>
      </w:pPr>
      <w:r w:rsidRPr="00AF1814">
        <w:t xml:space="preserve">Cardiac rhythm disturbances have occurred infrequently in patients treated with paclitaxel in clinical studies; however, most patients were asymptomatic, and cardiac monitoring is not required. Cardiac events should be managed as follows: </w:t>
      </w:r>
    </w:p>
    <w:p w14:paraId="01150C9B" w14:textId="77777777" w:rsidR="00FC7297" w:rsidRPr="00AF1814" w:rsidRDefault="00DA3174" w:rsidP="00F15279">
      <w:pPr>
        <w:pStyle w:val="List1withbullet"/>
      </w:pPr>
      <w:r w:rsidRPr="00AF1814">
        <w:t>Asymptomatic bradycardia: no treatment required</w:t>
      </w:r>
      <w:r w:rsidR="00513616" w:rsidRPr="00AF1814">
        <w:t>.</w:t>
      </w:r>
    </w:p>
    <w:p w14:paraId="1F9153FA" w14:textId="77777777" w:rsidR="00FC7297" w:rsidRPr="00AF1814" w:rsidRDefault="00DA3174" w:rsidP="00F15279">
      <w:pPr>
        <w:pStyle w:val="List1withbullet"/>
      </w:pPr>
      <w:r w:rsidRPr="00AF1814">
        <w:t xml:space="preserve">Symptomatic arrhythmia during infusion: stop paclitaxel infusion, manage arrhythmia according to standard practice. Paclitaxel treatment will be discontinued. </w:t>
      </w:r>
    </w:p>
    <w:p w14:paraId="254F641B" w14:textId="50FFC51C" w:rsidR="00FC7297" w:rsidRPr="00AF1814" w:rsidRDefault="00DA3174" w:rsidP="00F15279">
      <w:pPr>
        <w:pStyle w:val="List1withbullet"/>
      </w:pPr>
      <w:r w:rsidRPr="00AF1814">
        <w:t>Chest pain and/or symptomatic hypotension (&lt; 90/60</w:t>
      </w:r>
      <w:r w:rsidR="00C8754C">
        <w:t> </w:t>
      </w:r>
      <w:r w:rsidRPr="00AF1814">
        <w:t xml:space="preserve">mmHg or requires fluid replacement): stop paclitaxel infusion. Perform an electrocardiogram (ECG). Administer </w:t>
      </w:r>
      <w:r w:rsidR="00701ABC" w:rsidRPr="00AF1814">
        <w:rPr>
          <w:rFonts w:cs="Arial"/>
          <w:szCs w:val="18"/>
        </w:rPr>
        <w:t>intravenous</w:t>
      </w:r>
      <w:r w:rsidRPr="00AF1814">
        <w:t xml:space="preserve"> diphenhydramine and dexamethasone if hypersensitivity is considered. Also consider epinephrine or bronchodilators if chest pain is not thought to be cardiac. Paclitaxel </w:t>
      </w:r>
      <w:r w:rsidRPr="00AF1814">
        <w:lastRenderedPageBreak/>
        <w:t xml:space="preserve">treatment will be discontinued, and cardiovascular support should be given as appropriate. If appropriate, the advice of a cardiologist should also be sought. </w:t>
      </w:r>
    </w:p>
    <w:p w14:paraId="71C02D52" w14:textId="77777777" w:rsidR="00FC7297" w:rsidRPr="00AF1814" w:rsidRDefault="00DA3174" w:rsidP="00FC7297">
      <w:pPr>
        <w:pStyle w:val="BodyText"/>
      </w:pPr>
      <w:r w:rsidRPr="00AF1814">
        <w:t>Patients who had a mild to moderate hypersensitivity reaction to paclitaxel have been successfully rechallenged, but the administration of prophylactic medication and intensive monitoring of vital signs is recommended:</w:t>
      </w:r>
    </w:p>
    <w:p w14:paraId="74978C3F" w14:textId="77777777" w:rsidR="00FC7297" w:rsidRPr="00AF1814" w:rsidRDefault="00DA3174" w:rsidP="00F15279">
      <w:pPr>
        <w:pStyle w:val="List1withbullet"/>
      </w:pPr>
      <w:r w:rsidRPr="00AF1814">
        <w:t xml:space="preserve">Mild symptoms: complete paclitaxel infusion. Supervise at bedside. No treatment required. </w:t>
      </w:r>
    </w:p>
    <w:p w14:paraId="74EC533B" w14:textId="77777777" w:rsidR="00FC7297" w:rsidRPr="00AF1814" w:rsidRDefault="00DA3174" w:rsidP="00F15279">
      <w:pPr>
        <w:pStyle w:val="List1withbullet"/>
      </w:pPr>
      <w:r w:rsidRPr="00AF1814">
        <w:t xml:space="preserve">Moderate symptoms: stop paclitaxel infusion. Administer </w:t>
      </w:r>
      <w:r w:rsidR="00701ABC" w:rsidRPr="00AF1814">
        <w:rPr>
          <w:rFonts w:cs="Arial"/>
          <w:szCs w:val="18"/>
        </w:rPr>
        <w:t>intravenous</w:t>
      </w:r>
      <w:r w:rsidRPr="00AF1814">
        <w:t xml:space="preserve"> diphenhydramine 25 to 50 mg and dexamethasone 10 mg. Resume paclitaxel infusion after recovery of symptoms at a low rate, 20 mL/hour for 15 minutes, then 40 mL/hour for 15 minutes, then if no further symptoms, at full-dose rate until infusion is complete. If symptoms recur, stop paclitaxel infusion. Paclitaxel treatment will be discontinued. </w:t>
      </w:r>
    </w:p>
    <w:p w14:paraId="2941F280" w14:textId="77777777" w:rsidR="00FC7297" w:rsidRPr="00AF1814" w:rsidRDefault="00DA3174" w:rsidP="00F15279">
      <w:pPr>
        <w:pStyle w:val="List1withbullet"/>
      </w:pPr>
      <w:r w:rsidRPr="00AF1814">
        <w:t xml:space="preserve">Severe life-threatening symptoms: stop paclitaxel infusion. Administer </w:t>
      </w:r>
      <w:r w:rsidR="00701ABC" w:rsidRPr="00AF1814">
        <w:rPr>
          <w:rFonts w:cs="Arial"/>
          <w:szCs w:val="18"/>
        </w:rPr>
        <w:t>intravenous</w:t>
      </w:r>
      <w:r w:rsidRPr="00AF1814">
        <w:t xml:space="preserve"> diphenhydramine and dexamethasone as above. Add epinephrine or bronchodilators if indicated. Paclitaxel treatment will be discontinued. </w:t>
      </w:r>
    </w:p>
    <w:p w14:paraId="6200D9E9" w14:textId="77777777" w:rsidR="00FC7297" w:rsidRPr="00AF1814" w:rsidRDefault="00DA3174" w:rsidP="00F15279">
      <w:pPr>
        <w:pStyle w:val="List1withbullet"/>
      </w:pPr>
      <w:r w:rsidRPr="00AF1814">
        <w:t>Moderate or severe hypersensitivity reactions should be recorded as an AE.</w:t>
      </w:r>
    </w:p>
    <w:p w14:paraId="55B4AF70" w14:textId="77777777" w:rsidR="003836EF" w:rsidRPr="00AF1814" w:rsidRDefault="00DA3174" w:rsidP="003836EF">
      <w:pPr>
        <w:pStyle w:val="Heading3"/>
      </w:pPr>
      <w:bookmarkStart w:id="211" w:name="_Toc44601686"/>
      <w:r w:rsidRPr="00AF1814">
        <w:t>Chemoradiation</w:t>
      </w:r>
      <w:bookmarkEnd w:id="211"/>
    </w:p>
    <w:p w14:paraId="0FBB35D4" w14:textId="5D1EF056" w:rsidR="006632FA" w:rsidRPr="00AF1814" w:rsidRDefault="00DA3174" w:rsidP="006632FA">
      <w:pPr>
        <w:pStyle w:val="BodyText"/>
        <w:spacing w:before="120"/>
      </w:pPr>
      <w:r w:rsidRPr="00AF1814">
        <w:t xml:space="preserve">Toxicities of cCRT may arise to different degrees at different timepoints in various subpopulations and scenarios. First, with regards to chemotherapy, the presence of important variables such as age, </w:t>
      </w:r>
      <w:r w:rsidR="00BF1C0B" w:rsidRPr="00AF1814">
        <w:t>PS</w:t>
      </w:r>
      <w:r w:rsidRPr="00AF1814">
        <w:t>, and pre</w:t>
      </w:r>
      <w:r w:rsidR="00602931" w:rsidRPr="00AF1814">
        <w:t>-</w:t>
      </w:r>
      <w:r w:rsidRPr="00AF1814">
        <w:t xml:space="preserve">existing comorbidities plays a large role in how well the participants can tolerate cCRT. Some participants may also benefit from chemotherapy alterations in doses, intervals or even specific compounds and regimens. Second, from the </w:t>
      </w:r>
      <w:r w:rsidR="000C1185" w:rsidRPr="00AF1814">
        <w:t>radiotherapy</w:t>
      </w:r>
      <w:r w:rsidR="00EF6961" w:rsidRPr="00AF1814">
        <w:t> </w:t>
      </w:r>
      <w:r w:rsidRPr="00AF1814">
        <w:t xml:space="preserve">perspective, because advanced </w:t>
      </w:r>
      <w:r w:rsidR="00EB18DD" w:rsidRPr="00AF1814">
        <w:t>radiotherapy</w:t>
      </w:r>
      <w:r w:rsidRPr="00AF1814">
        <w:t xml:space="preserve"> techniques have developed, and image-guided </w:t>
      </w:r>
      <w:r w:rsidR="00EB18DD" w:rsidRPr="00AF1814">
        <w:t>radiotherapy</w:t>
      </w:r>
      <w:r w:rsidRPr="00AF1814">
        <w:t xml:space="preserve"> has now become the standard of care, fewer </w:t>
      </w:r>
      <w:r w:rsidR="00EB18DD" w:rsidRPr="00AF1814">
        <w:t>radiotherapy</w:t>
      </w:r>
      <w:r w:rsidRPr="00AF1814">
        <w:t>-related toxicities are expected (</w:t>
      </w:r>
      <w:bookmarkStart w:id="212" w:name="_Hlk33017769"/>
      <w:r w:rsidR="000A46D0" w:rsidRPr="00AF1814">
        <w:fldChar w:fldCharType="begin"/>
      </w:r>
      <w:r w:rsidR="000A46D0" w:rsidRPr="00AF1814">
        <w:instrText xml:space="preserve"> HYPERLINK  \l "_Verma_V,_Simone" </w:instrText>
      </w:r>
      <w:r w:rsidR="000A46D0" w:rsidRPr="00AF1814">
        <w:fldChar w:fldCharType="separate"/>
      </w:r>
      <w:r w:rsidRPr="00AF1814">
        <w:rPr>
          <w:rStyle w:val="Hyperlink"/>
        </w:rPr>
        <w:t>Verma 2017</w:t>
      </w:r>
      <w:bookmarkEnd w:id="212"/>
      <w:r w:rsidR="000A46D0" w:rsidRPr="00AF1814">
        <w:fldChar w:fldCharType="end"/>
      </w:r>
      <w:r w:rsidRPr="00AF1814">
        <w:t xml:space="preserve">). Risk management of chemoradiation side effects mainly includes early detection, study intervention modification and prompt toxicity management. </w:t>
      </w:r>
      <w:r w:rsidR="00D32195" w:rsidRPr="00AF1814">
        <w:t xml:space="preserve">If feasible, </w:t>
      </w:r>
      <w:r w:rsidR="00EB18DD" w:rsidRPr="00AF1814">
        <w:t>radiotherapy</w:t>
      </w:r>
      <w:r w:rsidRPr="00AF1814">
        <w:t xml:space="preserve"> interruptions and dose reductions for manageable acute toxicities should be avoided by employing supportive care.</w:t>
      </w:r>
    </w:p>
    <w:p w14:paraId="1C0CCD33" w14:textId="77777777" w:rsidR="003E44A8" w:rsidRPr="00AF1814" w:rsidRDefault="00DA3174" w:rsidP="003E44A8">
      <w:pPr>
        <w:pStyle w:val="BodyText"/>
        <w:rPr>
          <w:rFonts w:ascii="TimesNewRoman" w:eastAsia="TimesNewRoman" w:hAnsi="TimesNewRoman" w:cs="TimesNewRoman"/>
        </w:rPr>
      </w:pPr>
      <w:bookmarkStart w:id="213" w:name="_Toc511141753"/>
      <w:r w:rsidRPr="00AF1814">
        <w:t>Management and work</w:t>
      </w:r>
      <w:r w:rsidR="00BF1C0B" w:rsidRPr="00AF1814">
        <w:t>-</w:t>
      </w:r>
      <w:r w:rsidRPr="00AF1814">
        <w:t xml:space="preserve">up must be done in accordance with labeling instructions and local institutional guidelines and in discussion with the Medical Monitor. </w:t>
      </w:r>
      <w:bookmarkEnd w:id="213"/>
    </w:p>
    <w:p w14:paraId="3228E66F" w14:textId="77777777" w:rsidR="002D5216" w:rsidRPr="00AF1814" w:rsidRDefault="00DA3174" w:rsidP="00392AF9">
      <w:pPr>
        <w:pStyle w:val="Heading1"/>
        <w:tabs>
          <w:tab w:val="clear" w:pos="4716"/>
        </w:tabs>
        <w:ind w:left="2070" w:hanging="2070"/>
      </w:pPr>
      <w:bookmarkStart w:id="214" w:name="_Ref30403057"/>
      <w:bookmarkStart w:id="215" w:name="_Ref30403119"/>
      <w:bookmarkStart w:id="216" w:name="_Toc44601687"/>
      <w:bookmarkEnd w:id="190"/>
      <w:r w:rsidRPr="00AF1814">
        <w:t>Discontinuation of Study Intervention and Participant Discontinuation/Withdrawal</w:t>
      </w:r>
      <w:bookmarkEnd w:id="214"/>
      <w:bookmarkEnd w:id="215"/>
      <w:bookmarkEnd w:id="216"/>
    </w:p>
    <w:p w14:paraId="661D000C" w14:textId="77777777" w:rsidR="002D5216" w:rsidRPr="00AF1814" w:rsidRDefault="00DA3174" w:rsidP="00C27FB7">
      <w:pPr>
        <w:pStyle w:val="Heading2"/>
      </w:pPr>
      <w:bookmarkStart w:id="217" w:name="_Ref36812907"/>
      <w:bookmarkStart w:id="218" w:name="_Toc44601688"/>
      <w:r w:rsidRPr="00AF1814">
        <w:t>Discontinuation of Study Intervention</w:t>
      </w:r>
      <w:bookmarkEnd w:id="217"/>
      <w:bookmarkEnd w:id="218"/>
    </w:p>
    <w:p w14:paraId="0197B065" w14:textId="2D62D93A" w:rsidR="00881793" w:rsidRPr="00AF1814" w:rsidRDefault="00DA3174" w:rsidP="00881793">
      <w:pPr>
        <w:pStyle w:val="BodyText"/>
      </w:pPr>
      <w:bookmarkStart w:id="219" w:name="_Hlk527478723"/>
      <w:r w:rsidRPr="00AF1814">
        <w:t xml:space="preserve">Participants may </w:t>
      </w:r>
      <w:r w:rsidR="00F20525" w:rsidRPr="00AF1814">
        <w:t xml:space="preserve">be </w:t>
      </w:r>
      <w:r w:rsidRPr="00AF1814">
        <w:t>discontinued from study intervention for any of the following reasons, one reinitiating course of treatment may be allowed (</w:t>
      </w:r>
      <w:r w:rsidRPr="00E44F28">
        <w:t xml:space="preserve">see Section </w:t>
      </w:r>
      <w:r w:rsidR="00542BA2" w:rsidRPr="00E44F28">
        <w:fldChar w:fldCharType="begin"/>
      </w:r>
      <w:r w:rsidR="00542BA2" w:rsidRPr="00E44F28">
        <w:instrText xml:space="preserve"> REF _Ref29479188 \r \h </w:instrText>
      </w:r>
      <w:r w:rsidR="00AF1814" w:rsidRPr="00E44F28">
        <w:instrText xml:space="preserve"> \* MERGEFORMAT </w:instrText>
      </w:r>
      <w:r w:rsidR="00542BA2" w:rsidRPr="00E44F28">
        <w:fldChar w:fldCharType="separate"/>
      </w:r>
      <w:r w:rsidR="00C548C3" w:rsidRPr="00E44F28">
        <w:t>7.1.2</w:t>
      </w:r>
      <w:r w:rsidR="00542BA2" w:rsidRPr="00E44F28">
        <w:fldChar w:fldCharType="end"/>
      </w:r>
      <w:r w:rsidRPr="00E44F28">
        <w:t>).</w:t>
      </w:r>
      <w:r w:rsidR="00F20525" w:rsidRPr="00E44F28">
        <w:t xml:space="preserve"> </w:t>
      </w:r>
    </w:p>
    <w:p w14:paraId="3356B29D" w14:textId="77777777" w:rsidR="00881793" w:rsidRPr="00AF1814" w:rsidRDefault="00DA3174" w:rsidP="00F15279">
      <w:pPr>
        <w:pStyle w:val="List1withbullet"/>
      </w:pPr>
      <w:r w:rsidRPr="00AF1814">
        <w:t>A participant may discontinue from the study intervention at any time at her own request (i.e., withdrawal of consent), and without giving a reason.</w:t>
      </w:r>
    </w:p>
    <w:p w14:paraId="200EF30D" w14:textId="77777777" w:rsidR="00881793" w:rsidRPr="00AF1814" w:rsidRDefault="00DA3174" w:rsidP="00F15279">
      <w:pPr>
        <w:pStyle w:val="List1withbullet"/>
      </w:pPr>
      <w:r w:rsidRPr="00AF1814">
        <w:lastRenderedPageBreak/>
        <w:t>Occurrence of an exclusion criterion, which is clinically relevant and affects the participant's safety, if discontinuation is considered necessary by the Investigator and/or Sponsor.</w:t>
      </w:r>
    </w:p>
    <w:p w14:paraId="788EF9AC" w14:textId="54EE21EF" w:rsidR="00881793" w:rsidRPr="00E44F28" w:rsidRDefault="00DA3174" w:rsidP="00F15279">
      <w:pPr>
        <w:pStyle w:val="List1withbullet"/>
      </w:pPr>
      <w:r w:rsidRPr="00AF1814">
        <w:t xml:space="preserve">A participant may be discontinued at any time at </w:t>
      </w:r>
      <w:r w:rsidRPr="00E44F28">
        <w:t>the discretion of the Investigator for safety, behavioral, compliance, or administrative reasons</w:t>
      </w:r>
      <w:r w:rsidR="005F7369" w:rsidRPr="00E44F28">
        <w:t xml:space="preserve"> </w:t>
      </w:r>
      <w:r w:rsidRPr="00E44F28">
        <w:t>(</w:t>
      </w:r>
      <w:r w:rsidR="00DB502C" w:rsidRPr="00E44F28">
        <w:t>s</w:t>
      </w:r>
      <w:r w:rsidRPr="00E44F28">
        <w:t>ee Section</w:t>
      </w:r>
      <w:r w:rsidR="00DB502C" w:rsidRPr="00E44F28">
        <w:t>s</w:t>
      </w:r>
      <w:r w:rsidRPr="00E44F28">
        <w:t xml:space="preserve"> </w:t>
      </w:r>
      <w:r w:rsidR="00542BA2" w:rsidRPr="00E44F28">
        <w:fldChar w:fldCharType="begin"/>
      </w:r>
      <w:r w:rsidR="00542BA2" w:rsidRPr="00E44F28">
        <w:instrText xml:space="preserve"> REF _Ref29479218 \r \h </w:instrText>
      </w:r>
      <w:r w:rsidR="003B1F01" w:rsidRPr="00E44F28">
        <w:instrText xml:space="preserve"> \* MERGEFORMAT </w:instrText>
      </w:r>
      <w:r w:rsidR="00542BA2" w:rsidRPr="00E44F28">
        <w:fldChar w:fldCharType="separate"/>
      </w:r>
      <w:r w:rsidR="00C548C3" w:rsidRPr="00E44F28">
        <w:t>6.8</w:t>
      </w:r>
      <w:r w:rsidR="00542BA2" w:rsidRPr="00E44F28">
        <w:fldChar w:fldCharType="end"/>
      </w:r>
      <w:r w:rsidR="003B1F01" w:rsidRPr="00E44F28">
        <w:t xml:space="preserve">, </w:t>
      </w:r>
      <w:r w:rsidR="003B1F01" w:rsidRPr="00E44F28">
        <w:fldChar w:fldCharType="begin"/>
      </w:r>
      <w:r w:rsidR="003B1F01" w:rsidRPr="00E44F28">
        <w:instrText xml:space="preserve"> REF _Ref35195460 \w \h  \* MERGEFORMAT </w:instrText>
      </w:r>
      <w:r w:rsidR="003B1F01" w:rsidRPr="00E44F28">
        <w:fldChar w:fldCharType="separate"/>
      </w:r>
      <w:r w:rsidR="00C548C3" w:rsidRPr="00E44F28">
        <w:t>8.3.6</w:t>
      </w:r>
      <w:r w:rsidR="003B1F01" w:rsidRPr="00E44F28">
        <w:fldChar w:fldCharType="end"/>
      </w:r>
      <w:r w:rsidR="003B1F01" w:rsidRPr="00E44F28">
        <w:t>,</w:t>
      </w:r>
      <w:r w:rsidR="00542BA2" w:rsidRPr="00E44F28">
        <w:t xml:space="preserve"> and </w:t>
      </w:r>
      <w:r w:rsidR="00542BA2" w:rsidRPr="00E44F28">
        <w:fldChar w:fldCharType="begin"/>
      </w:r>
      <w:r w:rsidR="00542BA2" w:rsidRPr="00E44F28">
        <w:instrText xml:space="preserve"> REF _Ref29478792 \r \h </w:instrText>
      </w:r>
      <w:r w:rsidR="003B1F01" w:rsidRPr="00E44F28">
        <w:instrText xml:space="preserve"> \* MERGEFORMAT </w:instrText>
      </w:r>
      <w:r w:rsidR="00542BA2" w:rsidRPr="00E44F28">
        <w:fldChar w:fldCharType="separate"/>
      </w:r>
      <w:r w:rsidR="00C548C3" w:rsidRPr="00E44F28">
        <w:t>8.3.7</w:t>
      </w:r>
      <w:r w:rsidR="00542BA2" w:rsidRPr="00E44F28">
        <w:fldChar w:fldCharType="end"/>
      </w:r>
      <w:r w:rsidRPr="00E44F28">
        <w:t xml:space="preserve"> for TEAEs and</w:t>
      </w:r>
      <w:r w:rsidR="008E2441" w:rsidRPr="00E44F28">
        <w:t xml:space="preserve"> </w:t>
      </w:r>
      <w:r w:rsidR="00E35700" w:rsidRPr="00E44F28">
        <w:t>a</w:t>
      </w:r>
      <w:r w:rsidR="008E2441" w:rsidRPr="00E44F28">
        <w:t>dverse events of special interest</w:t>
      </w:r>
      <w:r w:rsidRPr="00E44F28">
        <w:t xml:space="preserve"> </w:t>
      </w:r>
      <w:r w:rsidR="008E2441" w:rsidRPr="00E44F28">
        <w:t>[</w:t>
      </w:r>
      <w:r w:rsidRPr="00E44F28">
        <w:t>AESIs</w:t>
      </w:r>
      <w:r w:rsidR="008E2441" w:rsidRPr="00E44F28">
        <w:t>]</w:t>
      </w:r>
      <w:r w:rsidRPr="00E44F28">
        <w:t xml:space="preserve"> that require treatment discontinuation). </w:t>
      </w:r>
    </w:p>
    <w:p w14:paraId="200D29AB" w14:textId="50064635" w:rsidR="00881793" w:rsidRPr="00E44F28" w:rsidRDefault="00DA3174" w:rsidP="00F15279">
      <w:pPr>
        <w:pStyle w:val="List1withbullet"/>
      </w:pPr>
      <w:r w:rsidRPr="00E44F28">
        <w:t>P</w:t>
      </w:r>
      <w:r w:rsidR="00694C9D" w:rsidRPr="00E44F28">
        <w:t>rogressi</w:t>
      </w:r>
      <w:r w:rsidR="00A07DEE" w:rsidRPr="00E44F28">
        <w:t xml:space="preserve">ve </w:t>
      </w:r>
      <w:r w:rsidRPr="00E44F28">
        <w:t>D</w:t>
      </w:r>
      <w:r w:rsidR="00694C9D" w:rsidRPr="00E44F28">
        <w:t>isease</w:t>
      </w:r>
      <w:r w:rsidRPr="00E44F28">
        <w:t xml:space="preserve"> per RECIST 1.1, </w:t>
      </w:r>
      <w:r w:rsidR="006219FA" w:rsidRPr="00E44F28">
        <w:t xml:space="preserve">subsequently confirmed, </w:t>
      </w:r>
      <w:r w:rsidRPr="00E44F28">
        <w:t>with the exception that participants receiving treatment may continue past PD if the participant’s ECOG PS has remained at least stable, and if in the opinion of the Investigator, the participant will benefit from continued treatment (</w:t>
      </w:r>
      <w:r w:rsidR="00E35700" w:rsidRPr="00E44F28">
        <w:t>s</w:t>
      </w:r>
      <w:r w:rsidRPr="00E44F28">
        <w:t>ee</w:t>
      </w:r>
      <w:r w:rsidR="001E4379" w:rsidRPr="00E44F28">
        <w:t xml:space="preserve"> Section </w:t>
      </w:r>
      <w:r w:rsidR="001E4379" w:rsidRPr="00E44F28">
        <w:fldChar w:fldCharType="begin"/>
      </w:r>
      <w:r w:rsidR="001E4379" w:rsidRPr="00E44F28">
        <w:instrText xml:space="preserve"> REF _Ref15485175 \r \h </w:instrText>
      </w:r>
      <w:r w:rsidR="00AF1814" w:rsidRPr="00E44F28">
        <w:instrText xml:space="preserve"> \* MERGEFORMAT </w:instrText>
      </w:r>
      <w:r w:rsidR="001E4379" w:rsidRPr="00E44F28">
        <w:fldChar w:fldCharType="separate"/>
      </w:r>
      <w:r w:rsidR="00C548C3" w:rsidRPr="00E44F28">
        <w:t>7.1.3</w:t>
      </w:r>
      <w:r w:rsidR="001E4379" w:rsidRPr="00E44F28">
        <w:fldChar w:fldCharType="end"/>
      </w:r>
      <w:r w:rsidR="00602931" w:rsidRPr="00E44F28">
        <w:t xml:space="preserve"> for all details</w:t>
      </w:r>
      <w:r w:rsidRPr="00E44F28">
        <w:t>).</w:t>
      </w:r>
    </w:p>
    <w:p w14:paraId="34044FD3" w14:textId="1734B34E" w:rsidR="00881793" w:rsidRPr="00E44F28" w:rsidRDefault="00DA3174" w:rsidP="00F15279">
      <w:pPr>
        <w:pStyle w:val="List1withbullet"/>
      </w:pPr>
      <w:r w:rsidRPr="00E44F28">
        <w:t>Unacceptable toxicity</w:t>
      </w:r>
      <w:r w:rsidR="0039658A" w:rsidRPr="00E44F28">
        <w:t>.</w:t>
      </w:r>
    </w:p>
    <w:p w14:paraId="24772F2A" w14:textId="31BAFBBC" w:rsidR="00881793" w:rsidRPr="00E44F28" w:rsidRDefault="00DA3174" w:rsidP="00F15279">
      <w:pPr>
        <w:pStyle w:val="List1withbullet"/>
      </w:pPr>
      <w:r w:rsidRPr="00E44F28">
        <w:t xml:space="preserve">Some TEAEs and AESIs require withdrawal from treatment. See </w:t>
      </w:r>
      <w:r w:rsidR="00542BA2" w:rsidRPr="00E44F28">
        <w:t>Section</w:t>
      </w:r>
      <w:r w:rsidR="00E35700" w:rsidRPr="00E44F28">
        <w:t>s</w:t>
      </w:r>
      <w:r w:rsidR="00542BA2" w:rsidRPr="00E44F28">
        <w:t xml:space="preserve"> </w:t>
      </w:r>
      <w:r w:rsidR="00542BA2" w:rsidRPr="00E44F28">
        <w:fldChar w:fldCharType="begin"/>
      </w:r>
      <w:r w:rsidR="00542BA2" w:rsidRPr="00E44F28">
        <w:instrText xml:space="preserve"> REF _Ref29479218 \r \h </w:instrText>
      </w:r>
      <w:r w:rsidR="003B1F01" w:rsidRPr="00E44F28">
        <w:instrText xml:space="preserve"> \* MERGEFORMAT </w:instrText>
      </w:r>
      <w:r w:rsidR="00542BA2" w:rsidRPr="00E44F28">
        <w:fldChar w:fldCharType="separate"/>
      </w:r>
      <w:r w:rsidR="00C548C3" w:rsidRPr="00E44F28">
        <w:t>6.8</w:t>
      </w:r>
      <w:r w:rsidR="00542BA2" w:rsidRPr="00E44F28">
        <w:fldChar w:fldCharType="end"/>
      </w:r>
      <w:r w:rsidR="00542BA2" w:rsidRPr="00E44F28">
        <w:t xml:space="preserve">, </w:t>
      </w:r>
      <w:r w:rsidR="003B1F01" w:rsidRPr="00E44F28">
        <w:fldChar w:fldCharType="begin"/>
      </w:r>
      <w:r w:rsidR="003B1F01" w:rsidRPr="00E44F28">
        <w:instrText xml:space="preserve"> REF _Ref35195460 \w \h  \* MERGEFORMAT </w:instrText>
      </w:r>
      <w:r w:rsidR="003B1F01" w:rsidRPr="00E44F28">
        <w:fldChar w:fldCharType="separate"/>
      </w:r>
      <w:r w:rsidR="00C548C3" w:rsidRPr="00E44F28">
        <w:t>8.3.6</w:t>
      </w:r>
      <w:r w:rsidR="003B1F01" w:rsidRPr="00E44F28">
        <w:fldChar w:fldCharType="end"/>
      </w:r>
      <w:r w:rsidR="003B1F01" w:rsidRPr="00E44F28">
        <w:t xml:space="preserve">, </w:t>
      </w:r>
      <w:r w:rsidR="00542BA2" w:rsidRPr="00E44F28">
        <w:t xml:space="preserve">and </w:t>
      </w:r>
      <w:r w:rsidR="00542BA2" w:rsidRPr="00E44F28">
        <w:fldChar w:fldCharType="begin"/>
      </w:r>
      <w:r w:rsidR="00542BA2" w:rsidRPr="00E44F28">
        <w:instrText xml:space="preserve"> REF _Ref29478792 \r \h </w:instrText>
      </w:r>
      <w:r w:rsidR="003B1F01" w:rsidRPr="00E44F28">
        <w:instrText xml:space="preserve"> \* MERGEFORMAT </w:instrText>
      </w:r>
      <w:r w:rsidR="00542BA2" w:rsidRPr="00E44F28">
        <w:fldChar w:fldCharType="separate"/>
      </w:r>
      <w:r w:rsidR="00C548C3" w:rsidRPr="00E44F28">
        <w:t>8.3.7</w:t>
      </w:r>
      <w:r w:rsidR="00542BA2" w:rsidRPr="00E44F28">
        <w:fldChar w:fldCharType="end"/>
      </w:r>
      <w:r w:rsidRPr="00E44F28">
        <w:t xml:space="preserve"> for additional details.</w:t>
      </w:r>
      <w:r w:rsidR="00334C2D" w:rsidRPr="00E44F28">
        <w:t xml:space="preserve"> Participants who discontinue study intervention will be followed on study until resolution of toxicity or until disease progression</w:t>
      </w:r>
      <w:r w:rsidR="008B2DE9" w:rsidRPr="00E44F28">
        <w:t>.</w:t>
      </w:r>
    </w:p>
    <w:p w14:paraId="0B592C1D" w14:textId="77777777" w:rsidR="00881793" w:rsidRPr="00E44F28" w:rsidRDefault="00DA3174" w:rsidP="00F15279">
      <w:pPr>
        <w:pStyle w:val="List1withbullet"/>
      </w:pPr>
      <w:r w:rsidRPr="00E44F28">
        <w:t>Drug must not be given to a known pregnant participant</w:t>
      </w:r>
      <w:r w:rsidR="00312EBB" w:rsidRPr="00E44F28">
        <w:t>.</w:t>
      </w:r>
    </w:p>
    <w:p w14:paraId="76FDFD71" w14:textId="6943B0AE" w:rsidR="00F20525" w:rsidRPr="00E44F28" w:rsidRDefault="00DA3174" w:rsidP="00F15279">
      <w:pPr>
        <w:pStyle w:val="List1withbullet"/>
      </w:pPr>
      <w:r w:rsidRPr="00E44F28">
        <w:t>Use of a prohibited concomitant drug, as defined in Section</w:t>
      </w:r>
      <w:r w:rsidR="00542BA2" w:rsidRPr="00E44F28">
        <w:t xml:space="preserve"> </w:t>
      </w:r>
      <w:r w:rsidR="00542BA2" w:rsidRPr="00E44F28">
        <w:fldChar w:fldCharType="begin"/>
      </w:r>
      <w:r w:rsidR="00542BA2" w:rsidRPr="00E44F28">
        <w:instrText xml:space="preserve"> REF _Ref29479333 \r \h </w:instrText>
      </w:r>
      <w:r w:rsidR="00AF1814" w:rsidRPr="00E44F28">
        <w:instrText xml:space="preserve"> \* MERGEFORMAT </w:instrText>
      </w:r>
      <w:r w:rsidR="00542BA2" w:rsidRPr="00E44F28">
        <w:fldChar w:fldCharType="separate"/>
      </w:r>
      <w:r w:rsidR="00C548C3" w:rsidRPr="00E44F28">
        <w:t>6.5.2</w:t>
      </w:r>
      <w:r w:rsidR="00542BA2" w:rsidRPr="00E44F28">
        <w:fldChar w:fldCharType="end"/>
      </w:r>
      <w:r w:rsidRPr="00E44F28">
        <w:t xml:space="preserve">, if discontinuation is considered necessary by </w:t>
      </w:r>
      <w:r w:rsidR="00542BA2" w:rsidRPr="00E44F28">
        <w:t>I</w:t>
      </w:r>
      <w:r w:rsidRPr="00E44F28">
        <w:t>nvestigator/Sponsor</w:t>
      </w:r>
      <w:r w:rsidR="00E35700" w:rsidRPr="00E44F28">
        <w:t>.</w:t>
      </w:r>
    </w:p>
    <w:p w14:paraId="08F0DF00" w14:textId="77777777" w:rsidR="00F20525" w:rsidRPr="00AF1814" w:rsidRDefault="00DA3174" w:rsidP="006470FD">
      <w:pPr>
        <w:pStyle w:val="List1withbullet"/>
      </w:pPr>
      <w:r w:rsidRPr="00AF1814">
        <w:t xml:space="preserve">Participants should be discontinued per discontinuation recommendation in </w:t>
      </w:r>
      <w:r w:rsidR="00F0375E" w:rsidRPr="00AF1814">
        <w:t>approved labeling documents</w:t>
      </w:r>
      <w:r w:rsidRPr="00AF1814">
        <w:t xml:space="preserve"> for chemotherapies and bevacizumab.</w:t>
      </w:r>
      <w:bookmarkEnd w:id="219"/>
    </w:p>
    <w:p w14:paraId="1BA7BBB9" w14:textId="77777777" w:rsidR="001A603B" w:rsidRPr="00AF1814" w:rsidRDefault="00DA3174" w:rsidP="001A603B">
      <w:pPr>
        <w:pStyle w:val="BodyText"/>
      </w:pPr>
      <w:r w:rsidRPr="00AF1814">
        <w:rPr>
          <w:lang w:eastAsia="ja-JP"/>
        </w:rPr>
        <w:t xml:space="preserve">In rare instances, it may be necessary for a participant to permanently discontinue (definitive discontinuation) study intervention. If study intervention is definitively discontinued, the participant </w:t>
      </w:r>
      <w:r w:rsidRPr="00AF1814">
        <w:rPr>
          <w:rStyle w:val="CPTVariable"/>
          <w:color w:val="auto"/>
        </w:rPr>
        <w:t xml:space="preserve">will </w:t>
      </w:r>
      <w:r w:rsidRPr="00AF1814">
        <w:rPr>
          <w:lang w:eastAsia="ja-JP"/>
        </w:rPr>
        <w:t xml:space="preserve">remain in the study to be evaluated for </w:t>
      </w:r>
      <w:r w:rsidR="00E94819" w:rsidRPr="00AF1814">
        <w:rPr>
          <w:lang w:eastAsia="ja-JP"/>
        </w:rPr>
        <w:t>f</w:t>
      </w:r>
      <w:r w:rsidR="00557E8B" w:rsidRPr="00AF1814">
        <w:rPr>
          <w:lang w:eastAsia="ja-JP"/>
        </w:rPr>
        <w:t>ollow-up.</w:t>
      </w:r>
      <w:r w:rsidRPr="00AF1814">
        <w:rPr>
          <w:lang w:eastAsia="ja-JP"/>
        </w:rPr>
        <w:t xml:space="preserve"> The </w:t>
      </w:r>
      <w:r w:rsidRPr="00AF1814">
        <w:t>Schedule of Activities</w:t>
      </w:r>
      <w:r w:rsidRPr="00AF1814">
        <w:rPr>
          <w:lang w:eastAsia="ja-JP"/>
        </w:rPr>
        <w:t xml:space="preserve"> indicates data to be collected at the time of discontinuation of study intervention </w:t>
      </w:r>
      <w:r w:rsidRPr="00AF1814">
        <w:t>and follow-up and for any further evaluations that need</w:t>
      </w:r>
      <w:r w:rsidR="00E35700" w:rsidRPr="00AF1814">
        <w:t>s</w:t>
      </w:r>
      <w:r w:rsidRPr="00AF1814">
        <w:t xml:space="preserve"> to be completed.</w:t>
      </w:r>
    </w:p>
    <w:p w14:paraId="0CD96EF1" w14:textId="77777777" w:rsidR="00881793" w:rsidRPr="00AF1814" w:rsidRDefault="00DA3174" w:rsidP="00881793">
      <w:pPr>
        <w:pStyle w:val="Bodytext-keepwithnext"/>
        <w:keepNext w:val="0"/>
        <w:widowControl w:val="0"/>
      </w:pPr>
      <w:r w:rsidRPr="00AF1814">
        <w:t>In case of discontinuation from the study intervention</w:t>
      </w:r>
      <w:r w:rsidR="00CD2647" w:rsidRPr="00AF1814">
        <w:t>(s)</w:t>
      </w:r>
      <w:r w:rsidRPr="00AF1814">
        <w:t>:</w:t>
      </w:r>
    </w:p>
    <w:p w14:paraId="0C81D903" w14:textId="77777777" w:rsidR="00726550" w:rsidRPr="00AF1814" w:rsidRDefault="00DA3174" w:rsidP="00F15279">
      <w:pPr>
        <w:pStyle w:val="List1withbullet"/>
      </w:pPr>
      <w:r w:rsidRPr="00AF1814">
        <w:t>For participants in Cohort 1A, a scan should be performed within approximately 2 weeks when any drug of the combination is discontinued. Scheduling this scan should be evaluated based on current timing relative to next planned scan and/or most recently completed scan. In situations where local regulations do not permit this additional scan, omission will not be a deviation. The rest of the treatments should continue to follow Schedule of Activities.</w:t>
      </w:r>
    </w:p>
    <w:p w14:paraId="6C6F0A2D" w14:textId="77777777" w:rsidR="00CD2647" w:rsidRPr="00AF1814" w:rsidRDefault="00DA3174" w:rsidP="00F15279">
      <w:pPr>
        <w:pStyle w:val="List1withbullet"/>
      </w:pPr>
      <w:r w:rsidRPr="00AF1814">
        <w:t>For participants in Cohort 1A, a</w:t>
      </w:r>
      <w:r w:rsidR="00B62895" w:rsidRPr="00AF1814">
        <w:t xml:space="preserve"> scan should be performed when any regimen of the combination is discontinued, the rest of the treatment should follow </w:t>
      </w:r>
      <w:r w:rsidR="008B2DE9" w:rsidRPr="00AF1814">
        <w:t>Schedule of Activities</w:t>
      </w:r>
      <w:r w:rsidR="00B62895" w:rsidRPr="00AF1814">
        <w:t xml:space="preserve">. </w:t>
      </w:r>
    </w:p>
    <w:p w14:paraId="7AE64220" w14:textId="77777777" w:rsidR="00881793" w:rsidRPr="00AF1814" w:rsidRDefault="00DA3174" w:rsidP="00F15279">
      <w:pPr>
        <w:pStyle w:val="List1withbullet"/>
      </w:pPr>
      <w:r w:rsidRPr="00AF1814">
        <w:t>The day of End</w:t>
      </w:r>
      <w:r w:rsidRPr="00AF1814">
        <w:noBreakHyphen/>
        <w:t>of</w:t>
      </w:r>
      <w:r w:rsidRPr="00AF1814">
        <w:noBreakHyphen/>
        <w:t>Treatment will correspond to the day of withdrawal (or within 7 days)</w:t>
      </w:r>
      <w:r w:rsidR="00CD2647" w:rsidRPr="00AF1814">
        <w:t xml:space="preserve"> when all study interventions in a participant are discontinued</w:t>
      </w:r>
      <w:r w:rsidRPr="00AF1814">
        <w:t xml:space="preserve">.  </w:t>
      </w:r>
    </w:p>
    <w:p w14:paraId="6E83C779" w14:textId="77777777" w:rsidR="00881793" w:rsidRPr="00AF1814" w:rsidRDefault="00DA3174" w:rsidP="00F15279">
      <w:pPr>
        <w:pStyle w:val="List1withbullet"/>
      </w:pPr>
      <w:r w:rsidRPr="00AF1814">
        <w:t xml:space="preserve">An attempt should be made to perform all assessments scheduled for the End-of-Treatment </w:t>
      </w:r>
      <w:r w:rsidR="0003033B" w:rsidRPr="00AF1814">
        <w:t>V</w:t>
      </w:r>
      <w:r w:rsidRPr="00AF1814">
        <w:t xml:space="preserve">isit if possible. If not possible, the most clinically relevant assessments and appropriate eCRFs for the End-of-Treatment </w:t>
      </w:r>
      <w:r w:rsidR="0003033B" w:rsidRPr="00AF1814">
        <w:t>V</w:t>
      </w:r>
      <w:r w:rsidRPr="00AF1814">
        <w:t xml:space="preserve">isit should be prioritized as feasible. </w:t>
      </w:r>
    </w:p>
    <w:p w14:paraId="508864EB" w14:textId="77777777" w:rsidR="001A603B" w:rsidRPr="00AF1814" w:rsidRDefault="00DA3174" w:rsidP="001A603B">
      <w:pPr>
        <w:pStyle w:val="List1withbullet"/>
      </w:pPr>
      <w:r w:rsidRPr="00AF1814">
        <w:lastRenderedPageBreak/>
        <w:t>Participants will be asked to continue Safety and Survival Follow-up</w:t>
      </w:r>
      <w:r w:rsidR="00134E75" w:rsidRPr="00AF1814">
        <w:t xml:space="preserve">. </w:t>
      </w:r>
      <w:r w:rsidRPr="00AF1814">
        <w:t xml:space="preserve">After completion of the follow-up period or after the End-of-Treatment </w:t>
      </w:r>
      <w:r w:rsidR="0003033B" w:rsidRPr="00AF1814">
        <w:t>V</w:t>
      </w:r>
      <w:r w:rsidRPr="00AF1814">
        <w:t xml:space="preserve">isit, whichever is applicable, the appropriate eCRF section for Study Termination must be completed. </w:t>
      </w:r>
    </w:p>
    <w:p w14:paraId="1B945DDF" w14:textId="77777777" w:rsidR="001A603B" w:rsidRPr="00AF1814" w:rsidRDefault="00DA3174" w:rsidP="001A603B">
      <w:pPr>
        <w:pStyle w:val="List1withbullet"/>
      </w:pPr>
      <w:r w:rsidRPr="00AF1814">
        <w:t xml:space="preserve">If the participant is enrolled into a new study or any new therapy post-withdrawal from study intervention, the Safety Follow-up </w:t>
      </w:r>
      <w:r w:rsidR="00E35700" w:rsidRPr="00AF1814">
        <w:t>V</w:t>
      </w:r>
      <w:r w:rsidRPr="00AF1814">
        <w:t xml:space="preserve">isit should be scheduled prior to the start of the new treatment irrespective of the 28-day Safety Follow-up period. </w:t>
      </w:r>
    </w:p>
    <w:p w14:paraId="25E1E6F7" w14:textId="77777777" w:rsidR="00881793" w:rsidRPr="00AF1814" w:rsidRDefault="00DA3174" w:rsidP="00D2019F">
      <w:pPr>
        <w:pStyle w:val="List1withbullet"/>
        <w:numPr>
          <w:ilvl w:val="0"/>
          <w:numId w:val="0"/>
        </w:numPr>
      </w:pPr>
      <w:r w:rsidRPr="00AF1814">
        <w:t>The Schedule of Activities specifies the data to collect at study intervention discontinuation and follow-up, and any additional evaluations that need</w:t>
      </w:r>
      <w:r w:rsidR="00E35700" w:rsidRPr="00AF1814">
        <w:t>s</w:t>
      </w:r>
      <w:r w:rsidRPr="00AF1814">
        <w:t xml:space="preserve"> to be completed.</w:t>
      </w:r>
    </w:p>
    <w:p w14:paraId="666658FC" w14:textId="77777777" w:rsidR="002D5216" w:rsidRPr="00AF1814" w:rsidRDefault="00DA3174" w:rsidP="00EA6244">
      <w:pPr>
        <w:pStyle w:val="Heading3"/>
      </w:pPr>
      <w:bookmarkStart w:id="220" w:name="_Toc44601689"/>
      <w:r w:rsidRPr="00AF1814">
        <w:t>Temporary Discontinuation</w:t>
      </w:r>
      <w:bookmarkEnd w:id="220"/>
    </w:p>
    <w:p w14:paraId="7F70B1C8" w14:textId="4240DEF6" w:rsidR="00134E75" w:rsidRPr="00AF1814" w:rsidRDefault="00DA3174" w:rsidP="00134E75">
      <w:pPr>
        <w:pStyle w:val="BodyText"/>
        <w:rPr>
          <w:lang w:eastAsia="ja-JP" w:bidi="he-IL"/>
        </w:rPr>
      </w:pPr>
      <w:bookmarkStart w:id="221" w:name="_Hlk527478920"/>
      <w:r w:rsidRPr="00AF1814">
        <w:rPr>
          <w:lang w:eastAsia="ja-JP" w:bidi="he-IL"/>
        </w:rPr>
        <w:t xml:space="preserve">See </w:t>
      </w:r>
      <w:r w:rsidR="00542BA2" w:rsidRPr="00E44F28">
        <w:t>Section</w:t>
      </w:r>
      <w:r w:rsidR="00E35700" w:rsidRPr="00E44F28">
        <w:t>s</w:t>
      </w:r>
      <w:r w:rsidR="00542BA2" w:rsidRPr="00E44F28">
        <w:t xml:space="preserve"> </w:t>
      </w:r>
      <w:r w:rsidR="00542BA2" w:rsidRPr="00E44F28">
        <w:fldChar w:fldCharType="begin"/>
      </w:r>
      <w:r w:rsidR="00542BA2" w:rsidRPr="00E44F28">
        <w:instrText xml:space="preserve"> REF _Ref29479218 \r \h </w:instrText>
      </w:r>
      <w:r w:rsidR="00AF1814" w:rsidRPr="00E44F28">
        <w:instrText xml:space="preserve"> \* MERGEFORMAT </w:instrText>
      </w:r>
      <w:r w:rsidR="00542BA2" w:rsidRPr="00E44F28">
        <w:fldChar w:fldCharType="separate"/>
      </w:r>
      <w:r w:rsidR="00C548C3" w:rsidRPr="00E44F28">
        <w:t>6.8</w:t>
      </w:r>
      <w:r w:rsidR="00542BA2" w:rsidRPr="00E44F28">
        <w:fldChar w:fldCharType="end"/>
      </w:r>
      <w:r w:rsidR="00542BA2" w:rsidRPr="00E44F28">
        <w:t xml:space="preserve">, </w:t>
      </w:r>
      <w:r w:rsidR="00A44132" w:rsidRPr="00E44F28">
        <w:fldChar w:fldCharType="begin"/>
      </w:r>
      <w:r w:rsidR="00A44132" w:rsidRPr="00E44F28">
        <w:instrText xml:space="preserve"> REF _Ref35195460 \w \h  \* MERGEFORMAT </w:instrText>
      </w:r>
      <w:r w:rsidR="00A44132" w:rsidRPr="00E44F28">
        <w:fldChar w:fldCharType="separate"/>
      </w:r>
      <w:r w:rsidR="00C548C3" w:rsidRPr="00E44F28">
        <w:t>8.3.6</w:t>
      </w:r>
      <w:r w:rsidR="00A44132" w:rsidRPr="00E44F28">
        <w:fldChar w:fldCharType="end"/>
      </w:r>
      <w:r w:rsidR="00A44132" w:rsidRPr="00E44F28">
        <w:t>,</w:t>
      </w:r>
      <w:r w:rsidR="00542BA2" w:rsidRPr="00E44F28">
        <w:t xml:space="preserve"> and </w:t>
      </w:r>
      <w:r w:rsidR="00542BA2" w:rsidRPr="00E44F28">
        <w:fldChar w:fldCharType="begin"/>
      </w:r>
      <w:r w:rsidR="00542BA2" w:rsidRPr="00E44F28">
        <w:instrText xml:space="preserve"> REF _Ref29478792 \r \h </w:instrText>
      </w:r>
      <w:r w:rsidR="00AF1814" w:rsidRPr="00E44F28">
        <w:instrText xml:space="preserve"> \* MERGEFORMAT </w:instrText>
      </w:r>
      <w:r w:rsidR="00542BA2" w:rsidRPr="00E44F28">
        <w:fldChar w:fldCharType="separate"/>
      </w:r>
      <w:r w:rsidR="00C548C3" w:rsidRPr="00E44F28">
        <w:t>8.3.7</w:t>
      </w:r>
      <w:r w:rsidR="00542BA2" w:rsidRPr="00E44F28">
        <w:fldChar w:fldCharType="end"/>
      </w:r>
      <w:r w:rsidR="00542BA2" w:rsidRPr="00E44F28">
        <w:t xml:space="preserve"> </w:t>
      </w:r>
      <w:r w:rsidRPr="00E44F28">
        <w:rPr>
          <w:lang w:eastAsia="ja-JP" w:bidi="he-IL"/>
        </w:rPr>
        <w:t xml:space="preserve">for guidance </w:t>
      </w:r>
      <w:r w:rsidRPr="00AF1814">
        <w:rPr>
          <w:lang w:eastAsia="ja-JP" w:bidi="he-IL"/>
        </w:rPr>
        <w:t xml:space="preserve">on temporary discontinuation from study intervention. </w:t>
      </w:r>
      <w:bookmarkEnd w:id="221"/>
    </w:p>
    <w:p w14:paraId="216137A0" w14:textId="77777777" w:rsidR="002D5216" w:rsidRPr="00AF1814" w:rsidRDefault="00DA3174" w:rsidP="00EA6244">
      <w:pPr>
        <w:pStyle w:val="Heading3"/>
      </w:pPr>
      <w:bookmarkStart w:id="222" w:name="_Ref29479188"/>
      <w:bookmarkStart w:id="223" w:name="_Toc44601690"/>
      <w:r w:rsidRPr="00AF1814">
        <w:t>Re</w:t>
      </w:r>
      <w:r w:rsidR="00CA074E" w:rsidRPr="00AF1814">
        <w:t>initiation</w:t>
      </w:r>
      <w:bookmarkEnd w:id="222"/>
      <w:bookmarkEnd w:id="223"/>
    </w:p>
    <w:p w14:paraId="299FB33E" w14:textId="77777777" w:rsidR="00CA074E" w:rsidRPr="00AF1814" w:rsidRDefault="00DA3174" w:rsidP="00CA074E">
      <w:pPr>
        <w:pStyle w:val="BodyText"/>
      </w:pPr>
      <w:r w:rsidRPr="00AF1814">
        <w:t xml:space="preserve">One reinitiating course of treatment </w:t>
      </w:r>
      <w:r w:rsidR="00DC258F" w:rsidRPr="00AF1814">
        <w:t xml:space="preserve">of bintrafusp alfa </w:t>
      </w:r>
      <w:r w:rsidRPr="00AF1814">
        <w:t xml:space="preserve">at the same dose and schedule is allowed at the discretion of the Investigator and agreement of the Study Medical Responsible for: </w:t>
      </w:r>
    </w:p>
    <w:p w14:paraId="6EAC1B40" w14:textId="77777777" w:rsidR="00CA074E" w:rsidRPr="00AF1814" w:rsidRDefault="00DA3174" w:rsidP="00582358">
      <w:pPr>
        <w:pStyle w:val="List1withbullet"/>
      </w:pPr>
      <w:r w:rsidRPr="00AF1814">
        <w:t xml:space="preserve">Participants who are experiencing </w:t>
      </w:r>
      <w:r w:rsidR="00D45C41" w:rsidRPr="00AF1814">
        <w:t>stable disease</w:t>
      </w:r>
      <w:r w:rsidR="0003033B" w:rsidRPr="00AF1814">
        <w:t xml:space="preserve"> (SD)</w:t>
      </w:r>
      <w:r w:rsidRPr="00AF1814">
        <w:t>, a PR, or CR at the time of discontinuation, and then subsequently develop disease progression after stopping therapy, but prior to the end of the study.</w:t>
      </w:r>
    </w:p>
    <w:p w14:paraId="5B9E5C43" w14:textId="67FD2D9B" w:rsidR="00CA074E" w:rsidRPr="00AF1814" w:rsidRDefault="00DA3174" w:rsidP="00CA074E">
      <w:pPr>
        <w:pStyle w:val="BodyText"/>
      </w:pPr>
      <w:r w:rsidRPr="00AF1814">
        <w:t xml:space="preserve">The participant should reinitiate treatment at the </w:t>
      </w:r>
      <w:r w:rsidRPr="00E44F28">
        <w:t xml:space="preserve">treatment phase visit where they left off according to the Schedule of Activities (see </w:t>
      </w:r>
      <w:r w:rsidR="00BC4591" w:rsidRPr="00E44F28">
        <w:t xml:space="preserve">Section </w:t>
      </w:r>
      <w:r w:rsidR="00BC4591" w:rsidRPr="00E44F28">
        <w:fldChar w:fldCharType="begin"/>
      </w:r>
      <w:r w:rsidR="00BC4591" w:rsidRPr="00E44F28">
        <w:instrText xml:space="preserve"> REF _Ref33108761 \w \h </w:instrText>
      </w:r>
      <w:r w:rsidR="00AF1814" w:rsidRPr="00E44F28">
        <w:instrText xml:space="preserve"> \* MERGEFORMAT </w:instrText>
      </w:r>
      <w:r w:rsidR="00BC4591" w:rsidRPr="00E44F28">
        <w:fldChar w:fldCharType="separate"/>
      </w:r>
      <w:r w:rsidR="00C548C3" w:rsidRPr="00E44F28">
        <w:t>1.3</w:t>
      </w:r>
      <w:r w:rsidR="00BC4591" w:rsidRPr="00E44F28">
        <w:fldChar w:fldCharType="end"/>
      </w:r>
      <w:r w:rsidRPr="00E44F28">
        <w:t xml:space="preserve">). Participants who reinitiate treatment should stay on study and should be treated and monitored according </w:t>
      </w:r>
      <w:r w:rsidRPr="00AF1814">
        <w:t>the Schedule of Activities for the rest of the study.</w:t>
      </w:r>
    </w:p>
    <w:p w14:paraId="65465379" w14:textId="685F6AFC" w:rsidR="00CA074E" w:rsidRPr="00AF1814" w:rsidRDefault="00DA3174" w:rsidP="00CA074E">
      <w:pPr>
        <w:pStyle w:val="BodyText"/>
        <w:rPr>
          <w:lang w:eastAsia="ja-JP" w:bidi="he-IL"/>
        </w:rPr>
      </w:pPr>
      <w:r w:rsidRPr="00AF1814">
        <w:rPr>
          <w:lang w:eastAsia="ja-JP" w:bidi="he-IL"/>
        </w:rPr>
        <w:t xml:space="preserve">Prior to reinitiation, the Investigator will need to confirm that the benefit of reinitiating treatment outweighs any risk involved, such as that which led to initial treatment discontinuation. For participants with only </w:t>
      </w:r>
      <w:r w:rsidR="00942D3A" w:rsidRPr="00AF1814">
        <w:rPr>
          <w:lang w:eastAsia="ja-JP" w:bidi="he-IL"/>
        </w:rPr>
        <w:t>SD</w:t>
      </w:r>
      <w:r w:rsidRPr="00AF1814">
        <w:rPr>
          <w:lang w:eastAsia="ja-JP" w:bidi="he-IL"/>
        </w:rPr>
        <w:t xml:space="preserve"> at the time of discontinuation, the Investigator should confirm that no other reasonable treatment options are available. In addition, to be eligible for reinitiation, the participant must not have previously withdrawn consent for this study and should have been followed up with regular eCRF documented evaluation scans up to reinitiation of treatment.</w:t>
      </w:r>
    </w:p>
    <w:p w14:paraId="55FD40B1" w14:textId="77777777" w:rsidR="00CA074E" w:rsidRPr="00AF1814" w:rsidRDefault="00DA3174" w:rsidP="00CA074E">
      <w:pPr>
        <w:pStyle w:val="BodyText"/>
        <w:rPr>
          <w:lang w:eastAsia="ja-JP" w:bidi="he-IL"/>
        </w:rPr>
      </w:pPr>
      <w:r w:rsidRPr="00AF1814">
        <w:rPr>
          <w:lang w:eastAsia="ja-JP" w:bidi="he-IL"/>
        </w:rPr>
        <w:t xml:space="preserve">A rebaseline scan must be performed prior to reinitiation of study </w:t>
      </w:r>
      <w:r w:rsidR="003B5DA3" w:rsidRPr="00AF1814">
        <w:rPr>
          <w:lang w:eastAsia="ja-JP" w:bidi="he-IL"/>
        </w:rPr>
        <w:t>intervention</w:t>
      </w:r>
      <w:r w:rsidRPr="00AF1814">
        <w:rPr>
          <w:lang w:eastAsia="ja-JP" w:bidi="he-IL"/>
        </w:rPr>
        <w:t>. Additionally, relevant safety laboratory assessments, including both full hematology and full chemistry results within 2 weeks, must be available and verified. The clinical Investigator will determine whether additional evaluation and work-up are required on a case-by-case basis. A discussion with the study team is warranted to determine whether PK/biomarker testing is indicated upon restarting treatment.</w:t>
      </w:r>
    </w:p>
    <w:p w14:paraId="6FA7AA2D" w14:textId="77777777" w:rsidR="00CA074E" w:rsidRPr="00AF1814" w:rsidRDefault="00DA3174" w:rsidP="00CA074E">
      <w:pPr>
        <w:pStyle w:val="Heading3"/>
        <w:tabs>
          <w:tab w:val="clear" w:pos="4716"/>
        </w:tabs>
      </w:pPr>
      <w:bookmarkStart w:id="224" w:name="_Ref15485175"/>
      <w:bookmarkStart w:id="225" w:name="_Ref15485893"/>
      <w:bookmarkStart w:id="226" w:name="_Toc26887535"/>
      <w:bookmarkStart w:id="227" w:name="_Toc44601691"/>
      <w:r w:rsidRPr="00AF1814">
        <w:lastRenderedPageBreak/>
        <w:t>Treatment Beyond Progression</w:t>
      </w:r>
      <w:bookmarkEnd w:id="224"/>
      <w:bookmarkEnd w:id="225"/>
      <w:bookmarkEnd w:id="226"/>
      <w:bookmarkEnd w:id="227"/>
    </w:p>
    <w:p w14:paraId="0E38856C" w14:textId="77777777" w:rsidR="00CA074E" w:rsidRPr="00AF1814" w:rsidRDefault="00DA3174" w:rsidP="00CA074E">
      <w:pPr>
        <w:pStyle w:val="Heading4"/>
        <w:tabs>
          <w:tab w:val="clear" w:pos="4716"/>
        </w:tabs>
      </w:pPr>
      <w:bookmarkStart w:id="228" w:name="_Toc26887536"/>
      <w:bookmarkStart w:id="229" w:name="_Toc44601692"/>
      <w:r w:rsidRPr="00AF1814">
        <w:t>Treatment Beyond Initial Progression</w:t>
      </w:r>
      <w:bookmarkEnd w:id="228"/>
      <w:bookmarkEnd w:id="229"/>
    </w:p>
    <w:p w14:paraId="29634A7D" w14:textId="77777777" w:rsidR="00CA074E" w:rsidRPr="00AF1814" w:rsidRDefault="00DA3174" w:rsidP="00CA074E">
      <w:pPr>
        <w:pStyle w:val="BodyText"/>
        <w:rPr>
          <w:rFonts w:eastAsia="MS Mincho"/>
          <w:lang w:eastAsia="ja-JP" w:bidi="he-IL"/>
        </w:rPr>
      </w:pPr>
      <w:r w:rsidRPr="00AF1814">
        <w:rPr>
          <w:rFonts w:eastAsia="MS Mincho"/>
          <w:lang w:eastAsia="ja-JP" w:bidi="he-IL"/>
        </w:rPr>
        <w:t>Participants will receive bintrafusp alfa as outlined in the Schedule of Activities until disease progression. Bintrafusp alfa may continue past the initial determination of disease progression according to RECIST 1.1 as long as the following criteria are met:</w:t>
      </w:r>
    </w:p>
    <w:p w14:paraId="612D7779" w14:textId="77777777" w:rsidR="00CA074E" w:rsidRPr="00AF1814" w:rsidRDefault="00DA3174" w:rsidP="00F15279">
      <w:pPr>
        <w:pStyle w:val="List1withbullet"/>
        <w:rPr>
          <w:rFonts w:eastAsia="MS Mincho"/>
          <w:lang w:eastAsia="ja-JP" w:bidi="he-IL"/>
        </w:rPr>
      </w:pPr>
      <w:r w:rsidRPr="00AF1814">
        <w:rPr>
          <w:rFonts w:eastAsia="MS Mincho"/>
          <w:lang w:eastAsia="ja-JP" w:bidi="he-IL"/>
        </w:rPr>
        <w:t>Treatment with bintrafusp alfa is ongoing</w:t>
      </w:r>
    </w:p>
    <w:p w14:paraId="284D4389" w14:textId="77777777" w:rsidR="00CA074E" w:rsidRPr="00AF1814" w:rsidRDefault="00DA3174" w:rsidP="00F15279">
      <w:pPr>
        <w:pStyle w:val="List1withbullet"/>
        <w:rPr>
          <w:rFonts w:eastAsia="MS Mincho"/>
          <w:lang w:eastAsia="ja-JP" w:bidi="he-IL"/>
        </w:rPr>
      </w:pPr>
      <w:r w:rsidRPr="00AF1814">
        <w:rPr>
          <w:rFonts w:eastAsia="MS Mincho"/>
          <w:lang w:eastAsia="ja-JP" w:bidi="he-IL"/>
        </w:rPr>
        <w:t>No new unacceptable treatment or disease-related toxicity</w:t>
      </w:r>
    </w:p>
    <w:p w14:paraId="3724ABCC" w14:textId="77777777" w:rsidR="00CA074E" w:rsidRPr="00AF1814" w:rsidRDefault="00DA3174" w:rsidP="00F15279">
      <w:pPr>
        <w:pStyle w:val="List1withbullet"/>
        <w:rPr>
          <w:rFonts w:eastAsia="MS Mincho"/>
          <w:lang w:eastAsia="ja-JP" w:bidi="he-IL"/>
        </w:rPr>
      </w:pPr>
      <w:r w:rsidRPr="00AF1814">
        <w:rPr>
          <w:rFonts w:eastAsia="MS Mincho"/>
          <w:lang w:eastAsia="ja-JP" w:bidi="he-IL"/>
        </w:rPr>
        <w:t>Tolerance of study interventions</w:t>
      </w:r>
    </w:p>
    <w:p w14:paraId="14DF8076" w14:textId="77777777" w:rsidR="00CA074E" w:rsidRPr="00AF1814" w:rsidRDefault="00DA3174" w:rsidP="00F15279">
      <w:pPr>
        <w:pStyle w:val="List1withbullet"/>
        <w:rPr>
          <w:rFonts w:eastAsia="MS Mincho"/>
          <w:lang w:eastAsia="ja-JP" w:bidi="he-IL"/>
        </w:rPr>
      </w:pPr>
      <w:r w:rsidRPr="00AF1814">
        <w:rPr>
          <w:rFonts w:eastAsia="MS Mincho"/>
          <w:lang w:eastAsia="ja-JP" w:bidi="he-IL"/>
        </w:rPr>
        <w:t>At least stable ECOG PS</w:t>
      </w:r>
    </w:p>
    <w:p w14:paraId="5D4FF00E" w14:textId="77777777" w:rsidR="00CA074E" w:rsidRPr="00AF1814" w:rsidRDefault="00DA3174" w:rsidP="00F15279">
      <w:pPr>
        <w:pStyle w:val="List1withbullet"/>
        <w:rPr>
          <w:rFonts w:eastAsia="MS Mincho"/>
          <w:lang w:eastAsia="ja-JP" w:bidi="he-IL"/>
        </w:rPr>
      </w:pPr>
      <w:r w:rsidRPr="00AF1814">
        <w:rPr>
          <w:rFonts w:eastAsia="MS Mincho"/>
          <w:lang w:eastAsia="ja-JP" w:bidi="he-IL"/>
        </w:rPr>
        <w:t>Treatment beyond progression will not delay an imminent intervention to prevent serious complications of disease progression (</w:t>
      </w:r>
      <w:r w:rsidR="00D74D80" w:rsidRPr="00AF1814">
        <w:rPr>
          <w:rFonts w:eastAsia="MS Mincho"/>
          <w:lang w:eastAsia="ja-JP" w:bidi="he-IL"/>
        </w:rPr>
        <w:t xml:space="preserve">e.g., CNS </w:t>
      </w:r>
      <w:r w:rsidRPr="00AF1814">
        <w:rPr>
          <w:rFonts w:eastAsia="MS Mincho"/>
          <w:lang w:eastAsia="ja-JP" w:bidi="he-IL"/>
        </w:rPr>
        <w:t>metastases).</w:t>
      </w:r>
    </w:p>
    <w:p w14:paraId="5EB923F9" w14:textId="77777777" w:rsidR="00CA074E" w:rsidRPr="00AF1814" w:rsidRDefault="00DA3174" w:rsidP="00CA074E">
      <w:pPr>
        <w:pStyle w:val="BodyText"/>
        <w:rPr>
          <w:rFonts w:eastAsia="MS Mincho"/>
          <w:lang w:eastAsia="ja-JP" w:bidi="he-IL"/>
        </w:rPr>
      </w:pPr>
      <w:r w:rsidRPr="00AF1814">
        <w:rPr>
          <w:rFonts w:eastAsia="MS Mincho"/>
          <w:lang w:eastAsia="ja-JP" w:bidi="he-IL"/>
        </w:rPr>
        <w:t>A radiographic assessment should be performed within 4</w:t>
      </w:r>
      <w:r w:rsidR="00713320" w:rsidRPr="00AF1814">
        <w:rPr>
          <w:rFonts w:eastAsia="MS Mincho"/>
          <w:lang w:eastAsia="ja-JP" w:bidi="he-IL"/>
        </w:rPr>
        <w:t xml:space="preserve"> to </w:t>
      </w:r>
      <w:r w:rsidR="005F7369" w:rsidRPr="00AF1814">
        <w:rPr>
          <w:rFonts w:eastAsia="MS Mincho"/>
          <w:lang w:eastAsia="ja-JP" w:bidi="he-IL"/>
        </w:rPr>
        <w:t>9</w:t>
      </w:r>
      <w:r w:rsidRPr="00AF1814">
        <w:rPr>
          <w:rFonts w:eastAsia="MS Mincho"/>
          <w:lang w:eastAsia="ja-JP" w:bidi="he-IL"/>
        </w:rPr>
        <w:t xml:space="preserve"> weeks of original PD to determine whether there has been a decrease in the tumor size, or continued PD. The assessment of clinical benefit should be balanced by clinical judgment as to whether the participant is clinically deteriorating and unlikely to receive any benefit from continued treatment with bintrafusp alfa.</w:t>
      </w:r>
    </w:p>
    <w:p w14:paraId="7FA5EDF5" w14:textId="77777777" w:rsidR="00CA074E" w:rsidRPr="00AF1814" w:rsidRDefault="00DA3174" w:rsidP="00CA074E">
      <w:pPr>
        <w:pStyle w:val="Heading4"/>
        <w:tabs>
          <w:tab w:val="clear" w:pos="4716"/>
        </w:tabs>
      </w:pPr>
      <w:bookmarkStart w:id="230" w:name="_Toc26887537"/>
      <w:bookmarkStart w:id="231" w:name="_Toc44601693"/>
      <w:bookmarkStart w:id="232" w:name="_Hlk17290824"/>
      <w:r w:rsidRPr="00AF1814">
        <w:t>Treatment Beyond Confirmed Progression</w:t>
      </w:r>
      <w:bookmarkEnd w:id="230"/>
      <w:bookmarkEnd w:id="231"/>
    </w:p>
    <w:bookmarkEnd w:id="232"/>
    <w:p w14:paraId="6E778F89" w14:textId="1EE3458B" w:rsidR="00791B9F" w:rsidRPr="00C12F38" w:rsidRDefault="00791B9F" w:rsidP="00791B9F">
      <w:pPr>
        <w:pStyle w:val="BodyText"/>
      </w:pPr>
      <w:r w:rsidRPr="00C12F38">
        <w:t xml:space="preserve">After confirmed PD, if the Investigator feels that the participant continues to achieve clinical benefit by continuing treatment, the participant should remain on the study and continue to receive monitoring according to the </w:t>
      </w:r>
      <w:r w:rsidR="00180574" w:rsidRPr="00AF1814">
        <w:t>Schedule of Activities</w:t>
      </w:r>
      <w:r w:rsidR="00C15737">
        <w:t xml:space="preserve"> </w:t>
      </w:r>
      <w:r w:rsidR="00C15737" w:rsidRPr="00E44F28">
        <w:t xml:space="preserve">(see Section </w:t>
      </w:r>
      <w:r w:rsidR="00C15737" w:rsidRPr="00E44F28">
        <w:fldChar w:fldCharType="begin"/>
      </w:r>
      <w:r w:rsidR="00C15737" w:rsidRPr="00E44F28">
        <w:instrText xml:space="preserve"> REF _Ref33108761 \w \h  \* MERGEFORMAT </w:instrText>
      </w:r>
      <w:r w:rsidR="00C15737" w:rsidRPr="00E44F28">
        <w:fldChar w:fldCharType="separate"/>
      </w:r>
      <w:r w:rsidR="00C15737" w:rsidRPr="00E44F28">
        <w:t>1.3</w:t>
      </w:r>
      <w:r w:rsidR="00C15737" w:rsidRPr="00E44F28">
        <w:fldChar w:fldCharType="end"/>
      </w:r>
      <w:r w:rsidR="00C15737" w:rsidRPr="00E44F28">
        <w:t>)</w:t>
      </w:r>
      <w:r w:rsidRPr="00C12F38">
        <w:t>. The decision to continue treatment beyond confirmed PD should be discussed with the Medical Monitor and documented in the study records.</w:t>
      </w:r>
    </w:p>
    <w:p w14:paraId="0A1CF796" w14:textId="4696A3F0" w:rsidR="00791B9F" w:rsidRPr="00AF1814" w:rsidRDefault="00791B9F" w:rsidP="00CA074E">
      <w:pPr>
        <w:pStyle w:val="BodyText"/>
      </w:pPr>
      <w:r w:rsidRPr="00C12F38">
        <w:t xml:space="preserve">Participants who continue beyond progression will be evaluated for further tumor response as per the protocol schedule. Treatment should be discontinued permanently upon documentation of further, unequivocal disease progression unless there are no alternative therapeutic options and the benefit-risk assessment is favorable in consultation between the </w:t>
      </w:r>
      <w:r>
        <w:t>I</w:t>
      </w:r>
      <w:r w:rsidRPr="00C12F38">
        <w:t xml:space="preserve">nvestigator and the </w:t>
      </w:r>
      <w:r>
        <w:t>M</w:t>
      </w:r>
      <w:r w:rsidRPr="00C12F38">
        <w:t xml:space="preserve">edical </w:t>
      </w:r>
      <w:r>
        <w:t>M</w:t>
      </w:r>
      <w:r w:rsidRPr="00C12F38">
        <w:t>onitor. In case of continuation of treatment beyond PD, treatment will be discontinued once any other criteria for withdrawal are met</w:t>
      </w:r>
      <w:r>
        <w:t>.</w:t>
      </w:r>
    </w:p>
    <w:p w14:paraId="4DE37A24" w14:textId="77777777" w:rsidR="00CA074E" w:rsidRPr="00AF1814" w:rsidRDefault="00DA3174" w:rsidP="00CA074E">
      <w:pPr>
        <w:pStyle w:val="Heading4"/>
        <w:rPr>
          <w:lang w:eastAsia="ja-JP" w:bidi="he-IL"/>
        </w:rPr>
      </w:pPr>
      <w:bookmarkStart w:id="233" w:name="_Toc44601694"/>
      <w:r w:rsidRPr="00AF1814">
        <w:rPr>
          <w:lang w:eastAsia="ja-JP" w:bidi="he-IL"/>
        </w:rPr>
        <w:t>Continuation of Study Intervention After Local Treatment of Disease Progression</w:t>
      </w:r>
      <w:bookmarkEnd w:id="233"/>
    </w:p>
    <w:p w14:paraId="2AD1878D" w14:textId="77777777" w:rsidR="00CA074E" w:rsidRPr="00AF1814" w:rsidRDefault="00DA3174" w:rsidP="006470FD">
      <w:pPr>
        <w:pStyle w:val="List1withbullet"/>
        <w:numPr>
          <w:ilvl w:val="0"/>
          <w:numId w:val="0"/>
        </w:numPr>
      </w:pPr>
      <w:r w:rsidRPr="00AF1814">
        <w:t>If disease progression is due to brain metastas</w:t>
      </w:r>
      <w:r w:rsidR="00516F09" w:rsidRPr="00AF1814">
        <w:t>e</w:t>
      </w:r>
      <w:r w:rsidRPr="00AF1814">
        <w:t>s, participants may continue study interventions after the local treatment of the brain lesions provided that the above criteria are met in addition to the following:</w:t>
      </w:r>
    </w:p>
    <w:p w14:paraId="434A0935" w14:textId="77777777" w:rsidR="00CA074E" w:rsidRPr="00AF1814" w:rsidRDefault="00DA3174" w:rsidP="00F15279">
      <w:pPr>
        <w:pStyle w:val="List1withbullet"/>
      </w:pPr>
      <w:r w:rsidRPr="00AF1814">
        <w:t>Tumor assessment showing disease progression has been performed and was documented according to RECIST 1.1. prior to the procedure.</w:t>
      </w:r>
    </w:p>
    <w:p w14:paraId="0A50200E" w14:textId="77777777" w:rsidR="00CA074E" w:rsidRPr="00AF1814" w:rsidRDefault="00DA3174" w:rsidP="00F15279">
      <w:pPr>
        <w:pStyle w:val="List1withbullet"/>
      </w:pPr>
      <w:r w:rsidRPr="00AF1814">
        <w:lastRenderedPageBreak/>
        <w:t xml:space="preserve">Brain metastases have been treated locally and are clinically stable for at least 2 weeks prior to reinitiation of study interventions. </w:t>
      </w:r>
    </w:p>
    <w:p w14:paraId="3EEA7ED8" w14:textId="77777777" w:rsidR="00CA074E" w:rsidRPr="00AF1814" w:rsidRDefault="00DA3174" w:rsidP="00F15279">
      <w:pPr>
        <w:pStyle w:val="List1withbullet"/>
      </w:pPr>
      <w:r w:rsidRPr="00AF1814">
        <w:t>There are no ongoing neurological symptoms that are related to the brain localization of the disease (sequelae that are a consequence of the treatment of the brain metastases are acceptable).</w:t>
      </w:r>
    </w:p>
    <w:p w14:paraId="4511026E" w14:textId="77777777" w:rsidR="00CA074E" w:rsidRPr="00AF1814" w:rsidRDefault="00DA3174" w:rsidP="00F15279">
      <w:pPr>
        <w:pStyle w:val="List1withbullet"/>
      </w:pPr>
      <w:r w:rsidRPr="00AF1814">
        <w:t xml:space="preserve">Participants must be either off steroids or on a stable or decreasing dose of ≤ 10 mg daily prednisone (or equivalent).  </w:t>
      </w:r>
    </w:p>
    <w:p w14:paraId="38970742" w14:textId="77777777" w:rsidR="00CA074E" w:rsidRPr="00AF1814" w:rsidRDefault="00DA3174" w:rsidP="00F15279">
      <w:pPr>
        <w:pStyle w:val="List1withbullet"/>
      </w:pPr>
      <w:r w:rsidRPr="00AF1814">
        <w:t>Benefit-risk assessment to continue study intervention is favorable under consideration of any alternative treatment options as assessed by the Investigator</w:t>
      </w:r>
      <w:r w:rsidR="00713320" w:rsidRPr="00AF1814">
        <w:t>.</w:t>
      </w:r>
      <w:r w:rsidRPr="00AF1814">
        <w:t xml:space="preserve"> </w:t>
      </w:r>
    </w:p>
    <w:p w14:paraId="14FE4BE4" w14:textId="77777777" w:rsidR="00CA074E" w:rsidRPr="00AF1814" w:rsidRDefault="00DA3174" w:rsidP="00CA074E">
      <w:pPr>
        <w:pStyle w:val="List1withoutbullet"/>
        <w:ind w:left="0"/>
      </w:pPr>
      <w:r w:rsidRPr="00AF1814">
        <w:t>In addition, if disease progression is mainly due to a metastatic lesion which in the opinion of the Investigator may be surgically removed or benefit from radiotherapy, participants may continue study interventions after the local treatment of such a lesion provided that:</w:t>
      </w:r>
    </w:p>
    <w:p w14:paraId="7AB2264B" w14:textId="77777777" w:rsidR="00CA074E" w:rsidRPr="00AF1814" w:rsidRDefault="00DA3174" w:rsidP="00F15279">
      <w:pPr>
        <w:pStyle w:val="List1withbullet"/>
      </w:pPr>
      <w:r w:rsidRPr="00AF1814">
        <w:t>Tumor assessment showing disease progression has been performed and was documented according to RECIST 1.1 prior to the procedure.</w:t>
      </w:r>
    </w:p>
    <w:p w14:paraId="1F73FB7E" w14:textId="77777777" w:rsidR="00CA074E" w:rsidRPr="00AF1814" w:rsidRDefault="00DA3174" w:rsidP="00F15279">
      <w:pPr>
        <w:pStyle w:val="List1withbullet"/>
      </w:pPr>
      <w:r w:rsidRPr="00AF1814">
        <w:t>It has been at least 2 weeks and the participant has fully recovered from the surgery.</w:t>
      </w:r>
    </w:p>
    <w:p w14:paraId="3F83C825" w14:textId="77777777" w:rsidR="00CA074E" w:rsidRPr="00AF1814" w:rsidRDefault="00DA3174" w:rsidP="00F15279">
      <w:pPr>
        <w:pStyle w:val="List1withbullet"/>
      </w:pPr>
      <w:r w:rsidRPr="00AF1814">
        <w:t>Benefit-risk assessment to continue study intervention is favorable under consideration of any alternative treatment options as assessed by the Investigator.</w:t>
      </w:r>
    </w:p>
    <w:p w14:paraId="3DA21633" w14:textId="77777777" w:rsidR="002D5216" w:rsidRPr="00AF1814" w:rsidRDefault="00DA3174" w:rsidP="004E4DB8">
      <w:pPr>
        <w:pStyle w:val="Heading2"/>
      </w:pPr>
      <w:bookmarkStart w:id="234" w:name="_Toc44601695"/>
      <w:r w:rsidRPr="00AF1814">
        <w:t xml:space="preserve">Participant Discontinuation/Withdrawal </w:t>
      </w:r>
      <w:r w:rsidR="00713320" w:rsidRPr="00AF1814">
        <w:t>F</w:t>
      </w:r>
      <w:r w:rsidRPr="00AF1814">
        <w:t>rom the Study</w:t>
      </w:r>
      <w:bookmarkEnd w:id="234"/>
    </w:p>
    <w:p w14:paraId="0E3A6571" w14:textId="77777777" w:rsidR="00CA074E" w:rsidRPr="00AF1814" w:rsidRDefault="00DA3174" w:rsidP="002E7B72">
      <w:pPr>
        <w:pStyle w:val="List1withbullet"/>
      </w:pPr>
      <w:r w:rsidRPr="00AF1814">
        <w:t>A participant may withdraw from the study at any time, at her own request or may be withdrawn at any time at the discretion of the Investigator for safety, behavioral, compliance, or administrative reasons.</w:t>
      </w:r>
    </w:p>
    <w:p w14:paraId="71525B64" w14:textId="77777777" w:rsidR="00CA074E" w:rsidRPr="00AF1814" w:rsidRDefault="00DA3174" w:rsidP="00CA074E">
      <w:pPr>
        <w:pStyle w:val="List1withbullet"/>
      </w:pPr>
      <w:r w:rsidRPr="00AF1814">
        <w:t>At the time of discontinuing from the study, if possible, a discontinuation visit will be conducted, as listed in the Schedule of Activities. The Schedule of Activities specifies the data to collect at study discontinuation and follow-up, and any additional evaluations that need</w:t>
      </w:r>
      <w:r w:rsidR="00713320" w:rsidRPr="00AF1814">
        <w:t>s</w:t>
      </w:r>
      <w:r w:rsidRPr="00AF1814">
        <w:t xml:space="preserve"> to be completed.</w:t>
      </w:r>
    </w:p>
    <w:p w14:paraId="7F890622" w14:textId="77777777" w:rsidR="00CA074E" w:rsidRPr="00AF1814" w:rsidRDefault="00DA3174" w:rsidP="00CA074E">
      <w:pPr>
        <w:pStyle w:val="List1withbullet"/>
      </w:pPr>
      <w:r w:rsidRPr="00AF1814">
        <w:t>If the participant withdraws consent for future involvement in the study, any data collected up to that point may still be used, but no future data can be generated, and any biological samples collected will be destroyed (refer to the ICF).</w:t>
      </w:r>
    </w:p>
    <w:p w14:paraId="46BD3B77" w14:textId="77777777" w:rsidR="00CA074E" w:rsidRPr="00AF1814" w:rsidRDefault="00DA3174" w:rsidP="00CA074E">
      <w:pPr>
        <w:pStyle w:val="List1withbullet"/>
      </w:pPr>
      <w:r w:rsidRPr="00AF1814">
        <w:t xml:space="preserve">A participant has the right at any time to request destruction of any biological samples taken. The Investigator </w:t>
      </w:r>
      <w:r w:rsidR="00672C1A" w:rsidRPr="00AF1814">
        <w:t>will</w:t>
      </w:r>
      <w:r w:rsidRPr="00AF1814">
        <w:t xml:space="preserve"> document this in the site study records.</w:t>
      </w:r>
    </w:p>
    <w:p w14:paraId="649F1A79" w14:textId="77777777" w:rsidR="002D5216" w:rsidRPr="00AF1814" w:rsidRDefault="00DA3174" w:rsidP="0028409B">
      <w:pPr>
        <w:pStyle w:val="Heading2"/>
        <w:ind w:left="2019" w:hanging="2019"/>
      </w:pPr>
      <w:bookmarkStart w:id="235" w:name="_Ref36567016"/>
      <w:bookmarkStart w:id="236" w:name="_Toc44601696"/>
      <w:r w:rsidRPr="00AF1814">
        <w:lastRenderedPageBreak/>
        <w:t>Lost to Follow</w:t>
      </w:r>
      <w:r w:rsidR="0073107E" w:rsidRPr="00AF1814">
        <w:t>-</w:t>
      </w:r>
      <w:r w:rsidRPr="00AF1814">
        <w:t>Up</w:t>
      </w:r>
      <w:bookmarkEnd w:id="235"/>
      <w:bookmarkEnd w:id="236"/>
    </w:p>
    <w:p w14:paraId="46C7706B" w14:textId="77777777" w:rsidR="002D5216" w:rsidRPr="00AF1814" w:rsidRDefault="00DA3174" w:rsidP="009C7BF4">
      <w:pPr>
        <w:pStyle w:val="Bodytext-keepwithnext"/>
      </w:pPr>
      <w:r w:rsidRPr="00AF1814">
        <w:t>A participant will be considered lost to follow-up if she repeatedly fails to return for scheduled visits and is unable to be contacted by the study site.</w:t>
      </w:r>
      <w:bookmarkStart w:id="237" w:name="_Toc506469933"/>
      <w:bookmarkEnd w:id="237"/>
    </w:p>
    <w:p w14:paraId="6C309841" w14:textId="77777777" w:rsidR="002D5216" w:rsidRPr="00AF1814" w:rsidRDefault="00DA3174" w:rsidP="009C7BF4">
      <w:pPr>
        <w:pStyle w:val="Bodytext-keepwithnext"/>
      </w:pPr>
      <w:r w:rsidRPr="00AF1814">
        <w:t xml:space="preserve">The following actions </w:t>
      </w:r>
      <w:r w:rsidR="009E5561" w:rsidRPr="00AF1814">
        <w:t xml:space="preserve">will </w:t>
      </w:r>
      <w:r w:rsidRPr="00AF1814">
        <w:t>be taken if a participant fails to return to the clinic for a required study visit:</w:t>
      </w:r>
      <w:bookmarkStart w:id="238" w:name="_Toc506469934"/>
      <w:bookmarkEnd w:id="238"/>
    </w:p>
    <w:p w14:paraId="1F4DD839" w14:textId="77777777" w:rsidR="002D5216" w:rsidRPr="00AF1814" w:rsidRDefault="00DA3174" w:rsidP="009C7BF4">
      <w:pPr>
        <w:pStyle w:val="List1withbullet"/>
      </w:pPr>
      <w:r w:rsidRPr="00AF1814">
        <w:t xml:space="preserve">The site </w:t>
      </w:r>
      <w:r w:rsidR="009E5561" w:rsidRPr="00AF1814">
        <w:t xml:space="preserve">will </w:t>
      </w:r>
      <w:r w:rsidRPr="00AF1814">
        <w:t>attempt to contact the participant and reschedule the missed visit as soon as possible, counsel the participant on the importance of maintaining the assigned visit schedule</w:t>
      </w:r>
      <w:r w:rsidR="00CB1269" w:rsidRPr="00AF1814">
        <w:t xml:space="preserve">, </w:t>
      </w:r>
      <w:r w:rsidRPr="00AF1814">
        <w:t>and ascertain if the participant wants to or should continue in the study.</w:t>
      </w:r>
      <w:bookmarkStart w:id="239" w:name="_Toc506469935"/>
      <w:bookmarkEnd w:id="239"/>
    </w:p>
    <w:p w14:paraId="086CB7AF" w14:textId="77777777" w:rsidR="002D5216" w:rsidRPr="00AF1814" w:rsidRDefault="00DA3174" w:rsidP="009C7BF4">
      <w:pPr>
        <w:pStyle w:val="List1withbullet"/>
      </w:pPr>
      <w:r w:rsidRPr="00AF1814">
        <w:t xml:space="preserve">Before a participant is deemed </w:t>
      </w:r>
      <w:r w:rsidR="00561E2B" w:rsidRPr="00AF1814">
        <w:t>“</w:t>
      </w:r>
      <w:r w:rsidRPr="00AF1814">
        <w:t>lost to follow</w:t>
      </w:r>
      <w:r w:rsidR="001967CE" w:rsidRPr="00AF1814">
        <w:t>-</w:t>
      </w:r>
      <w:r w:rsidRPr="00AF1814">
        <w:t>up</w:t>
      </w:r>
      <w:r w:rsidR="00561E2B" w:rsidRPr="00AF1814">
        <w:t>”</w:t>
      </w:r>
      <w:r w:rsidRPr="00AF1814">
        <w:t xml:space="preserve">, the </w:t>
      </w:r>
      <w:r w:rsidR="00BB585C" w:rsidRPr="00AF1814">
        <w:t>I</w:t>
      </w:r>
      <w:r w:rsidRPr="00AF1814">
        <w:t xml:space="preserve">nvestigator or designee </w:t>
      </w:r>
      <w:r w:rsidR="009E5561" w:rsidRPr="00AF1814">
        <w:t xml:space="preserve">will </w:t>
      </w:r>
      <w:r w:rsidRPr="00AF1814">
        <w:t xml:space="preserve">make every effort to regain contact with the participant: </w:t>
      </w:r>
      <w:r w:rsidR="0094708A" w:rsidRPr="00AF1814">
        <w:t xml:space="preserve">1) </w:t>
      </w:r>
      <w:r w:rsidRPr="00AF1814">
        <w:t>where possible, make 3 telephone calls</w:t>
      </w:r>
      <w:r w:rsidR="0094708A" w:rsidRPr="00AF1814">
        <w:t xml:space="preserve">; 2) </w:t>
      </w:r>
      <w:r w:rsidRPr="00AF1814">
        <w:t xml:space="preserve">if necessary, send a certified letter </w:t>
      </w:r>
      <w:r w:rsidR="00B30508" w:rsidRPr="00AF1814">
        <w:t xml:space="preserve">(or an equivalent local method) </w:t>
      </w:r>
      <w:r w:rsidRPr="00AF1814">
        <w:t>to the participant’s last known mailing address</w:t>
      </w:r>
      <w:r w:rsidR="0094708A" w:rsidRPr="00AF1814">
        <w:t>, and 3) if a participant has given the appropriate consent, contact the participant’s general practitioner for information.</w:t>
      </w:r>
      <w:r w:rsidRPr="00AF1814">
        <w:t xml:space="preserve"> These contact attempts </w:t>
      </w:r>
      <w:r w:rsidR="00721B13" w:rsidRPr="00AF1814">
        <w:t xml:space="preserve">will </w:t>
      </w:r>
      <w:r w:rsidRPr="00AF1814">
        <w:t>be documented in the participant’s medical record.</w:t>
      </w:r>
      <w:bookmarkStart w:id="240" w:name="_Toc506469936"/>
      <w:bookmarkEnd w:id="240"/>
    </w:p>
    <w:p w14:paraId="4DCF7829" w14:textId="77777777" w:rsidR="002D5216" w:rsidRPr="00AF1814" w:rsidRDefault="00DA3174" w:rsidP="009C7BF4">
      <w:pPr>
        <w:pStyle w:val="List1withbullet"/>
      </w:pPr>
      <w:r w:rsidRPr="00AF1814">
        <w:t xml:space="preserve">If </w:t>
      </w:r>
      <w:r w:rsidR="00435945" w:rsidRPr="00AF1814">
        <w:t>the participant continue</w:t>
      </w:r>
      <w:r w:rsidRPr="00AF1814">
        <w:t>s</w:t>
      </w:r>
      <w:r w:rsidR="00435945" w:rsidRPr="00AF1814">
        <w:t xml:space="preserve"> to be unreachable, she will be</w:t>
      </w:r>
      <w:r w:rsidRPr="00AF1814">
        <w:t xml:space="preserve"> deemed as “lost to follow-up”</w:t>
      </w:r>
      <w:r w:rsidR="00435945" w:rsidRPr="00AF1814">
        <w:t>.</w:t>
      </w:r>
      <w:bookmarkStart w:id="241" w:name="_Toc506469937"/>
      <w:bookmarkEnd w:id="241"/>
    </w:p>
    <w:p w14:paraId="2B419097" w14:textId="77777777" w:rsidR="002D5216" w:rsidRPr="00AF1814" w:rsidRDefault="00DA3174" w:rsidP="00392AF9">
      <w:pPr>
        <w:pStyle w:val="Heading1"/>
        <w:tabs>
          <w:tab w:val="clear" w:pos="4716"/>
          <w:tab w:val="num" w:pos="2250"/>
        </w:tabs>
        <w:ind w:left="2070" w:hanging="2070"/>
      </w:pPr>
      <w:bookmarkStart w:id="242" w:name="_Toc506469938"/>
      <w:bookmarkStart w:id="243" w:name="_Toc44601697"/>
      <w:bookmarkEnd w:id="242"/>
      <w:r w:rsidRPr="00AF1814">
        <w:t>Study Assessments and Procedures</w:t>
      </w:r>
      <w:bookmarkEnd w:id="243"/>
    </w:p>
    <w:p w14:paraId="0D54C694" w14:textId="77777777" w:rsidR="00623274" w:rsidRPr="00AF1814" w:rsidRDefault="00DA3174" w:rsidP="0039658A">
      <w:pPr>
        <w:pStyle w:val="List1withbullet"/>
      </w:pPr>
      <w:bookmarkStart w:id="244" w:name="_Ref30403241"/>
      <w:bookmarkStart w:id="245" w:name="_Ref30403545"/>
      <w:bookmarkStart w:id="246" w:name="_Hlk31793043"/>
      <w:r w:rsidRPr="00AF1814">
        <w:t xml:space="preserve">Study assessments and procedures and their timing are summarized in the </w:t>
      </w:r>
      <w:r w:rsidR="006911FE" w:rsidRPr="00AF1814">
        <w:t>Schedule of Activities</w:t>
      </w:r>
      <w:r w:rsidRPr="00AF1814">
        <w:t>.</w:t>
      </w:r>
    </w:p>
    <w:p w14:paraId="0852C774" w14:textId="77777777" w:rsidR="00623274" w:rsidRPr="00AF1814" w:rsidRDefault="00DA3174" w:rsidP="0039658A">
      <w:pPr>
        <w:pStyle w:val="List1withbullet"/>
      </w:pPr>
      <w:r w:rsidRPr="00AF1814">
        <w:rPr>
          <w:b/>
        </w:rPr>
        <w:t>No</w:t>
      </w:r>
      <w:r w:rsidRPr="00AF1814">
        <w:t xml:space="preserve"> protocol waivers or exemptions are allowed.</w:t>
      </w:r>
    </w:p>
    <w:p w14:paraId="6ABA5CA5" w14:textId="77777777" w:rsidR="00623274" w:rsidRPr="00AF1814" w:rsidRDefault="00DA3174" w:rsidP="0039658A">
      <w:pPr>
        <w:pStyle w:val="List1withbullet"/>
      </w:pPr>
      <w:r w:rsidRPr="00AF1814">
        <w:t xml:space="preserve">Immediate safety concerns </w:t>
      </w:r>
      <w:r w:rsidR="006911FE" w:rsidRPr="00AF1814">
        <w:t>are</w:t>
      </w:r>
      <w:r w:rsidRPr="00AF1814">
        <w:t xml:space="preserve"> discussed with the Sponsor immediately upon occurrence or awareness to determine if the participant should continue or discontinue study intervention.</w:t>
      </w:r>
    </w:p>
    <w:p w14:paraId="0A8105EE" w14:textId="77777777" w:rsidR="00623274" w:rsidRPr="00AF1814" w:rsidRDefault="00DA3174" w:rsidP="0039658A">
      <w:pPr>
        <w:pStyle w:val="List1withbullet"/>
      </w:pPr>
      <w:r w:rsidRPr="00AF1814">
        <w:t xml:space="preserve">Adherence to the study design requirements, including those specified in the </w:t>
      </w:r>
      <w:r w:rsidR="006911FE" w:rsidRPr="00AF1814">
        <w:t>Schedule of Activities</w:t>
      </w:r>
      <w:r w:rsidRPr="00AF1814">
        <w:t>, is essential and required for study conduct.</w:t>
      </w:r>
    </w:p>
    <w:p w14:paraId="12CD22BA" w14:textId="77777777" w:rsidR="00623274" w:rsidRPr="00AF1814" w:rsidRDefault="00DA3174" w:rsidP="0039658A">
      <w:pPr>
        <w:pStyle w:val="List1withbullet"/>
      </w:pPr>
      <w:r w:rsidRPr="00AF1814">
        <w:t>All screening evaluations will be completed and reviewed to confirm that potential participants meet all eligibility criteria. The Investigator will maintain a screening log to record details of all participants screened, to confirm eligibility, and if applicable, record reasons for screening failure.</w:t>
      </w:r>
    </w:p>
    <w:p w14:paraId="62B9F3F0" w14:textId="5EC5D4B3" w:rsidR="00623274" w:rsidRPr="00AF1814" w:rsidRDefault="00DA3174" w:rsidP="0039658A">
      <w:pPr>
        <w:pStyle w:val="List1withbullet"/>
      </w:pPr>
      <w:r w:rsidRPr="00AF1814">
        <w:t>Prior to performing any study assessments that are not part of the participant’s routine medical care, the Investigator will obtain written informed consent as specified in</w:t>
      </w:r>
      <w:r w:rsidR="00582358" w:rsidRPr="00AF1814">
        <w:t xml:space="preserve"> </w:t>
      </w:r>
      <w:hyperlink w:anchor="_Appendix_2_Study" w:history="1">
        <w:r w:rsidR="00582358" w:rsidRPr="00AF1814">
          <w:rPr>
            <w:rStyle w:val="Hyperlink"/>
          </w:rPr>
          <w:t>Appendix 2</w:t>
        </w:r>
      </w:hyperlink>
      <w:r w:rsidRPr="00AF1814">
        <w:t>.</w:t>
      </w:r>
    </w:p>
    <w:p w14:paraId="12D02B23" w14:textId="77777777" w:rsidR="00623274" w:rsidRPr="00AF1814" w:rsidRDefault="00DA3174" w:rsidP="0039658A">
      <w:pPr>
        <w:pStyle w:val="List1withbullet"/>
      </w:pPr>
      <w:r w:rsidRPr="00AF1814">
        <w:t xml:space="preserve">Procedures conducted as part of the participant’s routine medical care (e.g., blood count) and obtained before signing of the ICF may be used for screening or baseline purposes provided the procedures met the protocol-specified criteria and were performed within the time frame defined in the </w:t>
      </w:r>
      <w:r w:rsidR="006911FE" w:rsidRPr="00AF1814">
        <w:t>Schedule of Activities</w:t>
      </w:r>
      <w:r w:rsidRPr="00AF1814">
        <w:t>.</w:t>
      </w:r>
    </w:p>
    <w:p w14:paraId="5713953C" w14:textId="77777777" w:rsidR="002D5216" w:rsidRPr="00AF1814" w:rsidRDefault="00DA3174" w:rsidP="006121C5">
      <w:pPr>
        <w:pStyle w:val="Heading2"/>
      </w:pPr>
      <w:bookmarkStart w:id="247" w:name="_Ref33102053"/>
      <w:bookmarkStart w:id="248" w:name="_Ref33102058"/>
      <w:bookmarkStart w:id="249" w:name="_Ref33102221"/>
      <w:bookmarkStart w:id="250" w:name="_Ref33103635"/>
      <w:bookmarkStart w:id="251" w:name="_Toc44601698"/>
      <w:r w:rsidRPr="00AF1814">
        <w:lastRenderedPageBreak/>
        <w:t>Efficacy Assessments and Procedures</w:t>
      </w:r>
      <w:bookmarkEnd w:id="244"/>
      <w:bookmarkEnd w:id="245"/>
      <w:bookmarkEnd w:id="247"/>
      <w:bookmarkEnd w:id="248"/>
      <w:bookmarkEnd w:id="249"/>
      <w:bookmarkEnd w:id="250"/>
      <w:bookmarkEnd w:id="251"/>
    </w:p>
    <w:p w14:paraId="25510F7E" w14:textId="5566FDD8" w:rsidR="002A18B1" w:rsidRPr="00AF1814" w:rsidRDefault="00DA3174" w:rsidP="002A18B1">
      <w:pPr>
        <w:pStyle w:val="BodyText"/>
      </w:pPr>
      <w:bookmarkStart w:id="252" w:name="_Hlk31793070"/>
      <w:bookmarkEnd w:id="246"/>
      <w:r w:rsidRPr="00AF1814">
        <w:rPr>
          <w:rFonts w:eastAsia="MS Mincho"/>
        </w:rPr>
        <w:t>Contrast</w:t>
      </w:r>
      <w:r w:rsidRPr="00AF1814">
        <w:rPr>
          <w:rFonts w:eastAsia="MS Mincho"/>
        </w:rPr>
        <w:noBreakHyphen/>
        <w:t xml:space="preserve">enhanced </w:t>
      </w:r>
      <w:r w:rsidRPr="00AF1814">
        <w:t>computed tomography</w:t>
      </w:r>
      <w:r w:rsidRPr="00AF1814">
        <w:rPr>
          <w:rFonts w:eastAsia="MS Mincho"/>
        </w:rPr>
        <w:t xml:space="preserve"> (CT) of </w:t>
      </w:r>
      <w:r w:rsidR="00791B9F">
        <w:rPr>
          <w:rFonts w:eastAsia="MS Mincho"/>
        </w:rPr>
        <w:t xml:space="preserve">the </w:t>
      </w:r>
      <w:r w:rsidRPr="00AF1814">
        <w:rPr>
          <w:rFonts w:eastAsia="MS Mincho"/>
        </w:rPr>
        <w:t>chest/abdomen</w:t>
      </w:r>
      <w:r w:rsidR="00791B9F">
        <w:rPr>
          <w:rFonts w:eastAsia="MS Mincho"/>
        </w:rPr>
        <w:t xml:space="preserve"> and </w:t>
      </w:r>
      <w:r w:rsidRPr="00AF1814">
        <w:rPr>
          <w:rFonts w:eastAsia="MS Mincho"/>
        </w:rPr>
        <w:t xml:space="preserve">pelvis covering the area from the superior extent of the thoracic inlet to </w:t>
      </w:r>
      <w:r w:rsidRPr="00AF1814">
        <w:t xml:space="preserve">the symphysis pubis, including full coverage of the lower vagina, is </w:t>
      </w:r>
      <w:r w:rsidR="00791B9F">
        <w:t xml:space="preserve">preferred as </w:t>
      </w:r>
      <w:r w:rsidRPr="00AF1814">
        <w:t xml:space="preserve">the first </w:t>
      </w:r>
      <w:r w:rsidRPr="00AF1814">
        <w:rPr>
          <w:rFonts w:eastAsia="MS Mincho"/>
        </w:rPr>
        <w:t xml:space="preserve">choice of imaging modality. If a participant should not receive iodinated contrast medium or due to radiation protection </w:t>
      </w:r>
      <w:r w:rsidR="00791B9F">
        <w:rPr>
          <w:rFonts w:eastAsia="MS Mincho"/>
        </w:rPr>
        <w:t xml:space="preserve">or other </w:t>
      </w:r>
      <w:r w:rsidRPr="00AF1814">
        <w:rPr>
          <w:rFonts w:eastAsia="MS Mincho"/>
        </w:rPr>
        <w:t xml:space="preserve">reasons, </w:t>
      </w:r>
      <w:r w:rsidR="00533CB6">
        <w:rPr>
          <w:rFonts w:eastAsia="MS Mincho"/>
        </w:rPr>
        <w:t xml:space="preserve">a </w:t>
      </w:r>
      <w:r w:rsidRPr="00AF1814">
        <w:t>magnetic resonance imaging</w:t>
      </w:r>
      <w:r w:rsidRPr="00AF1814">
        <w:rPr>
          <w:rFonts w:eastAsia="MS Mincho"/>
        </w:rPr>
        <w:t xml:space="preserve"> (MRI) of </w:t>
      </w:r>
      <w:r w:rsidR="00791B9F">
        <w:rPr>
          <w:rFonts w:eastAsia="MS Mincho"/>
        </w:rPr>
        <w:t xml:space="preserve">some or all of </w:t>
      </w:r>
      <w:r w:rsidRPr="00AF1814">
        <w:rPr>
          <w:rFonts w:eastAsia="MS Mincho"/>
        </w:rPr>
        <w:t>the same area</w:t>
      </w:r>
      <w:r w:rsidR="00791B9F">
        <w:rPr>
          <w:rFonts w:eastAsia="MS Mincho"/>
        </w:rPr>
        <w:t>s</w:t>
      </w:r>
      <w:r w:rsidRPr="00AF1814">
        <w:rPr>
          <w:rFonts w:eastAsia="MS Mincho"/>
        </w:rPr>
        <w:t>, using gadolinium enhancement according to local protocol as permitted</w:t>
      </w:r>
      <w:r w:rsidR="00791B9F">
        <w:rPr>
          <w:rFonts w:eastAsia="MS Mincho"/>
        </w:rPr>
        <w:t xml:space="preserve"> </w:t>
      </w:r>
      <w:r w:rsidRPr="00AF1814">
        <w:rPr>
          <w:rFonts w:eastAsia="MS Mincho"/>
        </w:rPr>
        <w:t xml:space="preserve">in conjunction with unenhanced CT of the chest from the thoracic inlet to the inferior costophrenic recess should be done. The same method should be used per participant throughout the study and preferably the same machines. A brain CT/MRI scan should be performed if clinically indicated at </w:t>
      </w:r>
      <w:r w:rsidR="00C15737">
        <w:rPr>
          <w:rFonts w:eastAsia="MS Mincho"/>
        </w:rPr>
        <w:t>B</w:t>
      </w:r>
      <w:r w:rsidRPr="00AF1814">
        <w:rPr>
          <w:rFonts w:eastAsia="MS Mincho"/>
        </w:rPr>
        <w:t xml:space="preserve">aseline or by subsequent development of new specific symptoms. </w:t>
      </w:r>
    </w:p>
    <w:p w14:paraId="31CC0F72" w14:textId="77777777" w:rsidR="002A18B1" w:rsidRPr="00AF1814" w:rsidRDefault="00DA3174" w:rsidP="002A18B1">
      <w:pPr>
        <w:pStyle w:val="BodyText"/>
      </w:pPr>
      <w:r w:rsidRPr="00AF1814">
        <w:rPr>
          <w:rFonts w:eastAsia="MS Mincho"/>
        </w:rPr>
        <w:t xml:space="preserve">Baseline scans are taken within 28 days prior to treatment. All the CT/MRI scans performed at </w:t>
      </w:r>
      <w:r w:rsidR="00FE0B5A" w:rsidRPr="00AF1814">
        <w:rPr>
          <w:rFonts w:eastAsia="MS Mincho"/>
        </w:rPr>
        <w:t>B</w:t>
      </w:r>
      <w:r w:rsidRPr="00AF1814">
        <w:rPr>
          <w:rFonts w:eastAsia="MS Mincho"/>
        </w:rPr>
        <w:t xml:space="preserve">aseline need to be repeated at subsequent visits for tumor assessment using the same method, with the exception of brain scans, which only need to be repeated if positive at </w:t>
      </w:r>
      <w:r w:rsidR="00FE0B5A" w:rsidRPr="00AF1814">
        <w:rPr>
          <w:rFonts w:eastAsia="MS Mincho"/>
        </w:rPr>
        <w:t>B</w:t>
      </w:r>
      <w:r w:rsidRPr="00AF1814">
        <w:rPr>
          <w:rFonts w:eastAsia="MS Mincho"/>
        </w:rPr>
        <w:t xml:space="preserve">aseline or if new specific symptoms appear. In general, lesions detected at </w:t>
      </w:r>
      <w:r w:rsidR="00FE0B5A" w:rsidRPr="00AF1814">
        <w:rPr>
          <w:rFonts w:eastAsia="MS Mincho"/>
        </w:rPr>
        <w:t>B</w:t>
      </w:r>
      <w:r w:rsidRPr="00AF1814">
        <w:rPr>
          <w:rFonts w:eastAsia="MS Mincho"/>
        </w:rPr>
        <w:t>aseline need to be followed using the same imaging methodology and preferably the same imaging equipment at subsequent tumor evaluation visits.</w:t>
      </w:r>
      <w:r w:rsidRPr="00AF1814">
        <w:t xml:space="preserve"> </w:t>
      </w:r>
    </w:p>
    <w:p w14:paraId="7C794481" w14:textId="3699D1FB" w:rsidR="002A18B1" w:rsidRPr="00AF1814" w:rsidRDefault="00DA3174" w:rsidP="002A18B1">
      <w:pPr>
        <w:pStyle w:val="BodyText"/>
        <w:rPr>
          <w:rFonts w:eastAsia="MS Mincho"/>
        </w:rPr>
      </w:pPr>
      <w:r w:rsidRPr="00AF1814">
        <w:t xml:space="preserve">Assessments previously obtained as part of routine clinical care may be used as the </w:t>
      </w:r>
      <w:r w:rsidR="00FE0B5A" w:rsidRPr="00AF1814">
        <w:t>B</w:t>
      </w:r>
      <w:r w:rsidRPr="00AF1814">
        <w:t>aseline assessment if performed within 28 days prior to start of treatment and satisfies tumor assessment requirements as noted in this section</w:t>
      </w:r>
      <w:r w:rsidR="00FC691B" w:rsidRPr="00AF1814">
        <w:t xml:space="preserve"> and </w:t>
      </w:r>
      <w:r w:rsidR="00012DAC" w:rsidRPr="00AF1814">
        <w:t>are consistent with Imag</w:t>
      </w:r>
      <w:r w:rsidR="00214EEF">
        <w:t>e Acquisition</w:t>
      </w:r>
      <w:r w:rsidR="00012DAC" w:rsidRPr="00AF1814">
        <w:t xml:space="preserve"> Guidelines</w:t>
      </w:r>
      <w:r w:rsidRPr="00AF1814">
        <w:t xml:space="preserve">.  </w:t>
      </w:r>
    </w:p>
    <w:p w14:paraId="5345FCA0" w14:textId="775D62FF" w:rsidR="002A18B1" w:rsidRPr="00AF1814" w:rsidRDefault="00DA3174" w:rsidP="002A18B1">
      <w:pPr>
        <w:pStyle w:val="BodyText"/>
        <w:rPr>
          <w:rFonts w:eastAsia="MS Mincho"/>
        </w:rPr>
      </w:pPr>
      <w:r w:rsidRPr="00AF1814">
        <w:rPr>
          <w:rFonts w:eastAsia="MS Mincho"/>
        </w:rPr>
        <w:t xml:space="preserve">Participants will be evaluated every </w:t>
      </w:r>
      <w:r w:rsidR="00781086" w:rsidRPr="00AF1814">
        <w:rPr>
          <w:rFonts w:eastAsia="MS Mincho"/>
        </w:rPr>
        <w:t>9</w:t>
      </w:r>
      <w:r w:rsidRPr="00AF1814">
        <w:rPr>
          <w:rFonts w:eastAsia="MS Mincho"/>
        </w:rPr>
        <w:t xml:space="preserve"> weeks within the first 12 months of the participant’s first dose, then every 12 weeks</w:t>
      </w:r>
      <w:r w:rsidRPr="00AF1814">
        <w:t xml:space="preserve"> until confirmed disease progression (as determined by Investigator),</w:t>
      </w:r>
      <w:r w:rsidRPr="00AF1814">
        <w:rPr>
          <w:rFonts w:eastAsia="MS Mincho"/>
        </w:rPr>
        <w:t xml:space="preserve"> as scheduled </w:t>
      </w:r>
      <w:r w:rsidRPr="00E44F28">
        <w:rPr>
          <w:rFonts w:eastAsia="MS Mincho"/>
        </w:rPr>
        <w:t xml:space="preserve">in </w:t>
      </w:r>
      <w:r w:rsidR="00BC4591" w:rsidRPr="00E44F28">
        <w:rPr>
          <w:rFonts w:eastAsia="MS Mincho"/>
        </w:rPr>
        <w:t xml:space="preserve">Section </w:t>
      </w:r>
      <w:r w:rsidR="00BC4591" w:rsidRPr="00E44F28">
        <w:fldChar w:fldCharType="begin"/>
      </w:r>
      <w:r w:rsidR="00BC4591" w:rsidRPr="00E44F28">
        <w:instrText xml:space="preserve"> REF _Ref33108761 \w \h </w:instrText>
      </w:r>
      <w:r w:rsidR="00AF1814" w:rsidRPr="00E44F28">
        <w:instrText xml:space="preserve"> \* MERGEFORMAT </w:instrText>
      </w:r>
      <w:r w:rsidR="00BC4591" w:rsidRPr="00E44F28">
        <w:fldChar w:fldCharType="separate"/>
      </w:r>
      <w:r w:rsidR="00C548C3" w:rsidRPr="00E44F28">
        <w:t>1.3</w:t>
      </w:r>
      <w:r w:rsidR="00BC4591" w:rsidRPr="00E44F28">
        <w:fldChar w:fldCharType="end"/>
      </w:r>
      <w:r w:rsidR="00781086" w:rsidRPr="00E44F28">
        <w:rPr>
          <w:rFonts w:eastAsia="MS Mincho"/>
        </w:rPr>
        <w:t>.</w:t>
      </w:r>
      <w:r w:rsidR="00F34D30" w:rsidRPr="00E44F28">
        <w:rPr>
          <w:rFonts w:eastAsia="MS Mincho"/>
        </w:rPr>
        <w:t xml:space="preserve"> </w:t>
      </w:r>
      <w:r w:rsidR="00F34D30" w:rsidRPr="00AF1814">
        <w:rPr>
          <w:rFonts w:eastAsia="MS Mincho"/>
        </w:rPr>
        <w:t xml:space="preserve">After PD, confirmation of PD is also required and should be performed preferably and if clinically feasible, </w:t>
      </w:r>
      <w:r w:rsidR="00762494" w:rsidRPr="00AF1814">
        <w:t>at the next imaging visit at least 28 days after the detection of PD</w:t>
      </w:r>
      <w:r w:rsidR="003F62F6" w:rsidRPr="00AF1814">
        <w:t>.</w:t>
      </w:r>
    </w:p>
    <w:p w14:paraId="3EF97864" w14:textId="77777777" w:rsidR="002A18B1" w:rsidRPr="00AF1814" w:rsidRDefault="00DA3174" w:rsidP="002A18B1">
      <w:pPr>
        <w:pStyle w:val="BodyText"/>
      </w:pPr>
      <w:r w:rsidRPr="00AF1814">
        <w:rPr>
          <w:rFonts w:eastAsia="MS Mincho"/>
        </w:rPr>
        <w:t>Confirmation of CR</w:t>
      </w:r>
      <w:r w:rsidR="00106D59" w:rsidRPr="00AF1814">
        <w:rPr>
          <w:rFonts w:eastAsia="MS Mincho"/>
        </w:rPr>
        <w:t xml:space="preserve"> for all entered subjects, and confirmation of</w:t>
      </w:r>
      <w:r w:rsidRPr="00AF1814">
        <w:rPr>
          <w:rFonts w:eastAsia="MS Mincho"/>
        </w:rPr>
        <w:t xml:space="preserve"> PR</w:t>
      </w:r>
      <w:r w:rsidR="00106D59" w:rsidRPr="00AF1814">
        <w:rPr>
          <w:rFonts w:eastAsia="MS Mincho"/>
        </w:rPr>
        <w:t xml:space="preserve"> for subjects who had measurable disease at </w:t>
      </w:r>
      <w:r w:rsidR="00FE0B5A" w:rsidRPr="00AF1814">
        <w:rPr>
          <w:rFonts w:eastAsia="MS Mincho"/>
        </w:rPr>
        <w:t>B</w:t>
      </w:r>
      <w:r w:rsidR="00106D59" w:rsidRPr="00AF1814">
        <w:rPr>
          <w:rFonts w:eastAsia="MS Mincho"/>
        </w:rPr>
        <w:t>aseline</w:t>
      </w:r>
      <w:r w:rsidR="00AC5738" w:rsidRPr="00AF1814">
        <w:rPr>
          <w:rFonts w:eastAsia="MS Mincho"/>
        </w:rPr>
        <w:t>,</w:t>
      </w:r>
      <w:r w:rsidRPr="00AF1814">
        <w:rPr>
          <w:rFonts w:eastAsia="MS Mincho"/>
        </w:rPr>
        <w:t xml:space="preserve"> should be performed, preferably at the regularly scheduled assessment intervals, but no sooner than 4 weeks after the initial documentation. PR can be confirmed at any assessment later than the next assessment after the initial documentation of PR</w:t>
      </w:r>
      <w:r w:rsidRPr="00AF1814">
        <w:rPr>
          <w:rFonts w:eastAsia="MS Mincho"/>
          <w:color w:val="00B0F0"/>
        </w:rPr>
        <w:t xml:space="preserve"> </w:t>
      </w:r>
      <w:r w:rsidRPr="00AF1814">
        <w:rPr>
          <w:rFonts w:eastAsia="MS Mincho"/>
        </w:rPr>
        <w:t>provided PD does not occur between.</w:t>
      </w:r>
      <w:r w:rsidR="000077E2" w:rsidRPr="00AF1814">
        <w:rPr>
          <w:rFonts w:eastAsia="MS Mincho"/>
        </w:rPr>
        <w:t xml:space="preserve"> </w:t>
      </w:r>
      <w:r w:rsidR="00AC5738" w:rsidRPr="00AF1814">
        <w:rPr>
          <w:rFonts w:eastAsia="MS Mincho"/>
        </w:rPr>
        <w:t xml:space="preserve">Non-CR/non-PD, for subjects without measurable disease at </w:t>
      </w:r>
      <w:r w:rsidR="00FE0B5A" w:rsidRPr="00AF1814">
        <w:rPr>
          <w:rFonts w:eastAsia="MS Mincho"/>
        </w:rPr>
        <w:t>B</w:t>
      </w:r>
      <w:r w:rsidR="00AC5738" w:rsidRPr="00AF1814">
        <w:rPr>
          <w:rFonts w:eastAsia="MS Mincho"/>
        </w:rPr>
        <w:t xml:space="preserve">aseline, and SD for subjects with measurable disease at </w:t>
      </w:r>
      <w:r w:rsidR="00FE0B5A" w:rsidRPr="00AF1814">
        <w:rPr>
          <w:rFonts w:eastAsia="MS Mincho"/>
        </w:rPr>
        <w:t>B</w:t>
      </w:r>
      <w:r w:rsidR="00AC5738" w:rsidRPr="00AF1814">
        <w:rPr>
          <w:rFonts w:eastAsia="MS Mincho"/>
        </w:rPr>
        <w:t xml:space="preserve">aseline, do not require confirmation. </w:t>
      </w:r>
      <w:r w:rsidRPr="00AF1814">
        <w:t>Tumor responses according to RECIST 1.1 will be assessed by the Investigator and documented in the eCRF (all measurements should be recorded in metric notation</w:t>
      </w:r>
      <w:r w:rsidR="00263549" w:rsidRPr="00AF1814">
        <w:t>)</w:t>
      </w:r>
      <w:r w:rsidRPr="00AF1814">
        <w:t>.</w:t>
      </w:r>
      <w:r w:rsidR="00263549" w:rsidRPr="00AF1814">
        <w:t xml:space="preserve"> </w:t>
      </w:r>
    </w:p>
    <w:p w14:paraId="038C6E3F" w14:textId="77777777" w:rsidR="007644DC" w:rsidRPr="00AF1814" w:rsidRDefault="00DA3174" w:rsidP="002A18B1">
      <w:pPr>
        <w:pStyle w:val="BodyText"/>
      </w:pPr>
      <w:r w:rsidRPr="00AF1814">
        <w:t>When the patient has only non-measurable disease, the same general concepts apply as to those with measurable disease, however, in this instance there is no measurable disease assessment to factor into the interpretation of an increase in non-measurable disease burden.</w:t>
      </w:r>
    </w:p>
    <w:p w14:paraId="3D6E192A" w14:textId="77777777" w:rsidR="00857444" w:rsidRPr="00AF1814" w:rsidRDefault="00DA3174" w:rsidP="002A18B1">
      <w:pPr>
        <w:pStyle w:val="BodyText"/>
      </w:pPr>
      <w:r w:rsidRPr="00AF1814">
        <w:t xml:space="preserve">Because worsening in non-target disease cannot be easily quantified by definition: if all lesions are truly non-measurable, the test that should be applied for unequivocal progression when assessing patients who did not have baseline measurable disease is to consider if the increase in overall disease burden based on the change in non-measurable disease is comparable in magnitude </w:t>
      </w:r>
      <w:r w:rsidRPr="00AF1814">
        <w:lastRenderedPageBreak/>
        <w:t>to the increase that would be required to declare PD for measurable disease: i.e.</w:t>
      </w:r>
      <w:r w:rsidR="002A3C2E" w:rsidRPr="00AF1814">
        <w:t>,</w:t>
      </w:r>
      <w:r w:rsidRPr="00AF1814">
        <w:t xml:space="preserve"> an increase in tumor burden representing an additional 73% increase in ‘volume’ (which is equivalent to a 20% increase diameter in a measurable lesion). Examples include an increase in a pleural effusion from ‘trace’ to ‘large’, an increase in lymphangitic disease from </w:t>
      </w:r>
      <w:r w:rsidR="000D7D5E" w:rsidRPr="00AF1814">
        <w:t>localized</w:t>
      </w:r>
      <w:r w:rsidRPr="00AF1814">
        <w:t xml:space="preserve"> to widespread, or sufficient to require a change in therapy. If ‘unequivocal progression’ is seen, the patient should be considered to have had overall PD at that point. While it would be ideal to have objective criteria to apply to non-measurable disease, the very nature of that disease makes it impossible to do so, therefore the increase must be substantial.</w:t>
      </w:r>
    </w:p>
    <w:p w14:paraId="43C83587" w14:textId="394289DA" w:rsidR="00242C09" w:rsidRPr="00AF1814" w:rsidRDefault="00DA3174">
      <w:pPr>
        <w:pStyle w:val="BodyText"/>
      </w:pPr>
      <w:r w:rsidRPr="00AF1814">
        <w:t xml:space="preserve">As per RECIST 1.1 criteria, tumor lesions situated in a previously-irradiated area, or in an area subjected to other loco-regional therapy such as brachytherapy are not usually considered measurable. </w:t>
      </w:r>
      <w:r w:rsidR="00857444" w:rsidRPr="00AF1814">
        <w:t xml:space="preserve">Since measurable disease is not an inclusion criterion for this study, these criteria will be applied. Such lesions should be assessed as non-target lesions. </w:t>
      </w:r>
      <w:r w:rsidRPr="00AF1814">
        <w:t xml:space="preserve">Details of RECIST 1.1 methodology are supplied as </w:t>
      </w:r>
      <w:hyperlink w:anchor="_Appendix_7_Response" w:history="1">
        <w:r w:rsidRPr="00AF1814">
          <w:rPr>
            <w:rStyle w:val="Hyperlink"/>
          </w:rPr>
          <w:t xml:space="preserve">Appendix </w:t>
        </w:r>
        <w:r w:rsidR="001A5310" w:rsidRPr="00AF1814">
          <w:rPr>
            <w:rStyle w:val="Hyperlink"/>
          </w:rPr>
          <w:t>7</w:t>
        </w:r>
      </w:hyperlink>
      <w:r w:rsidRPr="00AF1814">
        <w:t>.</w:t>
      </w:r>
    </w:p>
    <w:p w14:paraId="72BA4AA4" w14:textId="77777777" w:rsidR="002D5216" w:rsidRPr="00AF1814" w:rsidRDefault="00DA3174" w:rsidP="002954C7">
      <w:pPr>
        <w:pStyle w:val="Heading2"/>
        <w:ind w:left="2019" w:hanging="2019"/>
      </w:pPr>
      <w:bookmarkStart w:id="253" w:name="_Toc44601699"/>
      <w:bookmarkEnd w:id="252"/>
      <w:r w:rsidRPr="00AF1814">
        <w:t>Safety Assessments and Procedures</w:t>
      </w:r>
      <w:bookmarkEnd w:id="253"/>
    </w:p>
    <w:p w14:paraId="6FCE642B" w14:textId="77777777" w:rsidR="00744852" w:rsidRPr="00AF1814" w:rsidRDefault="00DA3174" w:rsidP="00744852">
      <w:pPr>
        <w:pStyle w:val="Bodytext-keepwithnext"/>
      </w:pPr>
      <w:r w:rsidRPr="00AF1814">
        <w:t>The safety profile of the study intervention will be assessed through the recording, reporting and analysis of baseline medical conditions, AEs, physical examination findings, vital signs, electrocardiograms, and laboratory tests.</w:t>
      </w:r>
    </w:p>
    <w:p w14:paraId="5BE5C9B8" w14:textId="5D7AA53B" w:rsidR="00744852" w:rsidRPr="00E44F28" w:rsidRDefault="00DA3174" w:rsidP="00744852">
      <w:pPr>
        <w:pStyle w:val="Bodytext-keepwithnext"/>
      </w:pPr>
      <w:r w:rsidRPr="00AF1814">
        <w:t xml:space="preserve">Comprehensive assessment of any potential toxicity experienced by each participant will be conducted starting when the participants give informed consent and throughout the study. The Investigator will report any AEs, whether observed by the Investigator or reported by the participant; the reporting period is specified in </w:t>
      </w:r>
      <w:r w:rsidRPr="00E44F28">
        <w:t>Section</w:t>
      </w:r>
      <w:r w:rsidR="0027054A" w:rsidRPr="00E44F28">
        <w:t xml:space="preserve"> </w:t>
      </w:r>
      <w:r w:rsidR="0027054A" w:rsidRPr="00E44F28">
        <w:fldChar w:fldCharType="begin"/>
      </w:r>
      <w:r w:rsidR="0027054A" w:rsidRPr="00E44F28">
        <w:instrText xml:space="preserve"> REF _Ref33118032 \w \h </w:instrText>
      </w:r>
      <w:r w:rsidR="00942D3A" w:rsidRPr="00E44F28">
        <w:instrText xml:space="preserve"> \* MERGEFORMAT </w:instrText>
      </w:r>
      <w:r w:rsidR="0027054A" w:rsidRPr="00E44F28">
        <w:fldChar w:fldCharType="separate"/>
      </w:r>
      <w:r w:rsidR="00C548C3" w:rsidRPr="00E44F28">
        <w:t>8.3.1</w:t>
      </w:r>
      <w:r w:rsidR="0027054A" w:rsidRPr="00E44F28">
        <w:fldChar w:fldCharType="end"/>
      </w:r>
      <w:r w:rsidRPr="00E44F28">
        <w:t>.</w:t>
      </w:r>
    </w:p>
    <w:p w14:paraId="19787AAD" w14:textId="39F01FD9" w:rsidR="00744852" w:rsidRPr="00E44F28" w:rsidRDefault="00DA3174" w:rsidP="00744852">
      <w:pPr>
        <w:pStyle w:val="BodyText"/>
      </w:pPr>
      <w:r w:rsidRPr="00E44F28">
        <w:t xml:space="preserve">The safety assessments will be performed according to the Schedule of Activities (Section </w:t>
      </w:r>
      <w:r w:rsidR="00492844" w:rsidRPr="00E44F28">
        <w:fldChar w:fldCharType="begin"/>
      </w:r>
      <w:r w:rsidR="00492844" w:rsidRPr="00E44F28">
        <w:instrText xml:space="preserve"> REF _Ref33108756 \w \h </w:instrText>
      </w:r>
      <w:r w:rsidR="00AF1814" w:rsidRPr="00E44F28">
        <w:instrText xml:space="preserve"> \* MERGEFORMAT </w:instrText>
      </w:r>
      <w:r w:rsidR="00492844" w:rsidRPr="00E44F28">
        <w:fldChar w:fldCharType="separate"/>
      </w:r>
      <w:r w:rsidR="00C548C3" w:rsidRPr="00E44F28">
        <w:t>1.3</w:t>
      </w:r>
      <w:r w:rsidR="00492844" w:rsidRPr="00E44F28">
        <w:fldChar w:fldCharType="end"/>
      </w:r>
      <w:r w:rsidRPr="00E44F28">
        <w:t xml:space="preserve">). Periodic evaluations of the study data will be conducted by the study team to ensure safety and the validity and scientific merit of the study. </w:t>
      </w:r>
    </w:p>
    <w:p w14:paraId="3E0708BA" w14:textId="77777777" w:rsidR="00744852" w:rsidRPr="00E44F28" w:rsidRDefault="00DA3174" w:rsidP="00744852">
      <w:pPr>
        <w:pStyle w:val="BodyText"/>
      </w:pPr>
      <w:r w:rsidRPr="00E44F28">
        <w:t xml:space="preserve">Ongoing events at the 12-week Safety Follow-up </w:t>
      </w:r>
      <w:r w:rsidR="00713320" w:rsidRPr="00E44F28">
        <w:t>V</w:t>
      </w:r>
      <w:r w:rsidRPr="00E44F28">
        <w:t xml:space="preserve">isit should continue to be monitored and documented until resolution or resolution with sequelae. All </w:t>
      </w:r>
      <w:r w:rsidR="0003033B" w:rsidRPr="00E44F28">
        <w:t>S</w:t>
      </w:r>
      <w:r w:rsidRPr="00E44F28">
        <w:t>AEs ongoing at the End</w:t>
      </w:r>
      <w:r w:rsidR="0003033B" w:rsidRPr="00E44F28">
        <w:noBreakHyphen/>
      </w:r>
      <w:r w:rsidRPr="00E44F28">
        <w:t>of</w:t>
      </w:r>
      <w:r w:rsidR="0003033B" w:rsidRPr="00E44F28">
        <w:noBreakHyphen/>
      </w:r>
      <w:r w:rsidRPr="00E44F28">
        <w:t xml:space="preserve">Treatment </w:t>
      </w:r>
      <w:r w:rsidR="00713320" w:rsidRPr="00E44F28">
        <w:t>V</w:t>
      </w:r>
      <w:r w:rsidRPr="00E44F28">
        <w:t>isit must be monitored and followed up by the Investigator until stabilization or until the outcome is known, unless the participant is documented as “lost to follow</w:t>
      </w:r>
      <w:r w:rsidR="00A713F5" w:rsidRPr="00E44F28">
        <w:noBreakHyphen/>
      </w:r>
      <w:r w:rsidRPr="00E44F28">
        <w:t>up”. Reasonable attempts to obtain this information must be made and documented. It is also the responsibility of the Investigator to ensure that any necessary additional therapeutic measures and follow-up procedures are performed.</w:t>
      </w:r>
    </w:p>
    <w:p w14:paraId="2EE6A528" w14:textId="1A6607A7" w:rsidR="00EF4284" w:rsidRPr="00AF1814" w:rsidRDefault="00DA3174" w:rsidP="00744852">
      <w:pPr>
        <w:pStyle w:val="BodyText"/>
      </w:pPr>
      <w:r w:rsidRPr="00E44F28">
        <w:t xml:space="preserve">The SMC will evaluate the safety (including DLTs) and other available data (see Section </w:t>
      </w:r>
      <w:r w:rsidRPr="00E44F28">
        <w:fldChar w:fldCharType="begin"/>
      </w:r>
      <w:r w:rsidRPr="00E44F28">
        <w:instrText xml:space="preserve"> REF _Ref34061922 \w \h </w:instrText>
      </w:r>
      <w:r w:rsidR="00713320" w:rsidRPr="00E44F28">
        <w:instrText xml:space="preserve"> \* MERGEFORMAT </w:instrText>
      </w:r>
      <w:r w:rsidRPr="00E44F28">
        <w:fldChar w:fldCharType="separate"/>
      </w:r>
      <w:r w:rsidR="00C548C3" w:rsidRPr="00E44F28">
        <w:t>6.6.1</w:t>
      </w:r>
      <w:r w:rsidRPr="00E44F28">
        <w:fldChar w:fldCharType="end"/>
      </w:r>
      <w:r w:rsidRPr="00E44F28">
        <w:t>).</w:t>
      </w:r>
    </w:p>
    <w:p w14:paraId="615AC459" w14:textId="77777777" w:rsidR="002D5216" w:rsidRPr="00AF1814" w:rsidRDefault="00DA3174" w:rsidP="0009581A">
      <w:pPr>
        <w:pStyle w:val="Heading3"/>
        <w:ind w:left="2019" w:hanging="2019"/>
      </w:pPr>
      <w:bookmarkStart w:id="254" w:name="_Ref30403185"/>
      <w:bookmarkStart w:id="255" w:name="_Ref30403356"/>
      <w:bookmarkStart w:id="256" w:name="_Ref30403505"/>
      <w:bookmarkStart w:id="257" w:name="_Toc44601700"/>
      <w:r w:rsidRPr="00AF1814">
        <w:t>Physical Examinations</w:t>
      </w:r>
      <w:bookmarkEnd w:id="254"/>
      <w:bookmarkEnd w:id="255"/>
      <w:bookmarkEnd w:id="256"/>
      <w:bookmarkEnd w:id="257"/>
    </w:p>
    <w:p w14:paraId="722B7BD8" w14:textId="77777777" w:rsidR="00122D69" w:rsidRPr="00AF1814" w:rsidRDefault="00DA3174" w:rsidP="0039658A">
      <w:pPr>
        <w:pStyle w:val="List1withbullet"/>
      </w:pPr>
      <w:r w:rsidRPr="00AF1814">
        <w:t xml:space="preserve">A complete physical examination at Screening will include, at a minimum, assessments of the cardiovascular, respiratory, </w:t>
      </w:r>
      <w:r w:rsidR="00012DAC" w:rsidRPr="00AF1814">
        <w:t>GI</w:t>
      </w:r>
      <w:r w:rsidR="00713320" w:rsidRPr="00AF1814">
        <w:t>,</w:t>
      </w:r>
      <w:r w:rsidRPr="00AF1814">
        <w:t xml:space="preserve"> and neurological systems.</w:t>
      </w:r>
    </w:p>
    <w:p w14:paraId="093B14CB" w14:textId="59ABF6F6" w:rsidR="00122D69" w:rsidRPr="00E44F28" w:rsidRDefault="00DA3174" w:rsidP="0039658A">
      <w:pPr>
        <w:pStyle w:val="List1withbullet"/>
      </w:pPr>
      <w:r w:rsidRPr="00AF1814">
        <w:t>Vital signs, physical examinations, and ECOG PS will be conducted at Screening and at subsequent visits as indicated in the Schedule of Activities (</w:t>
      </w:r>
      <w:r w:rsidRPr="00E44F28">
        <w:t xml:space="preserve">Section </w:t>
      </w:r>
      <w:r w:rsidR="00A713F5" w:rsidRPr="00E44F28">
        <w:fldChar w:fldCharType="begin"/>
      </w:r>
      <w:r w:rsidR="00A713F5" w:rsidRPr="00E44F28">
        <w:instrText xml:space="preserve"> REF _Ref33108756 \w \h </w:instrText>
      </w:r>
      <w:r w:rsidR="00942D3A" w:rsidRPr="00E44F28">
        <w:instrText xml:space="preserve"> \* MERGEFORMAT </w:instrText>
      </w:r>
      <w:r w:rsidR="00A713F5" w:rsidRPr="00E44F28">
        <w:fldChar w:fldCharType="separate"/>
      </w:r>
      <w:r w:rsidR="00C548C3" w:rsidRPr="00E44F28">
        <w:t>1.3</w:t>
      </w:r>
      <w:r w:rsidR="00A713F5" w:rsidRPr="00E44F28">
        <w:fldChar w:fldCharType="end"/>
      </w:r>
      <w:r w:rsidRPr="00E44F28">
        <w:t>). These should be documented in the eCRF.</w:t>
      </w:r>
    </w:p>
    <w:p w14:paraId="3A996505" w14:textId="77777777" w:rsidR="00744852" w:rsidRPr="00AF1814" w:rsidRDefault="00DA3174" w:rsidP="0039658A">
      <w:pPr>
        <w:pStyle w:val="List1withbullet"/>
      </w:pPr>
      <w:r w:rsidRPr="00AF1814">
        <w:lastRenderedPageBreak/>
        <w:t xml:space="preserve">A brief physical examination </w:t>
      </w:r>
      <w:r w:rsidR="00122D69" w:rsidRPr="00AF1814">
        <w:t xml:space="preserve">(at all other scheduled visits other than Screening) </w:t>
      </w:r>
      <w:r w:rsidRPr="00AF1814">
        <w:t>will include, at a minimum, assessments of the skin, lungs, cardiovascular system, and abdomen (liver and spleen).</w:t>
      </w:r>
    </w:p>
    <w:p w14:paraId="29C55047" w14:textId="77777777" w:rsidR="00744852" w:rsidRPr="00AF1814" w:rsidRDefault="00DA3174" w:rsidP="0039658A">
      <w:pPr>
        <w:pStyle w:val="List1withbullet"/>
      </w:pPr>
      <w:r w:rsidRPr="00AF1814">
        <w:t>Investigators will pay special attention to clinical signs related to previous serious illnesses.</w:t>
      </w:r>
    </w:p>
    <w:p w14:paraId="11A57702" w14:textId="77777777" w:rsidR="00122D69" w:rsidRPr="00AF1814" w:rsidRDefault="00DA3174" w:rsidP="0039658A">
      <w:pPr>
        <w:pStyle w:val="List1withbullet"/>
      </w:pPr>
      <w:r w:rsidRPr="00AF1814">
        <w:t xml:space="preserve">General status, such as asthenia or appetite, should be evaluated at </w:t>
      </w:r>
      <w:r w:rsidR="00FE0B5A" w:rsidRPr="00AF1814">
        <w:t>B</w:t>
      </w:r>
      <w:r w:rsidRPr="00AF1814">
        <w:t>aseline. Pre</w:t>
      </w:r>
      <w:r w:rsidRPr="00AF1814">
        <w:noBreakHyphen/>
        <w:t xml:space="preserve">existing symptoms of underlying conditions and/or signs of infection should be investigated as clinically indicated. </w:t>
      </w:r>
    </w:p>
    <w:p w14:paraId="13D33895" w14:textId="77777777" w:rsidR="00122D69" w:rsidRPr="00AF1814" w:rsidRDefault="00DA3174" w:rsidP="0039658A">
      <w:pPr>
        <w:pStyle w:val="List1withbullet"/>
      </w:pPr>
      <w:r w:rsidRPr="00AF1814">
        <w:t>Abnormal findings are to be reassessed at subsequent visits.</w:t>
      </w:r>
    </w:p>
    <w:p w14:paraId="292E7017" w14:textId="77777777" w:rsidR="002D5216" w:rsidRPr="00AF1814" w:rsidRDefault="00DA3174" w:rsidP="0009581A">
      <w:pPr>
        <w:pStyle w:val="Heading3"/>
        <w:ind w:left="2019" w:hanging="2019"/>
      </w:pPr>
      <w:bookmarkStart w:id="258" w:name="_Ref36564376"/>
      <w:bookmarkStart w:id="259" w:name="_Toc44601701"/>
      <w:r w:rsidRPr="00AF1814">
        <w:t>Vital Signs</w:t>
      </w:r>
      <w:bookmarkEnd w:id="258"/>
      <w:bookmarkEnd w:id="259"/>
    </w:p>
    <w:p w14:paraId="758EF287" w14:textId="77777777" w:rsidR="00122D69" w:rsidRPr="00AF1814" w:rsidRDefault="00DA3174" w:rsidP="009A7C9A">
      <w:pPr>
        <w:pStyle w:val="List1withbullet"/>
      </w:pPr>
      <w:r w:rsidRPr="00AF1814">
        <w:t xml:space="preserve">Height </w:t>
      </w:r>
      <w:r w:rsidR="00DF16D6" w:rsidRPr="00AF1814">
        <w:t>(at Screening Visit only)</w:t>
      </w:r>
      <w:r w:rsidRPr="00AF1814">
        <w:t xml:space="preserve"> and weight will be measured and recorded.</w:t>
      </w:r>
    </w:p>
    <w:p w14:paraId="07FB0C86" w14:textId="77777777" w:rsidR="00122D69" w:rsidRPr="00AF1814" w:rsidRDefault="00DA3174" w:rsidP="009A7C9A">
      <w:pPr>
        <w:pStyle w:val="List1withbullet"/>
      </w:pPr>
      <w:r w:rsidRPr="00AF1814">
        <w:t xml:space="preserve">Vital signs including body </w:t>
      </w:r>
      <w:r w:rsidR="00435945" w:rsidRPr="00AF1814">
        <w:t>temperature, pulse rate, respiratory rate, and blood pressure will be assessed</w:t>
      </w:r>
      <w:r w:rsidR="00440B67" w:rsidRPr="00AF1814">
        <w:t xml:space="preserve"> and recorded in the eCRF</w:t>
      </w:r>
      <w:r w:rsidR="00435945" w:rsidRPr="00AF1814">
        <w:t>.</w:t>
      </w:r>
    </w:p>
    <w:p w14:paraId="451C1E50" w14:textId="77777777" w:rsidR="00440B67" w:rsidRPr="00AF1814" w:rsidRDefault="00DA3174" w:rsidP="009A7C9A">
      <w:pPr>
        <w:pStyle w:val="List1withbullet"/>
      </w:pPr>
      <w:r w:rsidRPr="00AF1814">
        <w:t>Vital signs will be measured in a semi-supine position after 5 minutes rest and will include temperature, systolic and diastolic blood pressure, pulse</w:t>
      </w:r>
      <w:r w:rsidR="00713320" w:rsidRPr="00AF1814">
        <w:t>,</w:t>
      </w:r>
      <w:r w:rsidRPr="00AF1814">
        <w:t xml:space="preserve"> and respiratory rate.</w:t>
      </w:r>
    </w:p>
    <w:p w14:paraId="62C3AE4A" w14:textId="77777777" w:rsidR="00122D69" w:rsidRPr="00AF1814" w:rsidRDefault="00DA3174" w:rsidP="009A7C9A">
      <w:pPr>
        <w:pStyle w:val="List1withbullet"/>
      </w:pPr>
      <w:r w:rsidRPr="00AF1814">
        <w:t>Blood pressure and pulse measurements will be assessed</w:t>
      </w:r>
      <w:r w:rsidR="00440B67" w:rsidRPr="00AF1814">
        <w:t xml:space="preserve"> </w:t>
      </w:r>
      <w:r w:rsidRPr="00AF1814">
        <w:t>with a completely automated device. Manual techniques will be used only if an automated device is not available.</w:t>
      </w:r>
    </w:p>
    <w:p w14:paraId="080234D0" w14:textId="77777777" w:rsidR="00122D69" w:rsidRPr="00AF1814" w:rsidRDefault="00DA3174" w:rsidP="009A7C9A">
      <w:pPr>
        <w:pStyle w:val="List1withbullet"/>
      </w:pPr>
      <w:r w:rsidRPr="00AF1814">
        <w:t>Blood pressure and pulse measurements will be preceded by at least 5 minutes of rest for the participant in a quiet setting without distractions (e.g., television, cell phones).</w:t>
      </w:r>
    </w:p>
    <w:p w14:paraId="57B0C091" w14:textId="77777777" w:rsidR="00440B67" w:rsidRPr="00AF1814" w:rsidRDefault="00DA3174" w:rsidP="009A7C9A">
      <w:pPr>
        <w:pStyle w:val="List1withbullet"/>
      </w:pPr>
      <w:r w:rsidRPr="00AF1814">
        <w:t>Blood oxygen saturation (SpO2) will be measured with a pulse oximeter and recorded in the eCRF.</w:t>
      </w:r>
    </w:p>
    <w:p w14:paraId="32D84C93" w14:textId="77777777" w:rsidR="002D5216" w:rsidRPr="00AF1814" w:rsidRDefault="00DA3174" w:rsidP="0009581A">
      <w:pPr>
        <w:pStyle w:val="Heading3"/>
        <w:ind w:left="2019" w:hanging="2019"/>
      </w:pPr>
      <w:bookmarkStart w:id="260" w:name="_Toc44601702"/>
      <w:r w:rsidRPr="00AF1814">
        <w:t>Electrocardiograms</w:t>
      </w:r>
      <w:bookmarkEnd w:id="260"/>
    </w:p>
    <w:p w14:paraId="2EFE6B56" w14:textId="484E919E" w:rsidR="002D5216" w:rsidRPr="00E44F28" w:rsidRDefault="00DA3174" w:rsidP="00440B67">
      <w:pPr>
        <w:pStyle w:val="List1withbullet"/>
      </w:pPr>
      <w:r w:rsidRPr="00AF1814">
        <w:t xml:space="preserve">Single 12-lead ECG will be obtained as outlined in the </w:t>
      </w:r>
      <w:r w:rsidR="008B2DE9" w:rsidRPr="00AF1814">
        <w:t xml:space="preserve">Schedule of </w:t>
      </w:r>
      <w:r w:rsidR="008B2DE9" w:rsidRPr="00E44F28">
        <w:t>Activities</w:t>
      </w:r>
      <w:r w:rsidR="00440B67" w:rsidRPr="00E44F28">
        <w:t xml:space="preserve"> (Section</w:t>
      </w:r>
      <w:r w:rsidR="0003033B" w:rsidRPr="00E44F28">
        <w:t> </w:t>
      </w:r>
      <w:r w:rsidR="00A713F5" w:rsidRPr="00E44F28">
        <w:fldChar w:fldCharType="begin"/>
      </w:r>
      <w:r w:rsidR="00A713F5" w:rsidRPr="00E44F28">
        <w:instrText xml:space="preserve"> REF _Ref33108756 \w \h </w:instrText>
      </w:r>
      <w:r w:rsidR="00942D3A" w:rsidRPr="00E44F28">
        <w:instrText xml:space="preserve"> \* MERGEFORMAT </w:instrText>
      </w:r>
      <w:r w:rsidR="00A713F5" w:rsidRPr="00E44F28">
        <w:fldChar w:fldCharType="separate"/>
      </w:r>
      <w:r w:rsidR="00C548C3" w:rsidRPr="00E44F28">
        <w:t>1.3</w:t>
      </w:r>
      <w:r w:rsidR="00A713F5" w:rsidRPr="00E44F28">
        <w:fldChar w:fldCharType="end"/>
      </w:r>
      <w:r w:rsidR="00440B67" w:rsidRPr="00E44F28">
        <w:t>)</w:t>
      </w:r>
      <w:r w:rsidRPr="00E44F28">
        <w:t xml:space="preserve"> using an ECG machine that automatically calculates the heart rate and measures PR, QRS, QT, and QTc intervals.</w:t>
      </w:r>
    </w:p>
    <w:p w14:paraId="7168841A" w14:textId="77777777" w:rsidR="002D5216" w:rsidRPr="00E44F28" w:rsidRDefault="00DA3174" w:rsidP="00CC007D">
      <w:pPr>
        <w:pStyle w:val="Heading3"/>
        <w:ind w:left="2019" w:hanging="2019"/>
      </w:pPr>
      <w:bookmarkStart w:id="261" w:name="_Ref33109698"/>
      <w:bookmarkStart w:id="262" w:name="_Ref33118047"/>
      <w:bookmarkStart w:id="263" w:name="_Toc44601703"/>
      <w:r w:rsidRPr="00E44F28">
        <w:t>Clinical Safety Laboratory Assessments</w:t>
      </w:r>
      <w:bookmarkEnd w:id="261"/>
      <w:bookmarkEnd w:id="262"/>
      <w:bookmarkEnd w:id="263"/>
    </w:p>
    <w:p w14:paraId="51A0CCAF" w14:textId="5A49EC83" w:rsidR="00CC007D" w:rsidRPr="00AF1814" w:rsidRDefault="00DA3174" w:rsidP="00CC007D">
      <w:pPr>
        <w:pStyle w:val="List1withbullet"/>
      </w:pPr>
      <w:r w:rsidRPr="00AF1814">
        <w:t xml:space="preserve">Blood and urine samples will be collected for the clinical laboratory tests listed in </w:t>
      </w:r>
      <w:hyperlink w:anchor="_Appendix_6_Clinical" w:history="1">
        <w:r w:rsidR="00E50719" w:rsidRPr="00AF1814">
          <w:rPr>
            <w:rStyle w:val="Hyperlink"/>
          </w:rPr>
          <w:t>Appendix</w:t>
        </w:r>
        <w:r w:rsidR="00B051D3" w:rsidRPr="00AF1814">
          <w:rPr>
            <w:rStyle w:val="Hyperlink"/>
          </w:rPr>
          <w:t> </w:t>
        </w:r>
        <w:r w:rsidR="00E50719" w:rsidRPr="00AF1814">
          <w:rPr>
            <w:rStyle w:val="Hyperlink"/>
          </w:rPr>
          <w:t>5</w:t>
        </w:r>
        <w:r w:rsidRPr="00AF1814">
          <w:rPr>
            <w:rStyle w:val="Hyperlink"/>
          </w:rPr>
          <w:t xml:space="preserve"> </w:t>
        </w:r>
      </w:hyperlink>
      <w:r w:rsidRPr="00AF1814">
        <w:t>at the time points listed in the Schedule of Activities (</w:t>
      </w:r>
      <w:r w:rsidR="00454CE1" w:rsidRPr="00E44F28">
        <w:t>Section</w:t>
      </w:r>
      <w:r w:rsidR="00A713F5" w:rsidRPr="00E44F28">
        <w:t xml:space="preserve"> </w:t>
      </w:r>
      <w:r w:rsidR="00A713F5" w:rsidRPr="00E44F28">
        <w:fldChar w:fldCharType="begin"/>
      </w:r>
      <w:r w:rsidR="00A713F5" w:rsidRPr="00E44F28">
        <w:instrText xml:space="preserve"> REF _Ref33108756 \w \h </w:instrText>
      </w:r>
      <w:r w:rsidR="00942D3A" w:rsidRPr="00E44F28">
        <w:instrText xml:space="preserve"> \* MERGEFORMAT </w:instrText>
      </w:r>
      <w:r w:rsidR="00A713F5" w:rsidRPr="00E44F28">
        <w:fldChar w:fldCharType="separate"/>
      </w:r>
      <w:r w:rsidR="00C548C3" w:rsidRPr="00E44F28">
        <w:t>1.3</w:t>
      </w:r>
      <w:r w:rsidR="00A713F5" w:rsidRPr="00E44F28">
        <w:fldChar w:fldCharType="end"/>
      </w:r>
      <w:r w:rsidR="00454CE1" w:rsidRPr="00E44F28">
        <w:t>)</w:t>
      </w:r>
      <w:r w:rsidRPr="00E44F28">
        <w:t xml:space="preserve">. All samples </w:t>
      </w:r>
      <w:r w:rsidRPr="00AF1814">
        <w:t xml:space="preserve">will be clearly identified. </w:t>
      </w:r>
    </w:p>
    <w:p w14:paraId="20D93D81" w14:textId="77777777" w:rsidR="00CC007D" w:rsidRPr="00AF1814" w:rsidRDefault="00DA3174" w:rsidP="00CC007D">
      <w:pPr>
        <w:pStyle w:val="List1withbullet"/>
      </w:pPr>
      <w:r w:rsidRPr="00AF1814">
        <w:t>Additional tests may be performed at any time during the study, as determined necessary by the Investigator or required by local regulations.</w:t>
      </w:r>
    </w:p>
    <w:p w14:paraId="49192EDE" w14:textId="77777777" w:rsidR="00CC007D" w:rsidRPr="00AF1814" w:rsidRDefault="00DA3174" w:rsidP="00CC007D">
      <w:pPr>
        <w:pStyle w:val="List1withbullet"/>
      </w:pPr>
      <w:r w:rsidRPr="00AF1814">
        <w:t>The tests will be performed by the local laboratory.</w:t>
      </w:r>
    </w:p>
    <w:p w14:paraId="6627CC8B" w14:textId="77777777" w:rsidR="00CC007D" w:rsidRPr="00AF1814" w:rsidRDefault="00DA3174" w:rsidP="00CC007D">
      <w:pPr>
        <w:pStyle w:val="List1withbullet"/>
      </w:pPr>
      <w:r w:rsidRPr="00AF1814">
        <w:t xml:space="preserve">The Sponsor </w:t>
      </w:r>
      <w:r w:rsidR="0036008A" w:rsidRPr="00AF1814">
        <w:t>will</w:t>
      </w:r>
      <w:r w:rsidRPr="00AF1814">
        <w:t xml:space="preserve"> receive a list of the local laboratory normal ranges before shipment of study intervention(s). Any changes to the ranges during the study will be forwarded to the Sponsor or designated organization.</w:t>
      </w:r>
    </w:p>
    <w:p w14:paraId="1FDEDECB" w14:textId="77777777" w:rsidR="00CC007D" w:rsidRPr="00AF1814" w:rsidRDefault="00DA3174" w:rsidP="00CC007D">
      <w:pPr>
        <w:pStyle w:val="List1withbullet"/>
      </w:pPr>
      <w:r w:rsidRPr="00AF1814">
        <w:lastRenderedPageBreak/>
        <w:t xml:space="preserve">The Investigator </w:t>
      </w:r>
      <w:r w:rsidR="00BA1373" w:rsidRPr="00AF1814">
        <w:t xml:space="preserve">will </w:t>
      </w:r>
      <w:r w:rsidRPr="00AF1814">
        <w:t xml:space="preserve">review each laboratory report, document this review, and record any clinically relevant changes occurring during the study in the AE section of the </w:t>
      </w:r>
      <w:r w:rsidR="000B0699" w:rsidRPr="00AF1814">
        <w:t>e</w:t>
      </w:r>
      <w:r w:rsidRPr="00AF1814">
        <w:t xml:space="preserve">CRF. The laboratory reports </w:t>
      </w:r>
      <w:r w:rsidR="00BA1373" w:rsidRPr="00AF1814">
        <w:t xml:space="preserve">will </w:t>
      </w:r>
      <w:r w:rsidRPr="00AF1814">
        <w:t>be filed with the source documents.</w:t>
      </w:r>
    </w:p>
    <w:p w14:paraId="4415D39C" w14:textId="77777777" w:rsidR="00A719CC" w:rsidRPr="00AF1814" w:rsidRDefault="00DA3174" w:rsidP="00A719CC">
      <w:pPr>
        <w:pStyle w:val="List1withbullet"/>
      </w:pPr>
      <w:r w:rsidRPr="00AF1814">
        <w:t xml:space="preserve">If a participant has a clinically significant abnormal laboratory test value that is not present at Baseline, the test should be closely monitored until the test value has returned to the normal range or the Investigator has determined that the abnormality is chronic or stable. </w:t>
      </w:r>
    </w:p>
    <w:p w14:paraId="1463D48D" w14:textId="5BCF7F1E" w:rsidR="001477D8" w:rsidRPr="00AF1814" w:rsidRDefault="00DA3174" w:rsidP="00A719CC">
      <w:pPr>
        <w:pStyle w:val="List1withbullet"/>
        <w:rPr>
          <w:lang w:val="en-GB" w:eastAsia="en-GB"/>
        </w:rPr>
      </w:pPr>
      <w:r w:rsidRPr="00AF1814">
        <w:t>The report of the results must be retained as a part of the participant’s medical record or source documents.</w:t>
      </w:r>
      <w:bookmarkStart w:id="264" w:name="_Hlk523490667"/>
    </w:p>
    <w:p w14:paraId="54DDE6A2" w14:textId="53022DAD" w:rsidR="00A719CC" w:rsidRPr="00AF1814" w:rsidRDefault="00DA3174" w:rsidP="00A719CC">
      <w:pPr>
        <w:pStyle w:val="List1withbullet"/>
        <w:rPr>
          <w:lang w:val="en-GB" w:eastAsia="en-GB"/>
        </w:rPr>
      </w:pPr>
      <w:r w:rsidRPr="00AF1814">
        <w:rPr>
          <w:lang w:eastAsia="ja-JP"/>
        </w:rPr>
        <w:t>Pregnancy testing (serum or highly sensitive urine test, as required by local regulations) will be conducted at monthly intervals during study intervention administration</w:t>
      </w:r>
      <w:bookmarkEnd w:id="264"/>
      <w:r w:rsidRPr="00AF1814">
        <w:rPr>
          <w:lang w:eastAsia="ja-JP"/>
        </w:rPr>
        <w:t xml:space="preserve"> and </w:t>
      </w:r>
      <w:r w:rsidRPr="00AF1814">
        <w:t>at the time points specified in the Schedule of Activities (</w:t>
      </w:r>
      <w:r w:rsidRPr="00E44F28">
        <w:t>Section</w:t>
      </w:r>
      <w:r w:rsidR="00A713F5" w:rsidRPr="00E44F28">
        <w:t xml:space="preserve"> </w:t>
      </w:r>
      <w:r w:rsidR="00A713F5" w:rsidRPr="00E44F28">
        <w:fldChar w:fldCharType="begin"/>
      </w:r>
      <w:r w:rsidR="00A713F5" w:rsidRPr="00E44F28">
        <w:instrText xml:space="preserve"> REF _Ref33108756 \w \h </w:instrText>
      </w:r>
      <w:r w:rsidR="00AF1814" w:rsidRPr="00E44F28">
        <w:instrText xml:space="preserve"> \* MERGEFORMAT </w:instrText>
      </w:r>
      <w:r w:rsidR="00A713F5" w:rsidRPr="00E44F28">
        <w:fldChar w:fldCharType="separate"/>
      </w:r>
      <w:r w:rsidR="00C548C3" w:rsidRPr="00E44F28">
        <w:t>1.3</w:t>
      </w:r>
      <w:r w:rsidR="00A713F5" w:rsidRPr="00E44F28">
        <w:fldChar w:fldCharType="end"/>
      </w:r>
      <w:r w:rsidRPr="00E44F28">
        <w:t xml:space="preserve">), </w:t>
      </w:r>
      <w:r w:rsidRPr="00AF1814">
        <w:t xml:space="preserve">including </w:t>
      </w:r>
      <w:r w:rsidRPr="00AF1814">
        <w:rPr>
          <w:lang w:val="en-GB" w:eastAsia="en-GB"/>
        </w:rPr>
        <w:t xml:space="preserve">at the end of relevant systemic exposure of the study intervention. </w:t>
      </w:r>
    </w:p>
    <w:p w14:paraId="5FE5C4A5" w14:textId="77777777" w:rsidR="00601F5B" w:rsidRPr="00AF1814" w:rsidRDefault="00DA3174" w:rsidP="00601F5B">
      <w:pPr>
        <w:pStyle w:val="List1withbullet"/>
      </w:pPr>
      <w:r w:rsidRPr="00AF1814">
        <w:t xml:space="preserve">HIV testing is not mandatory. History of HIV infection will be collected, if known, as part of the medical history. If a test is performed at any point </w:t>
      </w:r>
      <w:r w:rsidR="002C1674" w:rsidRPr="00AF1814">
        <w:t>at</w:t>
      </w:r>
      <w:r w:rsidRPr="00AF1814">
        <w:t xml:space="preserve"> Screening or while on study, a site must consent the participant for HIV testing as per local standard guidance. </w:t>
      </w:r>
    </w:p>
    <w:p w14:paraId="0CB5C815" w14:textId="77777777" w:rsidR="00A719CC" w:rsidRPr="00AF1814" w:rsidRDefault="00DA3174" w:rsidP="00A719CC">
      <w:pPr>
        <w:pStyle w:val="List1withbullet"/>
      </w:pPr>
      <w:r w:rsidRPr="00AF1814">
        <w:t xml:space="preserve">If a liver function test is elevated in an HBV- or HCV-positive participant, HBV </w:t>
      </w:r>
      <w:r w:rsidR="00A713F5" w:rsidRPr="00AF1814">
        <w:t>deoxyribonucleic acid (</w:t>
      </w:r>
      <w:r w:rsidRPr="00AF1814">
        <w:t>DNA</w:t>
      </w:r>
      <w:r w:rsidR="00A713F5" w:rsidRPr="00AF1814">
        <w:t>)</w:t>
      </w:r>
      <w:r w:rsidRPr="00AF1814">
        <w:t xml:space="preserve"> or HCV ribonucleic acid (RNA) must be monitored to exclude the possibility of reactivation of viral hepatitis. In case of viral reactivation, follow the HBV and HCV management guidelines.</w:t>
      </w:r>
    </w:p>
    <w:p w14:paraId="34C994D0" w14:textId="77777777" w:rsidR="002D5216" w:rsidRPr="00AF1814" w:rsidRDefault="00DA3174" w:rsidP="009F7A2D">
      <w:pPr>
        <w:pStyle w:val="Heading2"/>
        <w:ind w:left="2019" w:hanging="2019"/>
      </w:pPr>
      <w:bookmarkStart w:id="265" w:name="_Toc506469967"/>
      <w:bookmarkStart w:id="266" w:name="_Toc44601704"/>
      <w:bookmarkEnd w:id="265"/>
      <w:r w:rsidRPr="00AF1814">
        <w:t>Adverse Events and Serious Adverse Events</w:t>
      </w:r>
      <w:bookmarkEnd w:id="266"/>
    </w:p>
    <w:p w14:paraId="345EB878" w14:textId="3F6489EF" w:rsidR="002D5216" w:rsidRPr="00AF1814" w:rsidRDefault="00DA3174" w:rsidP="00A719CC">
      <w:pPr>
        <w:pStyle w:val="Bodytext-keepwithnext"/>
      </w:pPr>
      <w:r w:rsidRPr="00AF1814">
        <w:t xml:space="preserve">The definitions of an AE </w:t>
      </w:r>
      <w:r w:rsidR="00251EE4" w:rsidRPr="00AF1814">
        <w:t>and</w:t>
      </w:r>
      <w:r w:rsidRPr="00AF1814">
        <w:t xml:space="preserve"> a </w:t>
      </w:r>
      <w:r w:rsidR="00BB133B" w:rsidRPr="00AF1814">
        <w:t xml:space="preserve">SAE </w:t>
      </w:r>
      <w:r w:rsidR="00251EE4" w:rsidRPr="00AF1814">
        <w:t xml:space="preserve">are </w:t>
      </w:r>
      <w:r w:rsidR="00BB133B" w:rsidRPr="00AF1814">
        <w:t xml:space="preserve">in </w:t>
      </w:r>
      <w:hyperlink w:anchor="_Appendix_4_Adverse" w:history="1">
        <w:r w:rsidR="00BB133B" w:rsidRPr="00AF1814">
          <w:rPr>
            <w:rStyle w:val="Hyperlink"/>
          </w:rPr>
          <w:t>Appendix</w:t>
        </w:r>
        <w:r w:rsidR="0062007D" w:rsidRPr="00AF1814">
          <w:rPr>
            <w:rStyle w:val="Hyperlink"/>
          </w:rPr>
          <w:t xml:space="preserve"> 4</w:t>
        </w:r>
      </w:hyperlink>
      <w:r w:rsidRPr="00AF1814">
        <w:t>.</w:t>
      </w:r>
    </w:p>
    <w:p w14:paraId="30D7A352" w14:textId="159508D8" w:rsidR="005A4B1E" w:rsidRPr="00AF1814" w:rsidRDefault="00DA3174" w:rsidP="005A4B1E">
      <w:pPr>
        <w:pStyle w:val="BodyText"/>
      </w:pPr>
      <w:r w:rsidRPr="00AF1814">
        <w:t xml:space="preserve">The Investigator and any qualified designees (e.g., Sub-Investigators) are responsible for detecting, documenting, and recording events that meet the definition of an AE or SAE. The Investigator remains responsible for following up AEs that are </w:t>
      </w:r>
      <w:r w:rsidRPr="00E44F28">
        <w:t xml:space="preserve">serious or that caused the participant to discontinue the study intervention or study, as specified in Section </w:t>
      </w:r>
      <w:r w:rsidR="00A713F5" w:rsidRPr="00E44F28">
        <w:fldChar w:fldCharType="begin"/>
      </w:r>
      <w:r w:rsidR="00A713F5" w:rsidRPr="00E44F28">
        <w:instrText xml:space="preserve"> REF _Ref36565120 \w \h </w:instrText>
      </w:r>
      <w:r w:rsidR="00942D3A" w:rsidRPr="00E44F28">
        <w:instrText xml:space="preserve"> \* MERGEFORMAT </w:instrText>
      </w:r>
      <w:r w:rsidR="00A713F5" w:rsidRPr="00E44F28">
        <w:fldChar w:fldCharType="separate"/>
      </w:r>
      <w:r w:rsidR="00C548C3" w:rsidRPr="00E44F28">
        <w:t>8.3.3</w:t>
      </w:r>
      <w:r w:rsidR="00A713F5" w:rsidRPr="00E44F28">
        <w:fldChar w:fldCharType="end"/>
      </w:r>
      <w:r w:rsidRPr="00E44F28">
        <w:t>.</w:t>
      </w:r>
    </w:p>
    <w:p w14:paraId="5BA13E74" w14:textId="77777777" w:rsidR="005A4B1E" w:rsidRPr="00AF1814" w:rsidRDefault="00DA3174" w:rsidP="005A4B1E">
      <w:pPr>
        <w:pStyle w:val="BodyText"/>
      </w:pPr>
      <w:r w:rsidRPr="00AF1814">
        <w:t>Requests for follow-up will usually be made via the Study Monitor, although in exceptional circumstances the global patient safety department may contact the Investigator directly to obtain further information or to discuss the event.</w:t>
      </w:r>
    </w:p>
    <w:p w14:paraId="53E5D4C9" w14:textId="77777777" w:rsidR="002D5216" w:rsidRPr="00AF1814" w:rsidRDefault="00DA3174" w:rsidP="00EA6244">
      <w:pPr>
        <w:pStyle w:val="Heading3"/>
      </w:pPr>
      <w:bookmarkStart w:id="267" w:name="_Ref33118032"/>
      <w:bookmarkStart w:id="268" w:name="_Toc44601705"/>
      <w:r w:rsidRPr="00AF1814">
        <w:t>Time Period and Frequency for Collecting Adverse Event and Serious Adverse Event Information</w:t>
      </w:r>
      <w:bookmarkEnd w:id="267"/>
      <w:bookmarkEnd w:id="268"/>
    </w:p>
    <w:p w14:paraId="33210B65" w14:textId="1D3ADC7E" w:rsidR="00EB1320" w:rsidRPr="00E44F28" w:rsidRDefault="00DA3174" w:rsidP="00EB1320">
      <w:pPr>
        <w:pStyle w:val="Bodytext-keepwithnext"/>
      </w:pPr>
      <w:r w:rsidRPr="00AF1814">
        <w:t xml:space="preserve">All SAEs </w:t>
      </w:r>
      <w:r w:rsidR="00DB1FFE" w:rsidRPr="00AF1814">
        <w:t xml:space="preserve">and related nonserious AEs </w:t>
      </w:r>
      <w:r w:rsidRPr="00AF1814">
        <w:t xml:space="preserve">will be collected from </w:t>
      </w:r>
      <w:r w:rsidRPr="00E44F28">
        <w:t>the signing of the</w:t>
      </w:r>
      <w:r w:rsidR="00A713F5" w:rsidRPr="00E44F28">
        <w:t xml:space="preserve"> </w:t>
      </w:r>
      <w:r w:rsidRPr="00E44F28">
        <w:t xml:space="preserve">ICF until </w:t>
      </w:r>
      <w:r w:rsidR="00DB1FFE" w:rsidRPr="00E44F28">
        <w:t>12</w:t>
      </w:r>
      <w:r w:rsidR="001172A2" w:rsidRPr="00E44F28">
        <w:t xml:space="preserve"> </w:t>
      </w:r>
      <w:r w:rsidR="00933E68" w:rsidRPr="00E44F28">
        <w:t>w</w:t>
      </w:r>
      <w:r w:rsidR="00DB1FFE" w:rsidRPr="00E44F28">
        <w:t>eek</w:t>
      </w:r>
      <w:r w:rsidR="001172A2" w:rsidRPr="00E44F28">
        <w:t>s Safety F</w:t>
      </w:r>
      <w:r w:rsidR="00DB1FFE" w:rsidRPr="00E44F28">
        <w:t xml:space="preserve">ollow-up </w:t>
      </w:r>
      <w:r w:rsidR="00933E68" w:rsidRPr="00E44F28">
        <w:t>V</w:t>
      </w:r>
      <w:r w:rsidR="00DB1FFE" w:rsidRPr="00E44F28">
        <w:t>isit</w:t>
      </w:r>
      <w:r w:rsidRPr="00E44F28">
        <w:t xml:space="preserve"> at the time points specified in the </w:t>
      </w:r>
      <w:r w:rsidR="00993E6D" w:rsidRPr="00E44F28">
        <w:t>Schedule of Activities</w:t>
      </w:r>
      <w:r w:rsidRPr="00E44F28">
        <w:t xml:space="preserve"> (Section</w:t>
      </w:r>
      <w:r w:rsidR="005A4B1E" w:rsidRPr="00E44F28">
        <w:t xml:space="preserve"> </w:t>
      </w:r>
      <w:r w:rsidR="005A4B1E" w:rsidRPr="00E44F28">
        <w:fldChar w:fldCharType="begin"/>
      </w:r>
      <w:r w:rsidR="005A4B1E" w:rsidRPr="00E44F28">
        <w:instrText xml:space="preserve"> REF _Ref33183938 \r \h </w:instrText>
      </w:r>
      <w:r w:rsidR="00942D3A" w:rsidRPr="00E44F28">
        <w:instrText xml:space="preserve"> \* MERGEFORMAT </w:instrText>
      </w:r>
      <w:r w:rsidR="005A4B1E" w:rsidRPr="00E44F28">
        <w:fldChar w:fldCharType="separate"/>
      </w:r>
      <w:r w:rsidR="00C548C3" w:rsidRPr="00E44F28">
        <w:t>1.3</w:t>
      </w:r>
      <w:r w:rsidR="005A4B1E" w:rsidRPr="00E44F28">
        <w:fldChar w:fldCharType="end"/>
      </w:r>
      <w:r w:rsidRPr="00E44F28">
        <w:t xml:space="preserve">). </w:t>
      </w:r>
      <w:r w:rsidRPr="00E44F28">
        <w:lastRenderedPageBreak/>
        <w:t>Beyond this reporting period, any new unsolicited SAEs that the Investigator spontaneously reports to the Sponsor will be collected and processed.</w:t>
      </w:r>
    </w:p>
    <w:p w14:paraId="15BEFC82" w14:textId="32EB536E" w:rsidR="00EB1320" w:rsidRPr="00E44F28" w:rsidRDefault="00DA3174" w:rsidP="00EB1320">
      <w:pPr>
        <w:pStyle w:val="Bodytext-keepwithnext"/>
      </w:pPr>
      <w:r w:rsidRPr="00E44F28">
        <w:t xml:space="preserve">All AEs will be collected from the signing of the ICF until </w:t>
      </w:r>
      <w:r w:rsidR="00DB1FFE" w:rsidRPr="00E44F28">
        <w:t>the 28</w:t>
      </w:r>
      <w:r w:rsidR="001172A2" w:rsidRPr="00E44F28">
        <w:t xml:space="preserve"> </w:t>
      </w:r>
      <w:r w:rsidR="00933E68" w:rsidRPr="00E44F28">
        <w:t>d</w:t>
      </w:r>
      <w:r w:rsidR="001172A2" w:rsidRPr="00E44F28">
        <w:t>ays Safety F</w:t>
      </w:r>
      <w:r w:rsidR="00DB1FFE" w:rsidRPr="00E44F28">
        <w:t xml:space="preserve">ollow-up </w:t>
      </w:r>
      <w:r w:rsidR="009C630A" w:rsidRPr="00E44F28">
        <w:t>V</w:t>
      </w:r>
      <w:r w:rsidR="00DB1FFE" w:rsidRPr="00E44F28">
        <w:t>isit</w:t>
      </w:r>
      <w:r w:rsidRPr="00E44F28">
        <w:t xml:space="preserve"> at the time points specified in the </w:t>
      </w:r>
      <w:r w:rsidR="005A4B1E" w:rsidRPr="00E44F28">
        <w:t>Schedule of Activities</w:t>
      </w:r>
      <w:r w:rsidR="00933E68" w:rsidRPr="00E44F28">
        <w:t xml:space="preserve"> (Section </w:t>
      </w:r>
      <w:r w:rsidR="00933E68" w:rsidRPr="00E44F28">
        <w:fldChar w:fldCharType="begin"/>
      </w:r>
      <w:r w:rsidR="00933E68" w:rsidRPr="00E44F28">
        <w:instrText xml:space="preserve"> REF _Ref33108756 \w \h  \* MERGEFORMAT </w:instrText>
      </w:r>
      <w:r w:rsidR="00933E68" w:rsidRPr="00E44F28">
        <w:fldChar w:fldCharType="separate"/>
      </w:r>
      <w:r w:rsidR="00C548C3" w:rsidRPr="00E44F28">
        <w:t>1.3</w:t>
      </w:r>
      <w:r w:rsidR="00933E68" w:rsidRPr="00E44F28">
        <w:fldChar w:fldCharType="end"/>
      </w:r>
      <w:r w:rsidR="00933E68" w:rsidRPr="00E44F28">
        <w:t>)</w:t>
      </w:r>
      <w:r w:rsidRPr="00E44F28">
        <w:t>.</w:t>
      </w:r>
    </w:p>
    <w:p w14:paraId="5486D33C" w14:textId="6548264C" w:rsidR="00EB1320" w:rsidRPr="00AF1814" w:rsidRDefault="00DA3174" w:rsidP="00EB1320">
      <w:pPr>
        <w:pStyle w:val="Bodytext-keepwithnext"/>
      </w:pPr>
      <w:r w:rsidRPr="00AF1814">
        <w:t xml:space="preserve">All SAEs will be recorded and reported to the Sponsor or designee immediately and under no circumstance will this exceed 24 hours, as indicated in </w:t>
      </w:r>
      <w:hyperlink w:anchor="_Appendix_4_Adverse" w:history="1">
        <w:r w:rsidRPr="00AF1814">
          <w:rPr>
            <w:rStyle w:val="Hyperlink"/>
          </w:rPr>
          <w:t xml:space="preserve">Appendix </w:t>
        </w:r>
        <w:r w:rsidR="00993E6D" w:rsidRPr="00AF1814">
          <w:rPr>
            <w:rStyle w:val="Hyperlink"/>
          </w:rPr>
          <w:t>4</w:t>
        </w:r>
      </w:hyperlink>
      <w:r w:rsidRPr="00AF1814">
        <w:t>. The Investigator will submit any updated SAE data to the Sponsor within 24 hours of it being available using the same procedure that was used for the initial report.</w:t>
      </w:r>
    </w:p>
    <w:p w14:paraId="536277E4" w14:textId="77777777" w:rsidR="00EB1320" w:rsidRPr="00AF1814" w:rsidRDefault="00DA3174" w:rsidP="005A4B1E">
      <w:pPr>
        <w:pStyle w:val="Bodytext-keepwithnext"/>
        <w:keepNext w:val="0"/>
        <w:widowControl w:val="0"/>
      </w:pPr>
      <w:r w:rsidRPr="00AF1814">
        <w:t xml:space="preserve">Investigators are not obligated to actively solicit AEs or SAEs after the end of study participation. However, if the </w:t>
      </w:r>
      <w:r w:rsidR="00933E68" w:rsidRPr="00AF1814">
        <w:t>I</w:t>
      </w:r>
      <w:r w:rsidRPr="00AF1814">
        <w:t>nvestigator learns of any SAE, including a death, at any time after a participant has been discharged from the study, and he/she considers the event to be reasonably related to the study intervention or study participation, the Investigator will promptly notify the Sponsor.</w:t>
      </w:r>
    </w:p>
    <w:p w14:paraId="039E5088" w14:textId="77777777" w:rsidR="002D5216" w:rsidRPr="00AF1814" w:rsidRDefault="00DA3174" w:rsidP="00D41352">
      <w:pPr>
        <w:pStyle w:val="Heading3"/>
        <w:ind w:left="2019" w:hanging="2019"/>
      </w:pPr>
      <w:bookmarkStart w:id="269" w:name="_Toc44601706"/>
      <w:r w:rsidRPr="00AF1814">
        <w:t>Method of Detecting Adverse Events and Serious Adverse Events</w:t>
      </w:r>
      <w:bookmarkEnd w:id="269"/>
    </w:p>
    <w:p w14:paraId="6B8417B1" w14:textId="77777777" w:rsidR="00993E6D" w:rsidRPr="00AF1814" w:rsidRDefault="00DA3174" w:rsidP="005A4B1E">
      <w:pPr>
        <w:pStyle w:val="Bodytext-keepwithnext"/>
        <w:keepNext w:val="0"/>
        <w:widowControl w:val="0"/>
      </w:pPr>
      <w:r w:rsidRPr="00AF1814">
        <w:t xml:space="preserve">At each study visit, the participant will be queried on changes in her condition. </w:t>
      </w:r>
    </w:p>
    <w:p w14:paraId="458DDA89" w14:textId="77777777" w:rsidR="00993E6D" w:rsidRPr="00AF1814" w:rsidRDefault="00DA3174" w:rsidP="005A4B1E">
      <w:pPr>
        <w:pStyle w:val="Bodytext-keepwithnext"/>
        <w:keepNext w:val="0"/>
        <w:widowControl w:val="0"/>
      </w:pPr>
      <w:r w:rsidRPr="00AF1814">
        <w:t>Care will be taken not to introduce bias when detecting AEs and/or SAEs. Open-ended and non</w:t>
      </w:r>
      <w:r w:rsidRPr="00AF1814">
        <w:noBreakHyphen/>
        <w:t>leading verbal questioning of the participant is the preferred method to inquire about AE occurrences.</w:t>
      </w:r>
    </w:p>
    <w:p w14:paraId="6E058FB6" w14:textId="77777777" w:rsidR="00993E6D" w:rsidRPr="00AF1814" w:rsidRDefault="00DA3174" w:rsidP="005A4B1E">
      <w:pPr>
        <w:pStyle w:val="Bodytext-keepwithnext"/>
        <w:keepNext w:val="0"/>
        <w:widowControl w:val="0"/>
      </w:pPr>
      <w:r w:rsidRPr="00AF1814">
        <w:t xml:space="preserve">The method of recording, evaluating, and assessing causality of AEs and SAEs and the procedures for completing and transmitting SAE reports are in </w:t>
      </w:r>
      <w:r w:rsidRPr="00AF1814">
        <w:rPr>
          <w:color w:val="0000FF"/>
        </w:rPr>
        <w:t>Appendix 4</w:t>
      </w:r>
      <w:r w:rsidRPr="00AF1814">
        <w:t>.</w:t>
      </w:r>
    </w:p>
    <w:p w14:paraId="66672011" w14:textId="77777777" w:rsidR="002D5216" w:rsidRPr="00AF1814" w:rsidRDefault="00DA3174" w:rsidP="00EA6244">
      <w:pPr>
        <w:pStyle w:val="Heading3"/>
      </w:pPr>
      <w:bookmarkStart w:id="270" w:name="_Ref36565120"/>
      <w:bookmarkStart w:id="271" w:name="_Toc44601707"/>
      <w:r w:rsidRPr="00AF1814">
        <w:t>Follow-up of Adverse Events and Serious Adverse Events</w:t>
      </w:r>
      <w:bookmarkEnd w:id="270"/>
      <w:bookmarkEnd w:id="271"/>
    </w:p>
    <w:p w14:paraId="1D461C32" w14:textId="4A9F4D27" w:rsidR="00B27691" w:rsidRPr="00AF1814" w:rsidRDefault="00DA3174" w:rsidP="00B27691">
      <w:pPr>
        <w:pStyle w:val="Bodytext-keepwithnext"/>
      </w:pPr>
      <w:r w:rsidRPr="00AF1814">
        <w:t xml:space="preserve">After the initial AE/SAE report, the Investigator is </w:t>
      </w:r>
      <w:r w:rsidRPr="00E44F28">
        <w:t xml:space="preserve">required to proactively follow each participant at subsequent visits/contacts. All SAEs and </w:t>
      </w:r>
      <w:r w:rsidR="00DF1FB5" w:rsidRPr="00E44F28">
        <w:t xml:space="preserve">AESI </w:t>
      </w:r>
      <w:r w:rsidR="005A3AB6" w:rsidRPr="00E44F28">
        <w:t>(</w:t>
      </w:r>
      <w:r w:rsidRPr="00E44F28">
        <w:t>as defined in Section</w:t>
      </w:r>
      <w:r w:rsidR="00933E68" w:rsidRPr="00E44F28">
        <w:t xml:space="preserve"> </w:t>
      </w:r>
      <w:r w:rsidR="00933E68" w:rsidRPr="00E44F28">
        <w:fldChar w:fldCharType="begin"/>
      </w:r>
      <w:r w:rsidR="00933E68" w:rsidRPr="00E44F28">
        <w:instrText xml:space="preserve"> REF _Ref35417384 \w \h </w:instrText>
      </w:r>
      <w:r w:rsidR="005A3AB6" w:rsidRPr="00E44F28">
        <w:instrText xml:space="preserve"> \* MERGEFORMAT </w:instrText>
      </w:r>
      <w:r w:rsidR="00933E68" w:rsidRPr="00E44F28">
        <w:fldChar w:fldCharType="separate"/>
      </w:r>
      <w:r w:rsidR="00C548C3" w:rsidRPr="00E44F28">
        <w:t>8.3.6</w:t>
      </w:r>
      <w:r w:rsidR="00933E68" w:rsidRPr="00E44F28">
        <w:fldChar w:fldCharType="end"/>
      </w:r>
      <w:r w:rsidRPr="00E44F28">
        <w:t>), will be followed until resolution, stabilization, the event is otherwise explained, or the participant is lost to follow</w:t>
      </w:r>
      <w:r w:rsidR="005A3AB6" w:rsidRPr="00E44F28">
        <w:noBreakHyphen/>
      </w:r>
      <w:r w:rsidRPr="00E44F28">
        <w:t>up (as defined in Section</w:t>
      </w:r>
      <w:r w:rsidR="004C6546" w:rsidRPr="00E44F28">
        <w:t xml:space="preserve"> </w:t>
      </w:r>
      <w:r w:rsidR="008875C4" w:rsidRPr="00E44F28">
        <w:fldChar w:fldCharType="begin"/>
      </w:r>
      <w:r w:rsidR="008875C4" w:rsidRPr="00E44F28">
        <w:instrText xml:space="preserve"> REF _Ref36567016 \w \h </w:instrText>
      </w:r>
      <w:r w:rsidR="005A3AB6" w:rsidRPr="00E44F28">
        <w:instrText xml:space="preserve"> \* MERGEFORMAT </w:instrText>
      </w:r>
      <w:r w:rsidR="008875C4" w:rsidRPr="00E44F28">
        <w:fldChar w:fldCharType="separate"/>
      </w:r>
      <w:r w:rsidR="00C548C3" w:rsidRPr="00E44F28">
        <w:t>7.3</w:t>
      </w:r>
      <w:r w:rsidR="008875C4" w:rsidRPr="00E44F28">
        <w:fldChar w:fldCharType="end"/>
      </w:r>
      <w:r w:rsidRPr="00E44F28">
        <w:t>). Reasonable attempt</w:t>
      </w:r>
      <w:r w:rsidRPr="00AF1814">
        <w:t xml:space="preserve">s to obtain this information will be made and documented. It is also the Investigator’s responsibility to ensure that any necessary additional therapeutic measures and follow-up procedures are performed. Further information on follow-up procedures is in </w:t>
      </w:r>
      <w:hyperlink w:anchor="_Appendix_4_Adverse" w:history="1">
        <w:r w:rsidRPr="00AF1814">
          <w:rPr>
            <w:rStyle w:val="Hyperlink"/>
          </w:rPr>
          <w:t>Appendix</w:t>
        </w:r>
        <w:r w:rsidR="00A713F5" w:rsidRPr="00AF1814">
          <w:rPr>
            <w:rStyle w:val="Hyperlink"/>
          </w:rPr>
          <w:t> </w:t>
        </w:r>
        <w:r w:rsidRPr="00AF1814">
          <w:rPr>
            <w:rStyle w:val="Hyperlink"/>
          </w:rPr>
          <w:t>4</w:t>
        </w:r>
      </w:hyperlink>
      <w:r w:rsidRPr="00AF1814">
        <w:t>.</w:t>
      </w:r>
    </w:p>
    <w:p w14:paraId="25B472D9" w14:textId="77777777" w:rsidR="002D5216" w:rsidRPr="00AF1814" w:rsidRDefault="00DA3174" w:rsidP="00EA6244">
      <w:pPr>
        <w:pStyle w:val="Heading3"/>
      </w:pPr>
      <w:bookmarkStart w:id="272" w:name="_Ref33184512"/>
      <w:bookmarkStart w:id="273" w:name="_Toc44601708"/>
      <w:r w:rsidRPr="00AF1814">
        <w:t>Regulatory Reporting Requirements for Serious Adverse Events</w:t>
      </w:r>
      <w:bookmarkEnd w:id="272"/>
      <w:bookmarkEnd w:id="273"/>
    </w:p>
    <w:p w14:paraId="16A6A9A7" w14:textId="77777777" w:rsidR="00B27691" w:rsidRPr="00AF1814" w:rsidRDefault="00DA3174" w:rsidP="00B27691">
      <w:pPr>
        <w:pStyle w:val="BodyText"/>
        <w:rPr>
          <w:b/>
        </w:rPr>
      </w:pPr>
      <w:r w:rsidRPr="00AF1814">
        <w:t>Prompt notification by the Investigator to the Sponsor of an SAE (particularly life-threatening and deaths) is essential so that legal obligations and ethical responsibilities towards the safety of participants and the safety of a study intervention under clinical investigation are met.</w:t>
      </w:r>
    </w:p>
    <w:p w14:paraId="12C735B3" w14:textId="77777777" w:rsidR="00B27691" w:rsidRPr="00AF1814" w:rsidRDefault="00DA3174" w:rsidP="00B27691">
      <w:pPr>
        <w:pStyle w:val="BodyText"/>
        <w:rPr>
          <w:b/>
        </w:rPr>
      </w:pPr>
      <w:r w:rsidRPr="00AF1814">
        <w:t xml:space="preserve">The Sponsor has a legal responsibility to notify both the local regulatory authority and other regulatory agencies about the safety of a study intervention under clinical investigation. The </w:t>
      </w:r>
      <w:r w:rsidRPr="00AF1814">
        <w:lastRenderedPageBreak/>
        <w:t>Sponsor will comply with country-specific regulatory requirements relating to safety reporting to the regulatory authority, Institutional Review Boards (IRB)/Independent Ethics Committees (IEC), and Investigators.</w:t>
      </w:r>
    </w:p>
    <w:p w14:paraId="7F63D92F" w14:textId="77777777" w:rsidR="00B27691" w:rsidRPr="00AF1814" w:rsidRDefault="00DA3174" w:rsidP="00B27691">
      <w:pPr>
        <w:pStyle w:val="BodyText"/>
        <w:rPr>
          <w:b/>
        </w:rPr>
      </w:pPr>
      <w:r w:rsidRPr="00AF1814">
        <w:t>Individual Case Safety Reports will be prepared for suspected unexpected serious adverse reactions (SUSAR) according to local regulatory requirements and Sponsor policy and forwarded to Investigators, as necessary.</w:t>
      </w:r>
    </w:p>
    <w:p w14:paraId="348FD304" w14:textId="77777777" w:rsidR="00B27691" w:rsidRPr="00AF1814" w:rsidRDefault="00DA3174" w:rsidP="00B27691">
      <w:pPr>
        <w:pStyle w:val="BodyText"/>
      </w:pPr>
      <w:r w:rsidRPr="00AF1814">
        <w:t xml:space="preserve">An Investigator who receives an Individual Case Safety Report describing a SUSAR or other specific safety information (e.g., Emerging Safety Issue Report, summary or listing of SAEs/SUSARs) from the Sponsor will review and then file it along with the </w:t>
      </w:r>
      <w:r w:rsidR="00C17C90" w:rsidRPr="00AF1814">
        <w:t xml:space="preserve">current version of the </w:t>
      </w:r>
      <w:r w:rsidRPr="00AF1814">
        <w:t>Investigator Brochure in the Investigator’s Site File and will notify the IRB/IEC, if appropriate according to local requirements.</w:t>
      </w:r>
    </w:p>
    <w:p w14:paraId="0C9F0C82" w14:textId="5EA8CC75" w:rsidR="00B27691" w:rsidRPr="00E44F28" w:rsidRDefault="00DA3174" w:rsidP="00B27691">
      <w:pPr>
        <w:pStyle w:val="BodyText"/>
      </w:pPr>
      <w:bookmarkStart w:id="274" w:name="_Hlk26868372"/>
      <w:r w:rsidRPr="00AF1814">
        <w:t xml:space="preserve">In this global clinical multicenter study, the Sponsor is in the best position to determine an unanticipated problem (as defined in US Regulations 21 CFR 312.66). The Sponsor will immediately notify all Investigators of findings that could adversely affect the safety of participants, impact the conduct of the study or alter the IRB’s approval/favorable opinion to continue the study. An unanticipated problem is a serious adverse event that by its nature, incidence, severity, </w:t>
      </w:r>
      <w:r w:rsidRPr="00E44F28">
        <w:t xml:space="preserve">or outcome has not been identified in the current version of the risk analysis report, specified in Section </w:t>
      </w:r>
      <w:bookmarkEnd w:id="274"/>
      <w:r w:rsidR="004C6546" w:rsidRPr="00E44F28">
        <w:fldChar w:fldCharType="begin"/>
      </w:r>
      <w:r w:rsidR="004C6546" w:rsidRPr="00E44F28">
        <w:instrText xml:space="preserve"> REF _Ref33184296 \r \h </w:instrText>
      </w:r>
      <w:r w:rsidR="005A3AB6" w:rsidRPr="00E44F28">
        <w:instrText xml:space="preserve"> \* MERGEFORMAT </w:instrText>
      </w:r>
      <w:r w:rsidR="004C6546" w:rsidRPr="00E44F28">
        <w:fldChar w:fldCharType="separate"/>
      </w:r>
      <w:r w:rsidR="00C548C3" w:rsidRPr="00E44F28">
        <w:t>2.3</w:t>
      </w:r>
      <w:r w:rsidR="004C6546" w:rsidRPr="00E44F28">
        <w:fldChar w:fldCharType="end"/>
      </w:r>
      <w:r w:rsidR="004C6546" w:rsidRPr="00E44F28">
        <w:t>.</w:t>
      </w:r>
    </w:p>
    <w:p w14:paraId="4CAF98B7" w14:textId="77777777" w:rsidR="002D5216" w:rsidRPr="00AF1814" w:rsidRDefault="00DA3174" w:rsidP="00EA6244">
      <w:pPr>
        <w:pStyle w:val="Heading3"/>
      </w:pPr>
      <w:bookmarkStart w:id="275" w:name="_Ref33109706"/>
      <w:bookmarkStart w:id="276" w:name="_Toc44601709"/>
      <w:r w:rsidRPr="00AF1814">
        <w:t>Pregnancy</w:t>
      </w:r>
      <w:bookmarkEnd w:id="275"/>
      <w:bookmarkEnd w:id="276"/>
    </w:p>
    <w:p w14:paraId="078274E2" w14:textId="77777777" w:rsidR="00B27691" w:rsidRPr="00AF1814" w:rsidRDefault="00DA3174" w:rsidP="00AE4CFC">
      <w:pPr>
        <w:pStyle w:val="List1withbullet"/>
      </w:pPr>
      <w:r w:rsidRPr="00AF1814">
        <w:t>Details of all pregnancies in female participants</w:t>
      </w:r>
      <w:r w:rsidRPr="00AF1814">
        <w:rPr>
          <w:color w:val="0070C0"/>
        </w:rPr>
        <w:t xml:space="preserve"> </w:t>
      </w:r>
      <w:r w:rsidRPr="00AF1814">
        <w:t xml:space="preserve">will be collected after the start of study intervention and until </w:t>
      </w:r>
      <w:r w:rsidR="00276E7D" w:rsidRPr="00AF1814">
        <w:t>the outcome of the pregnancy is known</w:t>
      </w:r>
      <w:r w:rsidRPr="00AF1814">
        <w:t>.</w:t>
      </w:r>
    </w:p>
    <w:p w14:paraId="32CAB1C2" w14:textId="77777777" w:rsidR="00B27691" w:rsidRPr="00AF1814" w:rsidRDefault="00DA3174" w:rsidP="00AE4CFC">
      <w:pPr>
        <w:pStyle w:val="List1withbullet"/>
      </w:pPr>
      <w:r w:rsidRPr="00AF1814">
        <w:t>If a pregnancy is reported, the Investigator will inform the Sponsor within 24 hours of learning of the pregnancy and will follow the procedures specified below for collection of pregnancy information.</w:t>
      </w:r>
    </w:p>
    <w:p w14:paraId="25122709" w14:textId="77777777" w:rsidR="00B27691" w:rsidRPr="00AF1814" w:rsidRDefault="00DA3174" w:rsidP="00AE4CFC">
      <w:pPr>
        <w:pStyle w:val="List1withbullet"/>
      </w:pPr>
      <w:r w:rsidRPr="00AF1814">
        <w:t>Abnormal pregnancy outcomes (e.g., spontaneous abortion, fetal death, stillbirth, congenital anomalies, ectopic pregnancy) are considered SAEs.</w:t>
      </w:r>
    </w:p>
    <w:p w14:paraId="447049A7" w14:textId="77777777" w:rsidR="00B27691" w:rsidRPr="00AF1814" w:rsidRDefault="00DA3174" w:rsidP="00DE0A1D">
      <w:pPr>
        <w:pStyle w:val="BodyText"/>
        <w:keepNext/>
        <w:ind w:left="272"/>
        <w:rPr>
          <w:b/>
        </w:rPr>
      </w:pPr>
      <w:r w:rsidRPr="00AF1814">
        <w:rPr>
          <w:b/>
        </w:rPr>
        <w:t>Collection of Pregnancy Information</w:t>
      </w:r>
    </w:p>
    <w:p w14:paraId="22C66D27" w14:textId="77777777" w:rsidR="00B27691" w:rsidRPr="00AF1814" w:rsidRDefault="00DA3174" w:rsidP="00B27691">
      <w:pPr>
        <w:pStyle w:val="BodyText"/>
        <w:ind w:left="284"/>
      </w:pPr>
      <w:r w:rsidRPr="00AF1814">
        <w:t>Female</w:t>
      </w:r>
      <w:r w:rsidR="0018684C" w:rsidRPr="00AF1814">
        <w:t xml:space="preserve"> </w:t>
      </w:r>
      <w:r w:rsidRPr="00AF1814">
        <w:t>Participants who become pregnant</w:t>
      </w:r>
    </w:p>
    <w:p w14:paraId="315630B5" w14:textId="77777777" w:rsidR="00B27691" w:rsidRPr="00AF1814" w:rsidRDefault="00DA3174" w:rsidP="0039658A">
      <w:pPr>
        <w:pStyle w:val="List1withbullet"/>
      </w:pPr>
      <w:r w:rsidRPr="00AF1814">
        <w:t xml:space="preserve">The Investigator will collect pregnancy information on any female participant who becomes pregnant while she is in the study. The initial information will be recorded on the appropriate form and submitted to the Sponsor within </w:t>
      </w:r>
      <w:r w:rsidRPr="00AF1814">
        <w:rPr>
          <w:rStyle w:val="CPTVariable"/>
          <w:color w:val="auto"/>
        </w:rPr>
        <w:t>24 hours</w:t>
      </w:r>
      <w:r w:rsidRPr="00AF1814">
        <w:t xml:space="preserve"> of learning of the pregnancy. </w:t>
      </w:r>
    </w:p>
    <w:p w14:paraId="52976ACA" w14:textId="77777777" w:rsidR="00B27691" w:rsidRPr="00AF1814" w:rsidRDefault="00DA3174" w:rsidP="0039658A">
      <w:pPr>
        <w:pStyle w:val="List1withbullet"/>
      </w:pPr>
      <w:r w:rsidRPr="00AF1814">
        <w:t>The participant will be followed to determine the outcome of the pregnancy. The Investigator will collect follow-up information on the participant and the neonate, and the information will be forwarded to the Sponsor. Generally, follow-up will not be required for longer than 6 to 8 weeks beyond the estimated delivery date. Any termination of pregnancy will be reported, regardless of fetal status (presence or absence of anomalies) or indication for the procedure.</w:t>
      </w:r>
    </w:p>
    <w:p w14:paraId="15E8BBD3" w14:textId="77777777" w:rsidR="00B27691" w:rsidRPr="00AF1814" w:rsidRDefault="00DA3174" w:rsidP="0039658A">
      <w:pPr>
        <w:pStyle w:val="List1withbullet"/>
      </w:pPr>
      <w:r w:rsidRPr="00AF1814">
        <w:lastRenderedPageBreak/>
        <w:t>While pregnancy itself is not considered to be an AE or SAE, any pregnancy complication or elective termination of a pregnancy for medical reasons will be reported as an AE or SAE.</w:t>
      </w:r>
    </w:p>
    <w:p w14:paraId="1C7A4B78" w14:textId="04D41210" w:rsidR="00B27691" w:rsidRPr="00AF1814" w:rsidRDefault="00DA3174" w:rsidP="0039658A">
      <w:pPr>
        <w:pStyle w:val="List1withbullet"/>
      </w:pPr>
      <w:r w:rsidRPr="00AF1814">
        <w:t>A spontaneous abortion (occurring at &lt;</w:t>
      </w:r>
      <w:r w:rsidR="00DE0A1D" w:rsidRPr="00AF1814">
        <w:t xml:space="preserve"> </w:t>
      </w:r>
      <w:r w:rsidRPr="00AF1814">
        <w:t>22 weeks gestational age) or stillbirth (occurring at &gt;</w:t>
      </w:r>
      <w:r w:rsidR="00C8754C">
        <w:t> </w:t>
      </w:r>
      <w:r w:rsidRPr="00AF1814">
        <w:t>22 weeks gestational age) is always considered to be an SAE and will be reported as such.</w:t>
      </w:r>
    </w:p>
    <w:p w14:paraId="1AAE0ED1" w14:textId="1C582D34" w:rsidR="00B27691" w:rsidRPr="00AF1814" w:rsidRDefault="00DA3174" w:rsidP="0039658A">
      <w:pPr>
        <w:pStyle w:val="List1withbullet"/>
      </w:pPr>
      <w:r w:rsidRPr="00AF1814">
        <w:t>Any post-</w:t>
      </w:r>
      <w:r w:rsidRPr="00E44F28">
        <w:t xml:space="preserve">study pregnancy related SAE considered reasonably related to the study intervention by the Investigator will be reported to the Sponsor as specified in Section </w:t>
      </w:r>
      <w:r w:rsidR="002E4919" w:rsidRPr="00E44F28">
        <w:fldChar w:fldCharType="begin"/>
      </w:r>
      <w:r w:rsidR="002E4919" w:rsidRPr="00E44F28">
        <w:instrText xml:space="preserve"> REF _Ref33184512 \r \h </w:instrText>
      </w:r>
      <w:r w:rsidR="005A3AB6" w:rsidRPr="00E44F28">
        <w:instrText xml:space="preserve"> \* MERGEFORMAT </w:instrText>
      </w:r>
      <w:r w:rsidR="002E4919" w:rsidRPr="00E44F28">
        <w:fldChar w:fldCharType="separate"/>
      </w:r>
      <w:r w:rsidR="00C548C3" w:rsidRPr="00E44F28">
        <w:t>8.3.4</w:t>
      </w:r>
      <w:r w:rsidR="002E4919" w:rsidRPr="00E44F28">
        <w:fldChar w:fldCharType="end"/>
      </w:r>
      <w:r w:rsidRPr="00E44F28">
        <w:t>. Whil</w:t>
      </w:r>
      <w:r w:rsidRPr="00AF1814">
        <w:t>e the Investigator is not obligated to actively seek this information in former study participants, he or she may learn of an SAE through spontaneous reporting.</w:t>
      </w:r>
    </w:p>
    <w:p w14:paraId="227B21B3" w14:textId="77777777" w:rsidR="00B16B17" w:rsidRPr="00AF1814" w:rsidRDefault="00DA3174" w:rsidP="0039658A">
      <w:pPr>
        <w:pStyle w:val="List1withbullet"/>
      </w:pPr>
      <w:r w:rsidRPr="00AF1814">
        <w:t>Any female participant who becomes pregnant while participating in the study will discontinue study intervention or be withdrawn from the study</w:t>
      </w:r>
      <w:r w:rsidR="00DF3EE0" w:rsidRPr="00AF1814">
        <w:t>.</w:t>
      </w:r>
    </w:p>
    <w:p w14:paraId="68C88539" w14:textId="77777777" w:rsidR="00B16B17" w:rsidRPr="00AF1814" w:rsidRDefault="00DA3174" w:rsidP="00B16B17">
      <w:pPr>
        <w:pStyle w:val="Heading3"/>
        <w:tabs>
          <w:tab w:val="clear" w:pos="4716"/>
        </w:tabs>
      </w:pPr>
      <w:bookmarkStart w:id="277" w:name="_Toc256000067"/>
      <w:bookmarkStart w:id="278" w:name="_Toc877187"/>
      <w:bookmarkStart w:id="279" w:name="_Toc32414685"/>
      <w:bookmarkStart w:id="280" w:name="_Ref35192491"/>
      <w:bookmarkStart w:id="281" w:name="_Ref35192502"/>
      <w:bookmarkStart w:id="282" w:name="_Ref35195460"/>
      <w:bookmarkStart w:id="283" w:name="_Ref35362289"/>
      <w:bookmarkStart w:id="284" w:name="_Ref35362293"/>
      <w:bookmarkStart w:id="285" w:name="_Ref35417384"/>
      <w:bookmarkStart w:id="286" w:name="_Toc44601710"/>
      <w:r w:rsidRPr="00AF1814">
        <w:t>Adverse Events of Special Interest</w:t>
      </w:r>
      <w:bookmarkEnd w:id="277"/>
      <w:bookmarkEnd w:id="278"/>
      <w:bookmarkEnd w:id="279"/>
      <w:bookmarkEnd w:id="280"/>
      <w:bookmarkEnd w:id="281"/>
      <w:bookmarkEnd w:id="282"/>
      <w:bookmarkEnd w:id="283"/>
      <w:bookmarkEnd w:id="284"/>
      <w:bookmarkEnd w:id="285"/>
      <w:bookmarkEnd w:id="286"/>
    </w:p>
    <w:p w14:paraId="6FABDA8F" w14:textId="77777777" w:rsidR="008E2441" w:rsidRPr="00AF1814" w:rsidRDefault="00DA3174" w:rsidP="008E2441">
      <w:pPr>
        <w:pStyle w:val="BodyText"/>
      </w:pPr>
      <w:r w:rsidRPr="00AF1814">
        <w:t xml:space="preserve">Adverse events of special interest </w:t>
      </w:r>
      <w:r w:rsidR="00FE463E" w:rsidRPr="00AF1814">
        <w:t xml:space="preserve">(AESI) </w:t>
      </w:r>
      <w:r w:rsidRPr="00AF1814">
        <w:t>are serious or nonserious AEs that are of clinical interest and should be closely followed.</w:t>
      </w:r>
    </w:p>
    <w:p w14:paraId="2EEC8DA5" w14:textId="77777777" w:rsidR="00B16B17" w:rsidRPr="00AF1814" w:rsidRDefault="00DA3174" w:rsidP="009172DD">
      <w:pPr>
        <w:pStyle w:val="BodyText"/>
      </w:pPr>
      <w:r w:rsidRPr="00AF1814">
        <w:t>For this study, AESI</w:t>
      </w:r>
      <w:r w:rsidR="008E2441" w:rsidRPr="00AF1814">
        <w:t xml:space="preserve"> for bintrafusp alfa</w:t>
      </w:r>
      <w:r w:rsidRPr="00AF1814">
        <w:t xml:space="preserve"> include the following:</w:t>
      </w:r>
    </w:p>
    <w:p w14:paraId="4402C9C9" w14:textId="77777777" w:rsidR="008E2441" w:rsidRPr="00AF1814" w:rsidRDefault="00DA3174" w:rsidP="00F15279">
      <w:pPr>
        <w:pStyle w:val="List1withbullet"/>
        <w:rPr>
          <w:b/>
          <w:sz w:val="28"/>
        </w:rPr>
      </w:pPr>
      <w:r w:rsidRPr="00AF1814">
        <w:rPr>
          <w:lang w:eastAsia="de-DE"/>
        </w:rPr>
        <w:t>Infusion-</w:t>
      </w:r>
      <w:r w:rsidR="002D5738" w:rsidRPr="00AF1814">
        <w:rPr>
          <w:lang w:eastAsia="de-DE"/>
        </w:rPr>
        <w:t>r</w:t>
      </w:r>
      <w:r w:rsidRPr="00AF1814">
        <w:rPr>
          <w:lang w:eastAsia="de-DE"/>
        </w:rPr>
        <w:t xml:space="preserve">elated </w:t>
      </w:r>
      <w:r w:rsidR="002D5738" w:rsidRPr="00AF1814">
        <w:rPr>
          <w:lang w:eastAsia="de-DE"/>
        </w:rPr>
        <w:t>r</w:t>
      </w:r>
      <w:r w:rsidRPr="00AF1814">
        <w:rPr>
          <w:lang w:eastAsia="de-DE"/>
        </w:rPr>
        <w:t>eactions</w:t>
      </w:r>
      <w:bookmarkStart w:id="287" w:name="_Ref14192535"/>
      <w:bookmarkStart w:id="288" w:name="_Toc26887520"/>
      <w:r w:rsidRPr="00AF1814">
        <w:rPr>
          <w:lang w:eastAsia="de-DE"/>
        </w:rPr>
        <w:t xml:space="preserve"> </w:t>
      </w:r>
      <w:r w:rsidRPr="00AF1814">
        <w:t>including immediate hypersensitivity</w:t>
      </w:r>
    </w:p>
    <w:p w14:paraId="3A03EB80" w14:textId="77777777" w:rsidR="008E2441" w:rsidRPr="00AF1814" w:rsidRDefault="00DA3174" w:rsidP="00F15279">
      <w:pPr>
        <w:pStyle w:val="List1withbullet"/>
        <w:rPr>
          <w:lang w:eastAsia="de-DE"/>
        </w:rPr>
      </w:pPr>
      <w:r w:rsidRPr="00AF1814">
        <w:rPr>
          <w:lang w:eastAsia="de-DE"/>
        </w:rPr>
        <w:t>Immune-related AEs</w:t>
      </w:r>
    </w:p>
    <w:p w14:paraId="436E7247" w14:textId="77777777" w:rsidR="008E2441" w:rsidRPr="00AF1814" w:rsidRDefault="00DA3174" w:rsidP="00F15279">
      <w:pPr>
        <w:pStyle w:val="List1withbullet"/>
        <w:rPr>
          <w:lang w:eastAsia="de-DE"/>
        </w:rPr>
      </w:pPr>
      <w:r w:rsidRPr="00AF1814">
        <w:rPr>
          <w:lang w:eastAsia="de-DE"/>
        </w:rPr>
        <w:t>Potential TGF</w:t>
      </w:r>
      <w:r w:rsidR="0022740F" w:rsidRPr="00AF1814">
        <w:rPr>
          <w:lang w:eastAsia="de-DE"/>
        </w:rPr>
        <w:noBreakHyphen/>
      </w:r>
      <w:r w:rsidRPr="00AF1814">
        <w:rPr>
          <w:lang w:eastAsia="de-DE"/>
        </w:rPr>
        <w:t xml:space="preserve">β-mediated </w:t>
      </w:r>
      <w:r w:rsidR="002D5738" w:rsidRPr="00AF1814">
        <w:rPr>
          <w:lang w:eastAsia="de-DE"/>
        </w:rPr>
        <w:t>s</w:t>
      </w:r>
      <w:r w:rsidRPr="00AF1814">
        <w:rPr>
          <w:lang w:eastAsia="de-DE"/>
        </w:rPr>
        <w:t xml:space="preserve">kin </w:t>
      </w:r>
      <w:r w:rsidR="002D5738" w:rsidRPr="00AF1814">
        <w:rPr>
          <w:lang w:eastAsia="de-DE"/>
        </w:rPr>
        <w:t>AEs</w:t>
      </w:r>
    </w:p>
    <w:p w14:paraId="7F22F364" w14:textId="77777777" w:rsidR="008E2441" w:rsidRPr="00AF1814" w:rsidRDefault="00DA3174" w:rsidP="00F15279">
      <w:pPr>
        <w:pStyle w:val="List1withbullet"/>
        <w:rPr>
          <w:lang w:eastAsia="de-DE"/>
        </w:rPr>
      </w:pPr>
      <w:r w:rsidRPr="00AF1814">
        <w:rPr>
          <w:lang w:eastAsia="de-DE"/>
        </w:rPr>
        <w:t xml:space="preserve">Treatment-related </w:t>
      </w:r>
      <w:r w:rsidR="002D5738" w:rsidRPr="00AF1814">
        <w:rPr>
          <w:lang w:eastAsia="de-DE"/>
        </w:rPr>
        <w:t>a</w:t>
      </w:r>
      <w:r w:rsidRPr="00AF1814">
        <w:rPr>
          <w:lang w:eastAsia="de-DE"/>
        </w:rPr>
        <w:t>nemia</w:t>
      </w:r>
    </w:p>
    <w:p w14:paraId="7AE04F37" w14:textId="77777777" w:rsidR="00A25508" w:rsidRPr="00AF1814" w:rsidRDefault="00DA3174" w:rsidP="00A25508">
      <w:pPr>
        <w:pStyle w:val="BodyText"/>
      </w:pPr>
      <w:r w:rsidRPr="00AF1814">
        <w:t xml:space="preserve">Continuous monitoring of such events for bintrafusp alfa is required. Upon </w:t>
      </w:r>
      <w:r w:rsidR="0021243D" w:rsidRPr="00AF1814">
        <w:t>S</w:t>
      </w:r>
      <w:r w:rsidRPr="00AF1814">
        <w:t xml:space="preserve">ponsor’s decision, expedited reporting of AESIs in this study is not required, as there is already a high amount of experience with bintrafusp alfa from previous studies of the program.  </w:t>
      </w:r>
    </w:p>
    <w:p w14:paraId="0A4BF5FB" w14:textId="77777777" w:rsidR="009172DD" w:rsidRPr="00AF1814" w:rsidRDefault="00DA3174" w:rsidP="009172DD">
      <w:pPr>
        <w:pStyle w:val="Heading4"/>
      </w:pPr>
      <w:bookmarkStart w:id="289" w:name="_Ref29478485"/>
      <w:bookmarkStart w:id="290" w:name="_Toc44601711"/>
      <w:r w:rsidRPr="00AF1814">
        <w:t>Infusion-related Reactions Including Immediate Hypersensitivity</w:t>
      </w:r>
      <w:bookmarkEnd w:id="287"/>
      <w:bookmarkEnd w:id="288"/>
      <w:bookmarkEnd w:id="289"/>
      <w:bookmarkEnd w:id="290"/>
    </w:p>
    <w:p w14:paraId="1F28618C" w14:textId="77777777" w:rsidR="009172DD" w:rsidRPr="00AF1814" w:rsidRDefault="00DA3174" w:rsidP="009172DD">
      <w:r w:rsidRPr="00AF1814">
        <w:t xml:space="preserve">Infusion-related reactions, including immediate hypersensitivity, are defined in this section. Infusion-related reactions are AESIs and important identified risks for </w:t>
      </w:r>
      <w:r w:rsidRPr="00AF1814">
        <w:rPr>
          <w:rFonts w:eastAsia="Calibri"/>
        </w:rPr>
        <w:t>bintrafusp alfa</w:t>
      </w:r>
      <w:r w:rsidRPr="00AF1814">
        <w:t>.</w:t>
      </w:r>
    </w:p>
    <w:p w14:paraId="6B32F6A6" w14:textId="77777777" w:rsidR="009172DD" w:rsidRPr="00AF1814" w:rsidRDefault="00DA3174" w:rsidP="009172DD">
      <w:pPr>
        <w:pStyle w:val="BodyText"/>
        <w:keepNext/>
        <w:keepLines/>
        <w:widowControl w:val="0"/>
        <w:rPr>
          <w:b/>
        </w:rPr>
      </w:pPr>
      <w:r w:rsidRPr="00AF1814">
        <w:rPr>
          <w:b/>
        </w:rPr>
        <w:lastRenderedPageBreak/>
        <w:t>Infusion-Related Reactions</w:t>
      </w:r>
    </w:p>
    <w:p w14:paraId="1D2D2063" w14:textId="77777777" w:rsidR="009172DD" w:rsidRPr="00AF1814" w:rsidRDefault="00DA3174" w:rsidP="009172DD">
      <w:pPr>
        <w:pStyle w:val="BodyText"/>
        <w:keepNext/>
        <w:keepLines/>
        <w:widowControl w:val="0"/>
      </w:pPr>
      <w:r w:rsidRPr="00AF1814">
        <w:t xml:space="preserve">Infusion-related reactions are defined as any signs or symptoms experienced by participants occurring during or within 1 day of study intervention administration. An assessment for possible IRR should be triggered based upon the development of specific symptoms within 24 hours of an infusion.  </w:t>
      </w:r>
    </w:p>
    <w:p w14:paraId="674046F6" w14:textId="77777777" w:rsidR="009172DD" w:rsidRPr="00AF1814" w:rsidRDefault="00DA3174" w:rsidP="009172DD">
      <w:pPr>
        <w:pStyle w:val="BodyText"/>
        <w:keepNext/>
        <w:keepLines/>
        <w:widowControl w:val="0"/>
      </w:pPr>
      <w:r w:rsidRPr="00AF1814">
        <w:t>These possible IRRs are identified based on a list of Medical Dictionary for Regulatory Activities preferred terms and criteria based on the timely relationship to an infusion. Events are divided into reactions versus signs and symptoms:</w:t>
      </w:r>
    </w:p>
    <w:p w14:paraId="27EF32C5" w14:textId="77777777" w:rsidR="009172DD" w:rsidRPr="00AF1814" w:rsidRDefault="00DA3174" w:rsidP="002D5738">
      <w:pPr>
        <w:pStyle w:val="List1withbullet"/>
      </w:pPr>
      <w:r w:rsidRPr="00AF1814">
        <w:t>Infusion</w:t>
      </w:r>
      <w:r w:rsidR="002D5738" w:rsidRPr="00AF1814">
        <w:noBreakHyphen/>
      </w:r>
      <w:r w:rsidRPr="00AF1814">
        <w:t xml:space="preserve">related reactions should be considered when onset is on the day of infusion (during or after the infusion) or the day after the infusion (irrespective of resolution date) for IRR, drug hypersensitivity, anaphylactic reaction, hypersensitivity, and </w:t>
      </w:r>
      <w:r w:rsidR="00DE0A1D" w:rsidRPr="00AF1814">
        <w:t>T</w:t>
      </w:r>
      <w:r w:rsidRPr="00AF1814">
        <w:t xml:space="preserve">ype 1 hypersensitivity. </w:t>
      </w:r>
    </w:p>
    <w:p w14:paraId="1E7B7C85" w14:textId="77777777" w:rsidR="009172DD" w:rsidRPr="00AF1814" w:rsidRDefault="00DA3174" w:rsidP="002D5738">
      <w:pPr>
        <w:pStyle w:val="List1withbullet"/>
      </w:pPr>
      <w:r w:rsidRPr="00AF1814">
        <w:t xml:space="preserve">Signs and symptoms of IRR and hypersensitivity/allergic reactions should be considered when onset is on the day of infusion (during or after the infusion) and resolved completely with the end date within 2 days after onset of (but not limited to) pyrexia, chills, flushing, hypotension, dyspnea, wheezing, back pain, abdominal pain, and urticaria. </w:t>
      </w:r>
    </w:p>
    <w:p w14:paraId="0264C2B4" w14:textId="77777777" w:rsidR="009172DD" w:rsidRPr="00AF1814" w:rsidRDefault="00DA3174" w:rsidP="009172DD">
      <w:pPr>
        <w:pStyle w:val="BodyText"/>
        <w:rPr>
          <w:b/>
        </w:rPr>
      </w:pPr>
      <w:r w:rsidRPr="00AF1814">
        <w:rPr>
          <w:b/>
        </w:rPr>
        <w:t>Management of Infusion</w:t>
      </w:r>
      <w:r w:rsidR="004B1BF8" w:rsidRPr="00AF1814">
        <w:rPr>
          <w:b/>
        </w:rPr>
        <w:t>-</w:t>
      </w:r>
      <w:r w:rsidRPr="00AF1814">
        <w:rPr>
          <w:b/>
        </w:rPr>
        <w:t>Related Reactions</w:t>
      </w:r>
    </w:p>
    <w:p w14:paraId="6E8E1255" w14:textId="61199A12" w:rsidR="009172DD" w:rsidRPr="00AF1814" w:rsidRDefault="00DA3174" w:rsidP="009172DD">
      <w:pPr>
        <w:pStyle w:val="BodyText"/>
        <w:rPr>
          <w:rFonts w:eastAsiaTheme="minorHAnsi"/>
          <w:szCs w:val="24"/>
        </w:rPr>
      </w:pPr>
      <w:r w:rsidRPr="00AF1814">
        <w:rPr>
          <w:rFonts w:eastAsiaTheme="minorHAnsi"/>
          <w:szCs w:val="24"/>
        </w:rPr>
        <w:t xml:space="preserve">Current experience in </w:t>
      </w:r>
      <w:r w:rsidR="00C8754C">
        <w:rPr>
          <w:rFonts w:eastAsiaTheme="minorHAnsi"/>
          <w:szCs w:val="24"/>
        </w:rPr>
        <w:t xml:space="preserve">close to </w:t>
      </w:r>
      <w:r w:rsidRPr="00AF1814">
        <w:rPr>
          <w:rFonts w:eastAsiaTheme="minorHAnsi"/>
          <w:szCs w:val="24"/>
        </w:rPr>
        <w:t xml:space="preserve">700 study participants revealed that IRRs to bintrafusp alfa occur seldomly and are generally mild to moderate in severity. Therefore, administration of a premedication for bintrafusp alfa is generally not required. </w:t>
      </w:r>
    </w:p>
    <w:p w14:paraId="5B6247C2" w14:textId="77777777" w:rsidR="009172DD" w:rsidRPr="00AF1814" w:rsidRDefault="00DA3174" w:rsidP="009172DD">
      <w:pPr>
        <w:pStyle w:val="BodyText"/>
        <w:rPr>
          <w:rFonts w:eastAsiaTheme="minorHAnsi"/>
          <w:szCs w:val="24"/>
        </w:rPr>
      </w:pPr>
      <w:r w:rsidRPr="00AF1814">
        <w:rPr>
          <w:rFonts w:eastAsiaTheme="minorHAnsi"/>
          <w:szCs w:val="24"/>
        </w:rPr>
        <w:t>If an Investigator deems necessary to administer a premedication to a particular participant, an antihistamine (e.g.</w:t>
      </w:r>
      <w:r w:rsidR="004B1BF8" w:rsidRPr="00AF1814">
        <w:rPr>
          <w:rFonts w:eastAsiaTheme="minorHAnsi"/>
          <w:szCs w:val="24"/>
        </w:rPr>
        <w:t>,</w:t>
      </w:r>
      <w:r w:rsidRPr="00AF1814">
        <w:rPr>
          <w:rFonts w:eastAsiaTheme="minorHAnsi"/>
          <w:szCs w:val="24"/>
        </w:rPr>
        <w:t xml:space="preserve"> 25 to 50 mg diphenhydramine) and paracetamol (acetaminophen, 500 to 650 mg intravenously or equivalent oral dose) 30 to 60 minutes prior to bintrafusp alfa infusion is recommended. Premedication should be administered for subsequent bintrafusp alfa doses based upon clinical judgment and presence/severity of prior infusion reactions. This regimen may be modified based on local treatment standards and guidelines as appropriate provided it does not include systemic corticosteroids. </w:t>
      </w:r>
    </w:p>
    <w:p w14:paraId="6467B836" w14:textId="7249F649" w:rsidR="009172DD" w:rsidRPr="00E44F28" w:rsidRDefault="00DA3174" w:rsidP="009172DD">
      <w:pPr>
        <w:pStyle w:val="BodyText"/>
      </w:pPr>
      <w:r w:rsidRPr="00AF1814">
        <w:rPr>
          <w:rFonts w:eastAsiaTheme="minorHAnsi"/>
          <w:szCs w:val="24"/>
        </w:rPr>
        <w:t xml:space="preserve">Management of symptoms should follow the </w:t>
      </w:r>
      <w:r w:rsidRPr="00E44F28">
        <w:rPr>
          <w:rFonts w:eastAsiaTheme="minorHAnsi"/>
          <w:szCs w:val="24"/>
        </w:rPr>
        <w:t xml:space="preserve">guidelines shown in </w:t>
      </w:r>
      <w:r w:rsidRPr="00E44F28">
        <w:rPr>
          <w:rFonts w:eastAsiaTheme="minorHAnsi"/>
          <w:szCs w:val="24"/>
        </w:rPr>
        <w:fldChar w:fldCharType="begin"/>
      </w:r>
      <w:r w:rsidRPr="00E44F28">
        <w:rPr>
          <w:rFonts w:eastAsiaTheme="minorHAnsi"/>
          <w:szCs w:val="24"/>
        </w:rPr>
        <w:instrText xml:space="preserve"> REF _Ref29370531 \h </w:instrText>
      </w:r>
      <w:r w:rsidR="009A7C9A" w:rsidRPr="00E44F28">
        <w:rPr>
          <w:rFonts w:eastAsiaTheme="minorHAnsi"/>
          <w:szCs w:val="24"/>
        </w:rPr>
        <w:instrText xml:space="preserve"> \* MERGEFORMAT </w:instrText>
      </w:r>
      <w:r w:rsidRPr="00E44F28">
        <w:rPr>
          <w:rFonts w:eastAsiaTheme="minorHAnsi"/>
          <w:szCs w:val="24"/>
        </w:rPr>
      </w:r>
      <w:r w:rsidRPr="00E44F28">
        <w:rPr>
          <w:rFonts w:eastAsiaTheme="minorHAnsi"/>
          <w:szCs w:val="24"/>
        </w:rPr>
        <w:fldChar w:fldCharType="separate"/>
      </w:r>
      <w:r w:rsidR="00C548C3" w:rsidRPr="00E44F28">
        <w:t xml:space="preserve">Table </w:t>
      </w:r>
      <w:r w:rsidR="00C548C3" w:rsidRPr="00E44F28">
        <w:rPr>
          <w:noProof/>
        </w:rPr>
        <w:t>10</w:t>
      </w:r>
      <w:r w:rsidRPr="00E44F28">
        <w:rPr>
          <w:rFonts w:eastAsiaTheme="minorHAnsi"/>
          <w:szCs w:val="24"/>
        </w:rPr>
        <w:fldChar w:fldCharType="end"/>
      </w:r>
      <w:r w:rsidRPr="00E44F28">
        <w:rPr>
          <w:rFonts w:eastAsiaTheme="minorHAnsi"/>
          <w:szCs w:val="24"/>
        </w:rPr>
        <w:t>.</w:t>
      </w:r>
    </w:p>
    <w:p w14:paraId="7A12EE8B" w14:textId="2F972F72" w:rsidR="009172DD" w:rsidRPr="00AF1814" w:rsidRDefault="00DA3174" w:rsidP="009172DD">
      <w:pPr>
        <w:pStyle w:val="Caption"/>
      </w:pPr>
      <w:bookmarkStart w:id="291" w:name="_Ref29370531"/>
      <w:bookmarkStart w:id="292" w:name="_Toc44601754"/>
      <w:r w:rsidRPr="00E44F28">
        <w:lastRenderedPageBreak/>
        <w:t xml:space="preserve">Table </w:t>
      </w:r>
      <w:r w:rsidRPr="00E44F28">
        <w:fldChar w:fldCharType="begin"/>
      </w:r>
      <w:r w:rsidRPr="00E44F28">
        <w:instrText xml:space="preserve"> SEQ Table \* ARABIC </w:instrText>
      </w:r>
      <w:r w:rsidRPr="00E44F28">
        <w:fldChar w:fldCharType="separate"/>
      </w:r>
      <w:r w:rsidR="00C548C3" w:rsidRPr="00E44F28">
        <w:rPr>
          <w:noProof/>
        </w:rPr>
        <w:t>10</w:t>
      </w:r>
      <w:r w:rsidRPr="00E44F28">
        <w:fldChar w:fldCharType="end"/>
      </w:r>
      <w:bookmarkEnd w:id="291"/>
      <w:r w:rsidRPr="00E44F28">
        <w:tab/>
        <w:t xml:space="preserve">Treatment Modification of </w:t>
      </w:r>
      <w:r w:rsidRPr="00E44F28">
        <w:rPr>
          <w:rFonts w:eastAsia="Calibri"/>
        </w:rPr>
        <w:t>Bintrafusp alfa</w:t>
      </w:r>
      <w:r w:rsidRPr="00E44F28">
        <w:t xml:space="preserve"> for Symptoms </w:t>
      </w:r>
      <w:r w:rsidRPr="00AF1814">
        <w:t>of Infusion-Related Reactions Including Immediate Hypersensitivity</w:t>
      </w:r>
      <w:bookmarkEnd w:id="292"/>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4680"/>
      </w:tblGrid>
      <w:tr w:rsidR="002108B2" w:rsidRPr="00AF1814" w14:paraId="4DEF8720" w14:textId="77777777" w:rsidTr="00957F02">
        <w:trPr>
          <w:cantSplit/>
        </w:trPr>
        <w:tc>
          <w:tcPr>
            <w:tcW w:w="4680" w:type="dxa"/>
            <w:tcBorders>
              <w:top w:val="single" w:sz="4" w:space="0" w:color="auto"/>
              <w:left w:val="single" w:sz="4" w:space="0" w:color="auto"/>
              <w:bottom w:val="single" w:sz="4" w:space="0" w:color="auto"/>
              <w:right w:val="nil"/>
            </w:tcBorders>
          </w:tcPr>
          <w:p w14:paraId="43563F29" w14:textId="77777777" w:rsidR="009172DD" w:rsidRPr="00AF1814" w:rsidRDefault="00DA3174" w:rsidP="00957F02">
            <w:pPr>
              <w:pStyle w:val="Tableheading"/>
              <w:jc w:val="left"/>
              <w:rPr>
                <w:rFonts w:cs="Arial"/>
                <w:szCs w:val="18"/>
              </w:rPr>
            </w:pPr>
            <w:r w:rsidRPr="00AF1814">
              <w:rPr>
                <w:rFonts w:cs="Arial"/>
                <w:szCs w:val="18"/>
              </w:rPr>
              <w:t>NCI</w:t>
            </w:r>
            <w:r w:rsidRPr="00AF1814">
              <w:rPr>
                <w:rFonts w:cs="Arial"/>
                <w:szCs w:val="18"/>
              </w:rPr>
              <w:noBreakHyphen/>
              <w:t xml:space="preserve">CTCAE </w:t>
            </w:r>
            <w:r w:rsidR="00B56CC3" w:rsidRPr="00AF1814">
              <w:rPr>
                <w:rFonts w:cs="Arial"/>
                <w:szCs w:val="18"/>
              </w:rPr>
              <w:t>v</w:t>
            </w:r>
            <w:r w:rsidRPr="00AF1814">
              <w:rPr>
                <w:rFonts w:cs="Arial"/>
                <w:szCs w:val="18"/>
              </w:rPr>
              <w:t>5.0 Grade</w:t>
            </w:r>
          </w:p>
        </w:tc>
        <w:tc>
          <w:tcPr>
            <w:tcW w:w="4680" w:type="dxa"/>
            <w:tcBorders>
              <w:top w:val="single" w:sz="4" w:space="0" w:color="auto"/>
              <w:left w:val="nil"/>
              <w:bottom w:val="single" w:sz="4" w:space="0" w:color="auto"/>
              <w:right w:val="single" w:sz="4" w:space="0" w:color="auto"/>
            </w:tcBorders>
          </w:tcPr>
          <w:p w14:paraId="5EC1DAB0" w14:textId="77777777" w:rsidR="009172DD" w:rsidRPr="00AF1814" w:rsidRDefault="00DA3174" w:rsidP="00957F02">
            <w:pPr>
              <w:pStyle w:val="Tableheading"/>
              <w:rPr>
                <w:rFonts w:cs="Arial"/>
                <w:szCs w:val="18"/>
              </w:rPr>
            </w:pPr>
            <w:r w:rsidRPr="00AF1814">
              <w:rPr>
                <w:rFonts w:cs="Arial"/>
                <w:szCs w:val="18"/>
              </w:rPr>
              <w:t xml:space="preserve">Treatment Modification </w:t>
            </w:r>
          </w:p>
        </w:tc>
      </w:tr>
      <w:tr w:rsidR="002108B2" w:rsidRPr="00AF1814" w14:paraId="35C518DE" w14:textId="77777777" w:rsidTr="00957F02">
        <w:trPr>
          <w:cantSplit/>
        </w:trPr>
        <w:tc>
          <w:tcPr>
            <w:tcW w:w="4680" w:type="dxa"/>
            <w:tcBorders>
              <w:top w:val="single" w:sz="4" w:space="0" w:color="auto"/>
              <w:left w:val="single" w:sz="4" w:space="0" w:color="auto"/>
              <w:bottom w:val="single" w:sz="4" w:space="0" w:color="auto"/>
              <w:right w:val="nil"/>
            </w:tcBorders>
          </w:tcPr>
          <w:p w14:paraId="791FB3C2" w14:textId="77777777" w:rsidR="009172DD" w:rsidRPr="00AF1814" w:rsidRDefault="00DA3174" w:rsidP="00957F02">
            <w:pPr>
              <w:pStyle w:val="Tabletext"/>
              <w:keepNext/>
              <w:rPr>
                <w:rFonts w:cs="Arial"/>
                <w:b/>
                <w:szCs w:val="18"/>
              </w:rPr>
            </w:pPr>
            <w:r w:rsidRPr="00AF1814">
              <w:rPr>
                <w:rFonts w:cs="Arial"/>
                <w:b/>
                <w:szCs w:val="18"/>
              </w:rPr>
              <w:t>Grade 1 – mild</w:t>
            </w:r>
          </w:p>
          <w:p w14:paraId="50401136" w14:textId="77777777" w:rsidR="009172DD" w:rsidRPr="00AF1814" w:rsidRDefault="00DA3174" w:rsidP="00957F02">
            <w:pPr>
              <w:pStyle w:val="Tablelist"/>
            </w:pPr>
            <w:r w:rsidRPr="00AF1814">
              <w:t>Mild transient reaction; infusion interruption not indicated; intervention not indicated.</w:t>
            </w:r>
          </w:p>
        </w:tc>
        <w:tc>
          <w:tcPr>
            <w:tcW w:w="4680" w:type="dxa"/>
            <w:tcBorders>
              <w:top w:val="single" w:sz="4" w:space="0" w:color="auto"/>
              <w:left w:val="nil"/>
              <w:bottom w:val="single" w:sz="4" w:space="0" w:color="auto"/>
              <w:right w:val="single" w:sz="4" w:space="0" w:color="auto"/>
            </w:tcBorders>
          </w:tcPr>
          <w:p w14:paraId="44E128A5" w14:textId="77777777" w:rsidR="009172DD" w:rsidRPr="00AF1814" w:rsidRDefault="009172DD" w:rsidP="00957F02">
            <w:pPr>
              <w:pStyle w:val="Tabletext"/>
              <w:keepNext/>
              <w:rPr>
                <w:rFonts w:cs="Arial"/>
                <w:szCs w:val="18"/>
              </w:rPr>
            </w:pPr>
          </w:p>
          <w:p w14:paraId="0CE12E97" w14:textId="77777777" w:rsidR="009172DD" w:rsidRPr="00AF1814" w:rsidRDefault="00DA3174" w:rsidP="00957F02">
            <w:pPr>
              <w:pStyle w:val="Tablelist"/>
              <w:rPr>
                <w:rFonts w:cs="Arial"/>
                <w:szCs w:val="18"/>
              </w:rPr>
            </w:pPr>
            <w:r w:rsidRPr="00AF1814">
              <w:rPr>
                <w:rFonts w:cs="Arial"/>
                <w:szCs w:val="18"/>
              </w:rPr>
              <w:t>Increase monitoring of vital signs as medically indicated as participants are deemed medically stable by the attending Investigator.</w:t>
            </w:r>
          </w:p>
        </w:tc>
      </w:tr>
      <w:tr w:rsidR="002108B2" w:rsidRPr="00AF1814" w14:paraId="65E2CF65" w14:textId="77777777" w:rsidTr="00957F02">
        <w:trPr>
          <w:cantSplit/>
        </w:trPr>
        <w:tc>
          <w:tcPr>
            <w:tcW w:w="4680" w:type="dxa"/>
            <w:tcBorders>
              <w:top w:val="single" w:sz="4" w:space="0" w:color="auto"/>
              <w:left w:val="single" w:sz="4" w:space="0" w:color="auto"/>
              <w:bottom w:val="single" w:sz="4" w:space="0" w:color="auto"/>
              <w:right w:val="nil"/>
            </w:tcBorders>
          </w:tcPr>
          <w:p w14:paraId="6557D776" w14:textId="77777777" w:rsidR="009172DD" w:rsidRPr="00AF1814" w:rsidRDefault="00DA3174" w:rsidP="00957F02">
            <w:pPr>
              <w:pStyle w:val="Tabletext"/>
              <w:keepNext/>
              <w:rPr>
                <w:rFonts w:cs="Arial"/>
                <w:b/>
                <w:szCs w:val="18"/>
              </w:rPr>
            </w:pPr>
            <w:r w:rsidRPr="00AF1814">
              <w:rPr>
                <w:rFonts w:cs="Arial"/>
                <w:b/>
                <w:szCs w:val="18"/>
              </w:rPr>
              <w:t>Grade 2 – moderate</w:t>
            </w:r>
          </w:p>
          <w:p w14:paraId="75F1A966" w14:textId="77777777" w:rsidR="009172DD" w:rsidRPr="00AF1814" w:rsidRDefault="00DA3174" w:rsidP="00957F02">
            <w:pPr>
              <w:pStyle w:val="Tablelist"/>
            </w:pPr>
            <w:r w:rsidRPr="00AF1814">
              <w:t xml:space="preserve">Therapy or infusion interruption indicated but if responds promptly to symptomatic treatment (e.g., antihistamines, NSAIDs, narcotics, IV fluids); prophylactic medications indicated for </w:t>
            </w:r>
            <w:r w:rsidRPr="00AF1814">
              <w:rPr>
                <w:rFonts w:ascii="Symbol" w:hAnsi="Symbol"/>
              </w:rPr>
              <w:sym w:font="Symbol" w:char="F0A3"/>
            </w:r>
            <w:r w:rsidRPr="00AF1814">
              <w:t> 24 hours.</w:t>
            </w:r>
          </w:p>
        </w:tc>
        <w:tc>
          <w:tcPr>
            <w:tcW w:w="4680" w:type="dxa"/>
            <w:tcBorders>
              <w:top w:val="single" w:sz="4" w:space="0" w:color="auto"/>
              <w:left w:val="nil"/>
              <w:bottom w:val="single" w:sz="4" w:space="0" w:color="auto"/>
              <w:right w:val="single" w:sz="4" w:space="0" w:color="auto"/>
            </w:tcBorders>
          </w:tcPr>
          <w:p w14:paraId="52FC9E99" w14:textId="77777777" w:rsidR="009172DD" w:rsidRPr="00AF1814" w:rsidRDefault="009172DD" w:rsidP="00957F02">
            <w:pPr>
              <w:pStyle w:val="Tabletext"/>
              <w:keepNext/>
              <w:rPr>
                <w:rFonts w:cs="Arial"/>
                <w:szCs w:val="18"/>
              </w:rPr>
            </w:pPr>
          </w:p>
          <w:p w14:paraId="405D26D4" w14:textId="77777777" w:rsidR="009172DD" w:rsidRPr="00AF1814" w:rsidRDefault="00DA3174" w:rsidP="00957F02">
            <w:pPr>
              <w:pStyle w:val="Tablelist"/>
              <w:rPr>
                <w:rFonts w:cs="Arial"/>
                <w:szCs w:val="18"/>
              </w:rPr>
            </w:pPr>
            <w:r w:rsidRPr="00AF1814">
              <w:rPr>
                <w:rFonts w:cs="Arial"/>
                <w:szCs w:val="18"/>
              </w:rPr>
              <w:t>Stop the infusion of the study intervention</w:t>
            </w:r>
            <w:r w:rsidR="0082359D" w:rsidRPr="00AF1814">
              <w:rPr>
                <w:rFonts w:cs="Arial"/>
                <w:szCs w:val="18"/>
              </w:rPr>
              <w:noBreakHyphen/>
            </w:r>
            <w:r w:rsidRPr="00AF1814">
              <w:rPr>
                <w:rFonts w:cs="Arial"/>
                <w:szCs w:val="18"/>
              </w:rPr>
              <w:t>caused IRR.</w:t>
            </w:r>
          </w:p>
          <w:p w14:paraId="50A76549" w14:textId="77777777" w:rsidR="009172DD" w:rsidRPr="00AF1814" w:rsidRDefault="00DA3174" w:rsidP="00957F02">
            <w:pPr>
              <w:pStyle w:val="Tablelist"/>
              <w:rPr>
                <w:rFonts w:cs="Arial"/>
                <w:szCs w:val="18"/>
              </w:rPr>
            </w:pPr>
            <w:r w:rsidRPr="00AF1814">
              <w:rPr>
                <w:rFonts w:cs="Arial"/>
                <w:szCs w:val="18"/>
              </w:rPr>
              <w:t xml:space="preserve">Increase monitoring of vital signs as medically indicated as participants are deemed medically stable by the attending Investigator. </w:t>
            </w:r>
          </w:p>
          <w:p w14:paraId="40E58C4B" w14:textId="77777777" w:rsidR="009172DD" w:rsidRPr="00AF1814" w:rsidRDefault="00DA3174" w:rsidP="00957F02">
            <w:pPr>
              <w:pStyle w:val="Tablelist"/>
              <w:rPr>
                <w:rFonts w:cs="Arial"/>
                <w:szCs w:val="18"/>
              </w:rPr>
            </w:pPr>
            <w:r w:rsidRPr="00AF1814">
              <w:rPr>
                <w:rFonts w:cs="Arial"/>
                <w:szCs w:val="18"/>
              </w:rPr>
              <w:t xml:space="preserve">If symptoms resolve quickly or decreased to Grade 1, resume infusion at 50% of original rate with close monitoring of any worsening otherwise dosing held until resolution of symptoms with mandated premedication for the next scheduled visit. </w:t>
            </w:r>
          </w:p>
          <w:p w14:paraId="4143ECDE" w14:textId="77777777" w:rsidR="009172DD" w:rsidRPr="00AF1814" w:rsidRDefault="00DA3174" w:rsidP="00957F02">
            <w:pPr>
              <w:pStyle w:val="Tablelist"/>
              <w:rPr>
                <w:rFonts w:cs="Arial"/>
                <w:szCs w:val="18"/>
              </w:rPr>
            </w:pPr>
            <w:r w:rsidRPr="00AF1814">
              <w:rPr>
                <w:rFonts w:cs="Arial"/>
                <w:szCs w:val="18"/>
              </w:rPr>
              <w:t>If worsens to Grade 3 or 4, follow treatment modification guidelines accordingly.</w:t>
            </w:r>
          </w:p>
        </w:tc>
      </w:tr>
      <w:tr w:rsidR="002108B2" w:rsidRPr="00AF1814" w14:paraId="6771D797" w14:textId="77777777" w:rsidTr="00957F02">
        <w:trPr>
          <w:cantSplit/>
        </w:trPr>
        <w:tc>
          <w:tcPr>
            <w:tcW w:w="4680" w:type="dxa"/>
            <w:tcBorders>
              <w:top w:val="single" w:sz="4" w:space="0" w:color="auto"/>
              <w:left w:val="single" w:sz="4" w:space="0" w:color="auto"/>
              <w:bottom w:val="single" w:sz="4" w:space="0" w:color="auto"/>
              <w:right w:val="nil"/>
            </w:tcBorders>
          </w:tcPr>
          <w:p w14:paraId="493B5239" w14:textId="77777777" w:rsidR="009172DD" w:rsidRPr="00AF1814" w:rsidRDefault="00DA3174" w:rsidP="00957F02">
            <w:pPr>
              <w:pStyle w:val="Tabletext"/>
              <w:keepNext/>
              <w:rPr>
                <w:rFonts w:cs="Arial"/>
                <w:b/>
                <w:szCs w:val="18"/>
              </w:rPr>
            </w:pPr>
            <w:r w:rsidRPr="00AF1814">
              <w:rPr>
                <w:rFonts w:cs="Arial"/>
                <w:b/>
                <w:szCs w:val="18"/>
              </w:rPr>
              <w:t>Grade 3 or Grade 4 – severe or life</w:t>
            </w:r>
            <w:r w:rsidRPr="00AF1814">
              <w:rPr>
                <w:rFonts w:cs="Arial"/>
                <w:b/>
                <w:szCs w:val="18"/>
              </w:rPr>
              <w:noBreakHyphen/>
              <w:t>threatening</w:t>
            </w:r>
          </w:p>
          <w:p w14:paraId="03CE2A34" w14:textId="77777777" w:rsidR="009172DD" w:rsidRPr="00AF1814" w:rsidRDefault="00DA3174" w:rsidP="00957F02">
            <w:pPr>
              <w:pStyle w:val="Tablelist"/>
            </w:pPr>
            <w:r w:rsidRPr="00AF1814">
              <w:t>Grade 3: Prolonged (e.g., not rapidly responsive to symptomatic medication and/or brief interruption of infusion); recurrence of symptoms following initial improvement; hospitalization indicated for clinical sequelae.</w:t>
            </w:r>
          </w:p>
          <w:p w14:paraId="1735CA09" w14:textId="77777777" w:rsidR="009172DD" w:rsidRPr="00AF1814" w:rsidRDefault="00DA3174" w:rsidP="00957F02">
            <w:pPr>
              <w:pStyle w:val="Tablelist"/>
            </w:pPr>
            <w:r w:rsidRPr="00AF1814">
              <w:t>Grade 4: Life-threatening consequences; urgent intervention indicated.</w:t>
            </w:r>
          </w:p>
        </w:tc>
        <w:tc>
          <w:tcPr>
            <w:tcW w:w="4680" w:type="dxa"/>
            <w:tcBorders>
              <w:top w:val="single" w:sz="4" w:space="0" w:color="auto"/>
              <w:left w:val="nil"/>
              <w:bottom w:val="single" w:sz="4" w:space="0" w:color="auto"/>
              <w:right w:val="single" w:sz="4" w:space="0" w:color="auto"/>
            </w:tcBorders>
          </w:tcPr>
          <w:p w14:paraId="05947724" w14:textId="77777777" w:rsidR="009172DD" w:rsidRPr="00AF1814" w:rsidRDefault="009172DD" w:rsidP="00957F02">
            <w:pPr>
              <w:pStyle w:val="Tabletext"/>
              <w:keepNext/>
              <w:rPr>
                <w:rFonts w:cs="Arial"/>
                <w:szCs w:val="18"/>
              </w:rPr>
            </w:pPr>
          </w:p>
          <w:p w14:paraId="2BAB5893" w14:textId="77777777" w:rsidR="009172DD" w:rsidRPr="00AF1814" w:rsidRDefault="00DA3174" w:rsidP="00957F02">
            <w:pPr>
              <w:pStyle w:val="Tablelist"/>
              <w:rPr>
                <w:rFonts w:cs="Arial"/>
                <w:szCs w:val="18"/>
              </w:rPr>
            </w:pPr>
            <w:r w:rsidRPr="00AF1814">
              <w:rPr>
                <w:rFonts w:cs="Arial"/>
                <w:szCs w:val="18"/>
              </w:rPr>
              <w:t>Stop the infusion of study intervention-caused IRR immediately and disconnect infusion tubing from the participant with additional appropriate medical measures and closely monitor until deemed medically stable by the attending Investigator. Hospitalization may be indicated.</w:t>
            </w:r>
          </w:p>
        </w:tc>
      </w:tr>
      <w:tr w:rsidR="002108B2" w:rsidRPr="00AF1814" w14:paraId="679C1A58" w14:textId="77777777" w:rsidTr="00957F02">
        <w:trPr>
          <w:cantSplit/>
        </w:trPr>
        <w:tc>
          <w:tcPr>
            <w:tcW w:w="9360" w:type="dxa"/>
            <w:gridSpan w:val="2"/>
            <w:tcBorders>
              <w:top w:val="single" w:sz="4" w:space="0" w:color="auto"/>
              <w:left w:val="single" w:sz="4" w:space="0" w:color="auto"/>
              <w:bottom w:val="single" w:sz="4" w:space="0" w:color="auto"/>
              <w:right w:val="single" w:sz="4" w:space="0" w:color="auto"/>
            </w:tcBorders>
          </w:tcPr>
          <w:p w14:paraId="1568B40B" w14:textId="77777777" w:rsidR="009172DD" w:rsidRPr="00AF1814" w:rsidRDefault="00DA3174" w:rsidP="00957F02">
            <w:pPr>
              <w:pStyle w:val="Tablefootnote"/>
              <w:rPr>
                <w:rFonts w:cs="Arial"/>
                <w:szCs w:val="18"/>
              </w:rPr>
            </w:pPr>
            <w:r w:rsidRPr="00AF1814">
              <w:rPr>
                <w:rFonts w:cs="Arial"/>
                <w:szCs w:val="18"/>
              </w:rPr>
              <w:t>IRR=infusion-related reactions, IV=intravenous, NCI-CTCAE=National Cancer Institute-Common Terminology Criteria for Adverse Event, NSAIDs=nonsteroidal anti</w:t>
            </w:r>
            <w:r w:rsidRPr="00AF1814">
              <w:rPr>
                <w:rFonts w:cs="Arial"/>
                <w:szCs w:val="18"/>
              </w:rPr>
              <w:noBreakHyphen/>
              <w:t xml:space="preserve">inflammatory drugs. </w:t>
            </w:r>
          </w:p>
          <w:p w14:paraId="6CCFCAF5" w14:textId="77777777" w:rsidR="009172DD" w:rsidRPr="00AF1814" w:rsidRDefault="00DA3174" w:rsidP="00957F02">
            <w:pPr>
              <w:pStyle w:val="Tablefootnote"/>
              <w:rPr>
                <w:rFonts w:cs="Arial"/>
                <w:szCs w:val="18"/>
              </w:rPr>
            </w:pPr>
            <w:r w:rsidRPr="00AF1814">
              <w:rPr>
                <w:rFonts w:cs="Arial"/>
                <w:szCs w:val="18"/>
              </w:rPr>
              <w:t xml:space="preserve">Once the </w:t>
            </w:r>
            <w:r w:rsidRPr="00AF1814">
              <w:rPr>
                <w:rFonts w:eastAsia="Calibri"/>
              </w:rPr>
              <w:t>bintrafusp alfa</w:t>
            </w:r>
            <w:r w:rsidRPr="00AF1814">
              <w:rPr>
                <w:rFonts w:cs="Arial"/>
                <w:szCs w:val="18"/>
              </w:rPr>
              <w:t xml:space="preserve"> infusion is interrupted or rate reduced to 50% of previous infusion rate, it must remain decreased for all subsequent infusions. For Grade 3 or 4 IRRs, </w:t>
            </w:r>
            <w:r w:rsidRPr="00AF1814">
              <w:rPr>
                <w:rFonts w:eastAsia="Calibri"/>
              </w:rPr>
              <w:t>bintrafusp alfa</w:t>
            </w:r>
            <w:r w:rsidRPr="00AF1814">
              <w:rPr>
                <w:rFonts w:cs="Arial"/>
                <w:szCs w:val="18"/>
              </w:rPr>
              <w:t xml:space="preserve"> discontinuation is mandated. </w:t>
            </w:r>
          </w:p>
          <w:p w14:paraId="7AAA0559" w14:textId="77777777" w:rsidR="009172DD" w:rsidRPr="00AF1814" w:rsidRDefault="00DA3174" w:rsidP="00957F02">
            <w:pPr>
              <w:pStyle w:val="Tablefootnote"/>
              <w:rPr>
                <w:rFonts w:cs="Arial"/>
                <w:szCs w:val="18"/>
              </w:rPr>
            </w:pPr>
            <w:r w:rsidRPr="00AF1814">
              <w:rPr>
                <w:rFonts w:cs="Arial"/>
                <w:szCs w:val="18"/>
              </w:rPr>
              <w:t>For all types and grades of infusion reactions, details about drug physical constitution, method of preparation, and infusion must be recorded.</w:t>
            </w:r>
          </w:p>
        </w:tc>
      </w:tr>
    </w:tbl>
    <w:p w14:paraId="6AAB9B46" w14:textId="15AC3BA3" w:rsidR="009172DD" w:rsidRPr="00AF1814" w:rsidRDefault="00DA3174" w:rsidP="009172DD">
      <w:pPr>
        <w:pStyle w:val="BodyText"/>
        <w:rPr>
          <w:rFonts w:eastAsia="MS Mincho"/>
        </w:rPr>
      </w:pPr>
      <w:r w:rsidRPr="00AF1814">
        <w:rPr>
          <w:rFonts w:eastAsia="MS Mincho"/>
        </w:rPr>
        <w:t xml:space="preserve">In the event of a Grade 2 IRR that does not improve or worsens after implementation of the treatment modifications </w:t>
      </w:r>
      <w:r w:rsidRPr="00E44F28">
        <w:rPr>
          <w:rFonts w:eastAsia="MS Mincho"/>
        </w:rPr>
        <w:t xml:space="preserve">indicated in </w:t>
      </w:r>
      <w:r w:rsidRPr="00E44F28">
        <w:rPr>
          <w:rFonts w:eastAsia="MS Mincho"/>
        </w:rPr>
        <w:fldChar w:fldCharType="begin"/>
      </w:r>
      <w:r w:rsidRPr="00E44F28">
        <w:rPr>
          <w:rFonts w:eastAsia="MS Mincho"/>
        </w:rPr>
        <w:instrText xml:space="preserve"> REF _Ref29370531 \h </w:instrText>
      </w:r>
      <w:r w:rsidR="00AF1814" w:rsidRPr="00E44F28">
        <w:rPr>
          <w:rFonts w:eastAsia="MS Mincho"/>
        </w:rPr>
        <w:instrText xml:space="preserve"> \* MERGEFORMAT </w:instrText>
      </w:r>
      <w:r w:rsidRPr="00E44F28">
        <w:rPr>
          <w:rFonts w:eastAsia="MS Mincho"/>
        </w:rPr>
      </w:r>
      <w:r w:rsidRPr="00E44F28">
        <w:rPr>
          <w:rFonts w:eastAsia="MS Mincho"/>
        </w:rPr>
        <w:fldChar w:fldCharType="separate"/>
      </w:r>
      <w:r w:rsidR="00C548C3" w:rsidRPr="00E44F28">
        <w:t xml:space="preserve">Table </w:t>
      </w:r>
      <w:r w:rsidR="00C548C3" w:rsidRPr="00E44F28">
        <w:rPr>
          <w:noProof/>
        </w:rPr>
        <w:t>10</w:t>
      </w:r>
      <w:r w:rsidRPr="00E44F28">
        <w:rPr>
          <w:rFonts w:eastAsia="MS Mincho"/>
        </w:rPr>
        <w:fldChar w:fldCharType="end"/>
      </w:r>
      <w:r w:rsidRPr="00E44F28">
        <w:rPr>
          <w:rFonts w:eastAsia="MS Mincho"/>
        </w:rPr>
        <w:t xml:space="preserve"> (inclu</w:t>
      </w:r>
      <w:r w:rsidRPr="00AF1814">
        <w:rPr>
          <w:rFonts w:eastAsia="MS Mincho"/>
        </w:rPr>
        <w:t>ding reducing the infusion rate by 50%), the Investigator may consider treatment with corticosteroids and the infusion should be stopped for that day. At the next infusion, the Investigator may consider the addition of H2 blocker antihistamines (e.g., famotidine), in addition to the above provided recommended optional premedication regimen, for selected participants. However, prophylactic steroids are not permitted. At the next dose, if the participant has a second IRR Grade ≥ 2 on the slower infusion rate, with the addition of further medication to premedication, the infusion should be stopped, and the participant should be removed from the study intervention if considered necessary by the Investigator.</w:t>
      </w:r>
    </w:p>
    <w:p w14:paraId="5470CF8E" w14:textId="77777777" w:rsidR="009172DD" w:rsidRPr="00AF1814" w:rsidRDefault="00DA3174" w:rsidP="009172DD">
      <w:pPr>
        <w:pStyle w:val="BodyText"/>
        <w:keepNext/>
        <w:keepLines/>
        <w:rPr>
          <w:rFonts w:eastAsia="MS Mincho"/>
          <w:b/>
        </w:rPr>
      </w:pPr>
      <w:r w:rsidRPr="00AF1814">
        <w:rPr>
          <w:rFonts w:eastAsia="MS Mincho"/>
          <w:b/>
        </w:rPr>
        <w:lastRenderedPageBreak/>
        <w:t>Hypersensitivity Reaction</w:t>
      </w:r>
    </w:p>
    <w:p w14:paraId="06D74F7C" w14:textId="77777777" w:rsidR="009172DD" w:rsidRPr="00AF1814" w:rsidRDefault="00DA3174" w:rsidP="009172DD">
      <w:pPr>
        <w:pStyle w:val="BodyText"/>
        <w:rPr>
          <w:rFonts w:eastAsia="MS Mincho"/>
        </w:rPr>
      </w:pPr>
      <w:r w:rsidRPr="00AF1814">
        <w:rPr>
          <w:rFonts w:eastAsia="MS Mincho"/>
        </w:rPr>
        <w:t xml:space="preserve">If a hypersensitivity reaction occurs, the participant must be treated according to the best available medical practice. A complete guideline for the emergency treatment of anaphylactic reactions according to the Working Group of the Resuscitation Council United Kingdom and can be found at </w:t>
      </w:r>
      <w:r w:rsidR="000B2A17" w:rsidRPr="00AF1814">
        <w:rPr>
          <w:rFonts w:eastAsia="MS Mincho"/>
        </w:rPr>
        <w:t>https://www.resus.org.uk/pages/reaction.pdf</w:t>
      </w:r>
      <w:r w:rsidRPr="00AF1814">
        <w:rPr>
          <w:rFonts w:eastAsia="MS Mincho"/>
        </w:rPr>
        <w:t>. Participants should be instructed to report any delayed reactions to the Investigator immediately.</w:t>
      </w:r>
    </w:p>
    <w:p w14:paraId="0D10F3CF" w14:textId="77777777" w:rsidR="009172DD" w:rsidRPr="00AF1814" w:rsidRDefault="00DA3174" w:rsidP="009172DD">
      <w:pPr>
        <w:pStyle w:val="BodyText"/>
        <w:rPr>
          <w:rFonts w:eastAsia="MS Mincho"/>
        </w:rPr>
      </w:pPr>
      <w:r w:rsidRPr="00AF1814">
        <w:rPr>
          <w:rFonts w:eastAsia="MS Mincho"/>
        </w:rPr>
        <w:t xml:space="preserve">Symptoms may include, but are not limited to: </w:t>
      </w:r>
    </w:p>
    <w:p w14:paraId="5E6602AC" w14:textId="77777777" w:rsidR="009172DD" w:rsidRPr="00AF1814" w:rsidRDefault="00DA3174" w:rsidP="00F15279">
      <w:pPr>
        <w:pStyle w:val="List1withbullet"/>
        <w:rPr>
          <w:rFonts w:eastAsia="MS Mincho"/>
        </w:rPr>
      </w:pPr>
      <w:r w:rsidRPr="00AF1814">
        <w:rPr>
          <w:rFonts w:eastAsia="MS Mincho"/>
        </w:rPr>
        <w:t>Impaired airway</w:t>
      </w:r>
    </w:p>
    <w:p w14:paraId="0A815C5A" w14:textId="77777777" w:rsidR="009172DD" w:rsidRPr="00AF1814" w:rsidRDefault="00DA3174" w:rsidP="00F15279">
      <w:pPr>
        <w:pStyle w:val="List1withbullet"/>
        <w:rPr>
          <w:rFonts w:eastAsia="MS Mincho"/>
        </w:rPr>
      </w:pPr>
      <w:r w:rsidRPr="00AF1814">
        <w:rPr>
          <w:rFonts w:eastAsia="MS Mincho"/>
        </w:rPr>
        <w:t>Decreased oxygen saturation (&lt; 92%)</w:t>
      </w:r>
    </w:p>
    <w:p w14:paraId="1FC09056" w14:textId="77777777" w:rsidR="009172DD" w:rsidRPr="00AF1814" w:rsidRDefault="00DA3174" w:rsidP="00F15279">
      <w:pPr>
        <w:pStyle w:val="List1withbullet"/>
        <w:rPr>
          <w:rFonts w:eastAsia="MS Mincho"/>
        </w:rPr>
      </w:pPr>
      <w:r w:rsidRPr="00AF1814">
        <w:rPr>
          <w:rFonts w:eastAsia="MS Mincho"/>
        </w:rPr>
        <w:t>Confusion</w:t>
      </w:r>
    </w:p>
    <w:p w14:paraId="396DEA17" w14:textId="77777777" w:rsidR="009172DD" w:rsidRPr="00AF1814" w:rsidRDefault="00DA3174" w:rsidP="00F15279">
      <w:pPr>
        <w:pStyle w:val="List1withbullet"/>
        <w:rPr>
          <w:rFonts w:eastAsia="MS Mincho"/>
        </w:rPr>
      </w:pPr>
      <w:r w:rsidRPr="00AF1814">
        <w:rPr>
          <w:rFonts w:eastAsia="MS Mincho"/>
        </w:rPr>
        <w:t>Lethargy</w:t>
      </w:r>
    </w:p>
    <w:p w14:paraId="48BA4CB2" w14:textId="77777777" w:rsidR="009172DD" w:rsidRPr="00AF1814" w:rsidRDefault="00DA3174" w:rsidP="00F15279">
      <w:pPr>
        <w:pStyle w:val="List1withbullet"/>
        <w:rPr>
          <w:rFonts w:eastAsia="MS Mincho"/>
        </w:rPr>
      </w:pPr>
      <w:r w:rsidRPr="00AF1814">
        <w:rPr>
          <w:rFonts w:eastAsia="MS Mincho"/>
        </w:rPr>
        <w:t>Hypotension</w:t>
      </w:r>
    </w:p>
    <w:p w14:paraId="2E1D286D" w14:textId="77777777" w:rsidR="009172DD" w:rsidRPr="00AF1814" w:rsidRDefault="00DA3174" w:rsidP="00F15279">
      <w:pPr>
        <w:pStyle w:val="List1withbullet"/>
        <w:rPr>
          <w:rFonts w:eastAsia="MS Mincho"/>
        </w:rPr>
      </w:pPr>
      <w:r w:rsidRPr="00AF1814">
        <w:rPr>
          <w:rFonts w:eastAsia="MS Mincho"/>
        </w:rPr>
        <w:t>Pale/clammy skin</w:t>
      </w:r>
    </w:p>
    <w:p w14:paraId="2FA49652" w14:textId="77777777" w:rsidR="009172DD" w:rsidRPr="00AF1814" w:rsidRDefault="00DA3174" w:rsidP="00F15279">
      <w:pPr>
        <w:pStyle w:val="List1withbullet"/>
        <w:rPr>
          <w:rFonts w:eastAsia="MS Mincho"/>
        </w:rPr>
      </w:pPr>
      <w:r w:rsidRPr="00AF1814">
        <w:rPr>
          <w:rFonts w:eastAsia="MS Mincho"/>
        </w:rPr>
        <w:t>Cyanosis.</w:t>
      </w:r>
    </w:p>
    <w:p w14:paraId="58278E85" w14:textId="77777777" w:rsidR="009172DD" w:rsidRPr="00AF1814" w:rsidRDefault="00DA3174" w:rsidP="009172DD">
      <w:pPr>
        <w:pStyle w:val="BodyText"/>
        <w:rPr>
          <w:rFonts w:eastAsia="MS Mincho"/>
        </w:rPr>
      </w:pPr>
      <w:r w:rsidRPr="00AF1814">
        <w:rPr>
          <w:rFonts w:eastAsia="MS Mincho"/>
        </w:rPr>
        <w:t xml:space="preserve">Management of hypersensitivity includes: </w:t>
      </w:r>
    </w:p>
    <w:p w14:paraId="00937024" w14:textId="77777777" w:rsidR="009172DD" w:rsidRPr="00AF1814" w:rsidRDefault="00DA3174" w:rsidP="00F15279">
      <w:pPr>
        <w:pStyle w:val="List1withbullet"/>
      </w:pPr>
      <w:r w:rsidRPr="00AF1814">
        <w:t xml:space="preserve">Epinephrine injection and </w:t>
      </w:r>
      <w:r w:rsidR="004A0E01" w:rsidRPr="00AF1814">
        <w:t>intravenous</w:t>
      </w:r>
      <w:r w:rsidRPr="00AF1814">
        <w:t xml:space="preserve"> dexamethasone</w:t>
      </w:r>
    </w:p>
    <w:p w14:paraId="3341D72A" w14:textId="77777777" w:rsidR="009172DD" w:rsidRPr="00AF1814" w:rsidRDefault="00DA3174" w:rsidP="00F15279">
      <w:pPr>
        <w:pStyle w:val="List1withbullet"/>
      </w:pPr>
      <w:r w:rsidRPr="00AF1814">
        <w:t>Participant should be placed on cardiac, blood pressure, heart rate, and oxygen saturation monitoring immediately</w:t>
      </w:r>
    </w:p>
    <w:p w14:paraId="7FE84809" w14:textId="77777777" w:rsidR="009172DD" w:rsidRPr="00AF1814" w:rsidRDefault="00DA3174" w:rsidP="00F15279">
      <w:pPr>
        <w:pStyle w:val="List1withbullet"/>
      </w:pPr>
      <w:r w:rsidRPr="00AF1814">
        <w:t xml:space="preserve">Alert intensive care unit for possible transfer if required. </w:t>
      </w:r>
    </w:p>
    <w:p w14:paraId="0D208E8D" w14:textId="77777777" w:rsidR="009172DD" w:rsidRPr="00AF1814" w:rsidRDefault="00DA3174" w:rsidP="009172DD">
      <w:pPr>
        <w:pStyle w:val="BodyText"/>
        <w:rPr>
          <w:rFonts w:eastAsia="MS Mincho"/>
          <w:b/>
        </w:rPr>
      </w:pPr>
      <w:r w:rsidRPr="00AF1814">
        <w:rPr>
          <w:rFonts w:eastAsia="MS Mincho"/>
          <w:b/>
        </w:rPr>
        <w:t>Prophylaxis of Flu</w:t>
      </w:r>
      <w:r w:rsidRPr="00AF1814">
        <w:rPr>
          <w:rFonts w:eastAsia="MS Mincho"/>
          <w:b/>
        </w:rPr>
        <w:noBreakHyphen/>
        <w:t>Like Symptoms</w:t>
      </w:r>
    </w:p>
    <w:p w14:paraId="35096A1A" w14:textId="77777777" w:rsidR="009172DD" w:rsidRPr="00AF1814" w:rsidRDefault="00DA3174" w:rsidP="009172DD">
      <w:pPr>
        <w:pStyle w:val="BodyText"/>
        <w:rPr>
          <w:rFonts w:eastAsia="MS Mincho"/>
        </w:rPr>
      </w:pPr>
      <w:r w:rsidRPr="00AF1814">
        <w:rPr>
          <w:rFonts w:eastAsia="MS Mincho"/>
        </w:rPr>
        <w:t>For prophylaxis of flu</w:t>
      </w:r>
      <w:r w:rsidRPr="00AF1814">
        <w:rPr>
          <w:rFonts w:eastAsia="MS Mincho"/>
        </w:rPr>
        <w:noBreakHyphen/>
        <w:t>like symptoms, a nonsteroidal anti-inflammatory drug, e.g., ibuprofen 400</w:t>
      </w:r>
      <w:r w:rsidR="0013423F" w:rsidRPr="00AF1814">
        <w:rPr>
          <w:rFonts w:eastAsia="MS Mincho"/>
        </w:rPr>
        <w:t> </w:t>
      </w:r>
      <w:r w:rsidRPr="00AF1814">
        <w:rPr>
          <w:rFonts w:eastAsia="MS Mincho"/>
        </w:rPr>
        <w:t xml:space="preserve">mg or comparable </w:t>
      </w:r>
      <w:r w:rsidR="00A713F5" w:rsidRPr="00AF1814">
        <w:rPr>
          <w:rFonts w:eastAsia="MS Mincho"/>
        </w:rPr>
        <w:t>nonsteroidal anti-inflammatory drug</w:t>
      </w:r>
      <w:r w:rsidRPr="00AF1814">
        <w:rPr>
          <w:rFonts w:eastAsia="MS Mincho"/>
        </w:rPr>
        <w:t xml:space="preserve"> dose, may be administered 2 hours before and 8 hours after the start of each </w:t>
      </w:r>
      <w:r w:rsidR="004A0E01" w:rsidRPr="00AF1814">
        <w:t>intravenous</w:t>
      </w:r>
      <w:r w:rsidRPr="00AF1814">
        <w:rPr>
          <w:rFonts w:eastAsia="MS Mincho"/>
        </w:rPr>
        <w:t xml:space="preserve"> infusion.</w:t>
      </w:r>
    </w:p>
    <w:p w14:paraId="453827BC" w14:textId="77777777" w:rsidR="009172DD" w:rsidRPr="00AF1814" w:rsidRDefault="00DA3174" w:rsidP="009172DD">
      <w:pPr>
        <w:pStyle w:val="Heading4"/>
      </w:pPr>
      <w:bookmarkStart w:id="293" w:name="_Ref14268516"/>
      <w:bookmarkStart w:id="294" w:name="_Toc26887521"/>
      <w:bookmarkStart w:id="295" w:name="_Toc44601712"/>
      <w:r w:rsidRPr="00AF1814">
        <w:t>Immune-related Adverse Events</w:t>
      </w:r>
      <w:bookmarkEnd w:id="293"/>
      <w:bookmarkEnd w:id="294"/>
      <w:bookmarkEnd w:id="295"/>
    </w:p>
    <w:p w14:paraId="16592B4B" w14:textId="77777777" w:rsidR="009172DD" w:rsidRPr="00AF1814" w:rsidRDefault="00DA3174" w:rsidP="009172DD">
      <w:pPr>
        <w:pStyle w:val="BodyText"/>
      </w:pPr>
      <w:r w:rsidRPr="00AF1814">
        <w:t xml:space="preserve">Immune-related AEs are specific to immunotherapies and vary by organ system. Immune-related AEs are important identified risks for </w:t>
      </w:r>
      <w:r w:rsidRPr="00AF1814">
        <w:rPr>
          <w:rFonts w:eastAsia="Calibri"/>
        </w:rPr>
        <w:t>bintrafusp alfa</w:t>
      </w:r>
      <w:r w:rsidRPr="00AF1814">
        <w:t xml:space="preserve">. </w:t>
      </w:r>
    </w:p>
    <w:p w14:paraId="75DEA779" w14:textId="2889A96E" w:rsidR="009172DD" w:rsidRPr="00AF1814" w:rsidRDefault="00DA3174" w:rsidP="009172DD">
      <w:pPr>
        <w:pStyle w:val="Bodytext-keepwithnext"/>
        <w:keepNext w:val="0"/>
        <w:rPr>
          <w:rFonts w:eastAsia="MS Mincho"/>
          <w:lang w:eastAsia="ja-JP" w:bidi="he-IL"/>
        </w:rPr>
      </w:pPr>
      <w:r w:rsidRPr="00AF1814">
        <w:rPr>
          <w:rFonts w:eastAsia="MS Mincho"/>
          <w:lang w:eastAsia="ja-JP" w:bidi="he-IL"/>
        </w:rPr>
        <w:t xml:space="preserve">In general, the spectrum of irAEs is similar for </w:t>
      </w:r>
      <w:r w:rsidRPr="00AF1814">
        <w:rPr>
          <w:rFonts w:eastAsia="Calibri"/>
        </w:rPr>
        <w:t>bintrafusp alfa</w:t>
      </w:r>
      <w:r w:rsidRPr="00AF1814">
        <w:rPr>
          <w:rFonts w:eastAsia="MS Mincho"/>
          <w:lang w:eastAsia="ja-JP" w:bidi="he-IL"/>
        </w:rPr>
        <w:t xml:space="preserve"> compared with other checkpoint inhibitors. Effective risk management of these toxicities (irAEs) primarily caused due to inhibition of PD</w:t>
      </w:r>
      <w:r w:rsidRPr="00AF1814">
        <w:rPr>
          <w:rFonts w:eastAsia="MS Mincho"/>
          <w:lang w:eastAsia="ja-JP" w:bidi="he-IL"/>
        </w:rPr>
        <w:noBreakHyphen/>
        <w:t>L1 and PD</w:t>
      </w:r>
      <w:r w:rsidRPr="00AF1814">
        <w:rPr>
          <w:rFonts w:eastAsia="MS Mincho"/>
          <w:lang w:eastAsia="ja-JP" w:bidi="he-IL"/>
        </w:rPr>
        <w:noBreakHyphen/>
        <w:t>1 pathways is based on key recommendations (</w:t>
      </w:r>
      <w:hyperlink w:anchor="_Champiat_S,_Lambotte" w:history="1">
        <w:r w:rsidRPr="00AF1814">
          <w:rPr>
            <w:rStyle w:val="Hyperlink"/>
            <w:rFonts w:eastAsia="MS Mincho"/>
            <w:lang w:eastAsia="ja-JP" w:bidi="he-IL"/>
          </w:rPr>
          <w:t>Champiat 2016</w:t>
        </w:r>
      </w:hyperlink>
      <w:r w:rsidRPr="00AF1814">
        <w:rPr>
          <w:rFonts w:eastAsia="MS Mincho"/>
          <w:lang w:eastAsia="ja-JP" w:bidi="he-IL"/>
        </w:rPr>
        <w:t>). Participant education for on-time reporting of symptoms of potential irAEs and prompt clinical assessment is critical for effective management and quicker resolution of immune</w:t>
      </w:r>
      <w:r w:rsidRPr="00AF1814">
        <w:rPr>
          <w:rFonts w:eastAsia="MS Mincho"/>
          <w:lang w:eastAsia="ja-JP" w:bidi="he-IL"/>
        </w:rPr>
        <w:noBreakHyphen/>
        <w:t>mediated toxicities, thus preventing progression into severe forms of toxicity that otherwise may become life-threatening and difficult to manage or warrant permanent discontinuation from the study.</w:t>
      </w:r>
    </w:p>
    <w:p w14:paraId="79CBB4E1" w14:textId="77777777" w:rsidR="009172DD" w:rsidRPr="00AF1814" w:rsidRDefault="00DA3174" w:rsidP="009172DD">
      <w:pPr>
        <w:pStyle w:val="Bodytext-keepwithnext"/>
        <w:keepNext w:val="0"/>
        <w:rPr>
          <w:rFonts w:eastAsia="MS Mincho"/>
          <w:lang w:eastAsia="ja-JP" w:bidi="he-IL"/>
        </w:rPr>
      </w:pPr>
      <w:r w:rsidRPr="00AF1814">
        <w:rPr>
          <w:rFonts w:eastAsia="MS Mincho"/>
          <w:lang w:eastAsia="ja-JP" w:bidi="he-IL"/>
        </w:rPr>
        <w:lastRenderedPageBreak/>
        <w:t xml:space="preserve">The Medical Monitor may be involved as needed for follow-up. Details of the diagnostic work-up will be requested by the study team. </w:t>
      </w:r>
    </w:p>
    <w:p w14:paraId="16E7198C" w14:textId="68DBDCD6" w:rsidR="009172DD" w:rsidRPr="00AF1814" w:rsidRDefault="00DA3174" w:rsidP="009172DD">
      <w:pPr>
        <w:pStyle w:val="Bodytext-keepwithnext"/>
        <w:keepNext w:val="0"/>
        <w:rPr>
          <w:rFonts w:eastAsia="MS Mincho"/>
          <w:lang w:eastAsia="ja-JP" w:bidi="he-IL"/>
        </w:rPr>
      </w:pPr>
      <w:r w:rsidRPr="00AF1814">
        <w:rPr>
          <w:rFonts w:eastAsia="MS Mincho"/>
          <w:lang w:eastAsia="ja-JP" w:bidi="he-IL"/>
        </w:rPr>
        <w:t xml:space="preserve">Recommended guidance and management for specific irAEs as provided in </w:t>
      </w:r>
      <w:r w:rsidR="00051D65" w:rsidRPr="00AF1814">
        <w:rPr>
          <w:rFonts w:eastAsia="MS Mincho"/>
          <w:lang w:eastAsia="ja-JP" w:bidi="he-IL"/>
        </w:rPr>
        <w:t>the current NCCN guideline</w:t>
      </w:r>
      <w:r w:rsidR="00971FB7" w:rsidRPr="00AF1814">
        <w:rPr>
          <w:rFonts w:eastAsia="MS Mincho"/>
          <w:lang w:eastAsia="ja-JP" w:bidi="he-IL"/>
        </w:rPr>
        <w:t xml:space="preserve"> </w:t>
      </w:r>
      <w:r w:rsidR="005A3AB6" w:rsidRPr="00AF1814">
        <w:rPr>
          <w:rFonts w:eastAsia="MS Mincho"/>
          <w:lang w:eastAsia="ja-JP" w:bidi="he-IL"/>
        </w:rPr>
        <w:t xml:space="preserve">available </w:t>
      </w:r>
      <w:r w:rsidR="00971FB7" w:rsidRPr="00AF1814">
        <w:rPr>
          <w:rFonts w:eastAsia="MS Mincho"/>
          <w:lang w:eastAsia="ja-JP" w:bidi="he-IL"/>
        </w:rPr>
        <w:t xml:space="preserve">at </w:t>
      </w:r>
      <w:r w:rsidR="0089522D" w:rsidRPr="00AF1814">
        <w:rPr>
          <w:rFonts w:eastAsia="MS Mincho"/>
          <w:lang w:eastAsia="ja-JP" w:bidi="he-IL"/>
        </w:rPr>
        <w:t>http://www.nccn.org</w:t>
      </w:r>
      <w:r w:rsidR="007131BB" w:rsidRPr="00AF1814">
        <w:rPr>
          <w:rFonts w:eastAsia="MS Mincho"/>
          <w:lang w:eastAsia="ja-JP" w:bidi="he-IL"/>
        </w:rPr>
        <w:t>.</w:t>
      </w:r>
    </w:p>
    <w:p w14:paraId="3ACBC270" w14:textId="4435B0C2" w:rsidR="009172DD" w:rsidRPr="00AF1814" w:rsidRDefault="00DA3174" w:rsidP="009172DD">
      <w:pPr>
        <w:pStyle w:val="Bodytext-keepwithnext"/>
        <w:keepNext w:val="0"/>
        <w:rPr>
          <w:rFonts w:eastAsia="MS Mincho"/>
          <w:lang w:eastAsia="ja-JP" w:bidi="he-IL"/>
        </w:rPr>
      </w:pPr>
      <w:r w:rsidRPr="00AF1814">
        <w:rPr>
          <w:rFonts w:eastAsia="MS Mincho"/>
          <w:lang w:eastAsia="ja-JP" w:bidi="he-IL"/>
        </w:rPr>
        <w:t xml:space="preserve">According to </w:t>
      </w:r>
      <w:r w:rsidR="00C125F8" w:rsidRPr="00AF1814">
        <w:t>American Society of Clinical Oncology</w:t>
      </w:r>
      <w:r w:rsidR="00C125F8" w:rsidRPr="00AF1814">
        <w:rPr>
          <w:rFonts w:eastAsia="MS Mincho"/>
          <w:lang w:eastAsia="ja-JP" w:bidi="he-IL"/>
        </w:rPr>
        <w:t xml:space="preserve"> </w:t>
      </w:r>
      <w:r w:rsidRPr="00AF1814">
        <w:rPr>
          <w:rFonts w:eastAsia="MS Mincho"/>
          <w:lang w:eastAsia="ja-JP" w:bidi="he-IL"/>
        </w:rPr>
        <w:t>Clinical Practice Guideline (</w:t>
      </w:r>
      <w:hyperlink w:anchor="_Brahmer_JR,_Lacchetti" w:history="1">
        <w:r w:rsidRPr="00AF1814">
          <w:rPr>
            <w:rStyle w:val="Hyperlink"/>
            <w:rFonts w:eastAsia="MS Mincho"/>
            <w:lang w:eastAsia="ja-JP" w:bidi="he-IL"/>
          </w:rPr>
          <w:t>Brahmer 2018</w:t>
        </w:r>
      </w:hyperlink>
      <w:r w:rsidRPr="00AF1814">
        <w:rPr>
          <w:rFonts w:eastAsia="MS Mincho"/>
          <w:lang w:eastAsia="ja-JP" w:bidi="he-IL"/>
        </w:rPr>
        <w:t>), t</w:t>
      </w:r>
      <w:r w:rsidR="001A74DA" w:rsidRPr="00AF1814">
        <w:rPr>
          <w:rFonts w:eastAsia="MS Mincho"/>
          <w:lang w:eastAsia="ja-JP" w:bidi="he-IL"/>
        </w:rPr>
        <w:t xml:space="preserve">reatment of irAEs is mainly dependent upon severity as defined by NCI-CTCAE </w:t>
      </w:r>
      <w:r w:rsidR="00B56CC3" w:rsidRPr="00AF1814">
        <w:rPr>
          <w:rFonts w:eastAsia="MS Mincho"/>
          <w:lang w:eastAsia="ja-JP" w:bidi="he-IL"/>
        </w:rPr>
        <w:t>v</w:t>
      </w:r>
      <w:r w:rsidR="001A74DA" w:rsidRPr="00AF1814">
        <w:rPr>
          <w:rFonts w:eastAsia="MS Mincho"/>
          <w:lang w:eastAsia="ja-JP" w:bidi="he-IL"/>
        </w:rPr>
        <w:t>5.0. In general, management by NCI</w:t>
      </w:r>
      <w:r w:rsidR="001A74DA" w:rsidRPr="00AF1814">
        <w:rPr>
          <w:rFonts w:eastAsia="MS Mincho"/>
          <w:lang w:eastAsia="ja-JP" w:bidi="he-IL"/>
        </w:rPr>
        <w:noBreakHyphen/>
        <w:t>CTCAE v5.0 grading is listed below:</w:t>
      </w:r>
    </w:p>
    <w:p w14:paraId="35EF0D78" w14:textId="77777777" w:rsidR="009172DD" w:rsidRPr="00AF1814" w:rsidRDefault="00DA3174" w:rsidP="0013423F">
      <w:pPr>
        <w:pStyle w:val="List1withbullet"/>
        <w:numPr>
          <w:ilvl w:val="0"/>
          <w:numId w:val="41"/>
        </w:numPr>
        <w:rPr>
          <w:rFonts w:eastAsia="MS Mincho"/>
        </w:rPr>
      </w:pPr>
      <w:r w:rsidRPr="00AF1814">
        <w:rPr>
          <w:rFonts w:eastAsia="MS Mincho"/>
        </w:rPr>
        <w:t xml:space="preserve">Grade 1: </w:t>
      </w:r>
      <w:r w:rsidRPr="00AF1814">
        <w:t xml:space="preserve">study intervention </w:t>
      </w:r>
      <w:r w:rsidRPr="00AF1814">
        <w:rPr>
          <w:rFonts w:eastAsia="MS Mincho"/>
        </w:rPr>
        <w:t>should be continued with close monitoring, with the exception of some neurologic,</w:t>
      </w:r>
      <w:r w:rsidR="007131BB" w:rsidRPr="00AF1814">
        <w:rPr>
          <w:rFonts w:eastAsia="MS Mincho"/>
        </w:rPr>
        <w:t xml:space="preserve"> hematologic</w:t>
      </w:r>
      <w:r w:rsidR="00873563" w:rsidRPr="00AF1814">
        <w:rPr>
          <w:rFonts w:eastAsia="MS Mincho"/>
        </w:rPr>
        <w:t xml:space="preserve">, </w:t>
      </w:r>
      <w:r w:rsidRPr="00AF1814">
        <w:rPr>
          <w:rFonts w:eastAsia="MS Mincho"/>
        </w:rPr>
        <w:t xml:space="preserve">and cardiac toxicities. </w:t>
      </w:r>
    </w:p>
    <w:p w14:paraId="2EE472B6" w14:textId="77777777" w:rsidR="009172DD" w:rsidRPr="00AF1814" w:rsidRDefault="00DA3174" w:rsidP="0013423F">
      <w:pPr>
        <w:pStyle w:val="List1withbullet"/>
        <w:numPr>
          <w:ilvl w:val="0"/>
          <w:numId w:val="41"/>
        </w:numPr>
        <w:rPr>
          <w:rFonts w:eastAsia="MS Mincho"/>
        </w:rPr>
      </w:pPr>
      <w:r w:rsidRPr="00AF1814">
        <w:rPr>
          <w:rFonts w:eastAsia="MS Mincho"/>
        </w:rPr>
        <w:t xml:space="preserve">Grade 2: </w:t>
      </w:r>
      <w:r w:rsidRPr="00AF1814">
        <w:t xml:space="preserve">study intervention </w:t>
      </w:r>
      <w:r w:rsidRPr="00AF1814">
        <w:rPr>
          <w:rFonts w:eastAsia="MS Mincho"/>
        </w:rPr>
        <w:t xml:space="preserve">may be suspended for </w:t>
      </w:r>
      <w:r w:rsidR="00A45570" w:rsidRPr="00AF1814">
        <w:rPr>
          <w:rFonts w:eastAsia="MS Mincho"/>
        </w:rPr>
        <w:t xml:space="preserve">some </w:t>
      </w:r>
      <w:r w:rsidRPr="00AF1814">
        <w:rPr>
          <w:rFonts w:eastAsia="MS Mincho"/>
        </w:rPr>
        <w:t xml:space="preserve">Grade 2 toxicities, with consideration of resuming when symptoms revert to Grade 1 or less. Corticosteroids may be administered (initial dose of 0.5 to 1 mg/kg/day of prednisone or equivalent). </w:t>
      </w:r>
    </w:p>
    <w:p w14:paraId="0D1179DA" w14:textId="77777777" w:rsidR="009172DD" w:rsidRPr="00AF1814" w:rsidRDefault="00DA3174" w:rsidP="0013423F">
      <w:pPr>
        <w:pStyle w:val="List1withbullet"/>
        <w:numPr>
          <w:ilvl w:val="0"/>
          <w:numId w:val="41"/>
        </w:numPr>
        <w:rPr>
          <w:rFonts w:eastAsia="MS Mincho"/>
        </w:rPr>
      </w:pPr>
      <w:r w:rsidRPr="00AF1814">
        <w:rPr>
          <w:rFonts w:eastAsia="MS Mincho"/>
        </w:rPr>
        <w:t xml:space="preserve">Grade 3: </w:t>
      </w:r>
      <w:r w:rsidRPr="00AF1814">
        <w:t xml:space="preserve">study intervention </w:t>
      </w:r>
      <w:r w:rsidRPr="00AF1814">
        <w:rPr>
          <w:rFonts w:eastAsia="MS Mincho"/>
        </w:rPr>
        <w:t xml:space="preserve">is generally suspended and the high-dose corticosteroids (prednisone 1 to 2 mg/kg/day or methylprednisolone 1 to 2 mg/kg/day) treatment should be initiated. Corticosteroids should be tapered over the course of at least 4 to 6 weeks. Some refractory cases may require infliximab or other immunosuppressive therapy. </w:t>
      </w:r>
    </w:p>
    <w:p w14:paraId="727C497A" w14:textId="77777777" w:rsidR="009172DD" w:rsidRPr="00AF1814" w:rsidRDefault="00DA3174" w:rsidP="0013423F">
      <w:pPr>
        <w:pStyle w:val="List1withbullet"/>
        <w:numPr>
          <w:ilvl w:val="0"/>
          <w:numId w:val="41"/>
        </w:numPr>
        <w:rPr>
          <w:rFonts w:eastAsia="MS Mincho"/>
        </w:rPr>
      </w:pPr>
      <w:r w:rsidRPr="00AF1814">
        <w:rPr>
          <w:rFonts w:eastAsia="MS Mincho"/>
        </w:rPr>
        <w:t xml:space="preserve">Grade 4: in general, permanent discontinuation of </w:t>
      </w:r>
      <w:r w:rsidRPr="00AF1814">
        <w:t xml:space="preserve">study intervention </w:t>
      </w:r>
      <w:r w:rsidRPr="00AF1814">
        <w:rPr>
          <w:rFonts w:eastAsia="MS Mincho"/>
        </w:rPr>
        <w:t>is recommended, with the exception of endocrinopathies that have been controlled by hormone replacement.</w:t>
      </w:r>
    </w:p>
    <w:p w14:paraId="251BD0BF" w14:textId="77777777" w:rsidR="009172DD" w:rsidRPr="00AF1814" w:rsidRDefault="00DA3174" w:rsidP="009172DD">
      <w:pPr>
        <w:pStyle w:val="BodyText"/>
        <w:rPr>
          <w:lang w:eastAsia="ja-JP"/>
        </w:rPr>
      </w:pPr>
      <w:r w:rsidRPr="00AF1814">
        <w:rPr>
          <w:lang w:eastAsia="ja-JP"/>
        </w:rPr>
        <w:t xml:space="preserve">Permanent treatment discontinuation is required in case of immune-related Grade 4 rash/inflammatory dermatitis, nephritis, autoimmune hemolytic anemia, hemolytic uremic syndrome, aplastic anemia, immune thrombocytopenia, and acquired thrombotic thrombocytopenic purpura. </w:t>
      </w:r>
    </w:p>
    <w:p w14:paraId="3723F9F1" w14:textId="77777777" w:rsidR="00FC7039" w:rsidRPr="00AF1814" w:rsidRDefault="00DA3174" w:rsidP="009172DD">
      <w:pPr>
        <w:pStyle w:val="BodyText"/>
        <w:rPr>
          <w:rFonts w:eastAsia="MS Mincho"/>
        </w:rPr>
      </w:pPr>
      <w:r w:rsidRPr="00AF1814">
        <w:rPr>
          <w:rFonts w:eastAsia="MS Mincho"/>
        </w:rPr>
        <w:t xml:space="preserve">For Grade 4 immune-related lymphopenia, permanent treatment discontinuation will be required, if lymphopenia is considered immune-related in nature, no clear alternative explanation exists for the event, and </w:t>
      </w:r>
      <w:r w:rsidR="00F11796" w:rsidRPr="00AF1814">
        <w:rPr>
          <w:rFonts w:eastAsia="MS Mincho"/>
        </w:rPr>
        <w:t>it</w:t>
      </w:r>
      <w:r w:rsidRPr="00AF1814">
        <w:rPr>
          <w:rFonts w:eastAsia="MS Mincho"/>
        </w:rPr>
        <w:t xml:space="preserve"> does not resolve within 14 days. Permanent treatment discontinuation is not required when the AE is manifest</w:t>
      </w:r>
      <w:r w:rsidR="005C7B87" w:rsidRPr="00AF1814">
        <w:rPr>
          <w:rFonts w:eastAsia="MS Mincho"/>
        </w:rPr>
        <w:t>ed</w:t>
      </w:r>
      <w:r w:rsidRPr="00AF1814">
        <w:rPr>
          <w:rFonts w:eastAsia="MS Mincho"/>
        </w:rPr>
        <w:t xml:space="preserve"> by a single laboratory value out of normal range without any clinical correlates. In this case, treatment should be held until the etiology is determined. If the event is not </w:t>
      </w:r>
      <w:r w:rsidRPr="00AF1814">
        <w:rPr>
          <w:rFonts w:eastAsia="MS Mincho" w:hint="eastAsia"/>
        </w:rPr>
        <w:t>considered immune</w:t>
      </w:r>
      <w:r w:rsidR="005C7B87" w:rsidRPr="00AF1814">
        <w:rPr>
          <w:rFonts w:eastAsia="MS Mincho"/>
        </w:rPr>
        <w:noBreakHyphen/>
      </w:r>
      <w:r w:rsidRPr="00AF1814">
        <w:rPr>
          <w:rFonts w:eastAsia="MS Mincho" w:hint="eastAsia"/>
        </w:rPr>
        <w:t xml:space="preserve">related and resolves to Grade </w:t>
      </w:r>
      <w:r w:rsidRPr="00AF1814">
        <w:rPr>
          <w:rFonts w:eastAsia="MS Mincho"/>
        </w:rPr>
        <w:t>≤</w:t>
      </w:r>
      <w:r w:rsidRPr="00AF1814">
        <w:rPr>
          <w:rFonts w:eastAsia="MS Mincho" w:hint="eastAsia"/>
        </w:rPr>
        <w:t xml:space="preserve"> 1</w:t>
      </w:r>
      <w:r w:rsidR="005C7B87" w:rsidRPr="00AF1814">
        <w:rPr>
          <w:rFonts w:eastAsia="MS Mincho"/>
        </w:rPr>
        <w:t>,</w:t>
      </w:r>
      <w:r w:rsidRPr="00AF1814">
        <w:rPr>
          <w:rFonts w:eastAsia="MS Mincho" w:hint="eastAsia"/>
        </w:rPr>
        <w:t xml:space="preserve"> restarting treatment may be considered.</w:t>
      </w:r>
      <w:r w:rsidRPr="00AF1814">
        <w:rPr>
          <w:rFonts w:eastAsia="MS Mincho"/>
        </w:rPr>
        <w:t xml:space="preserve"> </w:t>
      </w:r>
    </w:p>
    <w:p w14:paraId="7A38621F" w14:textId="0C6872E4" w:rsidR="009172DD" w:rsidRPr="00AF1814" w:rsidRDefault="00DA3174" w:rsidP="009172DD">
      <w:pPr>
        <w:pStyle w:val="BodyText"/>
        <w:rPr>
          <w:rFonts w:eastAsia="MS Mincho"/>
        </w:rPr>
      </w:pPr>
      <w:r w:rsidRPr="00AF1814">
        <w:rPr>
          <w:rFonts w:eastAsia="MS Mincho"/>
        </w:rPr>
        <w:t xml:space="preserve">For organ/system specific management guidelines, see </w:t>
      </w:r>
      <w:r w:rsidRPr="00AF1814">
        <w:rPr>
          <w:rFonts w:eastAsia="MS Mincho"/>
          <w:lang w:eastAsia="ja-JP" w:bidi="he-IL"/>
        </w:rPr>
        <w:t xml:space="preserve">the </w:t>
      </w:r>
      <w:r w:rsidR="00FC7039" w:rsidRPr="00AF1814">
        <w:rPr>
          <w:rFonts w:eastAsia="MS Mincho"/>
          <w:lang w:eastAsia="ja-JP" w:bidi="he-IL"/>
        </w:rPr>
        <w:t>current NCCN guideline</w:t>
      </w:r>
      <w:r w:rsidR="00971FB7" w:rsidRPr="00AF1814">
        <w:rPr>
          <w:rFonts w:eastAsia="MS Mincho"/>
          <w:lang w:eastAsia="ja-JP" w:bidi="he-IL"/>
        </w:rPr>
        <w:t xml:space="preserve"> </w:t>
      </w:r>
      <w:r w:rsidR="005A3AB6" w:rsidRPr="00AF1814">
        <w:rPr>
          <w:rFonts w:eastAsia="MS Mincho"/>
          <w:lang w:eastAsia="ja-JP" w:bidi="he-IL"/>
        </w:rPr>
        <w:t xml:space="preserve">available </w:t>
      </w:r>
      <w:r w:rsidR="00971FB7" w:rsidRPr="00AF1814">
        <w:rPr>
          <w:rFonts w:eastAsia="MS Mincho"/>
          <w:lang w:eastAsia="ja-JP" w:bidi="he-IL"/>
        </w:rPr>
        <w:t xml:space="preserve">at </w:t>
      </w:r>
      <w:r w:rsidR="0089522D" w:rsidRPr="00AF1814">
        <w:rPr>
          <w:rFonts w:eastAsia="MS Mincho"/>
          <w:lang w:eastAsia="ja-JP" w:bidi="he-IL"/>
        </w:rPr>
        <w:t>http://www.nccn.org</w:t>
      </w:r>
      <w:r w:rsidR="00FC7039" w:rsidRPr="00AF1814">
        <w:rPr>
          <w:rFonts w:eastAsia="MS Mincho"/>
          <w:lang w:eastAsia="ja-JP" w:bidi="he-IL"/>
        </w:rPr>
        <w:t>.</w:t>
      </w:r>
    </w:p>
    <w:p w14:paraId="60193BB7" w14:textId="77777777" w:rsidR="009172DD" w:rsidRPr="00AF1814" w:rsidRDefault="00DA3174" w:rsidP="009172DD">
      <w:pPr>
        <w:pStyle w:val="Heading4"/>
      </w:pPr>
      <w:bookmarkStart w:id="296" w:name="_Ref13668751"/>
      <w:bookmarkStart w:id="297" w:name="_Ref14268600"/>
      <w:bookmarkStart w:id="298" w:name="_Toc26887522"/>
      <w:bookmarkStart w:id="299" w:name="_Toc44601713"/>
      <w:r w:rsidRPr="00AF1814">
        <w:t>Potential TGF</w:t>
      </w:r>
      <w:r w:rsidRPr="00AF1814">
        <w:noBreakHyphen/>
        <w:t>β-mediated Skin Adverse Events</w:t>
      </w:r>
      <w:bookmarkEnd w:id="296"/>
      <w:bookmarkEnd w:id="297"/>
      <w:bookmarkEnd w:id="298"/>
      <w:bookmarkEnd w:id="299"/>
    </w:p>
    <w:p w14:paraId="4314D072" w14:textId="2E2148F6" w:rsidR="009172DD" w:rsidRPr="00AF1814" w:rsidRDefault="00DA3174" w:rsidP="009172DD">
      <w:r w:rsidRPr="00AF1814">
        <w:t>Skin assessments are performed at Screening period and every 6 weeks for all participants per Schedule of Activities (see</w:t>
      </w:r>
      <w:r w:rsidRPr="00AF1814">
        <w:rPr>
          <w:color w:val="0000FF"/>
        </w:rPr>
        <w:t xml:space="preserve"> </w:t>
      </w:r>
      <w:r w:rsidR="00FF2EA3" w:rsidRPr="00E44F28">
        <w:t xml:space="preserve">Section </w:t>
      </w:r>
      <w:r w:rsidR="00FF2EA3" w:rsidRPr="00E44F28">
        <w:fldChar w:fldCharType="begin"/>
      </w:r>
      <w:r w:rsidR="00FF2EA3" w:rsidRPr="00E44F28">
        <w:instrText xml:space="preserve"> REF _Ref33108756 \r \h </w:instrText>
      </w:r>
      <w:r w:rsidR="00AF1814" w:rsidRPr="00E44F28">
        <w:instrText xml:space="preserve"> \* MERGEFORMAT </w:instrText>
      </w:r>
      <w:r w:rsidR="00FF2EA3" w:rsidRPr="00E44F28">
        <w:fldChar w:fldCharType="separate"/>
      </w:r>
      <w:r w:rsidR="00C548C3" w:rsidRPr="00E44F28">
        <w:t>1.3</w:t>
      </w:r>
      <w:r w:rsidR="00FF2EA3" w:rsidRPr="00E44F28">
        <w:fldChar w:fldCharType="end"/>
      </w:r>
      <w:r w:rsidRPr="00E44F28">
        <w:t xml:space="preserve">). </w:t>
      </w:r>
      <w:r w:rsidRPr="00AF1814">
        <w:t xml:space="preserve">Baseline skin assessments include a detailed medical history of genetic or iatrogenic skin conditions, skin type, </w:t>
      </w:r>
      <w:r w:rsidRPr="00AF1814">
        <w:rPr>
          <w:rFonts w:cstheme="minorHAnsi"/>
        </w:rPr>
        <w:t xml:space="preserve">significant </w:t>
      </w:r>
      <w:r w:rsidR="005C7B87" w:rsidRPr="00AF1814">
        <w:rPr>
          <w:rFonts w:cstheme="minorHAnsi"/>
        </w:rPr>
        <w:t>ultraviolet</w:t>
      </w:r>
      <w:r w:rsidRPr="00AF1814">
        <w:rPr>
          <w:rFonts w:cstheme="minorHAnsi"/>
        </w:rPr>
        <w:t xml:space="preserve"> exposure/sun damage of skin, </w:t>
      </w:r>
      <w:r w:rsidRPr="00AF1814">
        <w:t xml:space="preserve">geographical location, and occupational or environmental exposure to radiation or chemicals.  </w:t>
      </w:r>
    </w:p>
    <w:p w14:paraId="108D6DA6" w14:textId="77777777" w:rsidR="009172DD" w:rsidRPr="00AF1814" w:rsidRDefault="00DA3174" w:rsidP="009172DD">
      <w:pPr>
        <w:pStyle w:val="BodyText"/>
      </w:pPr>
      <w:r w:rsidRPr="00AF1814">
        <w:lastRenderedPageBreak/>
        <w:t>Skin AEs, possibly due to TGF</w:t>
      </w:r>
      <w:r w:rsidRPr="00AF1814">
        <w:noBreakHyphen/>
        <w:t>β inhibition, including hyperkeratosis, KA</w:t>
      </w:r>
      <w:r w:rsidR="005C7B87" w:rsidRPr="00AF1814">
        <w:t>,</w:t>
      </w:r>
      <w:r w:rsidRPr="00AF1814">
        <w:t xml:space="preserve"> and/or cSCC, are important identified risks for </w:t>
      </w:r>
      <w:r w:rsidRPr="00AF1814">
        <w:rPr>
          <w:rFonts w:eastAsia="Calibri"/>
        </w:rPr>
        <w:t>bintrafusp alfa</w:t>
      </w:r>
      <w:r w:rsidRPr="00AF1814">
        <w:t>. The distribution of lesions tends to be in sun</w:t>
      </w:r>
      <w:r w:rsidRPr="00AF1814">
        <w:noBreakHyphen/>
        <w:t>exposed areas.</w:t>
      </w:r>
    </w:p>
    <w:p w14:paraId="1CB430AE" w14:textId="77777777" w:rsidR="009172DD" w:rsidRPr="00AF1814" w:rsidRDefault="00DA3174" w:rsidP="009172DD">
      <w:r w:rsidRPr="00AF1814">
        <w:t>Management guidelines for potential TGF</w:t>
      </w:r>
      <w:r w:rsidRPr="00AF1814">
        <w:noBreakHyphen/>
        <w:t xml:space="preserve">β mediated skin </w:t>
      </w:r>
      <w:r w:rsidR="00922578" w:rsidRPr="00AF1814">
        <w:t>AE</w:t>
      </w:r>
      <w:r w:rsidRPr="00AF1814">
        <w:t>s are:</w:t>
      </w:r>
    </w:p>
    <w:p w14:paraId="47BC3F9A" w14:textId="77777777" w:rsidR="009172DD" w:rsidRPr="00AF1814" w:rsidRDefault="00DA3174" w:rsidP="00D41352">
      <w:pPr>
        <w:pStyle w:val="List1withbullet"/>
        <w:numPr>
          <w:ilvl w:val="0"/>
          <w:numId w:val="12"/>
        </w:numPr>
      </w:pPr>
      <w:r w:rsidRPr="00AF1814">
        <w:t xml:space="preserve">Discontinuation or interruption is not required in most cases. Continuation of treatment should be evaluated by the Investigator. </w:t>
      </w:r>
    </w:p>
    <w:p w14:paraId="1BE0E039" w14:textId="77777777" w:rsidR="009172DD" w:rsidRPr="00AF1814" w:rsidRDefault="00DA3174" w:rsidP="00D41352">
      <w:pPr>
        <w:pStyle w:val="List1withbullet"/>
        <w:numPr>
          <w:ilvl w:val="0"/>
          <w:numId w:val="12"/>
        </w:numPr>
      </w:pPr>
      <w:r w:rsidRPr="00AF1814">
        <w:t>Emollients may continue to be used.</w:t>
      </w:r>
    </w:p>
    <w:p w14:paraId="1D06A60D" w14:textId="77777777" w:rsidR="009172DD" w:rsidRPr="00AF1814" w:rsidRDefault="00DA3174" w:rsidP="00D41352">
      <w:pPr>
        <w:pStyle w:val="List1withbullet"/>
        <w:numPr>
          <w:ilvl w:val="0"/>
          <w:numId w:val="12"/>
        </w:numPr>
      </w:pPr>
      <w:r w:rsidRPr="00AF1814">
        <w:t>Diagnostic and treatment plan should be developed in collaboration between Investigator and dermatologist. In general, treatment of TGF</w:t>
      </w:r>
      <w:r w:rsidRPr="00AF1814">
        <w:noBreakHyphen/>
        <w:t xml:space="preserve">β </w:t>
      </w:r>
      <w:r w:rsidRPr="00AF1814">
        <w:rPr>
          <w:rFonts w:hint="eastAsia"/>
        </w:rPr>
        <w:t>m</w:t>
      </w:r>
      <w:r w:rsidRPr="00AF1814">
        <w:t>ediated skin lesions such as hyperkeratosis, KA</w:t>
      </w:r>
      <w:r w:rsidR="005C7B87" w:rsidRPr="00AF1814">
        <w:t>,</w:t>
      </w:r>
      <w:r w:rsidRPr="00AF1814">
        <w:t xml:space="preserve"> and cSCC should be based on local guidelines/standard of care. Lesion evaluation should include excision biopsy of one representative lesion to confirm diagnosis.</w:t>
      </w:r>
    </w:p>
    <w:p w14:paraId="231D152B" w14:textId="77777777" w:rsidR="009172DD" w:rsidRPr="00AF1814" w:rsidRDefault="00DA3174" w:rsidP="00D41352">
      <w:pPr>
        <w:pStyle w:val="List1withbullet"/>
        <w:numPr>
          <w:ilvl w:val="0"/>
          <w:numId w:val="12"/>
        </w:numPr>
      </w:pPr>
      <w:r w:rsidRPr="00AF1814">
        <w:t>Treatment and follow-up for KA and cSCC will depend on number and localization of lesions</w:t>
      </w:r>
      <w:r w:rsidR="000B2A17" w:rsidRPr="00AF1814">
        <w:t>:</w:t>
      </w:r>
      <w:r w:rsidRPr="00AF1814">
        <w:t xml:space="preserve"> </w:t>
      </w:r>
    </w:p>
    <w:p w14:paraId="2DC1E14C" w14:textId="77777777" w:rsidR="009172DD" w:rsidRPr="00AF1814" w:rsidRDefault="00DA3174" w:rsidP="00F15279">
      <w:pPr>
        <w:pStyle w:val="List1withbullet"/>
      </w:pPr>
      <w:r w:rsidRPr="00AF1814">
        <w:t xml:space="preserve">For single lesions: Full excision may be recommended. </w:t>
      </w:r>
    </w:p>
    <w:p w14:paraId="01ECEFD0" w14:textId="77777777" w:rsidR="009172DD" w:rsidRPr="00AF1814" w:rsidRDefault="00DA3174" w:rsidP="00F15279">
      <w:pPr>
        <w:pStyle w:val="List1withbullet"/>
      </w:pPr>
      <w:r w:rsidRPr="00AF1814">
        <w:t xml:space="preserve">In case of multiple lesions or location not suitable for full excision, other treatment options may be offered by the dermatologist, such as: </w:t>
      </w:r>
    </w:p>
    <w:p w14:paraId="79B8B1CF" w14:textId="77777777" w:rsidR="009172DD" w:rsidRPr="00AF1814" w:rsidRDefault="00DA3174" w:rsidP="0013423F">
      <w:pPr>
        <w:pStyle w:val="List1withbullet"/>
        <w:numPr>
          <w:ilvl w:val="1"/>
          <w:numId w:val="5"/>
        </w:numPr>
      </w:pPr>
      <w:r w:rsidRPr="00AF1814">
        <w:t>Mohs surgery, cryotherapy, or other standard treatment options depending on the pathology</w:t>
      </w:r>
      <w:r w:rsidR="000B2A17" w:rsidRPr="00AF1814">
        <w:t>.</w:t>
      </w:r>
      <w:r w:rsidRPr="00AF1814">
        <w:t xml:space="preserve"> </w:t>
      </w:r>
    </w:p>
    <w:p w14:paraId="3D8A5BB2" w14:textId="77777777" w:rsidR="009172DD" w:rsidRPr="00AF1814" w:rsidRDefault="00DA3174" w:rsidP="0013423F">
      <w:pPr>
        <w:pStyle w:val="List1withbullet"/>
        <w:numPr>
          <w:ilvl w:val="1"/>
          <w:numId w:val="5"/>
        </w:numPr>
      </w:pPr>
      <w:r w:rsidRPr="00AF1814">
        <w:t>Use of topical retinoids, if recommended by dermatologist, may be considered after discussion with Medical Monitor</w:t>
      </w:r>
      <w:r w:rsidR="000B2A17" w:rsidRPr="00AF1814">
        <w:t>.</w:t>
      </w:r>
    </w:p>
    <w:p w14:paraId="7FEC920E" w14:textId="77777777" w:rsidR="009172DD" w:rsidRPr="00AF1814" w:rsidRDefault="00DA3174" w:rsidP="00D41352">
      <w:pPr>
        <w:pStyle w:val="List1withbullet"/>
        <w:numPr>
          <w:ilvl w:val="0"/>
          <w:numId w:val="12"/>
        </w:numPr>
      </w:pPr>
      <w:r w:rsidRPr="00AF1814">
        <w:t>Close clinical follow-up for re-evaluation, resolution, or potential recurrence should be implemented</w:t>
      </w:r>
      <w:r w:rsidR="005C7B87" w:rsidRPr="00AF1814">
        <w:t>.</w:t>
      </w:r>
    </w:p>
    <w:p w14:paraId="31AC0D7C" w14:textId="77777777" w:rsidR="009172DD" w:rsidRPr="00AF1814" w:rsidRDefault="00DA3174" w:rsidP="00D41352">
      <w:pPr>
        <w:pStyle w:val="List1withbullet"/>
        <w:numPr>
          <w:ilvl w:val="0"/>
          <w:numId w:val="12"/>
        </w:numPr>
      </w:pPr>
      <w:r w:rsidRPr="00AF1814">
        <w:t xml:space="preserve">Spontaneous resolution of KA lesions without surgical intervention has been observed, typically occurring within weeks after discontinuing </w:t>
      </w:r>
      <w:r w:rsidRPr="00AF1814">
        <w:rPr>
          <w:rFonts w:eastAsia="Calibri"/>
        </w:rPr>
        <w:t>bintrafusp alfa</w:t>
      </w:r>
      <w:r w:rsidR="005C7B87" w:rsidRPr="00AF1814">
        <w:rPr>
          <w:rFonts w:eastAsia="Calibri"/>
        </w:rPr>
        <w:t>.</w:t>
      </w:r>
    </w:p>
    <w:p w14:paraId="308E2531" w14:textId="77777777" w:rsidR="009172DD" w:rsidRPr="00AF1814" w:rsidRDefault="00DA3174" w:rsidP="00D41352">
      <w:pPr>
        <w:pStyle w:val="List1withbullet"/>
        <w:numPr>
          <w:ilvl w:val="0"/>
          <w:numId w:val="12"/>
        </w:numPr>
      </w:pPr>
      <w:r w:rsidRPr="00AF1814">
        <w:t>The number and localization of lesions, diagnosis (including histopathological diagnosis), treatment, and outcome should be appropriately documented in the eCRF.</w:t>
      </w:r>
    </w:p>
    <w:p w14:paraId="583585CB" w14:textId="77777777" w:rsidR="009172DD" w:rsidRPr="00AF1814" w:rsidRDefault="00DA3174" w:rsidP="009172DD">
      <w:r w:rsidRPr="00AF1814">
        <w:t>Consult with Medical Monitor, as needed, for management of TGF</w:t>
      </w:r>
      <w:r w:rsidRPr="00AF1814">
        <w:noBreakHyphen/>
        <w:t xml:space="preserve">β </w:t>
      </w:r>
      <w:r w:rsidRPr="00AF1814">
        <w:rPr>
          <w:rFonts w:hint="eastAsia"/>
        </w:rPr>
        <w:t>m</w:t>
      </w:r>
      <w:r w:rsidRPr="00AF1814">
        <w:t>ediated skin lesions.</w:t>
      </w:r>
    </w:p>
    <w:p w14:paraId="185A910B" w14:textId="77777777" w:rsidR="009172DD" w:rsidRPr="00AF1814" w:rsidRDefault="00DA3174" w:rsidP="009172DD">
      <w:pPr>
        <w:pStyle w:val="Heading4"/>
      </w:pPr>
      <w:bookmarkStart w:id="300" w:name="_Ref29478508"/>
      <w:bookmarkStart w:id="301" w:name="_Ref29478529"/>
      <w:bookmarkStart w:id="302" w:name="_Toc44601714"/>
      <w:r w:rsidRPr="00AF1814">
        <w:t>Treatment-related Anemia</w:t>
      </w:r>
      <w:bookmarkEnd w:id="300"/>
      <w:bookmarkEnd w:id="301"/>
      <w:bookmarkEnd w:id="302"/>
    </w:p>
    <w:p w14:paraId="657B13BB" w14:textId="77777777" w:rsidR="009172DD" w:rsidRPr="00AF1814" w:rsidRDefault="00DA3174" w:rsidP="009172DD">
      <w:pPr>
        <w:pStyle w:val="BodyText"/>
      </w:pPr>
      <w:r w:rsidRPr="00AF1814">
        <w:rPr>
          <w:szCs w:val="24"/>
          <w:lang w:eastAsia="ja-JP"/>
        </w:rPr>
        <w:t xml:space="preserve">Treatment-related anemia is an AESI (refer to IB) and important potential risk for </w:t>
      </w:r>
      <w:r w:rsidRPr="00AF1814">
        <w:rPr>
          <w:rFonts w:eastAsia="Calibri"/>
        </w:rPr>
        <w:t>bintrafusp alfa</w:t>
      </w:r>
      <w:r w:rsidRPr="00AF1814">
        <w:rPr>
          <w:szCs w:val="24"/>
          <w:lang w:eastAsia="ja-JP"/>
        </w:rPr>
        <w:t>.</w:t>
      </w:r>
      <w:r w:rsidRPr="00AF1814">
        <w:t xml:space="preserve"> Notably, there are many reasons for anemia in patients with advanced cancer, due to</w:t>
      </w:r>
      <w:r w:rsidR="00767435" w:rsidRPr="00AF1814">
        <w:t xml:space="preserve"> this</w:t>
      </w:r>
      <w:r w:rsidRPr="00AF1814">
        <w:t xml:space="preserve"> a thorough investigation of new anemia cases of unspecified etiology is requested.</w:t>
      </w:r>
    </w:p>
    <w:p w14:paraId="3DB0EABD" w14:textId="77777777" w:rsidR="009172DD" w:rsidRPr="00AF1814" w:rsidRDefault="00DA3174" w:rsidP="009172DD">
      <w:pPr>
        <w:pStyle w:val="BodyText"/>
      </w:pPr>
      <w:r w:rsidRPr="00AF1814">
        <w:t xml:space="preserve">For new anemia events assessed as treatment-related, items queried may include, but are not limited to, detailed relevant past medical and treatment history, bruising tendency, history of blood transfusions and/or dependency, and a request for an updated eCRF including details such as </w:t>
      </w:r>
      <w:r w:rsidRPr="00AF1814">
        <w:lastRenderedPageBreak/>
        <w:t>concomitant medications, all laboratory data, updated dosing information</w:t>
      </w:r>
      <w:r w:rsidR="005C7B87" w:rsidRPr="00AF1814">
        <w:t>,</w:t>
      </w:r>
      <w:r w:rsidRPr="00AF1814">
        <w:t xml:space="preserve"> and recent tumor evaluation scans. </w:t>
      </w:r>
    </w:p>
    <w:p w14:paraId="472A2D86" w14:textId="77777777" w:rsidR="009172DD" w:rsidRPr="00AF1814" w:rsidRDefault="00DA3174" w:rsidP="009172DD">
      <w:pPr>
        <w:pStyle w:val="BodyText"/>
      </w:pPr>
      <w:r w:rsidRPr="00AF1814">
        <w:t>General guidance for anemia management and evaluation:</w:t>
      </w:r>
    </w:p>
    <w:p w14:paraId="382157DB" w14:textId="5E13B762" w:rsidR="009172DD" w:rsidRPr="00E44F28" w:rsidRDefault="00DA3174" w:rsidP="00020F35">
      <w:pPr>
        <w:pStyle w:val="List1withbullet"/>
        <w:numPr>
          <w:ilvl w:val="0"/>
          <w:numId w:val="13"/>
        </w:numPr>
        <w:rPr>
          <w:rFonts w:eastAsia="MS Mincho"/>
        </w:rPr>
      </w:pPr>
      <w:r w:rsidRPr="00AF1814">
        <w:t xml:space="preserve">Participants must enter the study with </w:t>
      </w:r>
      <w:r w:rsidR="00051D65" w:rsidRPr="00AF1814">
        <w:t>hemoglobin</w:t>
      </w:r>
      <w:r w:rsidRPr="00AF1814">
        <w:t xml:space="preserve"> values at least 9 g/dL; routine blood test parameters are required in the Schedule of Activities (see </w:t>
      </w:r>
      <w:r w:rsidR="00FF2EA3" w:rsidRPr="00E44F28">
        <w:t xml:space="preserve">Section </w:t>
      </w:r>
      <w:r w:rsidR="00FF2EA3" w:rsidRPr="00E44F28">
        <w:fldChar w:fldCharType="begin"/>
      </w:r>
      <w:r w:rsidR="00FF2EA3" w:rsidRPr="00E44F28">
        <w:instrText xml:space="preserve"> REF _Ref33108756 \r \h </w:instrText>
      </w:r>
      <w:r w:rsidR="00AF1814" w:rsidRPr="00E44F28">
        <w:instrText xml:space="preserve"> \* MERGEFORMAT </w:instrText>
      </w:r>
      <w:r w:rsidR="00FF2EA3" w:rsidRPr="00E44F28">
        <w:fldChar w:fldCharType="separate"/>
      </w:r>
      <w:r w:rsidR="00C548C3" w:rsidRPr="00E44F28">
        <w:t>1.3</w:t>
      </w:r>
      <w:r w:rsidR="00FF2EA3" w:rsidRPr="00E44F28">
        <w:fldChar w:fldCharType="end"/>
      </w:r>
      <w:r w:rsidRPr="00E44F28">
        <w:t>)</w:t>
      </w:r>
      <w:r w:rsidR="005C7B87" w:rsidRPr="00E44F28">
        <w:t>.</w:t>
      </w:r>
    </w:p>
    <w:p w14:paraId="72342ECB" w14:textId="77777777" w:rsidR="009172DD" w:rsidRPr="00E44F28" w:rsidRDefault="00DA3174" w:rsidP="00020F35">
      <w:pPr>
        <w:pStyle w:val="List1withbullet"/>
        <w:numPr>
          <w:ilvl w:val="0"/>
          <w:numId w:val="13"/>
        </w:numPr>
        <w:rPr>
          <w:rFonts w:eastAsia="MS Mincho"/>
        </w:rPr>
      </w:pPr>
      <w:r w:rsidRPr="00E44F28">
        <w:t>All relevant hematologic testing for treatment</w:t>
      </w:r>
      <w:r w:rsidRPr="00E44F28">
        <w:noBreakHyphen/>
        <w:t>related anemias should be done prior to a blood transfusion, if clinically feasible.</w:t>
      </w:r>
      <w:r w:rsidRPr="00E44F28">
        <w:rPr>
          <w:rFonts w:eastAsia="MS Mincho"/>
        </w:rPr>
        <w:t xml:space="preserve"> </w:t>
      </w:r>
    </w:p>
    <w:p w14:paraId="56F41177" w14:textId="77777777" w:rsidR="009172DD" w:rsidRPr="00E44F28" w:rsidRDefault="00DA3174" w:rsidP="00020F35">
      <w:pPr>
        <w:pStyle w:val="List1withbullet"/>
        <w:numPr>
          <w:ilvl w:val="0"/>
          <w:numId w:val="13"/>
        </w:numPr>
        <w:rPr>
          <w:rFonts w:eastAsia="MS Mincho"/>
        </w:rPr>
      </w:pPr>
      <w:r w:rsidRPr="00E44F28">
        <w:t>Transfusion should be performed at the discretion of the Investigator based on clinical assessment and considered when the participant experiences significant anemia. An attempt should be made to initiate work-up (as specified below) for the cause of anemia prior to transfusion, if clinically feasible, to not confound this work-up. In general, blood transfusions and erythroid growth factors are permitted as clinically indicated.</w:t>
      </w:r>
      <w:r w:rsidRPr="00E44F28">
        <w:rPr>
          <w:rFonts w:eastAsia="MS Mincho"/>
        </w:rPr>
        <w:t xml:space="preserve"> </w:t>
      </w:r>
    </w:p>
    <w:p w14:paraId="6C4ED579" w14:textId="59B54F75" w:rsidR="009172DD" w:rsidRPr="00E44F28" w:rsidRDefault="00DA3174" w:rsidP="009172DD">
      <w:pPr>
        <w:pStyle w:val="BodyText"/>
      </w:pPr>
      <w:r w:rsidRPr="00E44F28">
        <w:t xml:space="preserve">Guidance for evaluation of suspected treatment-related anemias is provided in </w:t>
      </w:r>
      <w:r w:rsidRPr="00E44F28">
        <w:fldChar w:fldCharType="begin"/>
      </w:r>
      <w:r w:rsidRPr="00E44F28">
        <w:instrText xml:space="preserve"> REF _Ref31790363 \h </w:instrText>
      </w:r>
      <w:r w:rsidR="00765AF4" w:rsidRPr="00E44F28">
        <w:instrText xml:space="preserve"> \* MERGEFORMAT </w:instrText>
      </w:r>
      <w:r w:rsidRPr="00E44F28">
        <w:fldChar w:fldCharType="separate"/>
      </w:r>
      <w:r w:rsidR="00C548C3" w:rsidRPr="00E44F28">
        <w:t xml:space="preserve">Table </w:t>
      </w:r>
      <w:r w:rsidR="00C548C3" w:rsidRPr="00E44F28">
        <w:rPr>
          <w:noProof/>
        </w:rPr>
        <w:t>11</w:t>
      </w:r>
      <w:r w:rsidRPr="00E44F28">
        <w:fldChar w:fldCharType="end"/>
      </w:r>
      <w:r w:rsidRPr="00E44F28">
        <w:t>.</w:t>
      </w:r>
    </w:p>
    <w:p w14:paraId="27607B98" w14:textId="4DC63CB4" w:rsidR="009172DD" w:rsidRPr="00AF1814" w:rsidRDefault="00DA3174" w:rsidP="009172DD">
      <w:pPr>
        <w:pStyle w:val="Caption"/>
      </w:pPr>
      <w:bookmarkStart w:id="303" w:name="_Ref31790363"/>
      <w:bookmarkStart w:id="304" w:name="_Toc44601755"/>
      <w:r w:rsidRPr="00AF1814">
        <w:t xml:space="preserve">Table </w:t>
      </w:r>
      <w:r w:rsidRPr="00AF1814">
        <w:fldChar w:fldCharType="begin"/>
      </w:r>
      <w:r w:rsidRPr="00AF1814">
        <w:instrText xml:space="preserve"> SEQ Table \* ARABIC </w:instrText>
      </w:r>
      <w:r w:rsidRPr="00AF1814">
        <w:fldChar w:fldCharType="separate"/>
      </w:r>
      <w:r w:rsidR="00C548C3">
        <w:rPr>
          <w:noProof/>
        </w:rPr>
        <w:t>11</w:t>
      </w:r>
      <w:r w:rsidRPr="00AF1814">
        <w:fldChar w:fldCharType="end"/>
      </w:r>
      <w:bookmarkEnd w:id="303"/>
      <w:r w:rsidRPr="00AF1814">
        <w:tab/>
        <w:t>Evaluation Guidance of Suspected Treatment-Related Anemia Adverse Events</w:t>
      </w:r>
      <w:bookmarkEnd w:id="304"/>
    </w:p>
    <w:tbl>
      <w:tblPr>
        <w:tblW w:w="9101" w:type="dxa"/>
        <w:tblLook w:val="04A0" w:firstRow="1" w:lastRow="0" w:firstColumn="1" w:lastColumn="0" w:noHBand="0" w:noVBand="1"/>
      </w:tblPr>
      <w:tblGrid>
        <w:gridCol w:w="2417"/>
        <w:gridCol w:w="6684"/>
      </w:tblGrid>
      <w:tr w:rsidR="002108B2" w:rsidRPr="00AF1814" w14:paraId="2845C5DA" w14:textId="77777777" w:rsidTr="00957F02">
        <w:trPr>
          <w:trHeight w:val="346"/>
        </w:trPr>
        <w:tc>
          <w:tcPr>
            <w:tcW w:w="910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B723AC7" w14:textId="77777777" w:rsidR="009172DD" w:rsidRPr="00AF1814" w:rsidRDefault="00DA3174" w:rsidP="00957F02">
            <w:pPr>
              <w:pStyle w:val="Tableheading"/>
              <w:jc w:val="left"/>
            </w:pPr>
            <w:r w:rsidRPr="00AF1814">
              <w:t xml:space="preserve">Baseline Anemia Evaluation </w:t>
            </w:r>
          </w:p>
        </w:tc>
      </w:tr>
      <w:tr w:rsidR="002108B2" w:rsidRPr="00AF1814" w14:paraId="0C915C6B" w14:textId="77777777" w:rsidTr="00957F02">
        <w:trPr>
          <w:trHeight w:val="2394"/>
        </w:trPr>
        <w:tc>
          <w:tcPr>
            <w:tcW w:w="910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7C402B5" w14:textId="77777777" w:rsidR="009172DD" w:rsidRPr="00AF1814" w:rsidRDefault="00DA3174" w:rsidP="00D41352">
            <w:pPr>
              <w:pStyle w:val="Tabletext"/>
              <w:keepNext/>
              <w:numPr>
                <w:ilvl w:val="0"/>
                <w:numId w:val="14"/>
              </w:numPr>
            </w:pPr>
            <w:r w:rsidRPr="00AF1814">
              <w:t>CBC with emphasis on red cell indices (e.g., Hgb, hematocrit, MCV, RDW, MCH, MCHC, reticulocyte counts).</w:t>
            </w:r>
          </w:p>
          <w:p w14:paraId="55A88A4E" w14:textId="77777777" w:rsidR="009172DD" w:rsidRPr="00AF1814" w:rsidRDefault="00DA3174" w:rsidP="00D41352">
            <w:pPr>
              <w:pStyle w:val="Tabletext"/>
              <w:keepNext/>
              <w:numPr>
                <w:ilvl w:val="0"/>
                <w:numId w:val="14"/>
              </w:numPr>
            </w:pPr>
            <w:r w:rsidRPr="00AF1814">
              <w:t>If indicated and at clinical discretion, the following should be considered:</w:t>
            </w:r>
          </w:p>
          <w:p w14:paraId="3DCEC726" w14:textId="77777777" w:rsidR="009172DD" w:rsidRPr="00AF1814" w:rsidRDefault="00DA3174" w:rsidP="00D41352">
            <w:pPr>
              <w:pStyle w:val="Tabletext"/>
              <w:numPr>
                <w:ilvl w:val="1"/>
                <w:numId w:val="14"/>
              </w:numPr>
            </w:pPr>
            <w:r w:rsidRPr="00AF1814">
              <w:t>Iron studies (TIBC, Ferritin, Fe)</w:t>
            </w:r>
          </w:p>
          <w:p w14:paraId="40BADD76" w14:textId="77777777" w:rsidR="009172DD" w:rsidRPr="00AF1814" w:rsidRDefault="00DA3174" w:rsidP="00D41352">
            <w:pPr>
              <w:pStyle w:val="Tabletext"/>
              <w:numPr>
                <w:ilvl w:val="1"/>
                <w:numId w:val="14"/>
              </w:numPr>
            </w:pPr>
            <w:r w:rsidRPr="00AF1814">
              <w:t xml:space="preserve">Serum </w:t>
            </w:r>
            <w:r w:rsidR="00951A15" w:rsidRPr="00AF1814">
              <w:t>f</w:t>
            </w:r>
            <w:r w:rsidRPr="00AF1814">
              <w:t>olate and Vit</w:t>
            </w:r>
            <w:r w:rsidR="00236618" w:rsidRPr="00AF1814">
              <w:t>amin</w:t>
            </w:r>
            <w:r w:rsidRPr="00AF1814">
              <w:t xml:space="preserve"> B12 values</w:t>
            </w:r>
          </w:p>
          <w:p w14:paraId="5BCEDDD8" w14:textId="77777777" w:rsidR="009172DD" w:rsidRPr="00AF1814" w:rsidRDefault="00DA3174" w:rsidP="00D41352">
            <w:pPr>
              <w:pStyle w:val="Tabletext"/>
              <w:numPr>
                <w:ilvl w:val="1"/>
                <w:numId w:val="14"/>
              </w:numPr>
            </w:pPr>
            <w:r w:rsidRPr="00AF1814">
              <w:t xml:space="preserve">Coagulation factors (PT, </w:t>
            </w:r>
            <w:r w:rsidR="001A07FB" w:rsidRPr="00AF1814">
              <w:t>a</w:t>
            </w:r>
            <w:r w:rsidRPr="00AF1814">
              <w:t>PTT, INR)</w:t>
            </w:r>
          </w:p>
          <w:p w14:paraId="2A21897A" w14:textId="77777777" w:rsidR="009172DD" w:rsidRPr="00AF1814" w:rsidRDefault="00DA3174" w:rsidP="00D41352">
            <w:pPr>
              <w:pStyle w:val="Tabletext"/>
              <w:keepNext/>
              <w:numPr>
                <w:ilvl w:val="1"/>
                <w:numId w:val="14"/>
              </w:numPr>
            </w:pPr>
            <w:r w:rsidRPr="00AF1814">
              <w:t>Fecal occult blood testing</w:t>
            </w:r>
          </w:p>
          <w:p w14:paraId="63A3D746" w14:textId="77777777" w:rsidR="009172DD" w:rsidRPr="00AF1814" w:rsidRDefault="00DA3174" w:rsidP="00D41352">
            <w:pPr>
              <w:pStyle w:val="Tabletext"/>
              <w:keepNext/>
              <w:numPr>
                <w:ilvl w:val="1"/>
                <w:numId w:val="14"/>
              </w:numPr>
            </w:pPr>
            <w:r w:rsidRPr="00AF1814">
              <w:t>Urinalysis</w:t>
            </w:r>
          </w:p>
          <w:p w14:paraId="1F867CFC" w14:textId="77777777" w:rsidR="009172DD" w:rsidRPr="00AF1814" w:rsidRDefault="00DA3174" w:rsidP="00D41352">
            <w:pPr>
              <w:pStyle w:val="Tabletext"/>
              <w:keepNext/>
              <w:numPr>
                <w:ilvl w:val="1"/>
                <w:numId w:val="14"/>
              </w:numPr>
            </w:pPr>
            <w:r w:rsidRPr="00AF1814">
              <w:t>Hormone panel</w:t>
            </w:r>
            <w:r w:rsidR="00951A15" w:rsidRPr="00AF1814">
              <w:t xml:space="preserve"> (</w:t>
            </w:r>
            <w:r w:rsidRPr="00AF1814">
              <w:t>TSH, Erythropoietin</w:t>
            </w:r>
            <w:r w:rsidR="00951A15" w:rsidRPr="00AF1814">
              <w:t>)</w:t>
            </w:r>
          </w:p>
          <w:p w14:paraId="0575A040" w14:textId="77777777" w:rsidR="009172DD" w:rsidRPr="00AF1814" w:rsidRDefault="00DA3174" w:rsidP="00D41352">
            <w:pPr>
              <w:pStyle w:val="Tabletext"/>
              <w:keepNext/>
              <w:numPr>
                <w:ilvl w:val="1"/>
                <w:numId w:val="14"/>
              </w:numPr>
            </w:pPr>
            <w:r w:rsidRPr="00AF1814">
              <w:t>Peripheral blood smear for cell morphological assessment</w:t>
            </w:r>
          </w:p>
        </w:tc>
      </w:tr>
      <w:tr w:rsidR="002108B2" w:rsidRPr="00AF1814" w14:paraId="0C09A9CD" w14:textId="77777777" w:rsidTr="00957F02">
        <w:trPr>
          <w:trHeight w:val="274"/>
        </w:trPr>
        <w:tc>
          <w:tcPr>
            <w:tcW w:w="9101" w:type="dxa"/>
            <w:gridSpan w:val="2"/>
            <w:tcBorders>
              <w:top w:val="single" w:sz="4" w:space="0" w:color="auto"/>
              <w:left w:val="single" w:sz="4" w:space="0" w:color="auto"/>
              <w:bottom w:val="single" w:sz="4" w:space="0" w:color="auto"/>
              <w:right w:val="single" w:sz="4" w:space="0" w:color="auto"/>
            </w:tcBorders>
          </w:tcPr>
          <w:p w14:paraId="3F932BF2" w14:textId="77777777" w:rsidR="009172DD" w:rsidRPr="00AF1814" w:rsidRDefault="00DA3174" w:rsidP="00957F02">
            <w:pPr>
              <w:pStyle w:val="Tabletext"/>
              <w:keepNext/>
              <w:rPr>
                <w:b/>
              </w:rPr>
            </w:pPr>
            <w:r w:rsidRPr="00AF1814">
              <w:rPr>
                <w:b/>
              </w:rPr>
              <w:t>Further Recommendation Based on Suspected Etiology (in Addition to Baseline Anemia Testing)</w:t>
            </w:r>
          </w:p>
        </w:tc>
      </w:tr>
      <w:tr w:rsidR="002108B2" w:rsidRPr="00AF1814" w14:paraId="681B5059" w14:textId="77777777" w:rsidTr="00957F02">
        <w:trPr>
          <w:trHeight w:val="740"/>
        </w:trPr>
        <w:tc>
          <w:tcPr>
            <w:tcW w:w="2417" w:type="dxa"/>
            <w:tcBorders>
              <w:top w:val="single" w:sz="4" w:space="0" w:color="auto"/>
              <w:left w:val="single" w:sz="4" w:space="0" w:color="auto"/>
              <w:bottom w:val="nil"/>
              <w:right w:val="nil"/>
            </w:tcBorders>
          </w:tcPr>
          <w:p w14:paraId="69C3CA81" w14:textId="77777777" w:rsidR="009172DD" w:rsidRPr="00AF1814" w:rsidRDefault="00DA3174" w:rsidP="00957F02">
            <w:pPr>
              <w:pStyle w:val="Tabletext"/>
              <w:keepNext/>
            </w:pPr>
            <w:r w:rsidRPr="00AF1814">
              <w:t>Suspected hemolysis:</w:t>
            </w:r>
          </w:p>
        </w:tc>
        <w:tc>
          <w:tcPr>
            <w:tcW w:w="6683" w:type="dxa"/>
            <w:tcBorders>
              <w:top w:val="single" w:sz="4" w:space="0" w:color="auto"/>
              <w:left w:val="nil"/>
              <w:bottom w:val="nil"/>
              <w:right w:val="single" w:sz="4" w:space="0" w:color="auto"/>
            </w:tcBorders>
          </w:tcPr>
          <w:p w14:paraId="173C9713" w14:textId="77777777" w:rsidR="009172DD" w:rsidRPr="00AF1814" w:rsidRDefault="00DA3174" w:rsidP="00957F02">
            <w:pPr>
              <w:pStyle w:val="Tabletext"/>
              <w:keepNext/>
            </w:pPr>
            <w:r w:rsidRPr="00AF1814">
              <w:t>Bilirubin level, LDH, Coombs test, fibrinogen, haptoglobin, d-Dimer</w:t>
            </w:r>
          </w:p>
          <w:p w14:paraId="0A7C7013" w14:textId="77777777" w:rsidR="009172DD" w:rsidRPr="00AF1814" w:rsidRDefault="00DA3174" w:rsidP="00957F02">
            <w:pPr>
              <w:pStyle w:val="Tabletext"/>
              <w:keepNext/>
            </w:pPr>
            <w:r w:rsidRPr="00AF1814">
              <w:t xml:space="preserve">Consider </w:t>
            </w:r>
            <w:r w:rsidR="00951A15" w:rsidRPr="00AF1814">
              <w:t>h</w:t>
            </w:r>
            <w:r w:rsidRPr="00AF1814">
              <w:t>ematology consultation</w:t>
            </w:r>
          </w:p>
          <w:p w14:paraId="62E436E8" w14:textId="77777777" w:rsidR="009172DD" w:rsidRPr="00AF1814" w:rsidRDefault="009172DD" w:rsidP="00957F02">
            <w:pPr>
              <w:pStyle w:val="Tabletext"/>
              <w:keepNext/>
            </w:pPr>
          </w:p>
        </w:tc>
      </w:tr>
      <w:tr w:rsidR="002108B2" w:rsidRPr="00AF1814" w14:paraId="28E57B12" w14:textId="77777777" w:rsidTr="00957F02">
        <w:trPr>
          <w:trHeight w:val="981"/>
        </w:trPr>
        <w:tc>
          <w:tcPr>
            <w:tcW w:w="2417" w:type="dxa"/>
            <w:tcBorders>
              <w:top w:val="nil"/>
              <w:left w:val="single" w:sz="4" w:space="0" w:color="auto"/>
              <w:bottom w:val="nil"/>
              <w:right w:val="nil"/>
            </w:tcBorders>
          </w:tcPr>
          <w:p w14:paraId="7AE66003" w14:textId="77777777" w:rsidR="009172DD" w:rsidRPr="00AF1814" w:rsidRDefault="00DA3174" w:rsidP="00957F02">
            <w:pPr>
              <w:pStyle w:val="Tabletext"/>
              <w:keepNext/>
            </w:pPr>
            <w:r w:rsidRPr="00AF1814">
              <w:t>Suspected bleeding:</w:t>
            </w:r>
          </w:p>
        </w:tc>
        <w:tc>
          <w:tcPr>
            <w:tcW w:w="6683" w:type="dxa"/>
            <w:tcBorders>
              <w:top w:val="nil"/>
              <w:left w:val="nil"/>
              <w:bottom w:val="nil"/>
              <w:right w:val="single" w:sz="4" w:space="0" w:color="auto"/>
            </w:tcBorders>
          </w:tcPr>
          <w:p w14:paraId="72FE52B1" w14:textId="77777777" w:rsidR="009172DD" w:rsidRPr="00AF1814" w:rsidRDefault="00DA3174" w:rsidP="00957F02">
            <w:pPr>
              <w:pStyle w:val="Tabletext"/>
              <w:keepNext/>
            </w:pPr>
            <w:r w:rsidRPr="00AF1814">
              <w:t>Consider imaging/interventional radiology consultation as indicated</w:t>
            </w:r>
          </w:p>
          <w:p w14:paraId="21B73708" w14:textId="77777777" w:rsidR="009172DD" w:rsidRPr="00AF1814" w:rsidRDefault="00DA3174" w:rsidP="00957F02">
            <w:pPr>
              <w:pStyle w:val="Tabletext"/>
              <w:keepNext/>
            </w:pPr>
            <w:r w:rsidRPr="00AF1814">
              <w:t>Consider endoscopy, as clinically indicated</w:t>
            </w:r>
          </w:p>
          <w:p w14:paraId="0CC6E296" w14:textId="77777777" w:rsidR="009172DD" w:rsidRPr="00AF1814" w:rsidRDefault="00DA3174" w:rsidP="00957F02">
            <w:pPr>
              <w:pStyle w:val="Tabletext"/>
              <w:keepNext/>
            </w:pPr>
            <w:r w:rsidRPr="00AF1814">
              <w:t>Consider imaging, as clinically indicated</w:t>
            </w:r>
          </w:p>
          <w:p w14:paraId="44EF3C34" w14:textId="77777777" w:rsidR="009172DD" w:rsidRPr="00AF1814" w:rsidRDefault="009172DD" w:rsidP="00957F02">
            <w:pPr>
              <w:pStyle w:val="Tabletext"/>
              <w:keepNext/>
            </w:pPr>
          </w:p>
        </w:tc>
      </w:tr>
      <w:tr w:rsidR="002108B2" w:rsidRPr="00AF1814" w14:paraId="59C8B737" w14:textId="77777777" w:rsidTr="00957F02">
        <w:trPr>
          <w:trHeight w:val="761"/>
        </w:trPr>
        <w:tc>
          <w:tcPr>
            <w:tcW w:w="2417" w:type="dxa"/>
            <w:tcBorders>
              <w:top w:val="nil"/>
              <w:left w:val="single" w:sz="4" w:space="0" w:color="auto"/>
              <w:bottom w:val="single" w:sz="4" w:space="0" w:color="auto"/>
              <w:right w:val="nil"/>
            </w:tcBorders>
          </w:tcPr>
          <w:p w14:paraId="06AF35C3" w14:textId="77777777" w:rsidR="009172DD" w:rsidRPr="00AF1814" w:rsidRDefault="00DA3174" w:rsidP="00957F02">
            <w:pPr>
              <w:pStyle w:val="Tabletext"/>
              <w:keepNext/>
            </w:pPr>
            <w:r w:rsidRPr="00AF1814">
              <w:t>Suspected aplastic anemia:</w:t>
            </w:r>
          </w:p>
          <w:p w14:paraId="0AAE339D" w14:textId="77777777" w:rsidR="009172DD" w:rsidRPr="00AF1814" w:rsidRDefault="009172DD" w:rsidP="00957F02">
            <w:pPr>
              <w:pStyle w:val="Tabletext"/>
              <w:keepNext/>
            </w:pPr>
          </w:p>
        </w:tc>
        <w:tc>
          <w:tcPr>
            <w:tcW w:w="6683" w:type="dxa"/>
            <w:tcBorders>
              <w:top w:val="nil"/>
              <w:left w:val="nil"/>
              <w:bottom w:val="single" w:sz="4" w:space="0" w:color="auto"/>
              <w:right w:val="single" w:sz="4" w:space="0" w:color="auto"/>
            </w:tcBorders>
          </w:tcPr>
          <w:p w14:paraId="57FEC33C" w14:textId="77777777" w:rsidR="009172DD" w:rsidRPr="00AF1814" w:rsidRDefault="00DA3174" w:rsidP="00957F02">
            <w:pPr>
              <w:pStyle w:val="Tabletext"/>
              <w:keepNext/>
            </w:pPr>
            <w:r w:rsidRPr="00AF1814">
              <w:t>Hematology consultation</w:t>
            </w:r>
          </w:p>
          <w:p w14:paraId="6394AD49" w14:textId="77777777" w:rsidR="009172DD" w:rsidRPr="00AF1814" w:rsidRDefault="00DA3174" w:rsidP="00957F02">
            <w:pPr>
              <w:pStyle w:val="Tabletext"/>
              <w:keepNext/>
            </w:pPr>
            <w:r w:rsidRPr="00AF1814">
              <w:t>Consider bone marrow aspiration/morphologic evaluation</w:t>
            </w:r>
          </w:p>
        </w:tc>
      </w:tr>
      <w:tr w:rsidR="002108B2" w:rsidRPr="00AF1814" w14:paraId="497F5922" w14:textId="77777777" w:rsidTr="00957F02">
        <w:trPr>
          <w:trHeight w:val="668"/>
        </w:trPr>
        <w:tc>
          <w:tcPr>
            <w:tcW w:w="9101" w:type="dxa"/>
            <w:gridSpan w:val="2"/>
            <w:tcBorders>
              <w:top w:val="single" w:sz="4" w:space="0" w:color="auto"/>
              <w:left w:val="single" w:sz="4" w:space="0" w:color="auto"/>
              <w:bottom w:val="single" w:sz="4" w:space="0" w:color="auto"/>
              <w:right w:val="single" w:sz="4" w:space="0" w:color="auto"/>
            </w:tcBorders>
          </w:tcPr>
          <w:p w14:paraId="04298FD4" w14:textId="77777777" w:rsidR="009172DD" w:rsidRPr="00AF1814" w:rsidRDefault="00DA3174" w:rsidP="00957F02">
            <w:pPr>
              <w:pStyle w:val="Tabletext"/>
            </w:pPr>
            <w:r w:rsidRPr="00AF1814">
              <w:t>aPTT=</w:t>
            </w:r>
            <w:r w:rsidRPr="00AF1814">
              <w:rPr>
                <w:rFonts w:cs="Arial"/>
                <w:szCs w:val="18"/>
                <w:lang w:eastAsia="ja-JP"/>
              </w:rPr>
              <w:t xml:space="preserve">activated </w:t>
            </w:r>
            <w:r w:rsidRPr="00AF1814">
              <w:t xml:space="preserve">partial thromboplastin time, </w:t>
            </w:r>
            <w:r w:rsidR="009977EF" w:rsidRPr="00AF1814">
              <w:t>CBC=complete blood count, Fe=Iron, Hgb=hemoglobin, INR=international normalized ratio, LDH=lactate dehydrogenase, MCH=</w:t>
            </w:r>
            <w:r w:rsidRPr="00AF1814">
              <w:t>m</w:t>
            </w:r>
            <w:r w:rsidR="009977EF" w:rsidRPr="00AF1814">
              <w:t xml:space="preserve">ean </w:t>
            </w:r>
            <w:r w:rsidRPr="00AF1814">
              <w:t>c</w:t>
            </w:r>
            <w:r w:rsidR="009977EF" w:rsidRPr="00AF1814">
              <w:t xml:space="preserve">orpuscular </w:t>
            </w:r>
            <w:r w:rsidRPr="00AF1814">
              <w:t>h</w:t>
            </w:r>
            <w:r w:rsidR="009977EF" w:rsidRPr="00AF1814">
              <w:t>emoglobin, MCHC=</w:t>
            </w:r>
            <w:r w:rsidRPr="00AF1814">
              <w:t>m</w:t>
            </w:r>
            <w:r w:rsidR="009977EF" w:rsidRPr="00AF1814">
              <w:t xml:space="preserve">ean </w:t>
            </w:r>
            <w:r w:rsidRPr="00AF1814">
              <w:t>c</w:t>
            </w:r>
            <w:r w:rsidR="009977EF" w:rsidRPr="00AF1814">
              <w:t xml:space="preserve">orpuscular </w:t>
            </w:r>
            <w:r w:rsidRPr="00AF1814">
              <w:t>h</w:t>
            </w:r>
            <w:r w:rsidR="009977EF" w:rsidRPr="00AF1814">
              <w:t xml:space="preserve">emoglobin </w:t>
            </w:r>
            <w:r w:rsidRPr="00AF1814">
              <w:t>c</w:t>
            </w:r>
            <w:r w:rsidR="009977EF" w:rsidRPr="00AF1814">
              <w:t>oncentration, MCV=mean corpuscular volume, PT=prothrombin time, RDW=</w:t>
            </w:r>
            <w:r w:rsidRPr="00AF1814">
              <w:t>r</w:t>
            </w:r>
            <w:r w:rsidR="009977EF" w:rsidRPr="00AF1814">
              <w:t xml:space="preserve">ed </w:t>
            </w:r>
            <w:r w:rsidRPr="00AF1814">
              <w:t>b</w:t>
            </w:r>
            <w:r w:rsidR="009977EF" w:rsidRPr="00AF1814">
              <w:t xml:space="preserve">lood </w:t>
            </w:r>
            <w:r w:rsidRPr="00AF1814">
              <w:t>c</w:t>
            </w:r>
            <w:r w:rsidR="009977EF" w:rsidRPr="00AF1814">
              <w:t xml:space="preserve">ell </w:t>
            </w:r>
            <w:r w:rsidRPr="00AF1814">
              <w:t>d</w:t>
            </w:r>
            <w:r w:rsidR="009977EF" w:rsidRPr="00AF1814">
              <w:t xml:space="preserve">istribution </w:t>
            </w:r>
            <w:r w:rsidRPr="00AF1814">
              <w:t>w</w:t>
            </w:r>
            <w:r w:rsidR="009977EF" w:rsidRPr="00AF1814">
              <w:t>idth, TIBC=total iron binding capacity, TSH=thyroid</w:t>
            </w:r>
            <w:r w:rsidR="009977EF" w:rsidRPr="00AF1814">
              <w:noBreakHyphen/>
              <w:t>stimulating hormone.</w:t>
            </w:r>
          </w:p>
        </w:tc>
      </w:tr>
    </w:tbl>
    <w:p w14:paraId="358B5222" w14:textId="77777777" w:rsidR="009172DD" w:rsidRPr="00AF1814" w:rsidRDefault="00DA3174" w:rsidP="009C630A">
      <w:pPr>
        <w:pStyle w:val="Heading3"/>
      </w:pPr>
      <w:bookmarkStart w:id="305" w:name="_Ref29478792"/>
      <w:bookmarkStart w:id="306" w:name="_Toc44601715"/>
      <w:r w:rsidRPr="00AF1814">
        <w:lastRenderedPageBreak/>
        <w:t>Other Potential Risks for Bintrafusp alfa</w:t>
      </w:r>
      <w:bookmarkEnd w:id="305"/>
      <w:bookmarkEnd w:id="306"/>
    </w:p>
    <w:p w14:paraId="3CDAA197" w14:textId="77777777" w:rsidR="009172DD" w:rsidRPr="00AF1814" w:rsidRDefault="00DA3174" w:rsidP="009C630A">
      <w:pPr>
        <w:pStyle w:val="BodyText"/>
        <w:keepNext/>
        <w:rPr>
          <w:b/>
          <w:u w:val="single"/>
        </w:rPr>
      </w:pPr>
      <w:r w:rsidRPr="00AF1814">
        <w:rPr>
          <w:b/>
          <w:u w:val="single"/>
        </w:rPr>
        <w:t>Mucosal/Non-tumor Bleeding</w:t>
      </w:r>
    </w:p>
    <w:p w14:paraId="2A760363" w14:textId="77777777" w:rsidR="009172DD" w:rsidRPr="00AF1814" w:rsidRDefault="00DA3174" w:rsidP="009172DD">
      <w:pPr>
        <w:pStyle w:val="BodyText"/>
      </w:pPr>
      <w:r w:rsidRPr="00AF1814">
        <w:t xml:space="preserve">Mucosal bleeding events of mild to moderate severity were observed in participants treated with </w:t>
      </w:r>
      <w:r w:rsidRPr="00AF1814">
        <w:rPr>
          <w:rFonts w:eastAsia="Calibri"/>
        </w:rPr>
        <w:t>bintrafusp alfa</w:t>
      </w:r>
      <w:r w:rsidRPr="00AF1814">
        <w:t xml:space="preserve"> in ongoing studies and are a potential risk for </w:t>
      </w:r>
      <w:r w:rsidRPr="00AF1814">
        <w:rPr>
          <w:rFonts w:eastAsia="Calibri"/>
        </w:rPr>
        <w:t>bintrafusp alfa</w:t>
      </w:r>
      <w:r w:rsidRPr="00AF1814">
        <w:t>. Events may include epistaxis, hemoptysis, gingival bleeding</w:t>
      </w:r>
      <w:r w:rsidR="001A07FB" w:rsidRPr="00AF1814">
        <w:t>,</w:t>
      </w:r>
      <w:r w:rsidRPr="00AF1814">
        <w:t xml:space="preserve"> or hematuria amongst others. In general, these reactions resolve without discontinuation of treatment. </w:t>
      </w:r>
    </w:p>
    <w:p w14:paraId="0C6CA52A" w14:textId="332FA4B6" w:rsidR="009172DD" w:rsidRPr="00AF1814" w:rsidRDefault="00DA3174" w:rsidP="009172DD">
      <w:pPr>
        <w:pStyle w:val="BodyText"/>
      </w:pPr>
      <w:r w:rsidRPr="00AF1814">
        <w:t xml:space="preserve">For Grade 2 non-tumor bleeding, see </w:t>
      </w:r>
      <w:r w:rsidRPr="00E44F28">
        <w:t xml:space="preserve">Section </w:t>
      </w:r>
      <w:r w:rsidRPr="00E44F28">
        <w:fldChar w:fldCharType="begin"/>
      </w:r>
      <w:r w:rsidRPr="00E44F28">
        <w:instrText xml:space="preserve"> REF _Ref29479104 \r \h </w:instrText>
      </w:r>
      <w:r w:rsidR="00AF1814" w:rsidRPr="00E44F28">
        <w:instrText xml:space="preserve"> \* MERGEFORMAT </w:instrText>
      </w:r>
      <w:r w:rsidRPr="00E44F28">
        <w:fldChar w:fldCharType="separate"/>
      </w:r>
      <w:r w:rsidR="00C548C3" w:rsidRPr="00E44F28">
        <w:t>6.8</w:t>
      </w:r>
      <w:r w:rsidRPr="00E44F28">
        <w:fldChar w:fldCharType="end"/>
      </w:r>
      <w:r w:rsidRPr="00E44F28">
        <w:t xml:space="preserve"> for ge</w:t>
      </w:r>
      <w:r w:rsidRPr="00AF1814">
        <w:t>neral management of Grade 2 treatment</w:t>
      </w:r>
      <w:r w:rsidRPr="00AF1814">
        <w:noBreakHyphen/>
        <w:t>related TEAEs.</w:t>
      </w:r>
    </w:p>
    <w:p w14:paraId="3F08F893" w14:textId="77777777" w:rsidR="009172DD" w:rsidRPr="00AF1814" w:rsidRDefault="00DA3174" w:rsidP="009172DD">
      <w:pPr>
        <w:pStyle w:val="List1withbullet"/>
        <w:numPr>
          <w:ilvl w:val="0"/>
          <w:numId w:val="0"/>
        </w:numPr>
      </w:pPr>
      <w:r w:rsidRPr="00AF1814">
        <w:t xml:space="preserve">For Grade 3 non-tumor bleeding, study </w:t>
      </w:r>
      <w:r w:rsidR="003B5DA3" w:rsidRPr="00AF1814">
        <w:t xml:space="preserve">intervention </w:t>
      </w:r>
      <w:r w:rsidRPr="00AF1814">
        <w:t>must be permanently discontinued unless an alternative explanation can be identified (such as concomitant use of antithrombotic agents, traumatic event, etc</w:t>
      </w:r>
      <w:r w:rsidR="001A07FB" w:rsidRPr="00AF1814">
        <w:t>.</w:t>
      </w:r>
      <w:r w:rsidRPr="00AF1814">
        <w:t>). In case of alternative explanations for the Grade</w:t>
      </w:r>
      <w:r w:rsidRPr="00AF1814">
        <w:rPr>
          <w:rFonts w:hint="eastAsia"/>
        </w:rPr>
        <w:t xml:space="preserve"> 3 bleeding event, study </w:t>
      </w:r>
      <w:r w:rsidR="003B5DA3" w:rsidRPr="00AF1814">
        <w:t xml:space="preserve">intervention </w:t>
      </w:r>
      <w:r w:rsidRPr="00AF1814">
        <w:rPr>
          <w:rFonts w:hint="eastAsia"/>
        </w:rPr>
        <w:t xml:space="preserve">should be held until the event recovers to Grade </w:t>
      </w:r>
      <w:r w:rsidRPr="00AF1814">
        <w:t>≤</w:t>
      </w:r>
      <w:r w:rsidRPr="00AF1814">
        <w:rPr>
          <w:rFonts w:hint="eastAsia"/>
        </w:rPr>
        <w:t xml:space="preserve"> 1.</w:t>
      </w:r>
    </w:p>
    <w:p w14:paraId="563501B5" w14:textId="77777777" w:rsidR="009172DD" w:rsidRPr="00AF1814" w:rsidRDefault="00DA3174" w:rsidP="009172DD">
      <w:pPr>
        <w:pStyle w:val="List1withbullet"/>
        <w:numPr>
          <w:ilvl w:val="0"/>
          <w:numId w:val="0"/>
        </w:numPr>
      </w:pPr>
      <w:r w:rsidRPr="00AF1814">
        <w:t xml:space="preserve">For Grade 4 non-tumor bleeding, treatment must be permanently discontinued if no alternative explanation is identified.  </w:t>
      </w:r>
    </w:p>
    <w:p w14:paraId="4A8F6295" w14:textId="77777777" w:rsidR="009172DD" w:rsidRPr="00AF1814" w:rsidRDefault="00DA3174" w:rsidP="009172DD">
      <w:pPr>
        <w:pStyle w:val="BodyText"/>
        <w:rPr>
          <w:b/>
          <w:u w:val="single"/>
        </w:rPr>
      </w:pPr>
      <w:r w:rsidRPr="00AF1814">
        <w:rPr>
          <w:b/>
          <w:u w:val="single"/>
        </w:rPr>
        <w:t>Tumor Bleeding</w:t>
      </w:r>
    </w:p>
    <w:p w14:paraId="79C5C232" w14:textId="77777777" w:rsidR="009172DD" w:rsidRPr="00AF1814" w:rsidRDefault="00DA3174" w:rsidP="009172DD">
      <w:pPr>
        <w:pStyle w:val="BodyText"/>
      </w:pPr>
      <w:r w:rsidRPr="00AF1814">
        <w:rPr>
          <w:rFonts w:hint="eastAsia"/>
        </w:rPr>
        <w:t>For Grade</w:t>
      </w:r>
      <w:r w:rsidRPr="00AF1814">
        <w:t xml:space="preserve"> ≥ </w:t>
      </w:r>
      <w:r w:rsidRPr="00AF1814">
        <w:rPr>
          <w:rFonts w:hint="eastAsia"/>
        </w:rPr>
        <w:t xml:space="preserve">2 tumor bleeding, study </w:t>
      </w:r>
      <w:r w:rsidR="003B5DA3" w:rsidRPr="00AF1814">
        <w:t xml:space="preserve">intervention </w:t>
      </w:r>
      <w:r w:rsidRPr="00AF1814">
        <w:rPr>
          <w:rFonts w:hint="eastAsia"/>
        </w:rPr>
        <w:t xml:space="preserve">must be held until the event recovers to Grade </w:t>
      </w:r>
      <w:r w:rsidRPr="00AF1814">
        <w:t>≤ 1</w:t>
      </w:r>
      <w:r w:rsidR="001A07FB" w:rsidRPr="00AF1814">
        <w:t>.</w:t>
      </w:r>
      <w:r w:rsidRPr="00AF1814">
        <w:t xml:space="preserve"> </w:t>
      </w:r>
      <w:r w:rsidRPr="00AF1814">
        <w:rPr>
          <w:rFonts w:hint="eastAsia"/>
        </w:rPr>
        <w:t>Treatment should be permanently discontinued if the Investigator considers the participant to be at risk for additional severe bleeding.</w:t>
      </w:r>
    </w:p>
    <w:p w14:paraId="32B7F0BA" w14:textId="77777777" w:rsidR="009172DD" w:rsidRPr="00AF1814" w:rsidRDefault="00DA3174" w:rsidP="009172DD">
      <w:pPr>
        <w:pStyle w:val="BodyText"/>
        <w:rPr>
          <w:b/>
          <w:u w:val="single"/>
        </w:rPr>
      </w:pPr>
      <w:r w:rsidRPr="00AF1814">
        <w:rPr>
          <w:b/>
          <w:u w:val="single"/>
        </w:rPr>
        <w:t>Alterations in Wound Healing or Repair of Tissue Damage</w:t>
      </w:r>
    </w:p>
    <w:p w14:paraId="559ACD16" w14:textId="77777777" w:rsidR="009172DD" w:rsidRPr="00AF1814" w:rsidRDefault="00DA3174" w:rsidP="009172DD">
      <w:r w:rsidRPr="00AF1814">
        <w:t xml:space="preserve">Alterations of wound healing and tissue damage repair are considered an important potential risk (a theoretical risk based on literature findings) for </w:t>
      </w:r>
      <w:r w:rsidRPr="00AF1814">
        <w:rPr>
          <w:rFonts w:eastAsia="Calibri"/>
        </w:rPr>
        <w:t>bintrafusp alfa</w:t>
      </w:r>
      <w:r w:rsidRPr="00AF1814">
        <w:t>, given the role of TGF</w:t>
      </w:r>
      <w:r w:rsidRPr="00AF1814">
        <w:noBreakHyphen/>
        <w:t>β in wound healing. Management should be discussed with the Medical Monitor for participants requiring surgery on study. It is recommended to hold study intervention for approximately 4 weeks post major surgery for observation. Postoperative wound healing will be closely monitored.</w:t>
      </w:r>
    </w:p>
    <w:p w14:paraId="2EBAA3B4" w14:textId="77777777" w:rsidR="009172DD" w:rsidRPr="00AF1814" w:rsidRDefault="00DA3174" w:rsidP="009172DD">
      <w:pPr>
        <w:pStyle w:val="BodyText"/>
        <w:rPr>
          <w:b/>
          <w:u w:val="single"/>
        </w:rPr>
      </w:pPr>
      <w:r w:rsidRPr="00AF1814">
        <w:rPr>
          <w:b/>
          <w:u w:val="single"/>
        </w:rPr>
        <w:t>Embryofetal Toxicity</w:t>
      </w:r>
    </w:p>
    <w:p w14:paraId="4926FAA5" w14:textId="77777777" w:rsidR="009172DD" w:rsidRPr="00AF1814" w:rsidRDefault="00DA3174" w:rsidP="009172DD">
      <w:r w:rsidRPr="00AF1814">
        <w:t>Embryofetal toxicities are a known risk of the PD</w:t>
      </w:r>
      <w:r w:rsidRPr="00AF1814">
        <w:noBreakHyphen/>
        <w:t>1/PD</w:t>
      </w:r>
      <w:r w:rsidRPr="00AF1814">
        <w:noBreakHyphen/>
        <w:t xml:space="preserve">L1 targeting class and are considered important potential risks for </w:t>
      </w:r>
      <w:r w:rsidRPr="00AF1814">
        <w:rPr>
          <w:rFonts w:eastAsia="Calibri"/>
        </w:rPr>
        <w:t>bintrafusp alfa</w:t>
      </w:r>
      <w:r w:rsidRPr="00AF1814">
        <w:t>. Animal models link the PD</w:t>
      </w:r>
      <w:r w:rsidRPr="00AF1814">
        <w:noBreakHyphen/>
        <w:t>1/PD</w:t>
      </w:r>
      <w:r w:rsidRPr="00AF1814">
        <w:noBreakHyphen/>
        <w:t xml:space="preserve">L1 signaling pathway with maintenance of pregnancy through induction of maternal immune tolerance to fetal tissue. Embryofetal toxicity is an important potential risk of </w:t>
      </w:r>
      <w:r w:rsidRPr="00AF1814">
        <w:rPr>
          <w:rFonts w:eastAsia="Calibri"/>
        </w:rPr>
        <w:t>bintrafusp alfa</w:t>
      </w:r>
      <w:r w:rsidRPr="00AF1814">
        <w:t xml:space="preserve">. An appropriate contraception warning is provided as part of the inclusion criteria. Pregnant and breastfeeding women are not allowed in the </w:t>
      </w:r>
      <w:r w:rsidRPr="00AF1814">
        <w:rPr>
          <w:rFonts w:eastAsia="Calibri"/>
        </w:rPr>
        <w:t>bintrafusp alfa</w:t>
      </w:r>
      <w:r w:rsidRPr="00AF1814">
        <w:t xml:space="preserve"> study, and adequate contraceptive measures are recommended during the study to minimize or eliminate the potential risk to the developing fetus.</w:t>
      </w:r>
    </w:p>
    <w:p w14:paraId="776A6601" w14:textId="77777777" w:rsidR="009172DD" w:rsidRPr="00AF1814" w:rsidRDefault="00DA3174" w:rsidP="009172DD">
      <w:pPr>
        <w:pStyle w:val="List1withoutbullet"/>
        <w:ind w:left="0"/>
      </w:pPr>
      <w:r w:rsidRPr="00AF1814">
        <w:t xml:space="preserve">Respective safety measures to mitigate risks comprise inclusion/exclusion criteria for participation in clinical studies with </w:t>
      </w:r>
      <w:r w:rsidRPr="00AF1814">
        <w:rPr>
          <w:rFonts w:eastAsia="Calibri"/>
        </w:rPr>
        <w:t>bintrafusp alfa</w:t>
      </w:r>
      <w:r w:rsidRPr="00AF1814">
        <w:t>, guidance for prevention, monitoring, and medical management of potential risks, as well as guidance on study intervention interruption or discontinuation.</w:t>
      </w:r>
    </w:p>
    <w:p w14:paraId="47D81AF1" w14:textId="77777777" w:rsidR="002D5216" w:rsidRPr="00AF1814" w:rsidRDefault="00DA3174" w:rsidP="00454723">
      <w:pPr>
        <w:pStyle w:val="Heading2"/>
        <w:ind w:left="2019" w:hanging="2019"/>
      </w:pPr>
      <w:bookmarkStart w:id="307" w:name="_Ref43384953"/>
      <w:bookmarkStart w:id="308" w:name="_Toc44601716"/>
      <w:r w:rsidRPr="00AF1814">
        <w:lastRenderedPageBreak/>
        <w:t>Treatment of Overdose</w:t>
      </w:r>
      <w:bookmarkEnd w:id="307"/>
      <w:bookmarkEnd w:id="308"/>
    </w:p>
    <w:p w14:paraId="488E5CA7" w14:textId="77777777" w:rsidR="00D87E5E" w:rsidRPr="00AF1814" w:rsidRDefault="00DA3174" w:rsidP="00A93066">
      <w:pPr>
        <w:pStyle w:val="Bodytext-keepwithnext"/>
      </w:pPr>
      <w:r w:rsidRPr="00AF1814">
        <w:rPr>
          <w:rFonts w:eastAsia="Calibri"/>
        </w:rPr>
        <w:t xml:space="preserve">For this study, any dose of bintrafusp alfa greater than </w:t>
      </w:r>
      <w:r w:rsidRPr="00AF1814">
        <w:t>2 times (i.e.</w:t>
      </w:r>
      <w:r w:rsidR="006D66B2" w:rsidRPr="00AF1814">
        <w:t>,</w:t>
      </w:r>
      <w:r w:rsidRPr="00AF1814">
        <w:t xml:space="preserve"> &gt; 4800 mg) more than the planned dose</w:t>
      </w:r>
      <w:r w:rsidRPr="00AF1814">
        <w:rPr>
          <w:rFonts w:eastAsia="Calibri"/>
        </w:rPr>
        <w:t xml:space="preserve"> within a 24-h</w:t>
      </w:r>
      <w:r w:rsidR="006D66B2" w:rsidRPr="00AF1814">
        <w:rPr>
          <w:rFonts w:eastAsia="Calibri"/>
        </w:rPr>
        <w:t>ou</w:t>
      </w:r>
      <w:r w:rsidRPr="00AF1814">
        <w:rPr>
          <w:rFonts w:eastAsia="Calibri"/>
        </w:rPr>
        <w:t>r time period will be considered an overdose.</w:t>
      </w:r>
      <w:r w:rsidR="00A93066" w:rsidRPr="00AF1814">
        <w:rPr>
          <w:rFonts w:eastAsia="Calibri"/>
        </w:rPr>
        <w:t xml:space="preserve"> </w:t>
      </w:r>
      <w:r w:rsidRPr="00AF1814">
        <w:t>This is based on dose escalation study data in which participants safely received up to 30 mg/kg bintrafusp alfa every 2</w:t>
      </w:r>
      <w:r w:rsidR="009C630A" w:rsidRPr="00AF1814">
        <w:t> </w:t>
      </w:r>
      <w:r w:rsidRPr="00AF1814">
        <w:t xml:space="preserve">weeks (including with doses &gt; 2400 mg) with no observed </w:t>
      </w:r>
      <w:r w:rsidR="006D66B2" w:rsidRPr="00AF1814">
        <w:t>DLT</w:t>
      </w:r>
      <w:r w:rsidRPr="00AF1814">
        <w:t xml:space="preserve"> at 30 mg/kg and not reaching maximum tolerated dose (refer to the IB). Safety at significantly higher doses has not been clinically evaluated.</w:t>
      </w:r>
    </w:p>
    <w:p w14:paraId="188548FD" w14:textId="77777777" w:rsidR="00A93066" w:rsidRPr="00AF1814" w:rsidRDefault="00DA3174" w:rsidP="00A93066">
      <w:pPr>
        <w:pStyle w:val="BodyText"/>
      </w:pPr>
      <w:r w:rsidRPr="00AF1814">
        <w:t>For chemotherapeutic agents used in this study, any single dose exceeding 20% of recommended chemotherapy dose regimen will be considered overdose.</w:t>
      </w:r>
    </w:p>
    <w:p w14:paraId="4C4DCEFA" w14:textId="77777777" w:rsidR="00D87E5E" w:rsidRPr="00AF1814" w:rsidRDefault="00DA3174" w:rsidP="00F15279">
      <w:pPr>
        <w:pStyle w:val="List1withbullet"/>
      </w:pPr>
      <w:r w:rsidRPr="00AF1814">
        <w:t>In case of overdose with clinical correlation, symptomatic treatment must be used; there are no known antidotes for the compound.</w:t>
      </w:r>
    </w:p>
    <w:p w14:paraId="600A2815" w14:textId="77777777" w:rsidR="00D87E5E" w:rsidRPr="00AF1814" w:rsidRDefault="00DA3174" w:rsidP="00020F35">
      <w:pPr>
        <w:pStyle w:val="List1withbullet"/>
      </w:pPr>
      <w:r w:rsidRPr="00AF1814">
        <w:t xml:space="preserve">In the event of an overdose, the study intervention infusion should be discontinued, and participants should be observed closely for any signs of toxicity. Supportive treatment should be provided if clinically indicated. </w:t>
      </w:r>
    </w:p>
    <w:p w14:paraId="00B0909D" w14:textId="098D147E" w:rsidR="004829AE" w:rsidRPr="00AF1814" w:rsidRDefault="00DA3174" w:rsidP="00D87E5E">
      <w:pPr>
        <w:pStyle w:val="Bodytext-keepwithnext"/>
        <w:keepNext w:val="0"/>
        <w:widowControl w:val="0"/>
      </w:pPr>
      <w:r w:rsidRPr="00AF1814">
        <w:t xml:space="preserve">Even if not associated with an AE or a SAE, any overdose is recorded in the </w:t>
      </w:r>
      <w:r w:rsidR="000B0699" w:rsidRPr="00AF1814">
        <w:t>e</w:t>
      </w:r>
      <w:r w:rsidRPr="00AF1814">
        <w:t xml:space="preserve">CRF and reported to </w:t>
      </w:r>
      <w:r w:rsidR="003053C1" w:rsidRPr="00AF1814">
        <w:t xml:space="preserve">global patient </w:t>
      </w:r>
      <w:r w:rsidRPr="00AF1814">
        <w:t xml:space="preserve">safety in an expedited manner. Overdoses are reported on a SAE and Overdose Report Form, following the procedure in </w:t>
      </w:r>
      <w:hyperlink w:anchor="_Appendix_4_Adverse" w:history="1">
        <w:r w:rsidR="00D87E5E" w:rsidRPr="00AF1814">
          <w:rPr>
            <w:rStyle w:val="Hyperlink"/>
          </w:rPr>
          <w:t>Appendix 4</w:t>
        </w:r>
      </w:hyperlink>
      <w:r w:rsidR="00D87E5E" w:rsidRPr="00AF1814">
        <w:t>.</w:t>
      </w:r>
    </w:p>
    <w:p w14:paraId="10A8887E" w14:textId="77777777" w:rsidR="002D5216" w:rsidRPr="00AF1814" w:rsidRDefault="00DA3174" w:rsidP="002954C7">
      <w:pPr>
        <w:pStyle w:val="Heading2"/>
        <w:ind w:left="2019" w:hanging="2019"/>
      </w:pPr>
      <w:bookmarkStart w:id="309" w:name="_Toc44601717"/>
      <w:r w:rsidRPr="00AF1814">
        <w:t>Pharmacokinetics</w:t>
      </w:r>
      <w:bookmarkEnd w:id="309"/>
    </w:p>
    <w:p w14:paraId="2C88F8C2" w14:textId="77777777" w:rsidR="00D87E5E" w:rsidRPr="00AF1814" w:rsidRDefault="00DA3174" w:rsidP="00610F40">
      <w:pPr>
        <w:pStyle w:val="BodyText"/>
      </w:pPr>
      <w:r w:rsidRPr="00AF1814">
        <w:t xml:space="preserve">The following </w:t>
      </w:r>
      <w:bookmarkStart w:id="310" w:name="_Hlk511037203"/>
      <w:r w:rsidRPr="00AF1814">
        <w:t>PK parameters</w:t>
      </w:r>
      <w:bookmarkEnd w:id="310"/>
      <w:r w:rsidRPr="00AF1814">
        <w:t xml:space="preserve"> will be calculated, when appropriate:</w:t>
      </w:r>
    </w:p>
    <w:p w14:paraId="1DBBE52F" w14:textId="100628F9" w:rsidR="00F061F9" w:rsidRPr="00AF1814" w:rsidRDefault="00DA3174" w:rsidP="00F061F9">
      <w:pPr>
        <w:pStyle w:val="Caption"/>
      </w:pPr>
      <w:bookmarkStart w:id="311" w:name="_Ref522015613"/>
      <w:bookmarkStart w:id="312" w:name="_Toc505001083"/>
      <w:bookmarkStart w:id="313" w:name="_Toc505090659"/>
      <w:bookmarkStart w:id="314" w:name="_Toc505069635"/>
      <w:bookmarkStart w:id="315" w:name="_Toc505090505"/>
      <w:bookmarkStart w:id="316" w:name="_Toc505252846"/>
      <w:bookmarkStart w:id="317" w:name="_Toc505253545"/>
      <w:bookmarkStart w:id="318" w:name="_Toc505347651"/>
      <w:bookmarkStart w:id="319" w:name="_Toc505348010"/>
      <w:bookmarkStart w:id="320" w:name="_Toc505332235"/>
      <w:bookmarkStart w:id="321" w:name="_Toc505335577"/>
      <w:bookmarkStart w:id="322" w:name="_Toc505438585"/>
      <w:bookmarkStart w:id="323" w:name="_Toc508307085"/>
      <w:bookmarkStart w:id="324" w:name="_Toc511152326"/>
      <w:bookmarkStart w:id="325" w:name="_Toc513046251"/>
      <w:bookmarkStart w:id="326" w:name="_Toc514698429"/>
      <w:bookmarkStart w:id="327" w:name="_Toc517700249"/>
      <w:bookmarkStart w:id="328" w:name="_Toc11004376"/>
      <w:bookmarkStart w:id="329" w:name="_Toc529456778"/>
      <w:bookmarkStart w:id="330" w:name="_Toc26879504"/>
      <w:bookmarkStart w:id="331" w:name="_Toc44601756"/>
      <w:r w:rsidRPr="00AF1814">
        <w:t xml:space="preserve">Table </w:t>
      </w:r>
      <w:r w:rsidRPr="00AF1814">
        <w:fldChar w:fldCharType="begin"/>
      </w:r>
      <w:r w:rsidRPr="00AF1814">
        <w:instrText xml:space="preserve"> SEQ Table \* ARABIC </w:instrText>
      </w:r>
      <w:r w:rsidRPr="00AF1814">
        <w:fldChar w:fldCharType="separate"/>
      </w:r>
      <w:r w:rsidR="00C548C3">
        <w:rPr>
          <w:noProof/>
        </w:rPr>
        <w:t>12</w:t>
      </w:r>
      <w:r w:rsidRPr="00AF1814">
        <w:fldChar w:fldCharType="end"/>
      </w:r>
      <w:bookmarkEnd w:id="311"/>
      <w:r w:rsidRPr="00AF1814">
        <w:tab/>
        <w:t>Pharmacokinetic Parameters</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tbl>
      <w:tblPr>
        <w:tblW w:w="5000" w:type="pct"/>
        <w:tblCellMar>
          <w:left w:w="70" w:type="dxa"/>
          <w:right w:w="70" w:type="dxa"/>
        </w:tblCellMar>
        <w:tblLook w:val="0000" w:firstRow="0" w:lastRow="0" w:firstColumn="0" w:lastColumn="0" w:noHBand="0" w:noVBand="0"/>
      </w:tblPr>
      <w:tblGrid>
        <w:gridCol w:w="1604"/>
        <w:gridCol w:w="7742"/>
      </w:tblGrid>
      <w:tr w:rsidR="002108B2" w:rsidRPr="00AF1814" w14:paraId="0E9F6CE6" w14:textId="77777777" w:rsidTr="00C15737">
        <w:trPr>
          <w:tblHeader/>
        </w:trPr>
        <w:tc>
          <w:tcPr>
            <w:tcW w:w="858" w:type="pct"/>
            <w:tcBorders>
              <w:top w:val="single" w:sz="6" w:space="0" w:color="auto"/>
              <w:left w:val="single" w:sz="6" w:space="0" w:color="auto"/>
              <w:bottom w:val="single" w:sz="6" w:space="0" w:color="auto"/>
              <w:right w:val="single" w:sz="6" w:space="0" w:color="auto"/>
            </w:tcBorders>
          </w:tcPr>
          <w:p w14:paraId="4C540ED5" w14:textId="77777777" w:rsidR="00D87E5E" w:rsidRPr="00AF1814" w:rsidRDefault="00DA3174" w:rsidP="002954C7">
            <w:pPr>
              <w:pStyle w:val="Tableheading"/>
              <w:ind w:left="450"/>
            </w:pPr>
            <w:r w:rsidRPr="00AF1814">
              <w:t>Symbol</w:t>
            </w:r>
          </w:p>
        </w:tc>
        <w:tc>
          <w:tcPr>
            <w:tcW w:w="4142" w:type="pct"/>
            <w:tcBorders>
              <w:top w:val="single" w:sz="6" w:space="0" w:color="auto"/>
              <w:left w:val="single" w:sz="6" w:space="0" w:color="auto"/>
              <w:bottom w:val="single" w:sz="6" w:space="0" w:color="auto"/>
              <w:right w:val="single" w:sz="6" w:space="0" w:color="auto"/>
            </w:tcBorders>
          </w:tcPr>
          <w:p w14:paraId="4FC9DFE6" w14:textId="77777777" w:rsidR="00D87E5E" w:rsidRPr="00AF1814" w:rsidRDefault="00DA3174" w:rsidP="002954C7">
            <w:pPr>
              <w:pStyle w:val="Tableheading"/>
              <w:ind w:left="450"/>
            </w:pPr>
            <w:r w:rsidRPr="00AF1814">
              <w:t>Definition</w:t>
            </w:r>
          </w:p>
        </w:tc>
      </w:tr>
      <w:tr w:rsidR="002108B2" w:rsidRPr="00AF1814" w14:paraId="1AF23BE1" w14:textId="77777777" w:rsidTr="00C15737">
        <w:tc>
          <w:tcPr>
            <w:tcW w:w="858" w:type="pct"/>
            <w:tcBorders>
              <w:top w:val="single" w:sz="6" w:space="0" w:color="auto"/>
              <w:left w:val="single" w:sz="6" w:space="0" w:color="auto"/>
              <w:bottom w:val="single" w:sz="6" w:space="0" w:color="auto"/>
              <w:right w:val="single" w:sz="6" w:space="0" w:color="auto"/>
            </w:tcBorders>
          </w:tcPr>
          <w:p w14:paraId="15216E14" w14:textId="77777777" w:rsidR="00D87E5E" w:rsidRPr="00AF1814" w:rsidRDefault="00DA3174" w:rsidP="002954C7">
            <w:pPr>
              <w:pStyle w:val="Tabletext"/>
              <w:ind w:left="450"/>
              <w:rPr>
                <w:vertAlign w:val="subscript"/>
                <w:lang w:val="en-GB"/>
              </w:rPr>
            </w:pPr>
            <w:r w:rsidRPr="00AF1814">
              <w:rPr>
                <w:rFonts w:cs="Arial"/>
                <w:szCs w:val="18"/>
                <w:lang w:eastAsia="ja-JP"/>
              </w:rPr>
              <w:t>C</w:t>
            </w:r>
            <w:r w:rsidRPr="00AF1814">
              <w:rPr>
                <w:rFonts w:cs="Arial"/>
                <w:sz w:val="12"/>
                <w:szCs w:val="12"/>
                <w:lang w:eastAsia="ja-JP"/>
              </w:rPr>
              <w:t>eoi</w:t>
            </w:r>
          </w:p>
        </w:tc>
        <w:tc>
          <w:tcPr>
            <w:tcW w:w="4142" w:type="pct"/>
            <w:tcBorders>
              <w:top w:val="single" w:sz="6" w:space="0" w:color="auto"/>
              <w:left w:val="single" w:sz="6" w:space="0" w:color="auto"/>
              <w:bottom w:val="single" w:sz="6" w:space="0" w:color="auto"/>
              <w:right w:val="single" w:sz="6" w:space="0" w:color="auto"/>
            </w:tcBorders>
          </w:tcPr>
          <w:p w14:paraId="3E88A36C" w14:textId="77777777" w:rsidR="00D87E5E" w:rsidRPr="00AF1814" w:rsidRDefault="00DA3174" w:rsidP="002954C7">
            <w:pPr>
              <w:pStyle w:val="Tabletext"/>
              <w:ind w:left="450"/>
              <w:rPr>
                <w:lang w:val="en-GB"/>
              </w:rPr>
            </w:pPr>
            <w:r w:rsidRPr="00AF1814">
              <w:rPr>
                <w:lang w:val="en-GB"/>
              </w:rPr>
              <w:t>The observed concentration at the end of the infusion period</w:t>
            </w:r>
          </w:p>
        </w:tc>
      </w:tr>
      <w:tr w:rsidR="002108B2" w:rsidRPr="00AF1814" w14:paraId="19EEC89E" w14:textId="77777777" w:rsidTr="00C15737">
        <w:tc>
          <w:tcPr>
            <w:tcW w:w="858" w:type="pct"/>
            <w:tcBorders>
              <w:top w:val="single" w:sz="6" w:space="0" w:color="auto"/>
              <w:left w:val="single" w:sz="6" w:space="0" w:color="auto"/>
              <w:bottom w:val="single" w:sz="6" w:space="0" w:color="auto"/>
              <w:right w:val="single" w:sz="6" w:space="0" w:color="auto"/>
            </w:tcBorders>
          </w:tcPr>
          <w:p w14:paraId="59EFF1D1" w14:textId="77777777" w:rsidR="00610F40" w:rsidRPr="00AF1814" w:rsidRDefault="00DA3174" w:rsidP="002954C7">
            <w:pPr>
              <w:pStyle w:val="Tabletext"/>
              <w:ind w:left="450"/>
              <w:rPr>
                <w:lang w:val="en-GB"/>
              </w:rPr>
            </w:pPr>
            <w:r w:rsidRPr="00AF1814">
              <w:rPr>
                <w:rFonts w:cs="Arial"/>
                <w:szCs w:val="18"/>
                <w:lang w:eastAsia="ja-JP"/>
              </w:rPr>
              <w:t>C</w:t>
            </w:r>
            <w:r w:rsidRPr="00AF1814">
              <w:rPr>
                <w:rFonts w:cs="Arial"/>
                <w:sz w:val="12"/>
                <w:szCs w:val="12"/>
                <w:lang w:eastAsia="ja-JP"/>
              </w:rPr>
              <w:t>trough</w:t>
            </w:r>
          </w:p>
        </w:tc>
        <w:tc>
          <w:tcPr>
            <w:tcW w:w="4142" w:type="pct"/>
            <w:tcBorders>
              <w:top w:val="single" w:sz="6" w:space="0" w:color="auto"/>
              <w:left w:val="single" w:sz="6" w:space="0" w:color="auto"/>
              <w:bottom w:val="single" w:sz="6" w:space="0" w:color="auto"/>
              <w:right w:val="single" w:sz="6" w:space="0" w:color="auto"/>
            </w:tcBorders>
          </w:tcPr>
          <w:p w14:paraId="651CB8EA" w14:textId="77777777" w:rsidR="00610F40" w:rsidRPr="00AF1814" w:rsidRDefault="00DA3174" w:rsidP="002954C7">
            <w:pPr>
              <w:pStyle w:val="Tabletext"/>
              <w:ind w:left="450"/>
              <w:rPr>
                <w:lang w:val="en-GB"/>
              </w:rPr>
            </w:pPr>
            <w:r w:rsidRPr="00AF1814">
              <w:rPr>
                <w:lang w:val="en-GB"/>
              </w:rPr>
              <w:t>The concentration observed immediately before next dosing (corresponding to pre</w:t>
            </w:r>
            <w:r w:rsidR="0060662F" w:rsidRPr="00AF1814">
              <w:rPr>
                <w:lang w:val="en-GB"/>
              </w:rPr>
              <w:noBreakHyphen/>
            </w:r>
            <w:r w:rsidRPr="00AF1814">
              <w:rPr>
                <w:lang w:val="en-GB"/>
              </w:rPr>
              <w:t>dose or trough concentration for multiple dosing)</w:t>
            </w:r>
          </w:p>
        </w:tc>
      </w:tr>
      <w:tr w:rsidR="002108B2" w:rsidRPr="00AF1814" w14:paraId="6507CBCF" w14:textId="77777777" w:rsidTr="00C15737">
        <w:tc>
          <w:tcPr>
            <w:tcW w:w="858" w:type="pct"/>
            <w:tcBorders>
              <w:top w:val="single" w:sz="6" w:space="0" w:color="auto"/>
              <w:left w:val="single" w:sz="6" w:space="0" w:color="auto"/>
              <w:bottom w:val="single" w:sz="6" w:space="0" w:color="auto"/>
              <w:right w:val="single" w:sz="6" w:space="0" w:color="auto"/>
            </w:tcBorders>
          </w:tcPr>
          <w:p w14:paraId="7893268B" w14:textId="77777777" w:rsidR="00610F40" w:rsidRPr="00AF1814" w:rsidRDefault="00DA3174" w:rsidP="002954C7">
            <w:pPr>
              <w:pStyle w:val="Tabletext"/>
              <w:ind w:left="450"/>
              <w:rPr>
                <w:lang w:val="en-GB"/>
              </w:rPr>
            </w:pPr>
            <w:r w:rsidRPr="00AF1814">
              <w:rPr>
                <w:rFonts w:cs="Arial"/>
                <w:szCs w:val="18"/>
                <w:lang w:eastAsia="ja-JP"/>
              </w:rPr>
              <w:t>AUC</w:t>
            </w:r>
            <w:r w:rsidRPr="00AF1814">
              <w:rPr>
                <w:rFonts w:cs="Arial"/>
                <w:sz w:val="12"/>
                <w:szCs w:val="12"/>
                <w:lang w:eastAsia="ja-JP"/>
              </w:rPr>
              <w:t>0-t</w:t>
            </w:r>
          </w:p>
        </w:tc>
        <w:tc>
          <w:tcPr>
            <w:tcW w:w="4142" w:type="pct"/>
            <w:tcBorders>
              <w:top w:val="single" w:sz="6" w:space="0" w:color="auto"/>
              <w:left w:val="single" w:sz="6" w:space="0" w:color="auto"/>
              <w:bottom w:val="single" w:sz="6" w:space="0" w:color="auto"/>
              <w:right w:val="single" w:sz="6" w:space="0" w:color="auto"/>
            </w:tcBorders>
          </w:tcPr>
          <w:p w14:paraId="624AA77A" w14:textId="5073D6FB" w:rsidR="00610F40" w:rsidRPr="00AF1814" w:rsidRDefault="00DA3174" w:rsidP="00240096">
            <w:pPr>
              <w:pStyle w:val="Tabletext"/>
              <w:ind w:left="450"/>
              <w:rPr>
                <w:lang w:val="en-GB"/>
              </w:rPr>
            </w:pPr>
            <w:r w:rsidRPr="00AF1814">
              <w:rPr>
                <w:lang w:val="en-GB"/>
              </w:rPr>
              <w:t>The area under the concentration-time curve (AUC) from time zero (= dosing time)</w:t>
            </w:r>
            <w:r w:rsidR="00C8754C">
              <w:rPr>
                <w:lang w:val="en-GB"/>
              </w:rPr>
              <w:t xml:space="preserve"> </w:t>
            </w:r>
            <w:r w:rsidRPr="00AF1814">
              <w:rPr>
                <w:lang w:val="en-GB"/>
              </w:rPr>
              <w:t>to the last sampling time (t</w:t>
            </w:r>
            <w:r w:rsidRPr="00AF1814">
              <w:rPr>
                <w:vertAlign w:val="subscript"/>
                <w:lang w:val="en-GB"/>
              </w:rPr>
              <w:t>last</w:t>
            </w:r>
            <w:r w:rsidRPr="00AF1814">
              <w:rPr>
                <w:lang w:val="en-GB"/>
              </w:rPr>
              <w:t>) at which the concentration is at or above the lower</w:t>
            </w:r>
            <w:r w:rsidR="00EF7A58">
              <w:rPr>
                <w:lang w:val="en-GB"/>
              </w:rPr>
              <w:t xml:space="preserve"> </w:t>
            </w:r>
            <w:r w:rsidRPr="00AF1814">
              <w:rPr>
                <w:lang w:val="en-GB"/>
              </w:rPr>
              <w:t>limit of quantification. Calculated using the mixed log-linear trapezoidal rule (linear</w:t>
            </w:r>
            <w:r w:rsidR="00C8754C">
              <w:rPr>
                <w:lang w:val="en-GB"/>
              </w:rPr>
              <w:t xml:space="preserve"> </w:t>
            </w:r>
            <w:r w:rsidRPr="00AF1814">
              <w:rPr>
                <w:lang w:val="en-GB"/>
              </w:rPr>
              <w:t>up, log down)</w:t>
            </w:r>
          </w:p>
        </w:tc>
      </w:tr>
      <w:tr w:rsidR="002108B2" w:rsidRPr="00AF1814" w14:paraId="3109A1D4" w14:textId="77777777" w:rsidTr="00C15737">
        <w:tc>
          <w:tcPr>
            <w:tcW w:w="858" w:type="pct"/>
            <w:tcBorders>
              <w:top w:val="single" w:sz="6" w:space="0" w:color="auto"/>
              <w:left w:val="single" w:sz="6" w:space="0" w:color="auto"/>
              <w:bottom w:val="single" w:sz="6" w:space="0" w:color="auto"/>
              <w:right w:val="single" w:sz="6" w:space="0" w:color="auto"/>
            </w:tcBorders>
          </w:tcPr>
          <w:p w14:paraId="7722B1E4" w14:textId="77777777" w:rsidR="00610F40" w:rsidRPr="00AF1814" w:rsidRDefault="00DA3174" w:rsidP="002954C7">
            <w:pPr>
              <w:pStyle w:val="Tabletext"/>
              <w:ind w:left="450"/>
              <w:rPr>
                <w:lang w:val="en-GB"/>
              </w:rPr>
            </w:pPr>
            <w:r w:rsidRPr="00AF1814">
              <w:rPr>
                <w:rFonts w:cs="Arial"/>
                <w:szCs w:val="18"/>
                <w:lang w:eastAsia="ja-JP"/>
              </w:rPr>
              <w:t>AUC</w:t>
            </w:r>
            <w:r w:rsidRPr="00AF1814">
              <w:rPr>
                <w:rFonts w:cs="Arial"/>
                <w:sz w:val="12"/>
                <w:szCs w:val="12"/>
                <w:lang w:eastAsia="ja-JP"/>
              </w:rPr>
              <w:t>0-∞</w:t>
            </w:r>
          </w:p>
        </w:tc>
        <w:tc>
          <w:tcPr>
            <w:tcW w:w="4142" w:type="pct"/>
            <w:tcBorders>
              <w:top w:val="single" w:sz="6" w:space="0" w:color="auto"/>
              <w:left w:val="single" w:sz="6" w:space="0" w:color="auto"/>
              <w:bottom w:val="single" w:sz="6" w:space="0" w:color="auto"/>
              <w:right w:val="single" w:sz="6" w:space="0" w:color="auto"/>
            </w:tcBorders>
          </w:tcPr>
          <w:p w14:paraId="090F7509" w14:textId="77777777" w:rsidR="00610F40" w:rsidRPr="00AF1814" w:rsidRDefault="00DA3174" w:rsidP="002954C7">
            <w:pPr>
              <w:pStyle w:val="Tabletext"/>
              <w:ind w:left="450"/>
              <w:rPr>
                <w:lang w:val="en-GB"/>
              </w:rPr>
            </w:pPr>
            <w:r w:rsidRPr="00AF1814">
              <w:rPr>
                <w:lang w:val="en-GB"/>
              </w:rPr>
              <w:t>The AUC from time zero (dosing time) extrapolated to infinity, based on the predicted value for the concentration at t</w:t>
            </w:r>
            <w:r w:rsidRPr="00AF1814">
              <w:rPr>
                <w:vertAlign w:val="subscript"/>
                <w:lang w:val="en-GB"/>
              </w:rPr>
              <w:t>last,</w:t>
            </w:r>
            <w:r w:rsidRPr="00AF1814">
              <w:rPr>
                <w:lang w:val="en-GB"/>
              </w:rPr>
              <w:t xml:space="preserve"> as estimated using the linear regression from λ</w:t>
            </w:r>
            <w:r w:rsidRPr="00AF1814">
              <w:rPr>
                <w:vertAlign w:val="subscript"/>
                <w:lang w:val="en-GB"/>
              </w:rPr>
              <w:t>z</w:t>
            </w:r>
            <w:r w:rsidRPr="00AF1814">
              <w:rPr>
                <w:lang w:val="en-GB"/>
              </w:rPr>
              <w:t xml:space="preserve"> determination. AUC</w:t>
            </w:r>
            <w:r w:rsidRPr="00AF1814">
              <w:rPr>
                <w:vertAlign w:val="subscript"/>
                <w:lang w:val="en-GB"/>
              </w:rPr>
              <w:t>0-∞</w:t>
            </w:r>
            <w:r w:rsidRPr="00AF1814">
              <w:rPr>
                <w:lang w:val="en-GB"/>
              </w:rPr>
              <w:t>= AUC</w:t>
            </w:r>
            <w:r w:rsidRPr="00AF1814">
              <w:rPr>
                <w:vertAlign w:val="subscript"/>
                <w:lang w:val="en-GB"/>
              </w:rPr>
              <w:t>0-tlast</w:t>
            </w:r>
            <w:r w:rsidRPr="00AF1814">
              <w:rPr>
                <w:lang w:val="en-GB"/>
              </w:rPr>
              <w:t xml:space="preserve"> +C</w:t>
            </w:r>
            <w:r w:rsidRPr="00AF1814">
              <w:rPr>
                <w:vertAlign w:val="subscript"/>
                <w:lang w:val="en-GB"/>
              </w:rPr>
              <w:t>last pred</w:t>
            </w:r>
            <w:r w:rsidRPr="00AF1814">
              <w:rPr>
                <w:lang w:val="en-GB"/>
              </w:rPr>
              <w:t>/ λ</w:t>
            </w:r>
            <w:r w:rsidRPr="00AF1814">
              <w:rPr>
                <w:vertAlign w:val="subscript"/>
                <w:lang w:val="en-GB"/>
              </w:rPr>
              <w:t>z</w:t>
            </w:r>
          </w:p>
        </w:tc>
      </w:tr>
      <w:tr w:rsidR="002108B2" w:rsidRPr="00AF1814" w14:paraId="7E6B2EAB" w14:textId="77777777" w:rsidTr="00C15737">
        <w:tc>
          <w:tcPr>
            <w:tcW w:w="858" w:type="pct"/>
            <w:tcBorders>
              <w:top w:val="single" w:sz="6" w:space="0" w:color="auto"/>
              <w:left w:val="single" w:sz="6" w:space="0" w:color="auto"/>
              <w:bottom w:val="single" w:sz="6" w:space="0" w:color="auto"/>
              <w:right w:val="single" w:sz="6" w:space="0" w:color="auto"/>
            </w:tcBorders>
          </w:tcPr>
          <w:p w14:paraId="59920766" w14:textId="77777777" w:rsidR="00610F40" w:rsidRPr="00AF1814" w:rsidRDefault="00DA3174" w:rsidP="002954C7">
            <w:pPr>
              <w:pStyle w:val="Tabletext"/>
              <w:ind w:left="450"/>
              <w:rPr>
                <w:rFonts w:cs="Arial"/>
                <w:szCs w:val="18"/>
                <w:lang w:eastAsia="ja-JP"/>
              </w:rPr>
            </w:pPr>
            <w:r w:rsidRPr="00AF1814">
              <w:rPr>
                <w:rFonts w:cs="Arial"/>
                <w:szCs w:val="18"/>
                <w:lang w:eastAsia="ja-JP"/>
              </w:rPr>
              <w:t>C</w:t>
            </w:r>
            <w:r w:rsidRPr="00AF1814">
              <w:rPr>
                <w:rFonts w:cs="Arial"/>
                <w:sz w:val="12"/>
                <w:szCs w:val="12"/>
                <w:lang w:eastAsia="ja-JP"/>
              </w:rPr>
              <w:t>max</w:t>
            </w:r>
          </w:p>
        </w:tc>
        <w:tc>
          <w:tcPr>
            <w:tcW w:w="4142" w:type="pct"/>
            <w:tcBorders>
              <w:top w:val="single" w:sz="6" w:space="0" w:color="auto"/>
              <w:left w:val="single" w:sz="6" w:space="0" w:color="auto"/>
              <w:bottom w:val="single" w:sz="6" w:space="0" w:color="auto"/>
              <w:right w:val="single" w:sz="6" w:space="0" w:color="auto"/>
            </w:tcBorders>
          </w:tcPr>
          <w:p w14:paraId="5232B589" w14:textId="77777777" w:rsidR="00610F40" w:rsidRPr="00AF1814" w:rsidRDefault="00DA3174" w:rsidP="002954C7">
            <w:pPr>
              <w:pStyle w:val="Tabletext"/>
              <w:ind w:left="450"/>
              <w:rPr>
                <w:lang w:val="en-GB"/>
              </w:rPr>
            </w:pPr>
            <w:r w:rsidRPr="00AF1814">
              <w:t>Maximum observed concentration</w:t>
            </w:r>
          </w:p>
        </w:tc>
      </w:tr>
      <w:tr w:rsidR="002108B2" w:rsidRPr="00AF1814" w14:paraId="6AE4193C" w14:textId="77777777" w:rsidTr="00C15737">
        <w:tc>
          <w:tcPr>
            <w:tcW w:w="858" w:type="pct"/>
            <w:tcBorders>
              <w:top w:val="single" w:sz="6" w:space="0" w:color="auto"/>
              <w:left w:val="single" w:sz="6" w:space="0" w:color="auto"/>
              <w:bottom w:val="single" w:sz="6" w:space="0" w:color="auto"/>
              <w:right w:val="single" w:sz="6" w:space="0" w:color="auto"/>
            </w:tcBorders>
          </w:tcPr>
          <w:p w14:paraId="70EA5785" w14:textId="77777777" w:rsidR="00610F40" w:rsidRPr="00AF1814" w:rsidRDefault="00DA3174" w:rsidP="002954C7">
            <w:pPr>
              <w:pStyle w:val="Tabletext"/>
              <w:ind w:left="450"/>
              <w:rPr>
                <w:rFonts w:cs="Arial"/>
                <w:szCs w:val="18"/>
                <w:lang w:eastAsia="ja-JP"/>
              </w:rPr>
            </w:pPr>
            <w:r w:rsidRPr="00AF1814">
              <w:rPr>
                <w:rFonts w:cs="Arial"/>
                <w:szCs w:val="18"/>
                <w:lang w:eastAsia="ja-JP"/>
              </w:rPr>
              <w:t>t</w:t>
            </w:r>
            <w:r w:rsidRPr="00AF1814">
              <w:rPr>
                <w:rFonts w:cs="Arial"/>
                <w:sz w:val="12"/>
                <w:szCs w:val="12"/>
                <w:lang w:eastAsia="ja-JP"/>
              </w:rPr>
              <w:t>max</w:t>
            </w:r>
          </w:p>
        </w:tc>
        <w:tc>
          <w:tcPr>
            <w:tcW w:w="4142" w:type="pct"/>
            <w:tcBorders>
              <w:top w:val="single" w:sz="6" w:space="0" w:color="auto"/>
              <w:left w:val="single" w:sz="6" w:space="0" w:color="auto"/>
              <w:bottom w:val="single" w:sz="6" w:space="0" w:color="auto"/>
              <w:right w:val="single" w:sz="6" w:space="0" w:color="auto"/>
            </w:tcBorders>
          </w:tcPr>
          <w:p w14:paraId="692C7DD4" w14:textId="77777777" w:rsidR="00610F40" w:rsidRPr="00AF1814" w:rsidRDefault="00DA3174" w:rsidP="002954C7">
            <w:pPr>
              <w:pStyle w:val="Tabletext"/>
              <w:ind w:left="450"/>
              <w:rPr>
                <w:lang w:val="en-GB"/>
              </w:rPr>
            </w:pPr>
            <w:r w:rsidRPr="00AF1814">
              <w:rPr>
                <w:lang w:val="en-GB"/>
              </w:rPr>
              <w:t xml:space="preserve">The time to reach the maximum observed concentration collected during a dosing interval (unless otherwise defined, take the </w:t>
            </w:r>
            <w:r w:rsidR="006D66B2" w:rsidRPr="00AF1814">
              <w:rPr>
                <w:lang w:val="en-GB"/>
              </w:rPr>
              <w:t>first</w:t>
            </w:r>
            <w:r w:rsidRPr="00AF1814">
              <w:rPr>
                <w:lang w:val="en-GB"/>
              </w:rPr>
              <w:t xml:space="preserve"> occurrence in case of multiple/identical C</w:t>
            </w:r>
            <w:r w:rsidRPr="00AF1814">
              <w:rPr>
                <w:vertAlign w:val="subscript"/>
                <w:lang w:val="en-GB"/>
              </w:rPr>
              <w:t>max</w:t>
            </w:r>
            <w:r w:rsidRPr="00AF1814">
              <w:rPr>
                <w:lang w:val="en-GB"/>
              </w:rPr>
              <w:t xml:space="preserve"> values)</w:t>
            </w:r>
          </w:p>
        </w:tc>
      </w:tr>
      <w:tr w:rsidR="002108B2" w:rsidRPr="00AF1814" w14:paraId="4D73E9A9" w14:textId="77777777" w:rsidTr="00C15737">
        <w:tc>
          <w:tcPr>
            <w:tcW w:w="858" w:type="pct"/>
            <w:tcBorders>
              <w:top w:val="single" w:sz="6" w:space="0" w:color="auto"/>
              <w:left w:val="single" w:sz="6" w:space="0" w:color="auto"/>
              <w:bottom w:val="single" w:sz="6" w:space="0" w:color="auto"/>
              <w:right w:val="single" w:sz="6" w:space="0" w:color="auto"/>
            </w:tcBorders>
          </w:tcPr>
          <w:p w14:paraId="4BA9103A" w14:textId="77777777" w:rsidR="00610F40" w:rsidRPr="00AF1814" w:rsidRDefault="00DA3174" w:rsidP="00610F40">
            <w:pPr>
              <w:pStyle w:val="Tabletext"/>
              <w:ind w:left="450"/>
              <w:rPr>
                <w:rFonts w:cs="Arial"/>
                <w:szCs w:val="18"/>
                <w:lang w:eastAsia="ja-JP"/>
              </w:rPr>
            </w:pPr>
            <w:r w:rsidRPr="00AF1814">
              <w:rPr>
                <w:rFonts w:cs="Arial"/>
                <w:szCs w:val="18"/>
              </w:rPr>
              <w:t>t</w:t>
            </w:r>
            <w:r w:rsidRPr="00AF1814">
              <w:rPr>
                <w:rFonts w:cs="Arial"/>
                <w:szCs w:val="18"/>
                <w:vertAlign w:val="subscript"/>
              </w:rPr>
              <w:t>½</w:t>
            </w:r>
          </w:p>
        </w:tc>
        <w:tc>
          <w:tcPr>
            <w:tcW w:w="4142" w:type="pct"/>
            <w:tcBorders>
              <w:top w:val="single" w:sz="6" w:space="0" w:color="auto"/>
              <w:left w:val="single" w:sz="6" w:space="0" w:color="auto"/>
              <w:bottom w:val="single" w:sz="6" w:space="0" w:color="auto"/>
              <w:right w:val="single" w:sz="6" w:space="0" w:color="auto"/>
            </w:tcBorders>
          </w:tcPr>
          <w:p w14:paraId="2FE05D9C" w14:textId="77777777" w:rsidR="00610F40" w:rsidRPr="00AF1814" w:rsidRDefault="00DA3174" w:rsidP="00610F40">
            <w:pPr>
              <w:pStyle w:val="Tabletext"/>
              <w:ind w:left="450"/>
              <w:rPr>
                <w:lang w:val="en-GB"/>
              </w:rPr>
            </w:pPr>
            <w:r w:rsidRPr="00AF1814">
              <w:t>Apparent terminal half-life. t</w:t>
            </w:r>
            <w:r w:rsidRPr="00AF1814">
              <w:rPr>
                <w:vertAlign w:val="subscript"/>
              </w:rPr>
              <w:t xml:space="preserve">1/2  </w:t>
            </w:r>
            <w:r w:rsidRPr="00AF1814">
              <w:rPr>
                <w:lang w:val="en-GB"/>
              </w:rPr>
              <w:t>= ln (2)/</w:t>
            </w:r>
            <w:r w:rsidRPr="00AF1814">
              <w:t>λ</w:t>
            </w:r>
            <w:r w:rsidRPr="00AF1814">
              <w:rPr>
                <w:rFonts w:cs="Arial"/>
                <w:vertAlign w:val="subscript"/>
              </w:rPr>
              <w:t>z</w:t>
            </w:r>
          </w:p>
        </w:tc>
      </w:tr>
    </w:tbl>
    <w:p w14:paraId="72D7D6E0" w14:textId="637B46DA" w:rsidR="00D87E5E" w:rsidRPr="00E44F28" w:rsidRDefault="00DA3174" w:rsidP="004F480D">
      <w:pPr>
        <w:pStyle w:val="List1withbullet"/>
        <w:keepNext/>
        <w:keepLines/>
        <w:widowControl w:val="0"/>
        <w:ind w:left="714" w:hanging="357"/>
      </w:pPr>
      <w:r w:rsidRPr="00AF1814">
        <w:lastRenderedPageBreak/>
        <w:t>Whole blood samples of approximately</w:t>
      </w:r>
      <w:r w:rsidR="00BB0C2C" w:rsidRPr="00AF1814">
        <w:t xml:space="preserve"> 3</w:t>
      </w:r>
      <w:r w:rsidR="00767435" w:rsidRPr="00AF1814">
        <w:t>.</w:t>
      </w:r>
      <w:r w:rsidR="00BB0C2C" w:rsidRPr="00AF1814">
        <w:t xml:space="preserve">5 </w:t>
      </w:r>
      <w:r w:rsidRPr="00AF1814">
        <w:t>mL</w:t>
      </w:r>
      <w:r w:rsidR="0090035E" w:rsidRPr="00AF1814">
        <w:t xml:space="preserve"> will be collected</w:t>
      </w:r>
      <w:r w:rsidRPr="00AF1814">
        <w:t xml:space="preserve"> for measurement of serum concentrations of </w:t>
      </w:r>
      <w:r w:rsidR="00BB0C2C" w:rsidRPr="00AF1814">
        <w:t>bintrafusp alfa</w:t>
      </w:r>
      <w:r w:rsidRPr="00AF1814">
        <w:rPr>
          <w:rFonts w:eastAsia="Calibri"/>
        </w:rPr>
        <w:t>.</w:t>
      </w:r>
      <w:r w:rsidRPr="00AF1814">
        <w:t xml:space="preserve"> </w:t>
      </w:r>
      <w:r w:rsidR="00F061F9" w:rsidRPr="00AF1814">
        <w:t>Collection times are specified in the Schedule of Activities</w:t>
      </w:r>
      <w:r w:rsidR="00DA1DBA" w:rsidRPr="00AF1814">
        <w:t xml:space="preserve"> (</w:t>
      </w:r>
      <w:r w:rsidR="00DA1DBA" w:rsidRPr="00E44F28">
        <w:t xml:space="preserve">Section </w:t>
      </w:r>
      <w:r w:rsidR="00DA1DBA" w:rsidRPr="00E44F28">
        <w:fldChar w:fldCharType="begin"/>
      </w:r>
      <w:r w:rsidR="00DA1DBA" w:rsidRPr="00E44F28">
        <w:instrText xml:space="preserve"> REF _Ref33108756 \w \h </w:instrText>
      </w:r>
      <w:r w:rsidR="00F6493D" w:rsidRPr="00E44F28">
        <w:instrText xml:space="preserve"> \* MERGEFORMAT </w:instrText>
      </w:r>
      <w:r w:rsidR="00DA1DBA" w:rsidRPr="00E44F28">
        <w:fldChar w:fldCharType="separate"/>
      </w:r>
      <w:r w:rsidR="00C548C3" w:rsidRPr="00E44F28">
        <w:t>1.3</w:t>
      </w:r>
      <w:r w:rsidR="00DA1DBA" w:rsidRPr="00E44F28">
        <w:fldChar w:fldCharType="end"/>
      </w:r>
      <w:r w:rsidR="00DA1DBA" w:rsidRPr="00E44F28">
        <w:t>)</w:t>
      </w:r>
      <w:r w:rsidR="00F061F9" w:rsidRPr="00E44F28">
        <w:t xml:space="preserve">. </w:t>
      </w:r>
      <w:r w:rsidRPr="00E44F28">
        <w:t xml:space="preserve">A maximum of </w:t>
      </w:r>
      <w:r w:rsidR="00E01ADF" w:rsidRPr="00E44F28">
        <w:t>2</w:t>
      </w:r>
      <w:r w:rsidRPr="00E44F28">
        <w:t xml:space="preserve"> samples may be collected at additional time points during the study if warranted and agreed upon between the Investigator and the Sponsor. The actual date and time (24-hour clock time) of each sample will be recorded to calculate actual time elapsed since the prior dose administration. </w:t>
      </w:r>
      <w:r w:rsidR="00F061F9" w:rsidRPr="00E44F28">
        <w:t>The sampling timing may be altered during the study based on newly available data (e.g., to obtain data closer to the time of peak plasma concentrations) to ensure appropriate monitoring.</w:t>
      </w:r>
    </w:p>
    <w:p w14:paraId="5D5B5173" w14:textId="77777777" w:rsidR="00D87E5E" w:rsidRPr="00E44F28" w:rsidRDefault="00DA3174" w:rsidP="00F061F9">
      <w:pPr>
        <w:pStyle w:val="List1withbullet"/>
      </w:pPr>
      <w:r w:rsidRPr="00E44F28">
        <w:t xml:space="preserve">The quantification of </w:t>
      </w:r>
      <w:r w:rsidR="00610F40" w:rsidRPr="00E44F28">
        <w:t>bintrafusp alfa</w:t>
      </w:r>
      <w:r w:rsidRPr="00E44F28">
        <w:t xml:space="preserve"> in serum will be performed using a validated </w:t>
      </w:r>
      <w:r w:rsidR="00517C54" w:rsidRPr="00E44F28">
        <w:t>immunoassay</w:t>
      </w:r>
      <w:r w:rsidRPr="00E44F28">
        <w:t xml:space="preserve"> method.</w:t>
      </w:r>
      <w:r w:rsidR="00517C54" w:rsidRPr="00E44F28">
        <w:t xml:space="preserve"> </w:t>
      </w:r>
      <w:r w:rsidRPr="00E44F28">
        <w:t xml:space="preserve">Concentrations will be used to evaluate the PK of </w:t>
      </w:r>
      <w:r w:rsidR="00517C54" w:rsidRPr="00E44F28">
        <w:t>bintrafusp alfa</w:t>
      </w:r>
      <w:r w:rsidRPr="00E44F28">
        <w:t>.</w:t>
      </w:r>
    </w:p>
    <w:p w14:paraId="13508F35" w14:textId="77777777" w:rsidR="00D87E5E" w:rsidRPr="00E44F28" w:rsidRDefault="00DA3174" w:rsidP="00F061F9">
      <w:pPr>
        <w:pStyle w:val="List1withbullet"/>
      </w:pPr>
      <w:r w:rsidRPr="00E44F28">
        <w:t xml:space="preserve">Remaining samples collected for analyses of </w:t>
      </w:r>
      <w:r w:rsidR="00517C54" w:rsidRPr="00E44F28">
        <w:t xml:space="preserve">bintrafusp alfa </w:t>
      </w:r>
      <w:r w:rsidRPr="00E44F28">
        <w:t>concentration may also be used to evaluate immunogenicity and safety or efficacy aspects related to concerns arising during or after the study.</w:t>
      </w:r>
    </w:p>
    <w:p w14:paraId="1492A359" w14:textId="77777777" w:rsidR="00D87E5E" w:rsidRPr="00E44F28" w:rsidRDefault="00DA3174" w:rsidP="00F061F9">
      <w:pPr>
        <w:pStyle w:val="List1withbullet"/>
      </w:pPr>
      <w:r w:rsidRPr="00E44F28">
        <w:t xml:space="preserve">Details on processes for collection and handling of these samples are in </w:t>
      </w:r>
      <w:r w:rsidR="00517C54" w:rsidRPr="00E44F28">
        <w:t>the</w:t>
      </w:r>
      <w:r w:rsidRPr="00E44F28">
        <w:t xml:space="preserve"> Laboratory Manual. Retention time and possible analyses of samples after the end of study are specified in the respective ICF.</w:t>
      </w:r>
    </w:p>
    <w:p w14:paraId="58913E8F" w14:textId="63DD2A7E" w:rsidR="00F061F9" w:rsidRPr="00E44F28" w:rsidRDefault="00DA3174" w:rsidP="00F061F9">
      <w:pPr>
        <w:pStyle w:val="List1withbullet"/>
      </w:pPr>
      <w:r w:rsidRPr="00E44F28">
        <w:t xml:space="preserve">Pharmacokinetics and </w:t>
      </w:r>
      <w:r w:rsidR="001D42DE" w:rsidRPr="00E44F28">
        <w:t>antidrug antibody (</w:t>
      </w:r>
      <w:r w:rsidRPr="00E44F28">
        <w:t>ADA</w:t>
      </w:r>
      <w:r w:rsidR="001D42DE" w:rsidRPr="00E44F28">
        <w:t>)</w:t>
      </w:r>
      <w:r w:rsidRPr="00E44F28">
        <w:t xml:space="preserve"> samples will be collected according to Schedule of Activities for PK and ADA Sampling in Cohort 1</w:t>
      </w:r>
      <w:r w:rsidR="00CA6839" w:rsidRPr="00E44F28">
        <w:t xml:space="preserve"> (1A and 1B; </w:t>
      </w:r>
      <w:r w:rsidRPr="00E44F28">
        <w:fldChar w:fldCharType="begin"/>
      </w:r>
      <w:r w:rsidRPr="00E44F28">
        <w:instrText xml:space="preserve"> REF _Ref32231920 \h </w:instrText>
      </w:r>
      <w:r w:rsidR="00F6493D" w:rsidRPr="00E44F28">
        <w:instrText xml:space="preserve"> \* MERGEFORMAT </w:instrText>
      </w:r>
      <w:r w:rsidRPr="00E44F28">
        <w:fldChar w:fldCharType="separate"/>
      </w:r>
      <w:r w:rsidR="00C548C3" w:rsidRPr="00E44F28">
        <w:t xml:space="preserve">Table </w:t>
      </w:r>
      <w:r w:rsidR="00C548C3" w:rsidRPr="00E44F28">
        <w:rPr>
          <w:noProof/>
        </w:rPr>
        <w:t>2</w:t>
      </w:r>
      <w:r w:rsidRPr="00E44F28">
        <w:fldChar w:fldCharType="end"/>
      </w:r>
      <w:r w:rsidRPr="00E44F28">
        <w:t xml:space="preserve">) and </w:t>
      </w:r>
      <w:r w:rsidRPr="00AF1814">
        <w:t xml:space="preserve">Cohort </w:t>
      </w:r>
      <w:r w:rsidRPr="00E44F28">
        <w:t>2 (</w:t>
      </w:r>
      <w:r w:rsidRPr="00E44F28">
        <w:fldChar w:fldCharType="begin"/>
      </w:r>
      <w:r w:rsidRPr="00E44F28">
        <w:instrText xml:space="preserve"> REF _Ref31386662 \h </w:instrText>
      </w:r>
      <w:r w:rsidR="00F6493D" w:rsidRPr="00E44F28">
        <w:instrText xml:space="preserve"> \* MERGEFORMAT </w:instrText>
      </w:r>
      <w:r w:rsidRPr="00E44F28">
        <w:fldChar w:fldCharType="separate"/>
      </w:r>
      <w:r w:rsidR="00C548C3" w:rsidRPr="00E44F28">
        <w:t xml:space="preserve">Table </w:t>
      </w:r>
      <w:r w:rsidR="00C548C3" w:rsidRPr="00E44F28">
        <w:rPr>
          <w:noProof/>
        </w:rPr>
        <w:t>5</w:t>
      </w:r>
      <w:r w:rsidRPr="00E44F28">
        <w:fldChar w:fldCharType="end"/>
      </w:r>
      <w:r w:rsidRPr="00E44F28">
        <w:t xml:space="preserve">). Pharmacokinetics and ADA samples collected at the same time points may be used interchangeably if the dedicated sample has insufficient quantity as the participants will have consented to all collections and tests. </w:t>
      </w:r>
    </w:p>
    <w:p w14:paraId="5719DAC0" w14:textId="447071AA" w:rsidR="00F061F9" w:rsidRPr="00AF1814" w:rsidRDefault="00DA3174" w:rsidP="00F061F9">
      <w:pPr>
        <w:pStyle w:val="List1withbullet"/>
      </w:pPr>
      <w:r w:rsidRPr="00E44F28">
        <w:t>The PK parameters will be summarized using descriptive statistics (</w:t>
      </w:r>
      <w:r w:rsidRPr="00E44F28">
        <w:fldChar w:fldCharType="begin"/>
      </w:r>
      <w:r w:rsidRPr="00E44F28">
        <w:instrText xml:space="preserve"> REF _Ref522015613 \h </w:instrText>
      </w:r>
      <w:r w:rsidR="00F6493D" w:rsidRPr="00E44F28">
        <w:instrText xml:space="preserve"> \* MERGEFORMAT </w:instrText>
      </w:r>
      <w:r w:rsidRPr="00E44F28">
        <w:fldChar w:fldCharType="separate"/>
      </w:r>
      <w:r w:rsidR="00C548C3" w:rsidRPr="00E44F28">
        <w:t xml:space="preserve">Table </w:t>
      </w:r>
      <w:r w:rsidR="00C548C3" w:rsidRPr="00E44F28">
        <w:rPr>
          <w:noProof/>
        </w:rPr>
        <w:t>12</w:t>
      </w:r>
      <w:r w:rsidRPr="00E44F28">
        <w:fldChar w:fldCharType="end"/>
      </w:r>
      <w:r w:rsidRPr="00E44F28">
        <w:t xml:space="preserve">). Individual </w:t>
      </w:r>
      <w:r w:rsidRPr="00AF1814">
        <w:t>as well as mean concentration</w:t>
      </w:r>
      <w:r w:rsidRPr="00AF1814">
        <w:noBreakHyphen/>
        <w:t>time plots will be depicted.</w:t>
      </w:r>
    </w:p>
    <w:p w14:paraId="15E9D9AF" w14:textId="77777777" w:rsidR="00DB137F" w:rsidRPr="00AF1814" w:rsidRDefault="00DA3174" w:rsidP="00454723">
      <w:pPr>
        <w:pStyle w:val="Heading2"/>
        <w:ind w:left="2019" w:hanging="2019"/>
      </w:pPr>
      <w:bookmarkStart w:id="332" w:name="_Toc44601718"/>
      <w:r w:rsidRPr="00AF1814">
        <w:t>Pharmacodynamics</w:t>
      </w:r>
      <w:bookmarkEnd w:id="332"/>
    </w:p>
    <w:p w14:paraId="4750D18F" w14:textId="77777777" w:rsidR="00923E3E" w:rsidRPr="00AF1814" w:rsidRDefault="00DA3174" w:rsidP="00923E3E">
      <w:pPr>
        <w:pStyle w:val="BodyText"/>
      </w:pPr>
      <w:r w:rsidRPr="00AF1814">
        <w:t>Not applicable.</w:t>
      </w:r>
    </w:p>
    <w:p w14:paraId="028443A1" w14:textId="77777777" w:rsidR="002D5216" w:rsidRPr="00AF1814" w:rsidRDefault="00DA3174" w:rsidP="00454723">
      <w:pPr>
        <w:pStyle w:val="Heading2"/>
        <w:ind w:left="2019" w:hanging="2019"/>
      </w:pPr>
      <w:bookmarkStart w:id="333" w:name="_Ref35006347"/>
      <w:bookmarkStart w:id="334" w:name="_Toc44601719"/>
      <w:bookmarkStart w:id="335" w:name="_Hlk498008509"/>
      <w:r w:rsidRPr="00AF1814">
        <w:t>Pharmacogenetics</w:t>
      </w:r>
      <w:bookmarkEnd w:id="333"/>
      <w:bookmarkEnd w:id="334"/>
    </w:p>
    <w:p w14:paraId="27232173" w14:textId="35AD6F8D" w:rsidR="000F651E" w:rsidRPr="00AF1814" w:rsidRDefault="00DA3174" w:rsidP="000F651E">
      <w:pPr>
        <w:pStyle w:val="BodyText"/>
      </w:pPr>
      <w:r w:rsidRPr="00AF1814">
        <w:t>Where local regulations and IRB/IEC allow, a blood sample</w:t>
      </w:r>
      <w:r w:rsidR="00FC542F" w:rsidRPr="00AF1814">
        <w:t xml:space="preserve"> </w:t>
      </w:r>
      <w:r w:rsidRPr="00AF1814">
        <w:t xml:space="preserve">of approximately </w:t>
      </w:r>
      <w:r w:rsidR="00BB59EC" w:rsidRPr="00AF1814">
        <w:t>6 mL</w:t>
      </w:r>
      <w:r w:rsidRPr="00AF1814">
        <w:t xml:space="preserve"> will be collected for DNA analysis from consenting participants. Collection time is specified in the Schedule of </w:t>
      </w:r>
      <w:r w:rsidRPr="00E44F28">
        <w:t>Activities</w:t>
      </w:r>
      <w:r w:rsidR="006F49CC" w:rsidRPr="00E44F28">
        <w:t xml:space="preserve"> (Section </w:t>
      </w:r>
      <w:r w:rsidR="006F49CC" w:rsidRPr="00E44F28">
        <w:fldChar w:fldCharType="begin"/>
      </w:r>
      <w:r w:rsidR="006F49CC" w:rsidRPr="00E44F28">
        <w:instrText xml:space="preserve"> REF _Ref33108756 \w \h </w:instrText>
      </w:r>
      <w:r w:rsidR="00F6493D" w:rsidRPr="00E44F28">
        <w:instrText xml:space="preserve"> \* MERGEFORMAT </w:instrText>
      </w:r>
      <w:r w:rsidR="006F49CC" w:rsidRPr="00E44F28">
        <w:fldChar w:fldCharType="separate"/>
      </w:r>
      <w:r w:rsidR="00C548C3" w:rsidRPr="00E44F28">
        <w:t>1.3</w:t>
      </w:r>
      <w:r w:rsidR="006F49CC" w:rsidRPr="00E44F28">
        <w:fldChar w:fldCharType="end"/>
      </w:r>
      <w:r w:rsidR="006F49CC" w:rsidRPr="00AF1814">
        <w:t>)</w:t>
      </w:r>
      <w:r w:rsidRPr="00AF1814">
        <w:t>.</w:t>
      </w:r>
    </w:p>
    <w:p w14:paraId="09C707D5" w14:textId="77777777" w:rsidR="000F651E" w:rsidRPr="00AF1814" w:rsidRDefault="00DA3174" w:rsidP="000F651E">
      <w:pPr>
        <w:pStyle w:val="BodyText"/>
      </w:pPr>
      <w:r w:rsidRPr="00AF1814">
        <w:t>In the event of DNA extraction failure, a replacement sample for pharmacogenetic testing may be requested from the participant. Additional informed consent will not be required to obtain a replacement sample.</w:t>
      </w:r>
    </w:p>
    <w:p w14:paraId="338432B3" w14:textId="23773847" w:rsidR="00923E3E" w:rsidRPr="00AF1814" w:rsidRDefault="00942EE9" w:rsidP="000F651E">
      <w:pPr>
        <w:pStyle w:val="BodyText"/>
      </w:pPr>
      <w:hyperlink w:anchor="_Appendix_6_Pharmacogenetics" w:history="1">
        <w:r w:rsidR="009977EF" w:rsidRPr="00AF1814">
          <w:rPr>
            <w:rStyle w:val="Hyperlink"/>
          </w:rPr>
          <w:t xml:space="preserve">Appendix </w:t>
        </w:r>
        <w:r w:rsidR="00E50719" w:rsidRPr="00AF1814">
          <w:rPr>
            <w:rStyle w:val="Hyperlink"/>
          </w:rPr>
          <w:t>6</w:t>
        </w:r>
      </w:hyperlink>
      <w:r w:rsidR="009977EF" w:rsidRPr="00AF1814">
        <w:rPr>
          <w:color w:val="0000FF"/>
        </w:rPr>
        <w:t xml:space="preserve"> </w:t>
      </w:r>
      <w:r w:rsidR="009977EF" w:rsidRPr="00AF1814">
        <w:t>provides further information on pharmacogenetic research.</w:t>
      </w:r>
    </w:p>
    <w:p w14:paraId="7199B8F8" w14:textId="77777777" w:rsidR="0068743A" w:rsidRPr="00AF1814" w:rsidRDefault="00DA3174" w:rsidP="0068743A">
      <w:pPr>
        <w:pStyle w:val="BodyText"/>
      </w:pPr>
      <w:r w:rsidRPr="00AF1814">
        <w:t>Participants should sign a separate ICF and will be tested for genetic alterations, including tumor mutational burden (TMB), to evaluate their association with clinical responses</w:t>
      </w:r>
      <w:r w:rsidR="00370C8E" w:rsidRPr="00AF1814">
        <w:t>,</w:t>
      </w:r>
      <w:r w:rsidRPr="00AF1814">
        <w:t xml:space="preserve"> and to explore potential drug effect in tumor</w:t>
      </w:r>
      <w:r w:rsidR="00E07310" w:rsidRPr="00AF1814">
        <w:t>.</w:t>
      </w:r>
    </w:p>
    <w:p w14:paraId="3159E7EC" w14:textId="77777777" w:rsidR="002D5216" w:rsidRPr="00AF1814" w:rsidRDefault="00DA3174" w:rsidP="003D3640">
      <w:pPr>
        <w:pStyle w:val="Heading2"/>
      </w:pPr>
      <w:bookmarkStart w:id="336" w:name="_Ref30403279"/>
      <w:bookmarkStart w:id="337" w:name="_Ref30403423"/>
      <w:bookmarkStart w:id="338" w:name="_Ref30970624"/>
      <w:bookmarkStart w:id="339" w:name="_Toc44601720"/>
      <w:bookmarkStart w:id="340" w:name="_Hlk496177548"/>
      <w:bookmarkEnd w:id="335"/>
      <w:r w:rsidRPr="00AF1814">
        <w:lastRenderedPageBreak/>
        <w:t>Biomarkers</w:t>
      </w:r>
      <w:bookmarkEnd w:id="336"/>
      <w:bookmarkEnd w:id="337"/>
      <w:bookmarkEnd w:id="338"/>
      <w:bookmarkEnd w:id="339"/>
    </w:p>
    <w:p w14:paraId="61231CE1" w14:textId="77777777" w:rsidR="00D005FF" w:rsidRPr="00AF1814" w:rsidRDefault="00DA3174" w:rsidP="00D005FF">
      <w:pPr>
        <w:pStyle w:val="BodyText"/>
        <w:rPr>
          <w:rFonts w:eastAsia="MS Mincho"/>
        </w:rPr>
      </w:pPr>
      <w:r w:rsidRPr="00AF1814">
        <w:t>Collection of participant samples for biomarker research is also part of this study and is governed by the appropriate ICF.</w:t>
      </w:r>
      <w:r w:rsidRPr="00AF1814">
        <w:rPr>
          <w:rFonts w:eastAsia="MS Mincho"/>
        </w:rPr>
        <w:t xml:space="preserve"> </w:t>
      </w:r>
    </w:p>
    <w:p w14:paraId="1B17BCE8" w14:textId="000B2D0B" w:rsidR="00D005FF" w:rsidRPr="00E44F28" w:rsidRDefault="00DA3174" w:rsidP="00D005FF">
      <w:pPr>
        <w:pStyle w:val="BodyText"/>
      </w:pPr>
      <w:r w:rsidRPr="00AF1814">
        <w:t xml:space="preserve">The following participant samples for biomarker research are required and will be collected from </w:t>
      </w:r>
      <w:r w:rsidRPr="00E44F28">
        <w:t>all participants in this study</w:t>
      </w:r>
      <w:r w:rsidR="00FC542F" w:rsidRPr="00E44F28">
        <w:t xml:space="preserve">. Collection times are specified in the </w:t>
      </w:r>
      <w:r w:rsidR="00DF53EA" w:rsidRPr="00E44F28">
        <w:t>Schedule</w:t>
      </w:r>
      <w:r w:rsidR="00FC542F" w:rsidRPr="00E44F28">
        <w:t xml:space="preserve"> of Activities</w:t>
      </w:r>
      <w:r w:rsidR="006F49CC" w:rsidRPr="00E44F28">
        <w:t xml:space="preserve"> (Section </w:t>
      </w:r>
      <w:r w:rsidR="006F49CC" w:rsidRPr="00E44F28">
        <w:fldChar w:fldCharType="begin"/>
      </w:r>
      <w:r w:rsidR="006F49CC" w:rsidRPr="00E44F28">
        <w:instrText xml:space="preserve"> REF _Ref33108756 \w \h </w:instrText>
      </w:r>
      <w:r w:rsidR="00F6493D" w:rsidRPr="00E44F28">
        <w:instrText xml:space="preserve"> \* MERGEFORMAT </w:instrText>
      </w:r>
      <w:r w:rsidR="006F49CC" w:rsidRPr="00E44F28">
        <w:fldChar w:fldCharType="separate"/>
      </w:r>
      <w:r w:rsidR="00C548C3" w:rsidRPr="00E44F28">
        <w:t>1.3</w:t>
      </w:r>
      <w:r w:rsidR="006F49CC" w:rsidRPr="00E44F28">
        <w:fldChar w:fldCharType="end"/>
      </w:r>
      <w:r w:rsidR="006F49CC" w:rsidRPr="00E44F28">
        <w:t>)</w:t>
      </w:r>
      <w:r w:rsidR="00FC542F" w:rsidRPr="00E44F28">
        <w:t>.</w:t>
      </w:r>
    </w:p>
    <w:p w14:paraId="78B6C999" w14:textId="77777777" w:rsidR="00D005FF" w:rsidRPr="00AF1814" w:rsidRDefault="00DA3174" w:rsidP="00BB1965">
      <w:pPr>
        <w:pStyle w:val="List1withbullet"/>
      </w:pPr>
      <w:r w:rsidRPr="00AF1814">
        <w:t xml:space="preserve">Blood for liquid biopsy (plasma) samples </w:t>
      </w:r>
      <w:bookmarkStart w:id="341" w:name="_Hlk33000638"/>
      <w:r w:rsidR="00070949" w:rsidRPr="00AF1814">
        <w:rPr>
          <w:rFonts w:eastAsia="Calibri"/>
        </w:rPr>
        <w:t>of approximately</w:t>
      </w:r>
      <w:bookmarkEnd w:id="341"/>
      <w:r w:rsidR="00DF4697" w:rsidRPr="00AF1814">
        <w:rPr>
          <w:rFonts w:eastAsia="Calibri"/>
        </w:rPr>
        <w:t xml:space="preserve"> 20</w:t>
      </w:r>
      <w:r w:rsidR="00070949" w:rsidRPr="00AF1814">
        <w:rPr>
          <w:rFonts w:eastAsia="Calibri"/>
        </w:rPr>
        <w:t xml:space="preserve"> mL per collection </w:t>
      </w:r>
      <w:r w:rsidRPr="00AF1814">
        <w:t xml:space="preserve">will be tested for genetic alterations, including TMB, to evaluate their association with clinical responses and to explore potential drug effect in tumor. </w:t>
      </w:r>
    </w:p>
    <w:p w14:paraId="1760F110" w14:textId="77777777" w:rsidR="00D005FF" w:rsidRPr="00AF1814" w:rsidRDefault="00DA3174" w:rsidP="00BB1965">
      <w:pPr>
        <w:pStyle w:val="List1withbullet"/>
      </w:pPr>
      <w:r w:rsidRPr="00AF1814">
        <w:t xml:space="preserve">Archival tumor tissue sample or newly obtained (preferred) core or excisional biopsy </w:t>
      </w:r>
      <w:r w:rsidR="00FD6102" w:rsidRPr="00AF1814">
        <w:t xml:space="preserve">(excluding bone biopsies) </w:t>
      </w:r>
      <w:r w:rsidRPr="00AF1814">
        <w:t xml:space="preserve">of a tumor lesion is </w:t>
      </w:r>
      <w:r w:rsidR="008D0BDB" w:rsidRPr="00AF1814">
        <w:t xml:space="preserve">required </w:t>
      </w:r>
      <w:r w:rsidRPr="00AF1814">
        <w:t xml:space="preserve">and should be made available during the Screening period prior to enrollment. Tumor samples will be tested for PD-L1 protein expression, genetic alterations (such as </w:t>
      </w:r>
      <w:r w:rsidR="006F49CC" w:rsidRPr="00AF1814">
        <w:t xml:space="preserve">microsatellite instability </w:t>
      </w:r>
      <w:r w:rsidR="000136D0" w:rsidRPr="00AF1814">
        <w:t>[</w:t>
      </w:r>
      <w:r w:rsidRPr="00AF1814">
        <w:t>MSI</w:t>
      </w:r>
      <w:r w:rsidR="000136D0" w:rsidRPr="00AF1814">
        <w:t>]</w:t>
      </w:r>
      <w:r w:rsidR="00B3700B" w:rsidRPr="00AF1814">
        <w:t>,</w:t>
      </w:r>
      <w:r w:rsidRPr="00AF1814">
        <w:t xml:space="preserve"> HPV status, and TMB), genes or gene expression signatures and immune profile to evaluate their correlation with clinical outcome. </w:t>
      </w:r>
      <w:r w:rsidR="008D0BDB" w:rsidRPr="00AF1814">
        <w:t>P</w:t>
      </w:r>
      <w:r w:rsidR="001441A7" w:rsidRPr="00AF1814">
        <w:t xml:space="preserve">articipants </w:t>
      </w:r>
      <w:r w:rsidR="008D0BDB" w:rsidRPr="00AF1814">
        <w:t xml:space="preserve">for which </w:t>
      </w:r>
      <w:r w:rsidR="00B3700B" w:rsidRPr="00AF1814">
        <w:t>archival tumor tissue is not available and</w:t>
      </w:r>
      <w:r w:rsidR="008D0BDB" w:rsidRPr="00AF1814">
        <w:t xml:space="preserve"> a new biopsy is not possible or medically inadvisable, may be deemed eligible after consultation with the </w:t>
      </w:r>
      <w:r w:rsidR="006A1343" w:rsidRPr="00AF1814">
        <w:t>M</w:t>
      </w:r>
      <w:r w:rsidR="008D0BDB" w:rsidRPr="00AF1814">
        <w:t xml:space="preserve">edical </w:t>
      </w:r>
      <w:r w:rsidR="006A1343" w:rsidRPr="00AF1814">
        <w:t>M</w:t>
      </w:r>
      <w:r w:rsidR="008D0BDB" w:rsidRPr="00AF1814">
        <w:t xml:space="preserve">onitor and </w:t>
      </w:r>
      <w:r w:rsidR="006A1343" w:rsidRPr="00AF1814">
        <w:t>S</w:t>
      </w:r>
      <w:r w:rsidR="008D0BDB" w:rsidRPr="00AF1814">
        <w:t>ponsor.</w:t>
      </w:r>
    </w:p>
    <w:p w14:paraId="7D0CBDAA" w14:textId="77777777" w:rsidR="00D005FF" w:rsidRPr="00AF1814" w:rsidRDefault="00DA3174" w:rsidP="00D005FF">
      <w:pPr>
        <w:pStyle w:val="BodyText"/>
      </w:pPr>
      <w:r w:rsidRPr="00AF1814">
        <w:rPr>
          <w:rFonts w:eastAsia="Calibri"/>
        </w:rPr>
        <w:t>Samples for optional biomarker research may be collected when participant consent is given. Collection times are specified in the Schedule of Activities</w:t>
      </w:r>
      <w:r w:rsidR="00C1122B" w:rsidRPr="00AF1814">
        <w:t>, and include the following:</w:t>
      </w:r>
    </w:p>
    <w:p w14:paraId="6CD50E34" w14:textId="77777777" w:rsidR="00D005FF" w:rsidRPr="00AF1814" w:rsidRDefault="00DA3174" w:rsidP="00BB1965">
      <w:pPr>
        <w:pStyle w:val="List1withbullet"/>
      </w:pPr>
      <w:r w:rsidRPr="00AF1814">
        <w:t>Fresh biopsies at End</w:t>
      </w:r>
      <w:r w:rsidR="00051D65" w:rsidRPr="00AF1814">
        <w:t>-</w:t>
      </w:r>
      <w:r w:rsidRPr="00AF1814">
        <w:t>of</w:t>
      </w:r>
      <w:r w:rsidR="00051D65" w:rsidRPr="00AF1814">
        <w:t>-</w:t>
      </w:r>
      <w:r w:rsidRPr="00AF1814">
        <w:t xml:space="preserve">Treatment (excluding bone biopsies) </w:t>
      </w:r>
      <w:r w:rsidR="005E2EE4" w:rsidRPr="00AF1814">
        <w:t xml:space="preserve">will </w:t>
      </w:r>
      <w:r w:rsidRPr="00AF1814">
        <w:t xml:space="preserve">be tested for the following biomarkers, including but not limited to, PD-L1 protein expression, genetic alterations, including TMB, and genes or gene expression signatures to evaluate potential drug effect in tumor. </w:t>
      </w:r>
      <w:r w:rsidRPr="00AF1814">
        <w:rPr>
          <w:rFonts w:hint="eastAsia"/>
        </w:rPr>
        <w:t>In addition, tumor</w:t>
      </w:r>
      <w:r w:rsidRPr="00AF1814">
        <w:t xml:space="preserve"> samples </w:t>
      </w:r>
      <w:r w:rsidR="00455047" w:rsidRPr="00AF1814">
        <w:t xml:space="preserve">will be collected </w:t>
      </w:r>
      <w:r w:rsidR="00007EAD" w:rsidRPr="00AF1814">
        <w:t>f</w:t>
      </w:r>
      <w:r w:rsidR="00455047" w:rsidRPr="00AF1814">
        <w:t>or analysis of biomarkers thought to play a role in</w:t>
      </w:r>
      <w:r w:rsidRPr="00AF1814">
        <w:t xml:space="preserve"> </w:t>
      </w:r>
      <w:r w:rsidRPr="00AF1814">
        <w:rPr>
          <w:rFonts w:hint="eastAsia"/>
        </w:rPr>
        <w:t>the biology of the drug targets, the tumor</w:t>
      </w:r>
      <w:r w:rsidRPr="00AF1814">
        <w:t>,</w:t>
      </w:r>
      <w:r w:rsidRPr="00AF1814">
        <w:rPr>
          <w:rFonts w:hint="eastAsia"/>
        </w:rPr>
        <w:t xml:space="preserve"> or the tumor microenvironment including, but</w:t>
      </w:r>
      <w:r w:rsidRPr="00AF1814">
        <w:t xml:space="preserve"> </w:t>
      </w:r>
      <w:r w:rsidRPr="00AF1814">
        <w:rPr>
          <w:rFonts w:hint="eastAsia"/>
        </w:rPr>
        <w:t>not limited to genome-wide analysis for RNA, protein</w:t>
      </w:r>
      <w:r w:rsidRPr="00AF1814">
        <w:t xml:space="preserve"> </w:t>
      </w:r>
      <w:r w:rsidRPr="00AF1814">
        <w:rPr>
          <w:rFonts w:hint="eastAsia"/>
        </w:rPr>
        <w:t>biomarkers</w:t>
      </w:r>
      <w:r w:rsidRPr="00AF1814">
        <w:t xml:space="preserve"> or immune profiles to evaluate </w:t>
      </w:r>
      <w:r w:rsidRPr="00AF1814">
        <w:rPr>
          <w:rFonts w:hint="eastAsia"/>
        </w:rPr>
        <w:t xml:space="preserve">their association with observed clinical responses to </w:t>
      </w:r>
      <w:r w:rsidRPr="00AF1814">
        <w:rPr>
          <w:rFonts w:eastAsia="Calibri"/>
        </w:rPr>
        <w:t>bintrafusp alfa</w:t>
      </w:r>
      <w:r w:rsidRPr="00AF1814">
        <w:rPr>
          <w:rFonts w:hint="eastAsia"/>
        </w:rPr>
        <w:t>.</w:t>
      </w:r>
      <w:r w:rsidRPr="00AF1814">
        <w:t xml:space="preserve"> </w:t>
      </w:r>
    </w:p>
    <w:p w14:paraId="448ECD03" w14:textId="77777777" w:rsidR="00D005FF" w:rsidRPr="00AF1814" w:rsidRDefault="00DA3174" w:rsidP="00BB1965">
      <w:pPr>
        <w:pStyle w:val="List1withbullet"/>
      </w:pPr>
      <w:r w:rsidRPr="00AF1814">
        <w:t>In addition, participant samples may be used for additional research, as specified in the ICF.</w:t>
      </w:r>
    </w:p>
    <w:p w14:paraId="355BCA20" w14:textId="77777777" w:rsidR="002D08C0" w:rsidRPr="00AF1814" w:rsidRDefault="00DA3174" w:rsidP="002D08C0">
      <w:pPr>
        <w:pStyle w:val="BodyText"/>
      </w:pPr>
      <w:r w:rsidRPr="00AF1814">
        <w:t xml:space="preserve">Samples collected during this clinical study may be transferred to a biobank and used for future research outside the clinical protocol when additional consent for this purpose is given. Transfer to the biobank will be documented and any testing of coded biobank samples will not be reported in the </w:t>
      </w:r>
      <w:r w:rsidR="00051D65" w:rsidRPr="00AF1814">
        <w:t>clinical study report (</w:t>
      </w:r>
      <w:r w:rsidRPr="00AF1814">
        <w:t>CSR</w:t>
      </w:r>
      <w:r w:rsidR="00051D65" w:rsidRPr="00AF1814">
        <w:t>)</w:t>
      </w:r>
      <w:r w:rsidRPr="00AF1814">
        <w:t>.</w:t>
      </w:r>
    </w:p>
    <w:p w14:paraId="1D6605E5" w14:textId="77777777" w:rsidR="00D005FF" w:rsidRPr="00AF1814" w:rsidRDefault="00DA3174" w:rsidP="00D005FF">
      <w:pPr>
        <w:pStyle w:val="BodyText"/>
      </w:pPr>
      <w:r w:rsidRPr="00AF1814">
        <w:t>Details on processes for collection and shipment of these samples are specified in the Laboratory Manual. The Sponsor will store the samples in a secure storage space with adequate measures to protect confidentiality. Retention time and possible analyses of samples after the end of study are specified in the respective ICFs.</w:t>
      </w:r>
    </w:p>
    <w:p w14:paraId="6DFCD49E" w14:textId="77777777" w:rsidR="002D5216" w:rsidRPr="00AF1814" w:rsidRDefault="00DA3174" w:rsidP="00283D52">
      <w:pPr>
        <w:pStyle w:val="Heading2"/>
        <w:ind w:left="2019" w:hanging="2019"/>
      </w:pPr>
      <w:bookmarkStart w:id="342" w:name="_Toc44601721"/>
      <w:bookmarkEnd w:id="340"/>
      <w:r w:rsidRPr="00AF1814">
        <w:lastRenderedPageBreak/>
        <w:t>Immunogenicity Assessments</w:t>
      </w:r>
      <w:bookmarkEnd w:id="342"/>
    </w:p>
    <w:p w14:paraId="1775949B" w14:textId="6DAFD070" w:rsidR="00481675" w:rsidRPr="00AF1814" w:rsidRDefault="00DA3174" w:rsidP="005A555F">
      <w:pPr>
        <w:pStyle w:val="List1withbullet"/>
      </w:pPr>
      <w:r w:rsidRPr="00AF1814">
        <w:t xml:space="preserve">Whole blood samples of approximately </w:t>
      </w:r>
      <w:r w:rsidR="005A555F" w:rsidRPr="00AF1814">
        <w:t>5</w:t>
      </w:r>
      <w:r w:rsidRPr="00AF1814">
        <w:t xml:space="preserve"> mL will be collected for detection of antibodies against </w:t>
      </w:r>
      <w:r w:rsidR="005A555F" w:rsidRPr="00AF1814">
        <w:t>bintrafusp alfa</w:t>
      </w:r>
      <w:r w:rsidRPr="00AF1814">
        <w:t xml:space="preserve"> in serum</w:t>
      </w:r>
      <w:r w:rsidR="005A555F" w:rsidRPr="00AF1814">
        <w:t>. Collection times are specified in the Schedule of Activities</w:t>
      </w:r>
      <w:r w:rsidR="006F49CC" w:rsidRPr="00AF1814">
        <w:t xml:space="preserve"> (</w:t>
      </w:r>
      <w:r w:rsidR="006F49CC" w:rsidRPr="00E44F28">
        <w:t xml:space="preserve">Section </w:t>
      </w:r>
      <w:r w:rsidR="006F49CC" w:rsidRPr="00E44F28">
        <w:fldChar w:fldCharType="begin"/>
      </w:r>
      <w:r w:rsidR="006F49CC" w:rsidRPr="00E44F28">
        <w:instrText xml:space="preserve"> REF _Ref33108756 \w \h </w:instrText>
      </w:r>
      <w:r w:rsidR="00F6493D" w:rsidRPr="00E44F28">
        <w:instrText xml:space="preserve"> \* MERGEFORMAT </w:instrText>
      </w:r>
      <w:r w:rsidR="006F49CC" w:rsidRPr="00E44F28">
        <w:fldChar w:fldCharType="separate"/>
      </w:r>
      <w:r w:rsidR="00C548C3" w:rsidRPr="00E44F28">
        <w:t>1.3</w:t>
      </w:r>
      <w:r w:rsidR="006F49CC" w:rsidRPr="00E44F28">
        <w:fldChar w:fldCharType="end"/>
      </w:r>
      <w:r w:rsidR="006F49CC" w:rsidRPr="00E44F28">
        <w:t>)</w:t>
      </w:r>
      <w:r w:rsidRPr="00E44F28">
        <w:t>.</w:t>
      </w:r>
    </w:p>
    <w:p w14:paraId="14D2C4AB" w14:textId="77777777" w:rsidR="00481675" w:rsidRPr="00AF1814" w:rsidRDefault="00DA3174" w:rsidP="005A555F">
      <w:pPr>
        <w:pStyle w:val="List1withbullet"/>
      </w:pPr>
      <w:r w:rsidRPr="00AF1814">
        <w:t xml:space="preserve">The detection of antibodies to </w:t>
      </w:r>
      <w:r w:rsidR="005A555F" w:rsidRPr="00AF1814">
        <w:t>bintrafusp alfa</w:t>
      </w:r>
      <w:r w:rsidRPr="00AF1814">
        <w:t xml:space="preserve"> will be performed using a validated assay method with tiered testing of screening, confirmatory and titration. Confirmed positive antibodies </w:t>
      </w:r>
      <w:r w:rsidR="005A555F" w:rsidRPr="00AF1814">
        <w:t xml:space="preserve">may </w:t>
      </w:r>
      <w:r w:rsidRPr="00AF1814">
        <w:t>be tested for the presence of neutralizing antibodies and may be further characterized.</w:t>
      </w:r>
    </w:p>
    <w:p w14:paraId="74CF9D19" w14:textId="77777777" w:rsidR="00481675" w:rsidRPr="00AF1814" w:rsidRDefault="00DA3174" w:rsidP="005A555F">
      <w:pPr>
        <w:pStyle w:val="List1withbullet"/>
      </w:pPr>
      <w:r w:rsidRPr="00AF1814">
        <w:t>Remaining samples collected for analysis of anti-</w:t>
      </w:r>
      <w:r w:rsidR="005A555F" w:rsidRPr="00AF1814">
        <w:t xml:space="preserve">bintrafusp alfa </w:t>
      </w:r>
      <w:r w:rsidRPr="00AF1814">
        <w:t xml:space="preserve">antibodies may also be used to evaluate </w:t>
      </w:r>
      <w:r w:rsidR="005A555F" w:rsidRPr="00AF1814">
        <w:t xml:space="preserve">bintrafusp alfa </w:t>
      </w:r>
      <w:r w:rsidRPr="00AF1814">
        <w:t>concentration or exploratory biomarkers during or after the study.</w:t>
      </w:r>
    </w:p>
    <w:p w14:paraId="5BCAC523" w14:textId="77777777" w:rsidR="00481675" w:rsidRPr="00AF1814" w:rsidRDefault="00DA3174" w:rsidP="005A555F">
      <w:pPr>
        <w:pStyle w:val="List1withbullet"/>
      </w:pPr>
      <w:r w:rsidRPr="00AF1814">
        <w:t xml:space="preserve">Details on processes for collection and </w:t>
      </w:r>
      <w:r w:rsidR="00926CEA" w:rsidRPr="00AF1814">
        <w:t>handling</w:t>
      </w:r>
      <w:r w:rsidRPr="00AF1814">
        <w:t xml:space="preserve"> of these samples are in </w:t>
      </w:r>
      <w:r w:rsidR="005A555F" w:rsidRPr="00AF1814">
        <w:t>the</w:t>
      </w:r>
      <w:r w:rsidRPr="00AF1814">
        <w:t xml:space="preserve"> Laboratory Manual. Retention time and possible analyses of samples after the end of study are specified in the respective ICF.</w:t>
      </w:r>
    </w:p>
    <w:p w14:paraId="0CF9AFB4" w14:textId="77777777" w:rsidR="005E2EE4" w:rsidRPr="00AF1814" w:rsidRDefault="00DA3174" w:rsidP="00455047">
      <w:pPr>
        <w:pStyle w:val="Heading2"/>
        <w:ind w:left="2019" w:hanging="2019"/>
      </w:pPr>
      <w:bookmarkStart w:id="343" w:name="_Toc44601722"/>
      <w:r w:rsidRPr="00AF1814">
        <w:t>Health Economics</w:t>
      </w:r>
      <w:bookmarkEnd w:id="343"/>
    </w:p>
    <w:p w14:paraId="61D633A7" w14:textId="77777777" w:rsidR="005E2EE4" w:rsidRPr="00AF1814" w:rsidRDefault="00DA3174" w:rsidP="005E2EE4">
      <w:pPr>
        <w:pStyle w:val="BodyText"/>
      </w:pPr>
      <w:r w:rsidRPr="00AF1814">
        <w:t>Not applicable.</w:t>
      </w:r>
    </w:p>
    <w:p w14:paraId="71886E66" w14:textId="77777777" w:rsidR="002D5216" w:rsidRPr="00AF1814" w:rsidRDefault="00DA3174" w:rsidP="00857B7B">
      <w:pPr>
        <w:pStyle w:val="Heading1"/>
        <w:tabs>
          <w:tab w:val="clear" w:pos="4716"/>
          <w:tab w:val="num" w:pos="4320"/>
        </w:tabs>
        <w:ind w:left="2070" w:hanging="2070"/>
      </w:pPr>
      <w:bookmarkStart w:id="344" w:name="_Toc509587410"/>
      <w:bookmarkStart w:id="345" w:name="_Toc509587808"/>
      <w:bookmarkStart w:id="346" w:name="_Toc44601723"/>
      <w:bookmarkEnd w:id="344"/>
      <w:bookmarkEnd w:id="345"/>
      <w:r w:rsidRPr="00AF1814">
        <w:t>Statistical Considerations</w:t>
      </w:r>
      <w:bookmarkEnd w:id="346"/>
    </w:p>
    <w:p w14:paraId="1A002C01" w14:textId="77777777" w:rsidR="00A5236D" w:rsidRPr="00AF1814" w:rsidRDefault="00DA3174" w:rsidP="00A5236D">
      <w:pPr>
        <w:pStyle w:val="BodyText"/>
        <w:rPr>
          <w:szCs w:val="24"/>
        </w:rPr>
      </w:pPr>
      <w:r w:rsidRPr="00AF1814">
        <w:rPr>
          <w:rFonts w:eastAsia="TimesNewRoman"/>
          <w:szCs w:val="24"/>
        </w:rPr>
        <w:t>All analyses will be described in detail in the Integrated Analysis Plan (IAP).</w:t>
      </w:r>
      <w:r w:rsidRPr="00AF1814">
        <w:rPr>
          <w:szCs w:val="24"/>
        </w:rPr>
        <w:t xml:space="preserve"> </w:t>
      </w:r>
      <w:r w:rsidRPr="00AF1814">
        <w:t>There is no formal family-wise Type I error control for this study, as such all analyses are considered descriptive</w:t>
      </w:r>
      <w:r w:rsidR="00E5775D" w:rsidRPr="00AF1814">
        <w:t>.</w:t>
      </w:r>
    </w:p>
    <w:p w14:paraId="13A4DA0A" w14:textId="77777777" w:rsidR="002D5216" w:rsidRPr="00AF1814" w:rsidRDefault="00DA3174" w:rsidP="0042747B">
      <w:pPr>
        <w:pStyle w:val="Heading2"/>
      </w:pPr>
      <w:bookmarkStart w:id="347" w:name="_Toc44601724"/>
      <w:r w:rsidRPr="00AF1814">
        <w:t>Statistical Hypothes</w:t>
      </w:r>
      <w:r w:rsidR="008C4913" w:rsidRPr="00AF1814">
        <w:t>e</w:t>
      </w:r>
      <w:r w:rsidRPr="00AF1814">
        <w:t>s</w:t>
      </w:r>
      <w:bookmarkEnd w:id="347"/>
    </w:p>
    <w:p w14:paraId="364D6389" w14:textId="77777777" w:rsidR="004667B0" w:rsidRPr="00AF1814" w:rsidRDefault="00DA3174" w:rsidP="00A5236D">
      <w:pPr>
        <w:pStyle w:val="BodyText"/>
        <w:ind w:left="270" w:hanging="270"/>
      </w:pPr>
      <w:r w:rsidRPr="00AF1814">
        <w:t>This is an exploratory study. No formal statistical hypothesis will be tested.</w:t>
      </w:r>
    </w:p>
    <w:p w14:paraId="51F0578F" w14:textId="77777777" w:rsidR="002D5216" w:rsidRPr="00AF1814" w:rsidRDefault="00DA3174" w:rsidP="00455047">
      <w:pPr>
        <w:pStyle w:val="Heading2"/>
        <w:ind w:left="2019" w:hanging="2019"/>
      </w:pPr>
      <w:bookmarkStart w:id="348" w:name="_Toc44601725"/>
      <w:r w:rsidRPr="00AF1814">
        <w:t>Sample Size Determination</w:t>
      </w:r>
      <w:bookmarkEnd w:id="348"/>
    </w:p>
    <w:p w14:paraId="0C5BEC28" w14:textId="5BB85EA2" w:rsidR="007448F5" w:rsidRPr="00AF1814" w:rsidRDefault="00DA3174" w:rsidP="00F3325E">
      <w:pPr>
        <w:pStyle w:val="BodyText"/>
      </w:pPr>
      <w:bookmarkStart w:id="349" w:name="_Ref12533774"/>
      <w:r w:rsidRPr="00AF1814">
        <w:t>A total of</w:t>
      </w:r>
      <w:r w:rsidR="00743BD4" w:rsidRPr="00AF1814">
        <w:t xml:space="preserve"> approximately</w:t>
      </w:r>
      <w:r w:rsidRPr="00AF1814">
        <w:t xml:space="preserve"> 24 participants will be assigned to study intervention such that </w:t>
      </w:r>
      <w:r w:rsidR="008D76E8" w:rsidRPr="00AF1814">
        <w:t xml:space="preserve">at least </w:t>
      </w:r>
      <w:r w:rsidRPr="00AF1814">
        <w:t>8</w:t>
      </w:r>
      <w:r w:rsidR="00B017F8">
        <w:t> </w:t>
      </w:r>
      <w:r w:rsidRPr="00AF1814">
        <w:t>participants are treated in each of the cohorts (1A, 1B, and 2)</w:t>
      </w:r>
      <w:r w:rsidR="00365B12" w:rsidRPr="00AF1814">
        <w:t xml:space="preserve">. </w:t>
      </w:r>
    </w:p>
    <w:p w14:paraId="3D7F80E4" w14:textId="01012B18" w:rsidR="007448F5" w:rsidRPr="00AF1814" w:rsidRDefault="00DA3174" w:rsidP="00F3325E">
      <w:pPr>
        <w:pStyle w:val="BodyText"/>
      </w:pPr>
      <w:r w:rsidRPr="00AF1814">
        <w:t>For Cohort 1A</w:t>
      </w:r>
      <w:r w:rsidR="00562B17" w:rsidRPr="00AF1814">
        <w:t xml:space="preserve"> </w:t>
      </w:r>
      <w:r w:rsidR="00647BF4" w:rsidRPr="00AF1814">
        <w:t xml:space="preserve">and </w:t>
      </w:r>
      <w:r w:rsidRPr="00AF1814">
        <w:t>1B, if the first 8 participants of each subcohort separately include fewer than 3</w:t>
      </w:r>
      <w:r w:rsidR="005B6432">
        <w:t> </w:t>
      </w:r>
      <w:r w:rsidRPr="00AF1814">
        <w:t>participants from Japan, the Sponsor may elect to continue enrollment to include 3</w:t>
      </w:r>
      <w:r w:rsidR="005B6432">
        <w:t> </w:t>
      </w:r>
      <w:r w:rsidRPr="00AF1814">
        <w:t>participants from Japan to evaluate the safety of this combination in Japanese participants. If the first 8</w:t>
      </w:r>
      <w:r w:rsidR="005B6432">
        <w:t> </w:t>
      </w:r>
      <w:r w:rsidRPr="00AF1814">
        <w:t xml:space="preserve">participants of each subcohort separately include fewer than 3 participants from Europe or the United States, enrollment may continue in Europe and </w:t>
      </w:r>
      <w:r w:rsidR="000A673F" w:rsidRPr="00AF1814">
        <w:t xml:space="preserve">the </w:t>
      </w:r>
      <w:r w:rsidRPr="00AF1814">
        <w:t>United States to include at least 3 participants from any of these countries.</w:t>
      </w:r>
    </w:p>
    <w:p w14:paraId="5F8073CF" w14:textId="18533EEF" w:rsidR="00F3325E" w:rsidRPr="00AF1814" w:rsidRDefault="00DA3174" w:rsidP="00F3325E">
      <w:pPr>
        <w:pStyle w:val="BodyText"/>
      </w:pPr>
      <w:r w:rsidRPr="00AF1814">
        <w:t xml:space="preserve">For Cohort </w:t>
      </w:r>
      <w:r w:rsidR="007448F5" w:rsidRPr="00AF1814">
        <w:t>2</w:t>
      </w:r>
      <w:r w:rsidRPr="00AF1814">
        <w:t xml:space="preserve">, </w:t>
      </w:r>
      <w:r w:rsidR="007448F5" w:rsidRPr="00AF1814">
        <w:t xml:space="preserve">if the first 8 participants include fewer than 3 participants from Japan, enrollment may continue in Japan to include at least 3 participants from Japan to evaluate the safety of this combination in Japanese participants. If the first 8 participants of this cohort include fewer than </w:t>
      </w:r>
      <w:r w:rsidR="007448F5" w:rsidRPr="00AF1814">
        <w:lastRenderedPageBreak/>
        <w:t>3</w:t>
      </w:r>
      <w:r w:rsidR="000A673F" w:rsidRPr="00AF1814">
        <w:t> </w:t>
      </w:r>
      <w:r w:rsidR="007448F5" w:rsidRPr="00AF1814">
        <w:t xml:space="preserve">participants from Europe or the United States, enrollment may continue in Europe and </w:t>
      </w:r>
      <w:r w:rsidR="000A673F" w:rsidRPr="00AF1814">
        <w:t xml:space="preserve">the </w:t>
      </w:r>
      <w:r w:rsidR="007448F5" w:rsidRPr="00AF1814">
        <w:t>United States to include at least 3 participants from any of these countries.</w:t>
      </w:r>
    </w:p>
    <w:p w14:paraId="5DE7A2E4" w14:textId="3DB184F7" w:rsidR="00F3325E" w:rsidRPr="00E44F28" w:rsidRDefault="00DA3174" w:rsidP="00836FDC">
      <w:pPr>
        <w:pStyle w:val="BodyText"/>
      </w:pPr>
      <w:r w:rsidRPr="00AF1814">
        <w:t>The SMC will evaluate the safety in each cohort separately after the</w:t>
      </w:r>
      <w:r w:rsidR="006B5D38" w:rsidRPr="00AF1814">
        <w:rPr>
          <w:vertAlign w:val="superscript"/>
        </w:rPr>
        <w:t xml:space="preserve"> </w:t>
      </w:r>
      <w:r w:rsidR="00A4665F">
        <w:t>3</w:t>
      </w:r>
      <w:r w:rsidR="00A4665F" w:rsidRPr="00A4665F">
        <w:rPr>
          <w:vertAlign w:val="superscript"/>
        </w:rPr>
        <w:t>rd</w:t>
      </w:r>
      <w:r w:rsidR="00A4665F">
        <w:t xml:space="preserve"> and the </w:t>
      </w:r>
      <w:r w:rsidR="00B81725" w:rsidRPr="00AF1814">
        <w:t>8</w:t>
      </w:r>
      <w:r w:rsidR="00B81725" w:rsidRPr="00AF1814">
        <w:rPr>
          <w:vertAlign w:val="superscript"/>
        </w:rPr>
        <w:t>th</w:t>
      </w:r>
      <w:r w:rsidR="00B81725" w:rsidRPr="00AF1814">
        <w:t xml:space="preserve"> evaluable </w:t>
      </w:r>
      <w:r w:rsidRPr="00AF1814">
        <w:t>participant completes the respective DLT period</w:t>
      </w:r>
      <w:r w:rsidR="00E5775D" w:rsidRPr="00AF1814">
        <w:t>.</w:t>
      </w:r>
      <w:r w:rsidRPr="00AF1814">
        <w:t xml:space="preserve"> </w:t>
      </w:r>
      <w:r w:rsidR="008C465B" w:rsidRPr="00AF1814">
        <w:t>In the case</w:t>
      </w:r>
      <w:r w:rsidR="004C1AEF" w:rsidRPr="00AF1814">
        <w:t xml:space="preserve"> more </w:t>
      </w:r>
      <w:r w:rsidR="001441A7" w:rsidRPr="00AF1814">
        <w:t>participant</w:t>
      </w:r>
      <w:r w:rsidR="004C1AEF" w:rsidRPr="00AF1814">
        <w:t>s are included</w:t>
      </w:r>
      <w:r w:rsidR="00951491" w:rsidRPr="00AF1814">
        <w:t xml:space="preserve"> and complete the DLT period</w:t>
      </w:r>
      <w:r w:rsidR="007B6786" w:rsidRPr="00AF1814">
        <w:t xml:space="preserve"> as per enrollment</w:t>
      </w:r>
      <w:r w:rsidR="008C465B" w:rsidRPr="00AF1814">
        <w:t xml:space="preserve">, </w:t>
      </w:r>
      <w:r w:rsidR="007B6786" w:rsidRPr="00AF1814">
        <w:t xml:space="preserve">all the participants will continue to be </w:t>
      </w:r>
      <w:r w:rsidR="004C1AEF" w:rsidRPr="00AF1814">
        <w:t>evaluate</w:t>
      </w:r>
      <w:r w:rsidR="007B6786" w:rsidRPr="00AF1814">
        <w:t>d</w:t>
      </w:r>
      <w:r w:rsidR="004C1AEF" w:rsidRPr="00AF1814">
        <w:t xml:space="preserve"> </w:t>
      </w:r>
      <w:r w:rsidR="007B6786" w:rsidRPr="00AF1814">
        <w:t>by the SMC,</w:t>
      </w:r>
      <w:r w:rsidR="004C1AEF" w:rsidRPr="00AF1814">
        <w:t xml:space="preserve"> if required</w:t>
      </w:r>
      <w:r w:rsidR="008C465B" w:rsidRPr="00AF1814">
        <w:t xml:space="preserve">. </w:t>
      </w:r>
      <w:r w:rsidR="006B5D38" w:rsidRPr="00AF1814">
        <w:t xml:space="preserve">In addition, </w:t>
      </w:r>
      <w:r w:rsidR="00A82DA7" w:rsidRPr="00AF1814">
        <w:t xml:space="preserve">the </w:t>
      </w:r>
      <w:r w:rsidR="006B5D38" w:rsidRPr="00AF1814">
        <w:t>SMC will evaluate the safety from all participants as needed.</w:t>
      </w:r>
      <w:r w:rsidR="00D50B12" w:rsidRPr="00AF1814">
        <w:t xml:space="preserve"> </w:t>
      </w:r>
      <w:r w:rsidR="00562B17" w:rsidRPr="00AF1814">
        <w:t xml:space="preserve">Please </w:t>
      </w:r>
      <w:r w:rsidR="00453420" w:rsidRPr="00AF1814">
        <w:t>see</w:t>
      </w:r>
      <w:r w:rsidR="00562B17" w:rsidRPr="00AF1814">
        <w:t xml:space="preserve"> </w:t>
      </w:r>
      <w:r w:rsidR="00C95623" w:rsidRPr="00E44F28">
        <w:t>S</w:t>
      </w:r>
      <w:r w:rsidR="00562B17" w:rsidRPr="00E44F28">
        <w:t xml:space="preserve">ection </w:t>
      </w:r>
      <w:r w:rsidR="00C95623" w:rsidRPr="00E44F28">
        <w:fldChar w:fldCharType="begin"/>
      </w:r>
      <w:r w:rsidR="00C95623" w:rsidRPr="00E44F28">
        <w:instrText xml:space="preserve"> REF _Ref36819890 \w \h  \* MERGEFORMAT </w:instrText>
      </w:r>
      <w:r w:rsidR="00C95623" w:rsidRPr="00E44F28">
        <w:fldChar w:fldCharType="separate"/>
      </w:r>
      <w:r w:rsidR="00C548C3" w:rsidRPr="00E44F28">
        <w:t>6.6.1</w:t>
      </w:r>
      <w:r w:rsidR="00C95623" w:rsidRPr="00E44F28">
        <w:fldChar w:fldCharType="end"/>
      </w:r>
      <w:r w:rsidR="00C95623" w:rsidRPr="00E44F28">
        <w:t xml:space="preserve"> </w:t>
      </w:r>
      <w:r w:rsidR="00562B17" w:rsidRPr="00E44F28">
        <w:t xml:space="preserve">for more details. </w:t>
      </w:r>
    </w:p>
    <w:p w14:paraId="1A60E4BD" w14:textId="70C5133B" w:rsidR="00BE25AE" w:rsidRPr="00E44F28" w:rsidRDefault="00DA3174" w:rsidP="00F3325E">
      <w:pPr>
        <w:pStyle w:val="BodyText"/>
      </w:pPr>
      <w:r w:rsidRPr="00E44F28">
        <w:t xml:space="preserve">During the </w:t>
      </w:r>
      <w:r w:rsidR="006A7072" w:rsidRPr="00E44F28">
        <w:t xml:space="preserve">DLT </w:t>
      </w:r>
      <w:r w:rsidRPr="00E44F28">
        <w:t>observation period, in the event a participant discontinues for reasons other than AE</w:t>
      </w:r>
      <w:r w:rsidR="009C67FC">
        <w:t xml:space="preserve"> or is otherwise non-evaluable</w:t>
      </w:r>
      <w:r w:rsidRPr="00E44F28">
        <w:t xml:space="preserve">, the Sponsor </w:t>
      </w:r>
      <w:r w:rsidR="000F4732" w:rsidRPr="00E44F28">
        <w:t xml:space="preserve">may </w:t>
      </w:r>
      <w:r w:rsidRPr="00E44F28">
        <w:t xml:space="preserve">elect to </w:t>
      </w:r>
      <w:r w:rsidR="000F4732" w:rsidRPr="00E44F28">
        <w:t xml:space="preserve">add </w:t>
      </w:r>
      <w:r w:rsidR="00775BB4">
        <w:t xml:space="preserve">an </w:t>
      </w:r>
      <w:r w:rsidR="006C2CF2" w:rsidRPr="00E44F28">
        <w:t>additional</w:t>
      </w:r>
      <w:r w:rsidR="00562B17" w:rsidRPr="00E44F28">
        <w:t xml:space="preserve"> </w:t>
      </w:r>
      <w:r w:rsidRPr="00E44F28">
        <w:t xml:space="preserve">participant.  </w:t>
      </w:r>
    </w:p>
    <w:p w14:paraId="1233ED52" w14:textId="77777777" w:rsidR="002D5216" w:rsidRPr="00E44F28" w:rsidRDefault="00DA3174" w:rsidP="0042747B">
      <w:pPr>
        <w:pStyle w:val="Heading2"/>
      </w:pPr>
      <w:bookmarkStart w:id="350" w:name="_Toc44601726"/>
      <w:r w:rsidRPr="00E44F28">
        <w:t>Populations for Analyses</w:t>
      </w:r>
      <w:bookmarkEnd w:id="349"/>
      <w:bookmarkEnd w:id="350"/>
    </w:p>
    <w:p w14:paraId="6D242147" w14:textId="108A8705" w:rsidR="00E02AED" w:rsidRPr="00AF1814" w:rsidRDefault="00DA3174" w:rsidP="00E02AED">
      <w:pPr>
        <w:pStyle w:val="List1withoutbullet"/>
        <w:tabs>
          <w:tab w:val="clear" w:pos="284"/>
          <w:tab w:val="left" w:pos="0"/>
        </w:tabs>
        <w:ind w:left="0"/>
        <w:rPr>
          <w:szCs w:val="24"/>
        </w:rPr>
      </w:pPr>
      <w:r w:rsidRPr="00E44F28">
        <w:t>The analysis populations are specified below</w:t>
      </w:r>
      <w:r w:rsidR="001022E2" w:rsidRPr="00E44F28">
        <w:t xml:space="preserve"> (</w:t>
      </w:r>
      <w:r w:rsidR="001022E2" w:rsidRPr="00E44F28">
        <w:fldChar w:fldCharType="begin"/>
      </w:r>
      <w:r w:rsidR="001022E2" w:rsidRPr="00E44F28">
        <w:instrText xml:space="preserve"> REF _Ref37835323 \h  \* MERGEFORMAT </w:instrText>
      </w:r>
      <w:r w:rsidR="001022E2" w:rsidRPr="00E44F28">
        <w:fldChar w:fldCharType="separate"/>
      </w:r>
      <w:r w:rsidR="00C548C3" w:rsidRPr="00E44F28">
        <w:t xml:space="preserve">Table </w:t>
      </w:r>
      <w:r w:rsidR="00C548C3" w:rsidRPr="00E44F28">
        <w:rPr>
          <w:noProof/>
        </w:rPr>
        <w:t>13</w:t>
      </w:r>
      <w:r w:rsidR="001022E2" w:rsidRPr="00E44F28">
        <w:fldChar w:fldCharType="end"/>
      </w:r>
      <w:r w:rsidR="001022E2" w:rsidRPr="00E44F28">
        <w:t>)</w:t>
      </w:r>
      <w:r w:rsidRPr="00E44F28">
        <w:t xml:space="preserve">. The final decision to exclude participants from any analysis population will be made during a data review </w:t>
      </w:r>
      <w:r w:rsidRPr="00AF1814">
        <w:t xml:space="preserve">meeting prior to database lock </w:t>
      </w:r>
      <w:r w:rsidR="00D50B12" w:rsidRPr="00AF1814">
        <w:t>(</w:t>
      </w:r>
      <w:r w:rsidRPr="00AF1814">
        <w:t>except for the DLT population</w:t>
      </w:r>
      <w:r w:rsidR="002D56C4" w:rsidRPr="00AF1814">
        <w:t>)</w:t>
      </w:r>
      <w:r w:rsidRPr="00AF1814">
        <w:t>. Decision for inclusion in DLT population depends on SMC</w:t>
      </w:r>
      <w:r w:rsidR="002D56C4" w:rsidRPr="00AF1814">
        <w:t>´s</w:t>
      </w:r>
      <w:r w:rsidRPr="00AF1814">
        <w:t xml:space="preserve"> decision.</w:t>
      </w:r>
    </w:p>
    <w:p w14:paraId="1E1D8D5E" w14:textId="3B41D4CD" w:rsidR="00E02AED" w:rsidRPr="00AF1814" w:rsidRDefault="00DA3174" w:rsidP="00E44F28">
      <w:pPr>
        <w:pStyle w:val="Caption"/>
        <w:keepLines w:val="0"/>
        <w:ind w:left="2019" w:hanging="2019"/>
      </w:pPr>
      <w:bookmarkStart w:id="351" w:name="_Ref37835323"/>
      <w:bookmarkStart w:id="352" w:name="_Toc44601757"/>
      <w:r w:rsidRPr="00AF1814">
        <w:t xml:space="preserve">Table </w:t>
      </w:r>
      <w:r w:rsidR="0093258F" w:rsidRPr="00AF1814">
        <w:fldChar w:fldCharType="begin"/>
      </w:r>
      <w:r w:rsidR="0093258F" w:rsidRPr="00AF1814">
        <w:instrText xml:space="preserve"> SEQ Table \* ARABIC </w:instrText>
      </w:r>
      <w:r w:rsidR="0093258F" w:rsidRPr="00AF1814">
        <w:fldChar w:fldCharType="separate"/>
      </w:r>
      <w:r w:rsidR="00C548C3">
        <w:rPr>
          <w:noProof/>
        </w:rPr>
        <w:t>13</w:t>
      </w:r>
      <w:r w:rsidR="0093258F" w:rsidRPr="00AF1814">
        <w:fldChar w:fldCharType="end"/>
      </w:r>
      <w:bookmarkEnd w:id="351"/>
      <w:r w:rsidRPr="00AF1814">
        <w:tab/>
        <w:t>Analysis Set</w:t>
      </w:r>
      <w:bookmarkEnd w:id="352"/>
    </w:p>
    <w:tbl>
      <w:tblPr>
        <w:tblW w:w="4956" w:type="pct"/>
        <w:tblInd w:w="-5" w:type="dxa"/>
        <w:tblLook w:val="04A0" w:firstRow="1" w:lastRow="0" w:firstColumn="1" w:lastColumn="0" w:noHBand="0" w:noVBand="1"/>
      </w:tblPr>
      <w:tblGrid>
        <w:gridCol w:w="2581"/>
        <w:gridCol w:w="6689"/>
      </w:tblGrid>
      <w:tr w:rsidR="002108B2" w:rsidRPr="00AF1814" w14:paraId="46E1ED59" w14:textId="77777777" w:rsidTr="00D50B12">
        <w:trPr>
          <w:cantSplit/>
          <w:trHeight w:val="363"/>
          <w:tblHeader/>
        </w:trPr>
        <w:tc>
          <w:tcPr>
            <w:tcW w:w="1392" w:type="pct"/>
            <w:tcBorders>
              <w:top w:val="single" w:sz="4" w:space="0" w:color="auto"/>
              <w:left w:val="single" w:sz="4" w:space="0" w:color="auto"/>
              <w:bottom w:val="single" w:sz="4" w:space="0" w:color="auto"/>
              <w:right w:val="single" w:sz="4" w:space="0" w:color="auto"/>
            </w:tcBorders>
            <w:hideMark/>
          </w:tcPr>
          <w:p w14:paraId="6EC50A44" w14:textId="77777777" w:rsidR="00E02AED" w:rsidRPr="00AF1814" w:rsidRDefault="00DA3174" w:rsidP="004F480D">
            <w:pPr>
              <w:pStyle w:val="Tableheading"/>
              <w:keepNext w:val="0"/>
              <w:keepLines w:val="0"/>
              <w:ind w:left="270"/>
            </w:pPr>
            <w:r w:rsidRPr="00AF1814">
              <w:t>Analysis Set</w:t>
            </w:r>
          </w:p>
        </w:tc>
        <w:tc>
          <w:tcPr>
            <w:tcW w:w="3608" w:type="pct"/>
            <w:tcBorders>
              <w:top w:val="single" w:sz="4" w:space="0" w:color="auto"/>
              <w:left w:val="single" w:sz="4" w:space="0" w:color="auto"/>
              <w:bottom w:val="single" w:sz="4" w:space="0" w:color="auto"/>
              <w:right w:val="single" w:sz="4" w:space="0" w:color="auto"/>
            </w:tcBorders>
            <w:hideMark/>
          </w:tcPr>
          <w:p w14:paraId="1827B89C" w14:textId="77777777" w:rsidR="00E02AED" w:rsidRPr="00AF1814" w:rsidRDefault="00DA3174" w:rsidP="004F480D">
            <w:pPr>
              <w:pStyle w:val="Tableheading"/>
              <w:keepNext w:val="0"/>
              <w:keepLines w:val="0"/>
              <w:ind w:left="270"/>
            </w:pPr>
            <w:r w:rsidRPr="00AF1814">
              <w:t>Description</w:t>
            </w:r>
          </w:p>
        </w:tc>
      </w:tr>
      <w:tr w:rsidR="002108B2" w:rsidRPr="00AF1814" w14:paraId="592B8B96" w14:textId="77777777" w:rsidTr="00D50B12">
        <w:trPr>
          <w:cantSplit/>
          <w:trHeight w:val="493"/>
        </w:trPr>
        <w:tc>
          <w:tcPr>
            <w:tcW w:w="1392" w:type="pct"/>
            <w:tcBorders>
              <w:top w:val="single" w:sz="4" w:space="0" w:color="auto"/>
              <w:left w:val="single" w:sz="4" w:space="0" w:color="auto"/>
              <w:bottom w:val="single" w:sz="4" w:space="0" w:color="auto"/>
              <w:right w:val="single" w:sz="4" w:space="0" w:color="auto"/>
            </w:tcBorders>
            <w:hideMark/>
          </w:tcPr>
          <w:p w14:paraId="645B3D68" w14:textId="77777777" w:rsidR="00E02AED" w:rsidRPr="00AF1814" w:rsidRDefault="00DA3174" w:rsidP="004F480D">
            <w:pPr>
              <w:pStyle w:val="Tabletext"/>
              <w:keepLines w:val="0"/>
              <w:ind w:hanging="20"/>
            </w:pPr>
            <w:r w:rsidRPr="00AF1814">
              <w:t xml:space="preserve">Screening (SCR) </w:t>
            </w:r>
          </w:p>
        </w:tc>
        <w:tc>
          <w:tcPr>
            <w:tcW w:w="3608" w:type="pct"/>
            <w:tcBorders>
              <w:top w:val="single" w:sz="4" w:space="0" w:color="auto"/>
              <w:left w:val="single" w:sz="4" w:space="0" w:color="auto"/>
              <w:bottom w:val="single" w:sz="4" w:space="0" w:color="auto"/>
              <w:right w:val="single" w:sz="4" w:space="0" w:color="auto"/>
            </w:tcBorders>
            <w:hideMark/>
          </w:tcPr>
          <w:p w14:paraId="1B4FA2F7" w14:textId="77777777" w:rsidR="00E02AED" w:rsidRPr="00AF1814" w:rsidRDefault="00DA3174" w:rsidP="004F480D">
            <w:pPr>
              <w:pStyle w:val="Tabletext"/>
              <w:keepLines w:val="0"/>
            </w:pPr>
            <w:r w:rsidRPr="00AF1814">
              <w:t>All participants, who provided informed consent, regardless of the participant’s study intervention status in the study.</w:t>
            </w:r>
          </w:p>
        </w:tc>
      </w:tr>
      <w:tr w:rsidR="002108B2" w:rsidRPr="00AF1814" w14:paraId="36F188DF" w14:textId="77777777" w:rsidTr="0093258F">
        <w:trPr>
          <w:cantSplit/>
          <w:trHeight w:val="908"/>
        </w:trPr>
        <w:tc>
          <w:tcPr>
            <w:tcW w:w="1392" w:type="pct"/>
            <w:tcBorders>
              <w:top w:val="single" w:sz="4" w:space="0" w:color="auto"/>
              <w:left w:val="single" w:sz="4" w:space="0" w:color="auto"/>
              <w:bottom w:val="single" w:sz="4" w:space="0" w:color="auto"/>
              <w:right w:val="single" w:sz="4" w:space="0" w:color="auto"/>
            </w:tcBorders>
          </w:tcPr>
          <w:p w14:paraId="7696D99F" w14:textId="77777777" w:rsidR="00E02AED" w:rsidRPr="00AF1814" w:rsidRDefault="00DA3174" w:rsidP="004F480D">
            <w:pPr>
              <w:pStyle w:val="Tabletext"/>
              <w:keepLines w:val="0"/>
              <w:rPr>
                <w:bCs/>
              </w:rPr>
            </w:pPr>
            <w:r w:rsidRPr="00AF1814">
              <w:rPr>
                <w:bCs/>
                <w:szCs w:val="24"/>
              </w:rPr>
              <w:t>DLT</w:t>
            </w:r>
            <w:r w:rsidR="003E5049" w:rsidRPr="00AF1814">
              <w:rPr>
                <w:bCs/>
                <w:szCs w:val="24"/>
              </w:rPr>
              <w:t xml:space="preserve"> </w:t>
            </w:r>
            <w:r w:rsidR="003E5049" w:rsidRPr="00AF1814">
              <w:rPr>
                <w:bCs/>
                <w:lang w:eastAsia="ja-JP"/>
              </w:rPr>
              <w:t>Analysis Set</w:t>
            </w:r>
          </w:p>
        </w:tc>
        <w:tc>
          <w:tcPr>
            <w:tcW w:w="3608" w:type="pct"/>
            <w:tcBorders>
              <w:top w:val="single" w:sz="4" w:space="0" w:color="auto"/>
              <w:left w:val="single" w:sz="4" w:space="0" w:color="auto"/>
              <w:bottom w:val="single" w:sz="4" w:space="0" w:color="auto"/>
              <w:right w:val="single" w:sz="4" w:space="0" w:color="auto"/>
            </w:tcBorders>
          </w:tcPr>
          <w:p w14:paraId="1427AAB1" w14:textId="77777777" w:rsidR="00383AE8" w:rsidRPr="00AF1814" w:rsidRDefault="00DA3174" w:rsidP="004F480D">
            <w:pPr>
              <w:pStyle w:val="Tabletext"/>
              <w:keepLines w:val="0"/>
              <w:ind w:left="-15" w:firstLine="15"/>
            </w:pPr>
            <w:r w:rsidRPr="00AF1814">
              <w:t xml:space="preserve">The DLT set will include all participants who received at least </w:t>
            </w:r>
            <w:r w:rsidR="00F5206D" w:rsidRPr="00AF1814">
              <w:t>1</w:t>
            </w:r>
            <w:r w:rsidRPr="00AF1814">
              <w:t xml:space="preserve"> dose of study intervention and meet at least </w:t>
            </w:r>
            <w:r w:rsidR="00D03A65" w:rsidRPr="00AF1814">
              <w:t>1</w:t>
            </w:r>
            <w:r w:rsidRPr="00AF1814">
              <w:t xml:space="preserve"> of the following criteria:</w:t>
            </w:r>
          </w:p>
          <w:p w14:paraId="50CBFA94" w14:textId="77777777" w:rsidR="00383AE8" w:rsidRPr="00AF1814" w:rsidRDefault="00DA3174" w:rsidP="004F480D">
            <w:pPr>
              <w:pStyle w:val="Tablelist"/>
              <w:keepLines w:val="0"/>
            </w:pPr>
            <w:r w:rsidRPr="00AF1814">
              <w:t xml:space="preserve">Experienced at least </w:t>
            </w:r>
            <w:r w:rsidR="00F5206D" w:rsidRPr="00AF1814">
              <w:t>1</w:t>
            </w:r>
            <w:r w:rsidRPr="00AF1814">
              <w:t xml:space="preserve"> DLT during the DLT period, regardless of the administered number of doses of study intervention/completion of the DLT period.</w:t>
            </w:r>
          </w:p>
          <w:p w14:paraId="3C58D509" w14:textId="77777777" w:rsidR="00383AE8" w:rsidRPr="00AF1814" w:rsidRDefault="00DA3174" w:rsidP="004F480D">
            <w:pPr>
              <w:pStyle w:val="Tablelist"/>
              <w:keepLines w:val="0"/>
            </w:pPr>
            <w:r w:rsidRPr="00AF1814">
              <w:t>Received at least 80% of the planned cumulative dose during the DLT period of each treatment and completed the DLT period.</w:t>
            </w:r>
            <w:r w:rsidR="00344AEC" w:rsidRPr="00AF1814">
              <w:rPr>
                <w:lang w:eastAsia="ja-JP"/>
              </w:rPr>
              <w:t xml:space="preserve"> Analyses will include participants as treated.</w:t>
            </w:r>
          </w:p>
        </w:tc>
      </w:tr>
      <w:tr w:rsidR="002108B2" w:rsidRPr="00AF1814" w14:paraId="18F801CF" w14:textId="77777777" w:rsidTr="00D50B12">
        <w:trPr>
          <w:cantSplit/>
          <w:trHeight w:val="493"/>
        </w:trPr>
        <w:tc>
          <w:tcPr>
            <w:tcW w:w="1392" w:type="pct"/>
            <w:tcBorders>
              <w:top w:val="single" w:sz="4" w:space="0" w:color="auto"/>
              <w:left w:val="single" w:sz="4" w:space="0" w:color="auto"/>
              <w:bottom w:val="single" w:sz="4" w:space="0" w:color="auto"/>
              <w:right w:val="single" w:sz="4" w:space="0" w:color="auto"/>
            </w:tcBorders>
          </w:tcPr>
          <w:p w14:paraId="6B1C9B3E" w14:textId="77777777" w:rsidR="00635B53" w:rsidRPr="00AF1814" w:rsidRDefault="00DA3174" w:rsidP="004F480D">
            <w:pPr>
              <w:pStyle w:val="Tabletext"/>
              <w:keepLines w:val="0"/>
            </w:pPr>
            <w:r w:rsidRPr="00AF1814">
              <w:t>Safety/</w:t>
            </w:r>
            <w:r w:rsidR="00C1122B" w:rsidRPr="00AF1814">
              <w:t xml:space="preserve">Full </w:t>
            </w:r>
            <w:r w:rsidR="00EF1CF2" w:rsidRPr="00AF1814">
              <w:t>A</w:t>
            </w:r>
            <w:r w:rsidR="00C1122B" w:rsidRPr="00AF1814">
              <w:t>nalysis Set (</w:t>
            </w:r>
            <w:r w:rsidRPr="00AF1814">
              <w:t>SAF/</w:t>
            </w:r>
            <w:r w:rsidR="00C1122B" w:rsidRPr="00AF1814">
              <w:t>FAS)</w:t>
            </w:r>
          </w:p>
        </w:tc>
        <w:tc>
          <w:tcPr>
            <w:tcW w:w="3608" w:type="pct"/>
            <w:tcBorders>
              <w:top w:val="single" w:sz="4" w:space="0" w:color="auto"/>
              <w:left w:val="single" w:sz="4" w:space="0" w:color="auto"/>
              <w:bottom w:val="single" w:sz="4" w:space="0" w:color="auto"/>
              <w:right w:val="single" w:sz="4" w:space="0" w:color="auto"/>
            </w:tcBorders>
          </w:tcPr>
          <w:p w14:paraId="437C7742" w14:textId="77777777" w:rsidR="00635B53" w:rsidRPr="00AF1814" w:rsidRDefault="00DA3174" w:rsidP="004F480D">
            <w:pPr>
              <w:pStyle w:val="Tabletext"/>
              <w:keepLines w:val="0"/>
              <w:ind w:left="-15" w:firstLine="15"/>
            </w:pPr>
            <w:r w:rsidRPr="00AF1814">
              <w:t xml:space="preserve">All participants, who were administered </w:t>
            </w:r>
            <w:r w:rsidR="00203622" w:rsidRPr="00AF1814">
              <w:t>any dose</w:t>
            </w:r>
            <w:r w:rsidRPr="00AF1814">
              <w:t xml:space="preserve"> of </w:t>
            </w:r>
            <w:r w:rsidR="00203622" w:rsidRPr="00AF1814">
              <w:t xml:space="preserve">any </w:t>
            </w:r>
            <w:r w:rsidRPr="00AF1814">
              <w:t>study intervention</w:t>
            </w:r>
            <w:r w:rsidR="003E5049" w:rsidRPr="00AF1814">
              <w:t xml:space="preserve">. </w:t>
            </w:r>
            <w:r w:rsidR="003E5049" w:rsidRPr="00AF1814">
              <w:rPr>
                <w:lang w:eastAsia="ja-JP"/>
              </w:rPr>
              <w:t>Analyses will include participants as treated</w:t>
            </w:r>
            <w:r w:rsidR="0093258F" w:rsidRPr="00AF1814">
              <w:rPr>
                <w:lang w:eastAsia="ja-JP"/>
              </w:rPr>
              <w:t>.</w:t>
            </w:r>
          </w:p>
        </w:tc>
      </w:tr>
      <w:tr w:rsidR="002108B2" w:rsidRPr="00AF1814" w14:paraId="7970F816" w14:textId="77777777" w:rsidTr="0093258F">
        <w:trPr>
          <w:cantSplit/>
          <w:trHeight w:val="557"/>
        </w:trPr>
        <w:tc>
          <w:tcPr>
            <w:tcW w:w="1392" w:type="pct"/>
            <w:tcBorders>
              <w:top w:val="single" w:sz="4" w:space="0" w:color="auto"/>
              <w:left w:val="single" w:sz="4" w:space="0" w:color="auto"/>
              <w:bottom w:val="single" w:sz="4" w:space="0" w:color="auto"/>
              <w:right w:val="single" w:sz="4" w:space="0" w:color="auto"/>
            </w:tcBorders>
            <w:hideMark/>
          </w:tcPr>
          <w:p w14:paraId="7D6A2C13" w14:textId="77777777" w:rsidR="00635B53" w:rsidRPr="00AF1814" w:rsidRDefault="00DA3174" w:rsidP="004F480D">
            <w:pPr>
              <w:pStyle w:val="Tabletext"/>
              <w:keepLines w:val="0"/>
            </w:pPr>
            <w:r w:rsidRPr="00AF1814">
              <w:t xml:space="preserve">PK </w:t>
            </w:r>
            <w:r w:rsidR="003E5049" w:rsidRPr="00AF1814">
              <w:rPr>
                <w:lang w:eastAsia="ja-JP"/>
              </w:rPr>
              <w:t>Analysis Set</w:t>
            </w:r>
          </w:p>
        </w:tc>
        <w:tc>
          <w:tcPr>
            <w:tcW w:w="3608" w:type="pct"/>
            <w:tcBorders>
              <w:top w:val="single" w:sz="4" w:space="0" w:color="auto"/>
              <w:left w:val="single" w:sz="4" w:space="0" w:color="auto"/>
              <w:bottom w:val="single" w:sz="4" w:space="0" w:color="auto"/>
              <w:right w:val="single" w:sz="4" w:space="0" w:color="auto"/>
            </w:tcBorders>
            <w:hideMark/>
          </w:tcPr>
          <w:p w14:paraId="6D29D8D9" w14:textId="77777777" w:rsidR="00635B53" w:rsidRPr="00AF1814" w:rsidRDefault="00DA3174" w:rsidP="004F480D">
            <w:pPr>
              <w:pStyle w:val="Tabletext"/>
              <w:keepLines w:val="0"/>
            </w:pPr>
            <w:r w:rsidRPr="00AF1814">
              <w:t>All participants who complete at least 1 infusion of bintrafusp alfa, and who provide at least 1 sample with a measurable concentration of bintrafusp alfa.</w:t>
            </w:r>
            <w:r w:rsidR="00A951F2" w:rsidRPr="00AF1814">
              <w:t xml:space="preserve"> </w:t>
            </w:r>
            <w:r w:rsidR="00A951F2" w:rsidRPr="00AF1814">
              <w:rPr>
                <w:lang w:eastAsia="ja-JP"/>
              </w:rPr>
              <w:t>Analyses will include participants as treated.</w:t>
            </w:r>
          </w:p>
        </w:tc>
      </w:tr>
      <w:tr w:rsidR="002108B2" w:rsidRPr="00AF1814" w14:paraId="751F95A7" w14:textId="77777777" w:rsidTr="00D50B12">
        <w:trPr>
          <w:cantSplit/>
          <w:trHeight w:val="493"/>
        </w:trPr>
        <w:tc>
          <w:tcPr>
            <w:tcW w:w="1392" w:type="pct"/>
            <w:tcBorders>
              <w:top w:val="single" w:sz="4" w:space="0" w:color="auto"/>
              <w:left w:val="single" w:sz="4" w:space="0" w:color="auto"/>
              <w:bottom w:val="single" w:sz="4" w:space="0" w:color="auto"/>
              <w:right w:val="single" w:sz="4" w:space="0" w:color="auto"/>
            </w:tcBorders>
            <w:hideMark/>
          </w:tcPr>
          <w:p w14:paraId="7DEA5C8C" w14:textId="77777777" w:rsidR="00635B53" w:rsidRPr="00AF1814" w:rsidRDefault="00DA3174" w:rsidP="004F480D">
            <w:pPr>
              <w:pStyle w:val="Tabletext"/>
              <w:keepLines w:val="0"/>
            </w:pPr>
            <w:r w:rsidRPr="00AF1814">
              <w:t>Immunogenicity</w:t>
            </w:r>
            <w:r w:rsidR="003E5049" w:rsidRPr="00AF1814">
              <w:t xml:space="preserve"> </w:t>
            </w:r>
            <w:r w:rsidR="003E5049" w:rsidRPr="00AF1814">
              <w:rPr>
                <w:lang w:eastAsia="ja-JP"/>
              </w:rPr>
              <w:t>Analysis Set</w:t>
            </w:r>
          </w:p>
          <w:p w14:paraId="22ED711B" w14:textId="77777777" w:rsidR="00635B53" w:rsidRPr="00AF1814" w:rsidRDefault="00635B53" w:rsidP="004F480D">
            <w:pPr>
              <w:pStyle w:val="Tabletext"/>
              <w:keepLines w:val="0"/>
              <w:rPr>
                <w:lang w:val="de-DE" w:eastAsia="ja-JP"/>
              </w:rPr>
            </w:pPr>
          </w:p>
        </w:tc>
        <w:tc>
          <w:tcPr>
            <w:tcW w:w="3608" w:type="pct"/>
            <w:tcBorders>
              <w:top w:val="single" w:sz="4" w:space="0" w:color="auto"/>
              <w:left w:val="single" w:sz="4" w:space="0" w:color="auto"/>
              <w:bottom w:val="single" w:sz="4" w:space="0" w:color="auto"/>
              <w:right w:val="single" w:sz="4" w:space="0" w:color="auto"/>
            </w:tcBorders>
            <w:hideMark/>
          </w:tcPr>
          <w:p w14:paraId="0A18D13C" w14:textId="77777777" w:rsidR="00635B53" w:rsidRPr="00AF1814" w:rsidRDefault="00DA3174" w:rsidP="004F480D">
            <w:pPr>
              <w:pStyle w:val="Tabletext"/>
              <w:keepLines w:val="0"/>
              <w:ind w:left="-15" w:firstLine="15"/>
              <w:rPr>
                <w:lang w:eastAsia="ja-JP"/>
              </w:rPr>
            </w:pPr>
            <w:r w:rsidRPr="00AF1814">
              <w:t xml:space="preserve">All participants who were administered at least 1 infusion of bintrafusp alfa and have at least </w:t>
            </w:r>
            <w:r w:rsidR="0073551A" w:rsidRPr="00AF1814">
              <w:t xml:space="preserve">1 </w:t>
            </w:r>
            <w:r w:rsidRPr="00AF1814">
              <w:t>valid ADA result.</w:t>
            </w:r>
            <w:r w:rsidR="00A951F2" w:rsidRPr="00AF1814">
              <w:t xml:space="preserve"> </w:t>
            </w:r>
            <w:r w:rsidR="00A951F2" w:rsidRPr="00AF1814">
              <w:rPr>
                <w:lang w:eastAsia="ja-JP"/>
              </w:rPr>
              <w:t>Analyses will include participants as treated.</w:t>
            </w:r>
          </w:p>
        </w:tc>
      </w:tr>
      <w:tr w:rsidR="002108B2" w:rsidRPr="00AF1814" w14:paraId="0E19EE7D" w14:textId="77777777" w:rsidTr="007B5EA4">
        <w:trPr>
          <w:cantSplit/>
          <w:trHeight w:val="493"/>
        </w:trPr>
        <w:tc>
          <w:tcPr>
            <w:tcW w:w="5000" w:type="pct"/>
            <w:gridSpan w:val="2"/>
            <w:tcBorders>
              <w:top w:val="single" w:sz="4" w:space="0" w:color="auto"/>
              <w:left w:val="single" w:sz="4" w:space="0" w:color="auto"/>
              <w:bottom w:val="single" w:sz="4" w:space="0" w:color="auto"/>
              <w:right w:val="single" w:sz="4" w:space="0" w:color="auto"/>
            </w:tcBorders>
          </w:tcPr>
          <w:p w14:paraId="57BD23F9" w14:textId="77777777" w:rsidR="007B5EA4" w:rsidRPr="00AF1814" w:rsidRDefault="00DA3174" w:rsidP="004F480D">
            <w:pPr>
              <w:pStyle w:val="Tabletext"/>
              <w:keepLines w:val="0"/>
              <w:ind w:left="-15" w:firstLine="15"/>
            </w:pPr>
            <w:r w:rsidRPr="00AF1814">
              <w:t xml:space="preserve">ADA=antidrug antibody, </w:t>
            </w:r>
            <w:r w:rsidR="007644DC" w:rsidRPr="00AF1814">
              <w:t>DLT=dose</w:t>
            </w:r>
            <w:r w:rsidR="007644DC" w:rsidRPr="00AF1814">
              <w:noBreakHyphen/>
              <w:t>limiting toxicity, PK=pharmaco</w:t>
            </w:r>
            <w:r w:rsidR="004075CF" w:rsidRPr="00AF1814">
              <w:t>k</w:t>
            </w:r>
            <w:r w:rsidR="007644DC" w:rsidRPr="00AF1814">
              <w:t>inetic.</w:t>
            </w:r>
          </w:p>
        </w:tc>
      </w:tr>
    </w:tbl>
    <w:p w14:paraId="13DEDB86" w14:textId="77777777" w:rsidR="003E1E9B" w:rsidRPr="00AF1814" w:rsidRDefault="00DA3174" w:rsidP="003E1E9B">
      <w:pPr>
        <w:pStyle w:val="Heading2"/>
      </w:pPr>
      <w:bookmarkStart w:id="353" w:name="_Toc44601727"/>
      <w:r w:rsidRPr="00AF1814">
        <w:lastRenderedPageBreak/>
        <w:t>Statistical Analyses</w:t>
      </w:r>
      <w:bookmarkEnd w:id="353"/>
    </w:p>
    <w:p w14:paraId="67985A4D" w14:textId="77777777" w:rsidR="003E1E9B" w:rsidRPr="00AF1814" w:rsidRDefault="00DA3174" w:rsidP="00303B24">
      <w:pPr>
        <w:pStyle w:val="Heading3"/>
      </w:pPr>
      <w:bookmarkStart w:id="354" w:name="_Toc44601728"/>
      <w:r w:rsidRPr="00AF1814">
        <w:t>Efficacy Analyses</w:t>
      </w:r>
      <w:bookmarkEnd w:id="354"/>
    </w:p>
    <w:p w14:paraId="5ACD25C5" w14:textId="77777777" w:rsidR="0093624E" w:rsidRPr="00AF1814" w:rsidRDefault="00DA3174" w:rsidP="00981CB0">
      <w:pPr>
        <w:pStyle w:val="Bodytext-keepwithnext"/>
        <w:rPr>
          <w:b/>
        </w:rPr>
      </w:pPr>
      <w:r w:rsidRPr="00AF1814">
        <w:rPr>
          <w:rStyle w:val="BodyTextChar"/>
        </w:rPr>
        <w:t xml:space="preserve">The </w:t>
      </w:r>
      <w:r w:rsidR="0057273C" w:rsidRPr="00AF1814">
        <w:rPr>
          <w:rStyle w:val="BodyTextChar"/>
        </w:rPr>
        <w:t xml:space="preserve">efficacy </w:t>
      </w:r>
      <w:r w:rsidRPr="00AF1814">
        <w:rPr>
          <w:rStyle w:val="BodyTextChar"/>
        </w:rPr>
        <w:t>analyses</w:t>
      </w:r>
      <w:r w:rsidR="0057273C" w:rsidRPr="00AF1814">
        <w:rPr>
          <w:rStyle w:val="BodyTextChar"/>
        </w:rPr>
        <w:t xml:space="preserve"> </w:t>
      </w:r>
      <w:r w:rsidRPr="00AF1814">
        <w:rPr>
          <w:rStyle w:val="BodyTextChar"/>
        </w:rPr>
        <w:t xml:space="preserve">will be done </w:t>
      </w:r>
      <w:r w:rsidR="0093258F" w:rsidRPr="00AF1814">
        <w:rPr>
          <w:rStyle w:val="BodyTextChar"/>
        </w:rPr>
        <w:t xml:space="preserve">on the </w:t>
      </w:r>
      <w:r w:rsidR="00981CB0" w:rsidRPr="00AF1814">
        <w:rPr>
          <w:rStyle w:val="BodyTextChar"/>
        </w:rPr>
        <w:t>Safety/Full Analysis Set (</w:t>
      </w:r>
      <w:r w:rsidR="00FB4559" w:rsidRPr="00AF1814">
        <w:rPr>
          <w:rStyle w:val="BodyTextChar"/>
        </w:rPr>
        <w:t>SAF/</w:t>
      </w:r>
      <w:r w:rsidR="0093258F" w:rsidRPr="00AF1814">
        <w:rPr>
          <w:rStyle w:val="BodyTextChar"/>
        </w:rPr>
        <w:t>FAS</w:t>
      </w:r>
      <w:r w:rsidR="00981CB0" w:rsidRPr="00AF1814">
        <w:rPr>
          <w:rStyle w:val="BodyTextChar"/>
        </w:rPr>
        <w:t>)</w:t>
      </w:r>
      <w:r w:rsidR="0093258F" w:rsidRPr="00AF1814">
        <w:rPr>
          <w:rStyle w:val="BodyTextChar"/>
        </w:rPr>
        <w:t xml:space="preserve"> </w:t>
      </w:r>
      <w:r w:rsidRPr="00AF1814">
        <w:rPr>
          <w:bCs/>
        </w:rPr>
        <w:t>for each cohort separately.</w:t>
      </w:r>
    </w:p>
    <w:p w14:paraId="0B2EE2B1" w14:textId="7EFCEC26" w:rsidR="00046ACC" w:rsidRPr="00AF1814" w:rsidRDefault="00DA3174" w:rsidP="00046ACC">
      <w:pPr>
        <w:pStyle w:val="Caption"/>
      </w:pPr>
      <w:bookmarkStart w:id="355" w:name="_Ref37835535"/>
      <w:bookmarkStart w:id="356" w:name="_Toc44601758"/>
      <w:r w:rsidRPr="00AF1814">
        <w:t xml:space="preserve">Table </w:t>
      </w:r>
      <w:r w:rsidRPr="00AF1814">
        <w:fldChar w:fldCharType="begin"/>
      </w:r>
      <w:r w:rsidRPr="00AF1814">
        <w:instrText xml:space="preserve"> SEQ Table \* ARABIC </w:instrText>
      </w:r>
      <w:r w:rsidRPr="00AF1814">
        <w:fldChar w:fldCharType="separate"/>
      </w:r>
      <w:r w:rsidR="00C548C3">
        <w:rPr>
          <w:noProof/>
        </w:rPr>
        <w:t>14</w:t>
      </w:r>
      <w:r w:rsidRPr="00AF1814">
        <w:fldChar w:fldCharType="end"/>
      </w:r>
      <w:bookmarkEnd w:id="355"/>
      <w:r w:rsidRPr="00AF1814">
        <w:tab/>
        <w:t>Efficacy Analysis</w:t>
      </w:r>
      <w:bookmarkEnd w:id="3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5937"/>
      </w:tblGrid>
      <w:tr w:rsidR="002108B2" w:rsidRPr="00AF1814" w14:paraId="6B5CFF1B" w14:textId="77777777" w:rsidTr="00046ACC">
        <w:trPr>
          <w:cantSplit/>
        </w:trPr>
        <w:tc>
          <w:tcPr>
            <w:tcW w:w="1826" w:type="pct"/>
            <w:hideMark/>
          </w:tcPr>
          <w:p w14:paraId="20BB57E6" w14:textId="77777777" w:rsidR="00046ACC" w:rsidRPr="00AF1814" w:rsidRDefault="00DA3174" w:rsidP="00046ACC">
            <w:pPr>
              <w:pStyle w:val="Tableheading"/>
            </w:pPr>
            <w:r w:rsidRPr="00AF1814">
              <w:t>Endpoint</w:t>
            </w:r>
          </w:p>
        </w:tc>
        <w:tc>
          <w:tcPr>
            <w:tcW w:w="3174" w:type="pct"/>
            <w:hideMark/>
          </w:tcPr>
          <w:p w14:paraId="4E27E3DA" w14:textId="77777777" w:rsidR="00046ACC" w:rsidRPr="00AF1814" w:rsidRDefault="00DA3174" w:rsidP="00046ACC">
            <w:pPr>
              <w:pStyle w:val="Tableheading"/>
            </w:pPr>
            <w:r w:rsidRPr="00AF1814">
              <w:t>Statistical Analysis Methods</w:t>
            </w:r>
          </w:p>
        </w:tc>
      </w:tr>
      <w:tr w:rsidR="002108B2" w:rsidRPr="00AF1814" w14:paraId="428BE7F6" w14:textId="77777777" w:rsidTr="00F46DDE">
        <w:trPr>
          <w:cantSplit/>
          <w:trHeight w:val="301"/>
        </w:trPr>
        <w:tc>
          <w:tcPr>
            <w:tcW w:w="1826" w:type="pct"/>
            <w:hideMark/>
          </w:tcPr>
          <w:p w14:paraId="69B391A3" w14:textId="77777777" w:rsidR="00046ACC" w:rsidRPr="00AF1814" w:rsidRDefault="00DA3174" w:rsidP="006472CC">
            <w:pPr>
              <w:pStyle w:val="Tabletext"/>
              <w:rPr>
                <w:b/>
                <w:color w:val="000000" w:themeColor="text1"/>
              </w:rPr>
            </w:pPr>
            <w:r w:rsidRPr="00AF1814">
              <w:rPr>
                <w:b/>
                <w:color w:val="000000" w:themeColor="text1"/>
              </w:rPr>
              <w:t>Primary</w:t>
            </w:r>
          </w:p>
        </w:tc>
        <w:tc>
          <w:tcPr>
            <w:tcW w:w="3174" w:type="pct"/>
            <w:shd w:val="clear" w:color="auto" w:fill="auto"/>
          </w:tcPr>
          <w:p w14:paraId="28E70A89" w14:textId="77777777" w:rsidR="00046ACC" w:rsidRPr="00AF1814" w:rsidRDefault="00DA3174" w:rsidP="00F66818">
            <w:pPr>
              <w:pStyle w:val="Tabletext"/>
              <w:rPr>
                <w:color w:val="000000" w:themeColor="text1"/>
              </w:rPr>
            </w:pPr>
            <w:r w:rsidRPr="00AF1814">
              <w:rPr>
                <w:color w:val="000000" w:themeColor="text1"/>
              </w:rPr>
              <w:t xml:space="preserve">Not </w:t>
            </w:r>
            <w:r w:rsidR="00420433" w:rsidRPr="00AF1814">
              <w:rPr>
                <w:color w:val="000000" w:themeColor="text1"/>
              </w:rPr>
              <w:t>a</w:t>
            </w:r>
            <w:r w:rsidRPr="00AF1814">
              <w:rPr>
                <w:color w:val="000000" w:themeColor="text1"/>
              </w:rPr>
              <w:t>pplicable</w:t>
            </w:r>
          </w:p>
        </w:tc>
      </w:tr>
      <w:tr w:rsidR="002108B2" w:rsidRPr="00AF1814" w14:paraId="0E4F92D4" w14:textId="77777777" w:rsidTr="00046ACC">
        <w:trPr>
          <w:cantSplit/>
        </w:trPr>
        <w:tc>
          <w:tcPr>
            <w:tcW w:w="1826" w:type="pct"/>
          </w:tcPr>
          <w:p w14:paraId="0C4E9912" w14:textId="77777777" w:rsidR="00046ACC" w:rsidRPr="00AF1814" w:rsidRDefault="00DA3174" w:rsidP="00F66818">
            <w:pPr>
              <w:pStyle w:val="Tabletext"/>
              <w:rPr>
                <w:b/>
                <w:color w:val="000000" w:themeColor="text1"/>
                <w:lang w:val="pt-BR"/>
              </w:rPr>
            </w:pPr>
            <w:r w:rsidRPr="00AF1814">
              <w:rPr>
                <w:b/>
                <w:color w:val="000000" w:themeColor="text1"/>
                <w:lang w:val="pt-BR"/>
              </w:rPr>
              <w:t>Secondary</w:t>
            </w:r>
          </w:p>
        </w:tc>
        <w:tc>
          <w:tcPr>
            <w:tcW w:w="3174" w:type="pct"/>
          </w:tcPr>
          <w:p w14:paraId="3E52ECB4" w14:textId="77777777" w:rsidR="00046ACC" w:rsidRPr="00AF1814" w:rsidRDefault="00DA3174" w:rsidP="00F66818">
            <w:pPr>
              <w:pStyle w:val="Tabletext"/>
              <w:rPr>
                <w:color w:val="000000" w:themeColor="text1"/>
              </w:rPr>
            </w:pPr>
            <w:r w:rsidRPr="00AF1814">
              <w:rPr>
                <w:color w:val="000000" w:themeColor="text1"/>
              </w:rPr>
              <w:t xml:space="preserve">Not </w:t>
            </w:r>
            <w:r w:rsidR="00420433" w:rsidRPr="00AF1814">
              <w:rPr>
                <w:color w:val="000000" w:themeColor="text1"/>
              </w:rPr>
              <w:t>a</w:t>
            </w:r>
            <w:r w:rsidRPr="00AF1814">
              <w:rPr>
                <w:color w:val="000000" w:themeColor="text1"/>
              </w:rPr>
              <w:t>pplicable</w:t>
            </w:r>
          </w:p>
        </w:tc>
      </w:tr>
      <w:tr w:rsidR="002108B2" w:rsidRPr="00AF1814" w14:paraId="3591297C" w14:textId="77777777" w:rsidTr="00046ACC">
        <w:trPr>
          <w:cantSplit/>
        </w:trPr>
        <w:tc>
          <w:tcPr>
            <w:tcW w:w="1826" w:type="pct"/>
          </w:tcPr>
          <w:p w14:paraId="1DC095E6" w14:textId="77777777" w:rsidR="00046ACC" w:rsidRPr="00AF1814" w:rsidRDefault="00DA3174" w:rsidP="00F66818">
            <w:pPr>
              <w:pStyle w:val="Tabletext"/>
              <w:rPr>
                <w:b/>
                <w:color w:val="000000" w:themeColor="text1"/>
                <w:lang w:val="pt-BR"/>
              </w:rPr>
            </w:pPr>
            <w:r w:rsidRPr="00AF1814">
              <w:rPr>
                <w:b/>
                <w:color w:val="000000" w:themeColor="text1"/>
                <w:lang w:val="pt-BR"/>
              </w:rPr>
              <w:t>Tertiary/</w:t>
            </w:r>
            <w:r w:rsidR="009977EF" w:rsidRPr="00AF1814">
              <w:rPr>
                <w:b/>
                <w:color w:val="000000" w:themeColor="text1"/>
                <w:lang w:val="pt-BR"/>
              </w:rPr>
              <w:t>Exploratory</w:t>
            </w:r>
          </w:p>
        </w:tc>
        <w:tc>
          <w:tcPr>
            <w:tcW w:w="3174" w:type="pct"/>
          </w:tcPr>
          <w:p w14:paraId="00436BF4" w14:textId="77777777" w:rsidR="00046ACC" w:rsidRPr="00AF1814" w:rsidRDefault="00DA3174" w:rsidP="00F66818">
            <w:pPr>
              <w:pStyle w:val="Tabletext"/>
              <w:rPr>
                <w:b/>
                <w:color w:val="000000" w:themeColor="text1"/>
              </w:rPr>
            </w:pPr>
            <w:r w:rsidRPr="00AF1814">
              <w:rPr>
                <w:color w:val="000000" w:themeColor="text1"/>
              </w:rPr>
              <w:t>Details will be specified in the IAP finalized before database lock</w:t>
            </w:r>
          </w:p>
        </w:tc>
      </w:tr>
      <w:tr w:rsidR="00D60F81" w:rsidRPr="00AF1814" w14:paraId="0A63897B" w14:textId="77777777" w:rsidTr="00D60F81">
        <w:trPr>
          <w:cantSplit/>
        </w:trPr>
        <w:tc>
          <w:tcPr>
            <w:tcW w:w="5000" w:type="pct"/>
            <w:gridSpan w:val="2"/>
          </w:tcPr>
          <w:p w14:paraId="5E5F5598" w14:textId="3A69DBBD" w:rsidR="00D60F81" w:rsidRPr="00AF1814" w:rsidRDefault="00D60F81" w:rsidP="00F66818">
            <w:pPr>
              <w:pStyle w:val="Tabletext"/>
              <w:rPr>
                <w:color w:val="000000" w:themeColor="text1"/>
              </w:rPr>
            </w:pPr>
            <w:r w:rsidRPr="00AF1814">
              <w:rPr>
                <w:color w:val="000000" w:themeColor="text1"/>
              </w:rPr>
              <w:t>IAP=Integrated Analysis Plan.</w:t>
            </w:r>
          </w:p>
        </w:tc>
      </w:tr>
    </w:tbl>
    <w:p w14:paraId="1CF15C95" w14:textId="77777777" w:rsidR="003E1E9B" w:rsidRPr="00AF1814" w:rsidRDefault="00DA3174" w:rsidP="00046ACC">
      <w:pPr>
        <w:pStyle w:val="Heading3"/>
      </w:pPr>
      <w:bookmarkStart w:id="357" w:name="_Toc44601729"/>
      <w:r w:rsidRPr="00AF1814">
        <w:t>Safety Analyses</w:t>
      </w:r>
      <w:bookmarkEnd w:id="357"/>
    </w:p>
    <w:p w14:paraId="72797C85" w14:textId="1F332A8E" w:rsidR="00D70BF7" w:rsidRPr="00AF1814" w:rsidRDefault="00DA3174" w:rsidP="00981CB0">
      <w:pPr>
        <w:pStyle w:val="BodyText"/>
        <w:rPr>
          <w:b/>
        </w:rPr>
      </w:pPr>
      <w:r w:rsidRPr="00AF1814">
        <w:t>Except for the analysis of DLTs (a primary endpoint), a</w:t>
      </w:r>
      <w:r w:rsidR="009977EF" w:rsidRPr="00AF1814">
        <w:t xml:space="preserve">ll safety analyses will be performed </w:t>
      </w:r>
      <w:r w:rsidR="009977EF" w:rsidRPr="00AF1814">
        <w:rPr>
          <w:bCs/>
        </w:rPr>
        <w:t xml:space="preserve">on the </w:t>
      </w:r>
      <w:r w:rsidR="00C23AF2" w:rsidRPr="00AF1814">
        <w:rPr>
          <w:bCs/>
        </w:rPr>
        <w:t>SAF</w:t>
      </w:r>
      <w:r w:rsidR="00616819" w:rsidRPr="00AF1814">
        <w:rPr>
          <w:bCs/>
        </w:rPr>
        <w:t>/</w:t>
      </w:r>
      <w:r w:rsidR="00C23AF2" w:rsidRPr="00AF1814">
        <w:rPr>
          <w:bCs/>
        </w:rPr>
        <w:t>FAS</w:t>
      </w:r>
      <w:r w:rsidR="00616819" w:rsidRPr="00AF1814">
        <w:rPr>
          <w:bCs/>
        </w:rPr>
        <w:t>.</w:t>
      </w:r>
      <w:r w:rsidR="0057273C" w:rsidRPr="00AF1814">
        <w:rPr>
          <w:bCs/>
        </w:rPr>
        <w:t xml:space="preserve"> The analyses </w:t>
      </w:r>
      <w:r w:rsidR="0057273C" w:rsidRPr="00AF1814">
        <w:rPr>
          <w:rStyle w:val="BodyTextChar"/>
        </w:rPr>
        <w:t xml:space="preserve">are </w:t>
      </w:r>
      <w:r w:rsidR="0057273C" w:rsidRPr="00E44F28">
        <w:rPr>
          <w:rStyle w:val="BodyTextChar"/>
        </w:rPr>
        <w:t xml:space="preserve">specified in </w:t>
      </w:r>
      <w:r w:rsidR="0057273C" w:rsidRPr="00E44F28">
        <w:rPr>
          <w:rStyle w:val="BodyTextChar"/>
        </w:rPr>
        <w:fldChar w:fldCharType="begin"/>
      </w:r>
      <w:r w:rsidR="0057273C" w:rsidRPr="00E44F28">
        <w:rPr>
          <w:rStyle w:val="BodyTextChar"/>
        </w:rPr>
        <w:instrText xml:space="preserve"> REF _Ref37835597 \h </w:instrText>
      </w:r>
      <w:r w:rsidR="00AF1814" w:rsidRPr="00E44F28">
        <w:rPr>
          <w:rStyle w:val="BodyTextChar"/>
        </w:rPr>
        <w:instrText xml:space="preserve"> \* MERGEFORMAT </w:instrText>
      </w:r>
      <w:r w:rsidR="0057273C" w:rsidRPr="00E44F28">
        <w:rPr>
          <w:rStyle w:val="BodyTextChar"/>
        </w:rPr>
      </w:r>
      <w:r w:rsidR="0057273C" w:rsidRPr="00E44F28">
        <w:rPr>
          <w:rStyle w:val="BodyTextChar"/>
        </w:rPr>
        <w:fldChar w:fldCharType="separate"/>
      </w:r>
      <w:r w:rsidR="00C548C3" w:rsidRPr="00E44F28">
        <w:t xml:space="preserve">Table </w:t>
      </w:r>
      <w:r w:rsidR="00C548C3" w:rsidRPr="00E44F28">
        <w:rPr>
          <w:noProof/>
        </w:rPr>
        <w:t>15</w:t>
      </w:r>
      <w:r w:rsidR="0057273C" w:rsidRPr="00E44F28">
        <w:rPr>
          <w:rStyle w:val="BodyTextChar"/>
        </w:rPr>
        <w:fldChar w:fldCharType="end"/>
      </w:r>
      <w:r w:rsidR="0057273C" w:rsidRPr="00E44F28">
        <w:rPr>
          <w:rStyle w:val="BodyTextChar"/>
        </w:rPr>
        <w:t>.</w:t>
      </w:r>
    </w:p>
    <w:p w14:paraId="39AAE397" w14:textId="6C3703BE" w:rsidR="00F3325E" w:rsidRPr="00AF1814" w:rsidRDefault="00DA3174" w:rsidP="00F3325E">
      <w:pPr>
        <w:pStyle w:val="Caption"/>
      </w:pPr>
      <w:bookmarkStart w:id="358" w:name="_Ref37835597"/>
      <w:bookmarkStart w:id="359" w:name="_Toc44601759"/>
      <w:r w:rsidRPr="00AF1814">
        <w:t xml:space="preserve">Table </w:t>
      </w:r>
      <w:r w:rsidR="0093258F" w:rsidRPr="00AF1814">
        <w:fldChar w:fldCharType="begin"/>
      </w:r>
      <w:r w:rsidR="0093258F" w:rsidRPr="00AF1814">
        <w:instrText xml:space="preserve"> SEQ Table \* ARABIC </w:instrText>
      </w:r>
      <w:r w:rsidR="0093258F" w:rsidRPr="00AF1814">
        <w:fldChar w:fldCharType="separate"/>
      </w:r>
      <w:r w:rsidR="00C548C3">
        <w:rPr>
          <w:noProof/>
        </w:rPr>
        <w:t>15</w:t>
      </w:r>
      <w:r w:rsidR="0093258F" w:rsidRPr="00AF1814">
        <w:fldChar w:fldCharType="end"/>
      </w:r>
      <w:bookmarkEnd w:id="358"/>
      <w:r w:rsidRPr="00AF1814">
        <w:tab/>
        <w:t>Safety Analysis</w:t>
      </w:r>
      <w:bookmarkEnd w:id="359"/>
    </w:p>
    <w:tbl>
      <w:tblPr>
        <w:tblW w:w="5000" w:type="pct"/>
        <w:tblLook w:val="04A0" w:firstRow="1" w:lastRow="0" w:firstColumn="1" w:lastColumn="0" w:noHBand="0" w:noVBand="1"/>
      </w:tblPr>
      <w:tblGrid>
        <w:gridCol w:w="2523"/>
        <w:gridCol w:w="6829"/>
      </w:tblGrid>
      <w:tr w:rsidR="002108B2" w:rsidRPr="00AF1814" w14:paraId="3EE9940B" w14:textId="77777777" w:rsidTr="008121BE">
        <w:trPr>
          <w:trHeight w:val="448"/>
        </w:trPr>
        <w:tc>
          <w:tcPr>
            <w:tcW w:w="1349" w:type="pct"/>
            <w:tcBorders>
              <w:top w:val="single" w:sz="4" w:space="0" w:color="auto"/>
              <w:left w:val="single" w:sz="4" w:space="0" w:color="auto"/>
              <w:bottom w:val="single" w:sz="4" w:space="0" w:color="auto"/>
              <w:right w:val="single" w:sz="4" w:space="0" w:color="auto"/>
            </w:tcBorders>
            <w:hideMark/>
          </w:tcPr>
          <w:p w14:paraId="6BE9F9A2" w14:textId="77777777" w:rsidR="00F3325E" w:rsidRPr="00AF1814" w:rsidRDefault="00DA3174" w:rsidP="007448F5">
            <w:pPr>
              <w:pStyle w:val="Tableheading"/>
              <w:rPr>
                <w:color w:val="000000" w:themeColor="text1"/>
              </w:rPr>
            </w:pPr>
            <w:r w:rsidRPr="00AF1814">
              <w:rPr>
                <w:color w:val="000000" w:themeColor="text1"/>
              </w:rPr>
              <w:t>Endpoint</w:t>
            </w:r>
          </w:p>
        </w:tc>
        <w:tc>
          <w:tcPr>
            <w:tcW w:w="3651" w:type="pct"/>
            <w:tcBorders>
              <w:top w:val="single" w:sz="4" w:space="0" w:color="auto"/>
              <w:left w:val="single" w:sz="4" w:space="0" w:color="auto"/>
              <w:bottom w:val="single" w:sz="4" w:space="0" w:color="auto"/>
              <w:right w:val="single" w:sz="4" w:space="0" w:color="auto"/>
            </w:tcBorders>
            <w:hideMark/>
          </w:tcPr>
          <w:p w14:paraId="0A1ABDA2" w14:textId="77777777" w:rsidR="00F3325E" w:rsidRPr="00AF1814" w:rsidRDefault="00DA3174" w:rsidP="007448F5">
            <w:pPr>
              <w:pStyle w:val="Tableheading"/>
              <w:rPr>
                <w:color w:val="000000" w:themeColor="text1"/>
              </w:rPr>
            </w:pPr>
            <w:r w:rsidRPr="00AF1814">
              <w:rPr>
                <w:color w:val="000000" w:themeColor="text1"/>
              </w:rPr>
              <w:t>Statistical Analysis Methods</w:t>
            </w:r>
          </w:p>
        </w:tc>
      </w:tr>
      <w:tr w:rsidR="002108B2" w:rsidRPr="00AF1814" w14:paraId="586A6C21" w14:textId="77777777" w:rsidTr="008121BE">
        <w:tc>
          <w:tcPr>
            <w:tcW w:w="5000" w:type="pct"/>
            <w:gridSpan w:val="2"/>
            <w:tcBorders>
              <w:top w:val="single" w:sz="4" w:space="0" w:color="auto"/>
              <w:left w:val="single" w:sz="4" w:space="0" w:color="auto"/>
              <w:bottom w:val="single" w:sz="4" w:space="0" w:color="auto"/>
              <w:right w:val="single" w:sz="4" w:space="0" w:color="auto"/>
            </w:tcBorders>
          </w:tcPr>
          <w:p w14:paraId="21E13992" w14:textId="77777777" w:rsidR="00F3325E" w:rsidRPr="00AF1814" w:rsidRDefault="00DA3174" w:rsidP="007448F5">
            <w:pPr>
              <w:pStyle w:val="Tabletext"/>
              <w:keepNext/>
              <w:jc w:val="center"/>
              <w:rPr>
                <w:b/>
                <w:color w:val="000000" w:themeColor="text1"/>
              </w:rPr>
            </w:pPr>
            <w:r w:rsidRPr="00AF1814">
              <w:rPr>
                <w:b/>
                <w:color w:val="000000" w:themeColor="text1"/>
              </w:rPr>
              <w:t>Primary</w:t>
            </w:r>
          </w:p>
        </w:tc>
      </w:tr>
      <w:tr w:rsidR="002108B2" w:rsidRPr="00AF1814" w14:paraId="53584002" w14:textId="77777777" w:rsidTr="008121BE">
        <w:tc>
          <w:tcPr>
            <w:tcW w:w="1349" w:type="pct"/>
            <w:tcBorders>
              <w:top w:val="single" w:sz="4" w:space="0" w:color="auto"/>
              <w:left w:val="single" w:sz="4" w:space="0" w:color="auto"/>
              <w:bottom w:val="single" w:sz="4" w:space="0" w:color="auto"/>
              <w:right w:val="single" w:sz="4" w:space="0" w:color="auto"/>
            </w:tcBorders>
            <w:hideMark/>
          </w:tcPr>
          <w:p w14:paraId="05C322E1" w14:textId="77777777" w:rsidR="00F3325E" w:rsidRPr="00AF1814" w:rsidRDefault="00DA3174" w:rsidP="007448F5">
            <w:pPr>
              <w:pStyle w:val="Tabletext"/>
              <w:keepNext/>
              <w:numPr>
                <w:ilvl w:val="0"/>
                <w:numId w:val="17"/>
              </w:numPr>
              <w:ind w:left="159" w:hanging="159"/>
              <w:rPr>
                <w:color w:val="000000" w:themeColor="text1"/>
              </w:rPr>
            </w:pPr>
            <w:r w:rsidRPr="00AF1814">
              <w:rPr>
                <w:color w:val="000000" w:themeColor="text1"/>
              </w:rPr>
              <w:t>Occurrence of DLTs</w:t>
            </w:r>
          </w:p>
          <w:p w14:paraId="2A1DD301" w14:textId="77777777" w:rsidR="00F3325E" w:rsidRPr="00AF1814" w:rsidRDefault="00DA3174" w:rsidP="007448F5">
            <w:pPr>
              <w:pStyle w:val="Tablelist"/>
              <w:keepNext/>
              <w:numPr>
                <w:ilvl w:val="0"/>
                <w:numId w:val="17"/>
              </w:numPr>
              <w:ind w:left="159" w:hanging="159"/>
              <w:rPr>
                <w:color w:val="000000" w:themeColor="text1"/>
              </w:rPr>
            </w:pPr>
            <w:r w:rsidRPr="00AF1814">
              <w:rPr>
                <w:color w:val="000000" w:themeColor="text1"/>
              </w:rPr>
              <w:t>AEs</w:t>
            </w:r>
          </w:p>
        </w:tc>
        <w:tc>
          <w:tcPr>
            <w:tcW w:w="3651" w:type="pct"/>
            <w:tcBorders>
              <w:top w:val="single" w:sz="4" w:space="0" w:color="auto"/>
              <w:left w:val="single" w:sz="4" w:space="0" w:color="auto"/>
              <w:bottom w:val="single" w:sz="4" w:space="0" w:color="auto"/>
              <w:right w:val="single" w:sz="4" w:space="0" w:color="auto"/>
            </w:tcBorders>
          </w:tcPr>
          <w:p w14:paraId="553488DB" w14:textId="77777777" w:rsidR="00F3325E" w:rsidRPr="00AF1814" w:rsidRDefault="00DA3174" w:rsidP="007448F5">
            <w:pPr>
              <w:pStyle w:val="Tabletext"/>
              <w:keepNext/>
            </w:pPr>
            <w:r w:rsidRPr="00AF1814">
              <w:t xml:space="preserve">Count and rate of DLT per cohort will be presented with 95% Clopper-Pearson </w:t>
            </w:r>
            <w:r w:rsidR="000B543C" w:rsidRPr="00AF1814">
              <w:t>CI</w:t>
            </w:r>
            <w:r w:rsidRPr="00AF1814">
              <w:t xml:space="preserve"> in the DLT analysis set.</w:t>
            </w:r>
          </w:p>
          <w:p w14:paraId="5B731BF0" w14:textId="0A1FAC71" w:rsidR="00F3325E" w:rsidRPr="00AF1814" w:rsidRDefault="00DA3174" w:rsidP="007448F5">
            <w:pPr>
              <w:pStyle w:val="TableText0"/>
              <w:keepNext/>
              <w:keepLines/>
              <w:rPr>
                <w:rFonts w:ascii="Arial" w:eastAsiaTheme="minorHAnsi" w:hAnsi="Arial" w:cs="Arial"/>
                <w:sz w:val="18"/>
                <w:szCs w:val="18"/>
                <w:lang w:val="en-US"/>
              </w:rPr>
            </w:pPr>
            <w:r w:rsidRPr="00AF1814">
              <w:rPr>
                <w:rFonts w:ascii="Arial" w:eastAsiaTheme="minorHAnsi" w:hAnsi="Arial" w:cs="Arial"/>
                <w:sz w:val="18"/>
                <w:szCs w:val="18"/>
                <w:lang w:val="en-US"/>
              </w:rPr>
              <w:t>The Safety Analysis will include all safety analysis reporting outcomes</w:t>
            </w:r>
            <w:r w:rsidR="00D60F81" w:rsidRPr="00AF1814">
              <w:rPr>
                <w:rFonts w:ascii="Arial" w:eastAsiaTheme="minorHAnsi" w:hAnsi="Arial" w:cs="Arial"/>
                <w:sz w:val="18"/>
                <w:szCs w:val="18"/>
                <w:lang w:val="en-US"/>
              </w:rPr>
              <w:t>,</w:t>
            </w:r>
            <w:r w:rsidRPr="00AF1814">
              <w:rPr>
                <w:rFonts w:ascii="Arial" w:eastAsiaTheme="minorHAnsi" w:hAnsi="Arial" w:cs="Arial"/>
                <w:sz w:val="18"/>
                <w:szCs w:val="18"/>
                <w:lang w:val="en-US"/>
              </w:rPr>
              <w:t xml:space="preserve"> e.g.</w:t>
            </w:r>
            <w:r w:rsidR="008A0A7D" w:rsidRPr="00AF1814">
              <w:rPr>
                <w:rFonts w:ascii="Arial" w:eastAsiaTheme="minorHAnsi" w:hAnsi="Arial" w:cs="Arial"/>
                <w:sz w:val="18"/>
                <w:szCs w:val="18"/>
                <w:lang w:val="en-US"/>
              </w:rPr>
              <w:t>,</w:t>
            </w:r>
            <w:r w:rsidRPr="00AF1814">
              <w:rPr>
                <w:rFonts w:ascii="Arial" w:eastAsiaTheme="minorHAnsi" w:hAnsi="Arial" w:cs="Arial"/>
                <w:sz w:val="18"/>
                <w:szCs w:val="18"/>
                <w:lang w:val="en-US"/>
              </w:rPr>
              <w:t xml:space="preserve"> </w:t>
            </w:r>
            <w:r w:rsidR="00922578" w:rsidRPr="00AF1814">
              <w:rPr>
                <w:rFonts w:ascii="Arial" w:eastAsiaTheme="minorHAnsi" w:hAnsi="Arial" w:cs="Arial"/>
                <w:sz w:val="18"/>
                <w:szCs w:val="18"/>
                <w:lang w:val="en-US"/>
              </w:rPr>
              <w:t>AE</w:t>
            </w:r>
            <w:r w:rsidRPr="00AF1814">
              <w:rPr>
                <w:rFonts w:ascii="Arial" w:eastAsiaTheme="minorHAnsi" w:hAnsi="Arial" w:cs="Arial"/>
                <w:sz w:val="18"/>
                <w:szCs w:val="18"/>
                <w:lang w:val="en-US"/>
              </w:rPr>
              <w:t>s, AESIs and laboratory tests outcomes.</w:t>
            </w:r>
          </w:p>
          <w:p w14:paraId="6A03B2FB" w14:textId="77777777" w:rsidR="00F3325E" w:rsidRPr="00AF1814" w:rsidRDefault="00DA3174" w:rsidP="007448F5">
            <w:pPr>
              <w:keepNext/>
              <w:keepLines/>
              <w:autoSpaceDE w:val="0"/>
              <w:autoSpaceDN w:val="0"/>
              <w:adjustRightInd w:val="0"/>
              <w:spacing w:before="0"/>
              <w:jc w:val="left"/>
              <w:rPr>
                <w:rFonts w:ascii="Arial" w:eastAsiaTheme="minorHAnsi" w:hAnsi="Arial" w:cs="Arial"/>
                <w:sz w:val="18"/>
                <w:szCs w:val="18"/>
              </w:rPr>
            </w:pPr>
            <w:r w:rsidRPr="00AF1814">
              <w:rPr>
                <w:rFonts w:ascii="Arial" w:hAnsi="Arial" w:cs="Arial"/>
                <w:sz w:val="18"/>
                <w:szCs w:val="18"/>
                <w:lang w:eastAsia="ja-JP"/>
              </w:rPr>
              <w:t>The safety endpoints will be tabulated using descriptive statistics</w:t>
            </w:r>
            <w:r w:rsidR="009977EF" w:rsidRPr="00AF1814">
              <w:rPr>
                <w:rFonts w:ascii="Arial" w:hAnsi="Arial" w:cs="Arial"/>
                <w:sz w:val="18"/>
                <w:szCs w:val="18"/>
                <w:lang w:eastAsia="ja-JP"/>
              </w:rPr>
              <w:t xml:space="preserve"> including:</w:t>
            </w:r>
          </w:p>
          <w:p w14:paraId="2AF63D7F" w14:textId="77777777" w:rsidR="00F3325E" w:rsidRPr="00AF1814" w:rsidRDefault="00DA3174" w:rsidP="007448F5">
            <w:pPr>
              <w:pStyle w:val="Tablelist"/>
              <w:keepNext/>
            </w:pPr>
            <w:r w:rsidRPr="00AF1814">
              <w:t>The incidence of TEAEs, SAEs, treatment-related AEs, and AESIs, irAEs will be summarized by Preferred Term and System Organ Class for each treatment cohort and will be described in terms of severity and relationship to treatment.</w:t>
            </w:r>
          </w:p>
          <w:p w14:paraId="43A203B5" w14:textId="77777777" w:rsidR="00F3325E" w:rsidRPr="00AF1814" w:rsidRDefault="00DA3174" w:rsidP="007448F5">
            <w:pPr>
              <w:pStyle w:val="Tablelist"/>
              <w:keepNext/>
            </w:pPr>
            <w:r w:rsidRPr="00AF1814">
              <w:t>The worst on-treatment grades for chemistry and hematology laboratory results will be summarized.</w:t>
            </w:r>
          </w:p>
          <w:p w14:paraId="3975170A" w14:textId="77777777" w:rsidR="00F3325E" w:rsidRPr="00AF1814" w:rsidRDefault="00DA3174" w:rsidP="007448F5">
            <w:pPr>
              <w:pStyle w:val="Tablelist"/>
              <w:keepNext/>
            </w:pPr>
            <w:r w:rsidRPr="00AF1814">
              <w:t xml:space="preserve">Shifts in toxicity grading from Baseline to highest grade during the on-treatment period will be displayed. </w:t>
            </w:r>
          </w:p>
          <w:p w14:paraId="5C019DC4" w14:textId="77777777" w:rsidR="00F3325E" w:rsidRPr="00AF1814" w:rsidRDefault="00DA3174" w:rsidP="007448F5">
            <w:pPr>
              <w:pStyle w:val="Tablelist"/>
              <w:keepNext/>
            </w:pPr>
            <w:r w:rsidRPr="00AF1814">
              <w:t xml:space="preserve">For laboratory tests without an NCI-CTCAE grade definition results will be presented categorically (e.g., below, within, or above normal limits). </w:t>
            </w:r>
          </w:p>
          <w:p w14:paraId="450E5ED1" w14:textId="77777777" w:rsidR="00F3325E" w:rsidRPr="00AF1814" w:rsidRDefault="00DA3174" w:rsidP="007448F5">
            <w:pPr>
              <w:pStyle w:val="Tabletext"/>
              <w:keepNext/>
            </w:pPr>
            <w:r w:rsidRPr="00AF1814">
              <w:t>Further details of safety analyses (including AEs, clinical laboratory assessments, vital signs, physical examination, ECG parameters, and ECOG PS) will be provided in the IAP.</w:t>
            </w:r>
          </w:p>
        </w:tc>
      </w:tr>
      <w:tr w:rsidR="002108B2" w:rsidRPr="00AF1814" w14:paraId="38966BAE" w14:textId="77777777" w:rsidTr="008121BE">
        <w:tc>
          <w:tcPr>
            <w:tcW w:w="5000" w:type="pct"/>
            <w:gridSpan w:val="2"/>
            <w:tcBorders>
              <w:top w:val="single" w:sz="4" w:space="0" w:color="auto"/>
              <w:left w:val="single" w:sz="4" w:space="0" w:color="auto"/>
              <w:bottom w:val="single" w:sz="4" w:space="0" w:color="auto"/>
              <w:right w:val="single" w:sz="4" w:space="0" w:color="auto"/>
            </w:tcBorders>
          </w:tcPr>
          <w:p w14:paraId="7B9C5C86" w14:textId="77777777" w:rsidR="00F3325E" w:rsidRPr="00AF1814" w:rsidRDefault="00DA3174" w:rsidP="008121BE">
            <w:pPr>
              <w:pStyle w:val="Tablefootnote"/>
              <w:rPr>
                <w:color w:val="000000" w:themeColor="text1"/>
              </w:rPr>
            </w:pPr>
            <w:r w:rsidRPr="00AF1814">
              <w:rPr>
                <w:color w:val="000000" w:themeColor="text1"/>
              </w:rPr>
              <w:t>AE=adverse event</w:t>
            </w:r>
            <w:r w:rsidR="008A0A7D" w:rsidRPr="00AF1814">
              <w:rPr>
                <w:color w:val="000000" w:themeColor="text1"/>
              </w:rPr>
              <w:t>,</w:t>
            </w:r>
            <w:r w:rsidRPr="00AF1814">
              <w:rPr>
                <w:color w:val="000000" w:themeColor="text1"/>
              </w:rPr>
              <w:t xml:space="preserve"> AESIs=adverse events of special interest</w:t>
            </w:r>
            <w:r w:rsidR="008A0A7D" w:rsidRPr="00AF1814">
              <w:rPr>
                <w:color w:val="000000" w:themeColor="text1"/>
              </w:rPr>
              <w:t>,</w:t>
            </w:r>
            <w:r w:rsidRPr="00AF1814">
              <w:rPr>
                <w:color w:val="000000" w:themeColor="text1"/>
              </w:rPr>
              <w:t xml:space="preserve"> </w:t>
            </w:r>
            <w:r w:rsidR="000B543C" w:rsidRPr="00AF1814">
              <w:rPr>
                <w:color w:val="000000" w:themeColor="text1"/>
                <w:lang w:eastAsia="ja-JP"/>
              </w:rPr>
              <w:t>CI=</w:t>
            </w:r>
            <w:r w:rsidR="000B543C" w:rsidRPr="00AF1814">
              <w:t>confidence interval</w:t>
            </w:r>
            <w:r w:rsidR="008A0A7D" w:rsidRPr="00AF1814">
              <w:t>,</w:t>
            </w:r>
            <w:r w:rsidR="000B543C" w:rsidRPr="00AF1814">
              <w:t xml:space="preserve"> </w:t>
            </w:r>
            <w:r w:rsidRPr="00AF1814">
              <w:rPr>
                <w:color w:val="000000" w:themeColor="text1"/>
              </w:rPr>
              <w:t>DLT=dose-limiting toxicity</w:t>
            </w:r>
            <w:r w:rsidR="008A0A7D" w:rsidRPr="00AF1814">
              <w:rPr>
                <w:color w:val="000000" w:themeColor="text1"/>
              </w:rPr>
              <w:t>, ECO</w:t>
            </w:r>
            <w:r w:rsidR="0057273C" w:rsidRPr="00AF1814">
              <w:rPr>
                <w:color w:val="000000" w:themeColor="text1"/>
              </w:rPr>
              <w:t>G</w:t>
            </w:r>
            <w:r w:rsidR="008A0A7D" w:rsidRPr="00AF1814">
              <w:rPr>
                <w:color w:val="000000" w:themeColor="text1"/>
              </w:rPr>
              <w:t xml:space="preserve"> PS=</w:t>
            </w:r>
            <w:r w:rsidR="008A0A7D" w:rsidRPr="00AF1814">
              <w:t xml:space="preserve"> </w:t>
            </w:r>
            <w:r w:rsidR="008A0A7D" w:rsidRPr="00AF1814">
              <w:rPr>
                <w:color w:val="000000" w:themeColor="text1"/>
              </w:rPr>
              <w:t>Eastern Cooperative Oncology Group Performance Status, ECG=</w:t>
            </w:r>
            <w:r w:rsidR="00020234" w:rsidRPr="00AF1814">
              <w:rPr>
                <w:color w:val="000000" w:themeColor="text1"/>
              </w:rPr>
              <w:t>electrocardiogram</w:t>
            </w:r>
            <w:r w:rsidR="008A0A7D" w:rsidRPr="00AF1814">
              <w:rPr>
                <w:color w:val="000000" w:themeColor="text1"/>
              </w:rPr>
              <w:t xml:space="preserve">, </w:t>
            </w:r>
            <w:r w:rsidRPr="00AF1814">
              <w:rPr>
                <w:color w:val="000000" w:themeColor="text1"/>
              </w:rPr>
              <w:t>IAP=Integrated Analysis Plan</w:t>
            </w:r>
            <w:r w:rsidR="008A0A7D" w:rsidRPr="00AF1814">
              <w:rPr>
                <w:color w:val="000000" w:themeColor="text1"/>
              </w:rPr>
              <w:t>,</w:t>
            </w:r>
            <w:r w:rsidRPr="00AF1814">
              <w:rPr>
                <w:color w:val="000000" w:themeColor="text1"/>
              </w:rPr>
              <w:t xml:space="preserve"> </w:t>
            </w:r>
            <w:r w:rsidR="008A0A7D" w:rsidRPr="00AF1814">
              <w:rPr>
                <w:color w:val="000000" w:themeColor="text1"/>
              </w:rPr>
              <w:t>irAE=</w:t>
            </w:r>
            <w:r w:rsidR="008A0A7D" w:rsidRPr="00AF1814">
              <w:t>i</w:t>
            </w:r>
            <w:r w:rsidR="008A0A7D" w:rsidRPr="00AF1814">
              <w:rPr>
                <w:color w:val="000000" w:themeColor="text1"/>
              </w:rPr>
              <w:t>mmune-related AE, NCI</w:t>
            </w:r>
            <w:r w:rsidR="008A0A7D" w:rsidRPr="00AF1814">
              <w:rPr>
                <w:color w:val="000000" w:themeColor="text1"/>
              </w:rPr>
              <w:noBreakHyphen/>
              <w:t xml:space="preserve">CTCAE=National Cancer Institute-Common Terminology Criteria for Adverse Events, SAE=serious adverse event, </w:t>
            </w:r>
            <w:r w:rsidRPr="00AF1814">
              <w:rPr>
                <w:color w:val="000000" w:themeColor="text1"/>
              </w:rPr>
              <w:t>TEAE=treatment-emergent adverse event.</w:t>
            </w:r>
          </w:p>
        </w:tc>
      </w:tr>
    </w:tbl>
    <w:p w14:paraId="7DADB45F" w14:textId="77777777" w:rsidR="005E1E9B" w:rsidRPr="00AF1814" w:rsidRDefault="00DA3174" w:rsidP="00303B24">
      <w:pPr>
        <w:pStyle w:val="Heading3"/>
      </w:pPr>
      <w:bookmarkStart w:id="360" w:name="_Toc44601730"/>
      <w:r w:rsidRPr="00AF1814">
        <w:lastRenderedPageBreak/>
        <w:t>Other Analyses</w:t>
      </w:r>
      <w:bookmarkEnd w:id="360"/>
    </w:p>
    <w:p w14:paraId="0BED8944" w14:textId="77777777" w:rsidR="006B78CB" w:rsidRPr="00AF1814" w:rsidRDefault="00DA3174" w:rsidP="006B78CB">
      <w:pPr>
        <w:pStyle w:val="BodyText"/>
        <w:rPr>
          <w:b/>
          <w:u w:val="single"/>
        </w:rPr>
      </w:pPr>
      <w:r w:rsidRPr="00AF1814">
        <w:rPr>
          <w:b/>
          <w:u w:val="single"/>
        </w:rPr>
        <w:t>Subgroup Analysis of Efficacy</w:t>
      </w:r>
    </w:p>
    <w:p w14:paraId="32B7A6C8" w14:textId="77777777" w:rsidR="006B78CB" w:rsidRPr="00AF1814" w:rsidRDefault="00DA3174" w:rsidP="006B78CB">
      <w:pPr>
        <w:pStyle w:val="BodyText"/>
      </w:pPr>
      <w:r w:rsidRPr="00AF1814">
        <w:t xml:space="preserve">Analysis of efficacy variables may be performed on subgroups of interest as needed. The detailed subgroups will be outlined in the IAP. </w:t>
      </w:r>
    </w:p>
    <w:p w14:paraId="4A861F85" w14:textId="77777777" w:rsidR="006B78CB" w:rsidRPr="00AF1814" w:rsidRDefault="00DA3174" w:rsidP="006B78CB">
      <w:pPr>
        <w:pStyle w:val="BodyText"/>
        <w:rPr>
          <w:b/>
          <w:u w:val="single"/>
        </w:rPr>
      </w:pPr>
      <w:r w:rsidRPr="00AF1814">
        <w:rPr>
          <w:b/>
          <w:u w:val="single"/>
        </w:rPr>
        <w:t xml:space="preserve">PK and </w:t>
      </w:r>
      <w:r w:rsidRPr="00AF1814">
        <w:rPr>
          <w:rFonts w:eastAsia="MS Mincho"/>
          <w:b/>
          <w:u w:val="single"/>
          <w:lang w:eastAsia="ja-JP"/>
        </w:rPr>
        <w:t>Immunogenicity Analyses</w:t>
      </w:r>
    </w:p>
    <w:p w14:paraId="16741B7E" w14:textId="2143ED88" w:rsidR="006B78CB" w:rsidRPr="00E44F28" w:rsidRDefault="00DA3174" w:rsidP="006B78CB">
      <w:pPr>
        <w:pStyle w:val="BodyText"/>
        <w:rPr>
          <w:rFonts w:eastAsia="MS Mincho"/>
          <w:lang w:eastAsia="ja-JP"/>
        </w:rPr>
      </w:pPr>
      <w:r w:rsidRPr="00AF1814">
        <w:rPr>
          <w:rFonts w:eastAsia="MS Mincho"/>
          <w:lang w:eastAsia="ja-JP"/>
        </w:rPr>
        <w:t xml:space="preserve">Samples for PK and ADA assessments will be collected as per the Schedule of Activities (see </w:t>
      </w:r>
      <w:r w:rsidR="00BC4591" w:rsidRPr="00E44F28">
        <w:rPr>
          <w:rFonts w:eastAsia="MS Mincho"/>
          <w:lang w:eastAsia="ja-JP"/>
        </w:rPr>
        <w:t xml:space="preserve">Section </w:t>
      </w:r>
      <w:r w:rsidR="00BC4591" w:rsidRPr="00E44F28">
        <w:fldChar w:fldCharType="begin"/>
      </w:r>
      <w:r w:rsidR="00BC4591" w:rsidRPr="00E44F28">
        <w:instrText xml:space="preserve"> REF _Ref33108761 \w \h </w:instrText>
      </w:r>
      <w:r w:rsidR="00420433" w:rsidRPr="00E44F28">
        <w:instrText xml:space="preserve"> \* MERGEFORMAT </w:instrText>
      </w:r>
      <w:r w:rsidR="00BC4591" w:rsidRPr="00E44F28">
        <w:fldChar w:fldCharType="separate"/>
      </w:r>
      <w:r w:rsidR="00C548C3" w:rsidRPr="00E44F28">
        <w:t>1.3</w:t>
      </w:r>
      <w:r w:rsidR="00BC4591" w:rsidRPr="00E44F28">
        <w:fldChar w:fldCharType="end"/>
      </w:r>
      <w:r w:rsidRPr="00E44F28">
        <w:rPr>
          <w:rFonts w:eastAsia="MS Mincho"/>
          <w:lang w:eastAsia="ja-JP"/>
        </w:rPr>
        <w:t xml:space="preserve">). </w:t>
      </w:r>
    </w:p>
    <w:p w14:paraId="7F4F7302" w14:textId="7A4A5CCD" w:rsidR="006B78CB" w:rsidRPr="00E44F28" w:rsidRDefault="00DA3174" w:rsidP="006B78CB">
      <w:pPr>
        <w:pStyle w:val="BodyText"/>
      </w:pPr>
      <w:r w:rsidRPr="00E44F28">
        <w:t xml:space="preserve">Serum concentrations of </w:t>
      </w:r>
      <w:r w:rsidRPr="00E44F28">
        <w:rPr>
          <w:rFonts w:eastAsia="Calibri"/>
        </w:rPr>
        <w:t>bintrafusp alfa</w:t>
      </w:r>
      <w:r w:rsidRPr="00E44F28">
        <w:t xml:space="preserve"> will be determined by a validated method at the times listed in the Schedule of Activities (see </w:t>
      </w:r>
      <w:r w:rsidR="00BC4591" w:rsidRPr="00E44F28">
        <w:t xml:space="preserve">Section </w:t>
      </w:r>
      <w:r w:rsidR="00BC4591" w:rsidRPr="00E44F28">
        <w:fldChar w:fldCharType="begin"/>
      </w:r>
      <w:r w:rsidR="00BC4591" w:rsidRPr="00E44F28">
        <w:instrText xml:space="preserve"> REF _Ref33108761 \w \h </w:instrText>
      </w:r>
      <w:r w:rsidR="00AF1814" w:rsidRPr="00E44F28">
        <w:instrText xml:space="preserve"> \* MERGEFORMAT </w:instrText>
      </w:r>
      <w:r w:rsidR="00BC4591" w:rsidRPr="00E44F28">
        <w:fldChar w:fldCharType="separate"/>
      </w:r>
      <w:r w:rsidR="00C548C3" w:rsidRPr="00E44F28">
        <w:t>1.3</w:t>
      </w:r>
      <w:r w:rsidR="00BC4591" w:rsidRPr="00E44F28">
        <w:fldChar w:fldCharType="end"/>
      </w:r>
      <w:r w:rsidR="00F502D6" w:rsidRPr="00E44F28">
        <w:t>).</w:t>
      </w:r>
    </w:p>
    <w:p w14:paraId="25FC0372" w14:textId="77777777" w:rsidR="006B78CB" w:rsidRPr="00AF1814" w:rsidRDefault="00DA3174" w:rsidP="00D733E2">
      <w:pPr>
        <w:pStyle w:val="List1withoutbullet"/>
        <w:tabs>
          <w:tab w:val="clear" w:pos="284"/>
          <w:tab w:val="left" w:pos="0"/>
        </w:tabs>
        <w:ind w:left="0"/>
      </w:pPr>
      <w:bookmarkStart w:id="361" w:name="_Hlk29388780"/>
      <w:r w:rsidRPr="00E44F28">
        <w:t xml:space="preserve">Details on the </w:t>
      </w:r>
      <w:r w:rsidR="00B62895" w:rsidRPr="00E44F28">
        <w:t>PK, immunogenicity and exploratory</w:t>
      </w:r>
      <w:r w:rsidR="00010AEE" w:rsidRPr="00E44F28">
        <w:t xml:space="preserve"> </w:t>
      </w:r>
      <w:r w:rsidR="00010AEE" w:rsidRPr="00AF1814">
        <w:t>biomarker</w:t>
      </w:r>
      <w:r w:rsidR="00B62895" w:rsidRPr="00AF1814">
        <w:t xml:space="preserve"> analyses will </w:t>
      </w:r>
      <w:r w:rsidR="007776C1" w:rsidRPr="00AF1814">
        <w:t xml:space="preserve">be </w:t>
      </w:r>
      <w:r w:rsidR="00B62895" w:rsidRPr="00AF1814">
        <w:t>in the IAP</w:t>
      </w:r>
      <w:r w:rsidRPr="00AF1814">
        <w:t xml:space="preserve"> that will be</w:t>
      </w:r>
      <w:r w:rsidR="00B62895" w:rsidRPr="00AF1814">
        <w:t xml:space="preserve"> finalized before database lock. Integrated analyses across studies, such as the population PK analysis and pharmacodynamic analyses will be presented separately from the main CSR.</w:t>
      </w:r>
      <w:r w:rsidR="00D733E2" w:rsidRPr="00AF1814">
        <w:t xml:space="preserve"> </w:t>
      </w:r>
      <w:r w:rsidR="00B62895" w:rsidRPr="00AF1814">
        <w:t xml:space="preserve">The </w:t>
      </w:r>
      <w:r w:rsidR="006F6C11" w:rsidRPr="00AF1814">
        <w:t xml:space="preserve">population pharmacokinetic </w:t>
      </w:r>
      <w:r w:rsidR="00B62895" w:rsidRPr="00AF1814">
        <w:t xml:space="preserve">analysis and exposure-response may be performed using combined data from several </w:t>
      </w:r>
      <w:r w:rsidR="00B62895" w:rsidRPr="00AF1814">
        <w:rPr>
          <w:rFonts w:eastAsia="Calibri"/>
        </w:rPr>
        <w:t>bintrafusp alfa</w:t>
      </w:r>
      <w:r w:rsidR="00B62895" w:rsidRPr="00AF1814">
        <w:t xml:space="preserve"> clinical studies and will be specified in a separate IAP. </w:t>
      </w:r>
    </w:p>
    <w:bookmarkEnd w:id="361"/>
    <w:p w14:paraId="501CFFA9" w14:textId="77777777" w:rsidR="006B78CB" w:rsidRPr="00AF1814" w:rsidRDefault="00DA3174" w:rsidP="006B78CB">
      <w:pPr>
        <w:pStyle w:val="BodyText"/>
      </w:pPr>
      <w:r w:rsidRPr="00AF1814">
        <w:t>Analyses of PK endpoints will be specified in the IAP finalized before database lock.</w:t>
      </w:r>
    </w:p>
    <w:p w14:paraId="0388C8AB" w14:textId="77777777" w:rsidR="006B78CB" w:rsidRPr="00AF1814" w:rsidRDefault="00DA3174" w:rsidP="006B78CB">
      <w:pPr>
        <w:pStyle w:val="BodyText"/>
        <w:rPr>
          <w:rFonts w:eastAsia="MS Mincho"/>
          <w:lang w:eastAsia="ja-JP"/>
        </w:rPr>
      </w:pPr>
      <w:r w:rsidRPr="00AF1814">
        <w:rPr>
          <w:rFonts w:eastAsia="MS Mincho"/>
          <w:lang w:eastAsia="ja-JP"/>
        </w:rPr>
        <w:t>The immunogenicity testing strategy is in accordance with current regulatory guidance documents and industry best practices.</w:t>
      </w:r>
    </w:p>
    <w:p w14:paraId="31870C88" w14:textId="77777777" w:rsidR="006B78CB" w:rsidRPr="00AF1814" w:rsidRDefault="00DA3174" w:rsidP="006B78CB">
      <w:pPr>
        <w:pStyle w:val="BodyText"/>
      </w:pPr>
      <w:r w:rsidRPr="00AF1814">
        <w:t>A validated method to detect ADAs in the presence of drug in human serum will be applied. The ADA titers of positive samples will be determined. Positive samples may be further evaluated for neutralizing capability. Individual participants will be categorized across all valid ADA results as ever</w:t>
      </w:r>
      <w:r w:rsidR="00420433" w:rsidRPr="00AF1814">
        <w:noBreakHyphen/>
      </w:r>
      <w:r w:rsidRPr="00AF1814">
        <w:t>positive versus never</w:t>
      </w:r>
      <w:r w:rsidR="00420433" w:rsidRPr="00AF1814">
        <w:noBreakHyphen/>
      </w:r>
      <w:r w:rsidRPr="00AF1814">
        <w:t>positive. ADA ever</w:t>
      </w:r>
      <w:r w:rsidRPr="00AF1814">
        <w:noBreakHyphen/>
        <w:t>positive participants will be further categorized as pre-existing, including treatment boosted, versus treatment</w:t>
      </w:r>
      <w:r w:rsidR="00420433" w:rsidRPr="00AF1814">
        <w:noBreakHyphen/>
      </w:r>
      <w:r w:rsidRPr="00AF1814">
        <w:t>emergent. ADA treatment-emergent participants will be further subdivided into transient positive and persistent positive.</w:t>
      </w:r>
    </w:p>
    <w:p w14:paraId="24F89107" w14:textId="77777777" w:rsidR="006B78CB" w:rsidRPr="00AF1814" w:rsidRDefault="00DA3174" w:rsidP="006B78CB">
      <w:pPr>
        <w:pStyle w:val="BodyText"/>
      </w:pPr>
      <w:r w:rsidRPr="00AF1814">
        <w:t>Listings of drug concentration, TEAEs, and efficacy measures may be prepared for ADA ever</w:t>
      </w:r>
      <w:r w:rsidRPr="00AF1814">
        <w:noBreakHyphen/>
        <w:t xml:space="preserve">positive </w:t>
      </w:r>
      <w:r w:rsidR="008D79C2" w:rsidRPr="00AF1814">
        <w:t xml:space="preserve">and/or nAb positive </w:t>
      </w:r>
      <w:r w:rsidRPr="00AF1814">
        <w:t xml:space="preserve">participants. </w:t>
      </w:r>
    </w:p>
    <w:p w14:paraId="6EE0884A" w14:textId="77777777" w:rsidR="005E1E9B" w:rsidRPr="00AF1814" w:rsidRDefault="00DA3174" w:rsidP="00303B24">
      <w:pPr>
        <w:pStyle w:val="Heading3"/>
      </w:pPr>
      <w:bookmarkStart w:id="362" w:name="_Toc44601731"/>
      <w:r w:rsidRPr="00AF1814">
        <w:t>Sequence of Analyses</w:t>
      </w:r>
      <w:bookmarkEnd w:id="362"/>
    </w:p>
    <w:p w14:paraId="36D97B6A" w14:textId="77777777" w:rsidR="00584E5F" w:rsidRPr="00AF1814" w:rsidRDefault="00DA3174" w:rsidP="00584E5F">
      <w:pPr>
        <w:pStyle w:val="BodyText"/>
        <w:rPr>
          <w:lang w:eastAsia="ja-JP"/>
        </w:rPr>
      </w:pPr>
      <w:r w:rsidRPr="00AF1814">
        <w:rPr>
          <w:lang w:eastAsia="ja-JP"/>
        </w:rPr>
        <w:t xml:space="preserve">More details will be described in the </w:t>
      </w:r>
      <w:r w:rsidR="00420433" w:rsidRPr="00AF1814">
        <w:rPr>
          <w:lang w:eastAsia="ja-JP"/>
        </w:rPr>
        <w:t>IAP</w:t>
      </w:r>
      <w:r w:rsidRPr="00AF1814">
        <w:rPr>
          <w:lang w:eastAsia="ja-JP"/>
        </w:rPr>
        <w:t>.</w:t>
      </w:r>
    </w:p>
    <w:p w14:paraId="50606726" w14:textId="77777777" w:rsidR="00F3325E" w:rsidRPr="00AF1814" w:rsidRDefault="00DA3174" w:rsidP="00F3325E">
      <w:pPr>
        <w:pStyle w:val="BodyText"/>
      </w:pPr>
      <w:r w:rsidRPr="00AF1814">
        <w:t>The following analyses will be performed:</w:t>
      </w:r>
    </w:p>
    <w:p w14:paraId="1D620E40" w14:textId="4CA20D2F" w:rsidR="00F3325E" w:rsidRPr="00AF1814" w:rsidRDefault="00DA3174" w:rsidP="00B731D6">
      <w:pPr>
        <w:pStyle w:val="List1withbullet"/>
      </w:pPr>
      <w:r w:rsidRPr="00AF1814">
        <w:t>The SMC will evaluate DLT in each cohort</w:t>
      </w:r>
      <w:r w:rsidR="00A4665F">
        <w:t xml:space="preserve"> a</w:t>
      </w:r>
      <w:r w:rsidR="00A4665F" w:rsidRPr="00A4665F">
        <w:t>fter the 3</w:t>
      </w:r>
      <w:r w:rsidR="00A4665F" w:rsidRPr="00A4665F">
        <w:rPr>
          <w:vertAlign w:val="superscript"/>
        </w:rPr>
        <w:t>rd</w:t>
      </w:r>
      <w:r w:rsidR="00A4665F" w:rsidRPr="00A4665F">
        <w:t xml:space="preserve"> as well as after the 8</w:t>
      </w:r>
      <w:r w:rsidR="00A4665F" w:rsidRPr="00A4665F">
        <w:rPr>
          <w:vertAlign w:val="superscript"/>
        </w:rPr>
        <w:t>th</w:t>
      </w:r>
      <w:r w:rsidR="00A4665F" w:rsidRPr="00A4665F">
        <w:t xml:space="preserve"> evaluable participant completes the DLT observation period in the respective cohort</w:t>
      </w:r>
      <w:r w:rsidR="00533CB6">
        <w:t>.</w:t>
      </w:r>
    </w:p>
    <w:p w14:paraId="4E940FA3" w14:textId="77777777" w:rsidR="00955572" w:rsidRPr="00AF1814" w:rsidRDefault="00DA3174" w:rsidP="00F126F2">
      <w:pPr>
        <w:pStyle w:val="List1withbullet"/>
      </w:pPr>
      <w:r w:rsidRPr="00AF1814">
        <w:t xml:space="preserve">In the case more participants are included and complete the DLT period as per enrollment, all the participants will continue to be evaluated by the SMC, if required. </w:t>
      </w:r>
      <w:r w:rsidR="00DA034C" w:rsidRPr="00AF1814">
        <w:t xml:space="preserve">The </w:t>
      </w:r>
      <w:r w:rsidRPr="00AF1814">
        <w:t>SMC will evaluate further information on a regular basis to evaluate the safety of the combination in each cohort, details will be available in the SMC charter.</w:t>
      </w:r>
    </w:p>
    <w:p w14:paraId="2128CB4A" w14:textId="77777777" w:rsidR="00F3325E" w:rsidRPr="00AF1814" w:rsidRDefault="00DA3174" w:rsidP="00B731D6">
      <w:pPr>
        <w:pStyle w:val="List1withbullet"/>
      </w:pPr>
      <w:r w:rsidRPr="00AF1814">
        <w:lastRenderedPageBreak/>
        <w:t xml:space="preserve">The main analysis of each cohort will include safety and efficacy assessment and will be conducted </w:t>
      </w:r>
      <w:r w:rsidR="008E6770" w:rsidRPr="00AF1814">
        <w:t xml:space="preserve">at least </w:t>
      </w:r>
      <w:r w:rsidRPr="00AF1814">
        <w:t>12 months after the treatment start in the last recruited participant in the respective cohort.</w:t>
      </w:r>
    </w:p>
    <w:p w14:paraId="350B9F04" w14:textId="77777777" w:rsidR="00F3325E" w:rsidRPr="00AF1814" w:rsidRDefault="00DA3174" w:rsidP="00B731D6">
      <w:pPr>
        <w:pStyle w:val="List1withbullet"/>
      </w:pPr>
      <w:r w:rsidRPr="00AF1814">
        <w:t xml:space="preserve">The final analysis will be conducted after end of study for safety assessment as well as </w:t>
      </w:r>
      <w:r w:rsidR="006F6C11" w:rsidRPr="00AF1814">
        <w:t>progression-free survival</w:t>
      </w:r>
      <w:r w:rsidRPr="00AF1814">
        <w:t xml:space="preserve"> and OS.</w:t>
      </w:r>
    </w:p>
    <w:p w14:paraId="19E01AB9" w14:textId="4386955F" w:rsidR="004F480D" w:rsidRDefault="00DA3174" w:rsidP="00A5555B">
      <w:pPr>
        <w:pStyle w:val="BodyText"/>
        <w:rPr>
          <w:lang w:eastAsia="ja-JP"/>
        </w:rPr>
      </w:pPr>
      <w:bookmarkStart w:id="363" w:name="_Hlk32239870"/>
      <w:r w:rsidRPr="00AF1814">
        <w:t xml:space="preserve">Additional analysis during the study might be conducted, e.g., for publication or decision-making purposes. </w:t>
      </w:r>
      <w:r w:rsidRPr="00AF1814">
        <w:rPr>
          <w:lang w:eastAsia="ja-JP"/>
        </w:rPr>
        <w:t xml:space="preserve">More details will be described in the </w:t>
      </w:r>
      <w:r w:rsidR="00420433" w:rsidRPr="00AF1814">
        <w:rPr>
          <w:lang w:eastAsia="ja-JP"/>
        </w:rPr>
        <w:t>IAP</w:t>
      </w:r>
      <w:r w:rsidRPr="00AF1814">
        <w:rPr>
          <w:lang w:eastAsia="ja-JP"/>
        </w:rPr>
        <w:t>.</w:t>
      </w:r>
    </w:p>
    <w:p w14:paraId="1D1D46B7" w14:textId="77777777" w:rsidR="004F480D" w:rsidRDefault="004F480D" w:rsidP="004F480D">
      <w:pPr>
        <w:pStyle w:val="BodyText"/>
        <w:rPr>
          <w:lang w:eastAsia="ja-JP"/>
        </w:rPr>
      </w:pPr>
      <w:r>
        <w:rPr>
          <w:lang w:eastAsia="ja-JP"/>
        </w:rPr>
        <w:br w:type="page"/>
      </w:r>
    </w:p>
    <w:p w14:paraId="456DDC83" w14:textId="77777777" w:rsidR="005E1E9B" w:rsidRPr="00AF1814" w:rsidRDefault="00DA3174" w:rsidP="004F480D">
      <w:pPr>
        <w:pStyle w:val="Heading1"/>
        <w:keepLines w:val="0"/>
        <w:widowControl w:val="0"/>
        <w:tabs>
          <w:tab w:val="clear" w:pos="4716"/>
          <w:tab w:val="num" w:pos="2016"/>
        </w:tabs>
        <w:ind w:left="2019" w:hanging="2019"/>
      </w:pPr>
      <w:bookmarkStart w:id="364" w:name="_Toc44601732"/>
      <w:bookmarkEnd w:id="363"/>
      <w:r w:rsidRPr="00AF1814">
        <w:lastRenderedPageBreak/>
        <w:t>References</w:t>
      </w:r>
      <w:bookmarkEnd w:id="364"/>
    </w:p>
    <w:p w14:paraId="22B15500" w14:textId="77777777" w:rsidR="00B06C67" w:rsidRPr="00AF1814" w:rsidRDefault="00DA3174" w:rsidP="003250C9">
      <w:pPr>
        <w:pStyle w:val="Heading9"/>
        <w:keepNext/>
        <w:keepLines/>
        <w:widowControl w:val="0"/>
      </w:pPr>
      <w:bookmarkStart w:id="365" w:name="_Arbyn__M,"/>
      <w:bookmarkEnd w:id="365"/>
      <w:r w:rsidRPr="00AF1814">
        <w:rPr>
          <w:lang w:val="es-ES_tradnl"/>
        </w:rPr>
        <w:t xml:space="preserve">Arbyn M, Tommasino M, Depuydt C, et al. </w:t>
      </w:r>
      <w:r w:rsidRPr="00AF1814">
        <w:t>Are 20 human papillomavirus types causing cervical cancer? J Pathol. 2014;234(4):431-5.</w:t>
      </w:r>
    </w:p>
    <w:p w14:paraId="08169873" w14:textId="77777777" w:rsidR="00DB5A09" w:rsidRPr="006F3AE9" w:rsidRDefault="00DA3174" w:rsidP="00DB5A09">
      <w:pPr>
        <w:pStyle w:val="Heading9"/>
        <w:keepNext/>
        <w:keepLines/>
        <w:widowControl w:val="0"/>
      </w:pPr>
      <w:bookmarkStart w:id="366" w:name="_Bhatla_N,_Berek"/>
      <w:bookmarkEnd w:id="366"/>
      <w:r w:rsidRPr="00AF1814">
        <w:t xml:space="preserve">Bhatla N, Berek JS, Cuello Fredes M, et al. Revised FIGO staging for carcinoma of the cervix uteri. </w:t>
      </w:r>
      <w:r w:rsidRPr="006F3AE9">
        <w:t>Int J Gynaecol Obstet. 2019;145(1):129-35.</w:t>
      </w:r>
    </w:p>
    <w:p w14:paraId="65E33723" w14:textId="77777777" w:rsidR="00B06C67" w:rsidRPr="00AF1814" w:rsidRDefault="00DA3174" w:rsidP="003250C9">
      <w:pPr>
        <w:pStyle w:val="Heading9"/>
        <w:keepNext/>
        <w:keepLines/>
        <w:widowControl w:val="0"/>
      </w:pPr>
      <w:bookmarkStart w:id="367" w:name="_Brahmer_JR,_Lacchetti"/>
      <w:bookmarkEnd w:id="367"/>
      <w:r w:rsidRPr="006F3AE9">
        <w:t xml:space="preserve">Brahmer JR, Lacchetti C, Schneider BJ, et al. </w:t>
      </w:r>
      <w:r w:rsidRPr="00AF1814">
        <w:t>Management of immune-related adverse events in patients treated with immune checkpoint inhibitor therapy: American Society of Clinical Oncology Clinical Practice Guideline. J Oncol Pract. 2018;14(4):247-49.</w:t>
      </w:r>
    </w:p>
    <w:p w14:paraId="58C71EDE" w14:textId="77777777" w:rsidR="004B05E0" w:rsidRPr="00AF1814" w:rsidRDefault="00DA3174" w:rsidP="003250C9">
      <w:pPr>
        <w:pStyle w:val="Heading9"/>
        <w:keepNext/>
        <w:keepLines/>
        <w:widowControl w:val="0"/>
      </w:pPr>
      <w:bookmarkStart w:id="368" w:name="_Bohnsack_O,_Ludajic"/>
      <w:bookmarkStart w:id="369" w:name="_Boussios_S,_Seraj"/>
      <w:bookmarkEnd w:id="368"/>
      <w:bookmarkEnd w:id="369"/>
      <w:r w:rsidRPr="00AF1814">
        <w:t>Boussios S, Seraj E, Zarkavelis G, et al. Management of patients with recurrent/advanced cervical cancer beyond first line platinum regimens: Where do we stand? A literature review. Crit Rev Oncol Hematol. 2016;108:164-74.</w:t>
      </w:r>
      <w:bookmarkStart w:id="370" w:name="_Brookmeyer_R,_Crowley"/>
      <w:bookmarkEnd w:id="370"/>
    </w:p>
    <w:p w14:paraId="69F80CBA" w14:textId="77777777" w:rsidR="00B06C67" w:rsidRPr="00AF1814" w:rsidRDefault="00DA3174" w:rsidP="003250C9">
      <w:pPr>
        <w:pStyle w:val="Heading9"/>
      </w:pPr>
      <w:bookmarkStart w:id="371" w:name="_Brookmeyer_R,_Crowley_1"/>
      <w:bookmarkStart w:id="372" w:name="_Champiat_S,_Lambotte"/>
      <w:bookmarkEnd w:id="371"/>
      <w:bookmarkEnd w:id="372"/>
      <w:r w:rsidRPr="00AF1814">
        <w:t>Champiat S, Lambotte O, Barreau E, et al. Management of immune checkpoint blockade dysimmune toxicities: a collaborative position paper. Ann Oncol. 2016;27(4):559-74.</w:t>
      </w:r>
    </w:p>
    <w:p w14:paraId="6C0D32DB" w14:textId="77777777" w:rsidR="00B06C67" w:rsidRPr="00AF1814" w:rsidRDefault="00DA3174" w:rsidP="003250C9">
      <w:pPr>
        <w:pStyle w:val="Heading9"/>
      </w:pPr>
      <w:bookmarkStart w:id="373" w:name="_Chemoradiotherapy_for_Cervical"/>
      <w:bookmarkEnd w:id="373"/>
      <w:r w:rsidRPr="00AF1814">
        <w:t>Chemoradiotherapy for Cervical Cancer Meta-Analysis Collaboration. Reducing uncertainties about the effects of chemoradiotherapy for cervical cancer: a systematic review and meta-analysis of individual patient data from 18 randomized trials. J Clin Oncol. 2008;26(35):5802-12.</w:t>
      </w:r>
    </w:p>
    <w:p w14:paraId="5164DBFE" w14:textId="77777777" w:rsidR="004E57BF" w:rsidRPr="00AF1814" w:rsidRDefault="00DA3174" w:rsidP="00E92727">
      <w:pPr>
        <w:pStyle w:val="Heading9"/>
      </w:pPr>
      <w:bookmarkStart w:id="374" w:name="_Chung_HC,_Ros"/>
      <w:bookmarkEnd w:id="374"/>
      <w:r w:rsidRPr="00AF1814">
        <w:t>Chung HC, Ros W, Delord JP, et al. Efficacy and Safety of Pembrolizumab in Previously Treated Advanced Cervical Cancer: Results From the Phase II KEYNOTE-158 Study. J Clin Oncol. 2019;37(17):1470-8</w:t>
      </w:r>
      <w:r w:rsidR="004647BE" w:rsidRPr="00AF1814">
        <w:t>.</w:t>
      </w:r>
      <w:r w:rsidRPr="00AF1814">
        <w:t xml:space="preserve"> </w:t>
      </w:r>
    </w:p>
    <w:p w14:paraId="2558706C" w14:textId="77777777" w:rsidR="0094615E" w:rsidRPr="00AF1814" w:rsidRDefault="00DA3174" w:rsidP="003250C9">
      <w:pPr>
        <w:pStyle w:val="Heading9"/>
      </w:pPr>
      <w:bookmarkStart w:id="375" w:name="_Corrigendum_to_“Revised"/>
      <w:bookmarkEnd w:id="375"/>
      <w:r w:rsidRPr="00AF1814">
        <w:t>Corrigendum to “Revised FIGO staging for carcinoma of the cervix uteri” Int J Gynaecol Obstet. 2019;147(2):279-80.</w:t>
      </w:r>
      <w:bookmarkStart w:id="376" w:name="_Dyer_BA,_Zamarin"/>
      <w:bookmarkEnd w:id="376"/>
    </w:p>
    <w:p w14:paraId="4CDDAE35" w14:textId="77777777" w:rsidR="00B06C67" w:rsidRPr="00AF1814" w:rsidRDefault="00DA3174" w:rsidP="003250C9">
      <w:pPr>
        <w:pStyle w:val="Heading9"/>
      </w:pPr>
      <w:bookmarkStart w:id="377" w:name="_Dyer_BA,_Zamarin_1"/>
      <w:bookmarkEnd w:id="377"/>
      <w:r w:rsidRPr="00AF1814">
        <w:t>Dyer BA, Zamarin D, Eskandar RN, et al. Role of Immunotherapy in the Management of Locally Advanced and Recurrent/Metastatic Cervical Cancer. J Natl Compr Canc Netw. 2019;17(1):91</w:t>
      </w:r>
      <w:r w:rsidRPr="00AF1814">
        <w:noBreakHyphen/>
        <w:t>7.</w:t>
      </w:r>
    </w:p>
    <w:p w14:paraId="6F711253" w14:textId="46DCEC58" w:rsidR="00532F89" w:rsidRPr="00AF1814" w:rsidRDefault="00DA3174" w:rsidP="003250C9">
      <w:pPr>
        <w:pStyle w:val="Heading9"/>
      </w:pPr>
      <w:bookmarkStart w:id="378" w:name="_Eisenhauer_EA,_Therasse"/>
      <w:bookmarkEnd w:id="378"/>
      <w:r w:rsidRPr="00AF1814">
        <w:t>Eisenhauer EA, Therasse P, Bogaerts et al. New response evaluation criteria in solid tumors: revised RECIST guideline (version 1.1). Eur J Cancer. 2009;</w:t>
      </w:r>
      <w:r w:rsidRPr="00AF1814">
        <w:rPr>
          <w:lang w:eastAsia="ja-JP"/>
        </w:rPr>
        <w:t xml:space="preserve"> </w:t>
      </w:r>
      <w:r w:rsidRPr="00AF1814">
        <w:t>45(2):</w:t>
      </w:r>
      <w:r w:rsidRPr="00AF1814">
        <w:rPr>
          <w:lang w:eastAsia="ja-JP"/>
        </w:rPr>
        <w:t xml:space="preserve"> </w:t>
      </w:r>
      <w:r w:rsidRPr="00AF1814">
        <w:t>228-47</w:t>
      </w:r>
      <w:r w:rsidR="00D60F81" w:rsidRPr="00AF1814">
        <w:t>.</w:t>
      </w:r>
    </w:p>
    <w:p w14:paraId="5FD8E9A5" w14:textId="77777777" w:rsidR="00B06C67" w:rsidRPr="00AF1814" w:rsidRDefault="00DA3174" w:rsidP="003250C9">
      <w:pPr>
        <w:pStyle w:val="Heading9"/>
      </w:pPr>
      <w:bookmarkStart w:id="379" w:name="_FDA_Guidance_on"/>
      <w:bookmarkEnd w:id="379"/>
      <w:r w:rsidRPr="00AF1814">
        <w:t>FDA Guidance on Cancer Clinical Trial Eligibility Criteria: Patients with HIV, Hepatitis B Virus, or Hepatitis C Virus Infections, March 2019.</w:t>
      </w:r>
    </w:p>
    <w:p w14:paraId="1F884393" w14:textId="77777777" w:rsidR="00B06C67" w:rsidRPr="00AF1814" w:rsidRDefault="00DA3174" w:rsidP="003250C9">
      <w:pPr>
        <w:pStyle w:val="Heading9"/>
      </w:pPr>
      <w:bookmarkStart w:id="380" w:name="_Gadducci__A,_1"/>
      <w:bookmarkEnd w:id="380"/>
      <w:r w:rsidRPr="00AF1814">
        <w:rPr>
          <w:lang w:val="es-ES_tradnl"/>
        </w:rPr>
        <w:t xml:space="preserve">Gadducci A, Fabrini MG, Lanfredini N, et al. </w:t>
      </w:r>
      <w:r w:rsidRPr="00AF1814">
        <w:t>Squamous cell carcinoma of the vagina: natural history, treatment modalities and prognostic factors. Crit Rev Oncol Hematol. 2015;93(3):211</w:t>
      </w:r>
      <w:r w:rsidRPr="00AF1814">
        <w:noBreakHyphen/>
        <w:t>24.</w:t>
      </w:r>
    </w:p>
    <w:p w14:paraId="76885A28" w14:textId="77777777" w:rsidR="00B06C67" w:rsidRPr="00AF1814" w:rsidRDefault="00DA3174" w:rsidP="003250C9">
      <w:pPr>
        <w:pStyle w:val="Heading9"/>
      </w:pPr>
      <w:bookmarkStart w:id="381" w:name="_Gandhi_L,_Rodríguez-Abreu"/>
      <w:bookmarkStart w:id="382" w:name="_Hazelbag_S,_Gorter_1"/>
      <w:bookmarkEnd w:id="381"/>
      <w:bookmarkEnd w:id="382"/>
      <w:r w:rsidRPr="00AF1814">
        <w:t>Hazelbag S, Gorter A, Kenter GG, et al. Transforming growth factor-beta1 induces tumor stroma and reduces tumor infiltrate in cervical cancer. Hum Pathol. 2002;33(12):1193-9.</w:t>
      </w:r>
    </w:p>
    <w:p w14:paraId="67F7B4B4" w14:textId="77777777" w:rsidR="00B06C67" w:rsidRPr="00AF1814" w:rsidRDefault="00DA3174" w:rsidP="003250C9">
      <w:pPr>
        <w:pStyle w:val="Heading9"/>
      </w:pPr>
      <w:bookmarkStart w:id="383" w:name="_Gadducci__A,"/>
      <w:bookmarkEnd w:id="383"/>
      <w:r w:rsidRPr="00AF1814">
        <w:t>Hazelbag S, Kenter GG, Gorter A, et al. Prognostic relevance of TGF-beta1 and PAI-1 in cervical cancer. Int J Cancer. 2004;112(6):1020-8.</w:t>
      </w:r>
    </w:p>
    <w:p w14:paraId="24DC471E" w14:textId="77777777" w:rsidR="00B06C67" w:rsidRPr="00AF1814" w:rsidRDefault="00DA3174" w:rsidP="003250C9">
      <w:pPr>
        <w:pStyle w:val="Heading9"/>
      </w:pPr>
      <w:bookmarkStart w:id="384" w:name="_Hazelbag_S,_Gorter"/>
      <w:bookmarkEnd w:id="384"/>
      <w:r w:rsidRPr="00AF1814">
        <w:t>Howlader N, Noone AM, Krapcho M, Miller D, Brest A, Yu M, Ruhl J, Tatalovich Z, Mariotto A, Lewis DR, Chen HS, Feuer EJ, Cronin KA (eds). SEER Cancer Statistics Review, 1975-2016, National Cancer Institute. Bethesda, MD, https://seer.cancer.gov/csr/1975_2016/, based on November 2018 SEER data submission, posted to the SEER web site, April 2019.</w:t>
      </w:r>
    </w:p>
    <w:p w14:paraId="31A108B1" w14:textId="77777777" w:rsidR="00996F34" w:rsidRPr="00AF1814" w:rsidRDefault="00DA3174" w:rsidP="003250C9">
      <w:pPr>
        <w:pStyle w:val="Heading9"/>
      </w:pPr>
      <w:bookmarkStart w:id="385" w:name="_Marth_C,_Landoni"/>
      <w:bookmarkEnd w:id="385"/>
      <w:r w:rsidRPr="00AF1814">
        <w:t>Marth C, Landoni F, Mahner S,</w:t>
      </w:r>
      <w:r w:rsidR="00B91CA2" w:rsidRPr="00AF1814">
        <w:t xml:space="preserve"> </w:t>
      </w:r>
      <w:r w:rsidRPr="00AF1814">
        <w:t>et al. Cervical cancer: ESMO Clinical Practice Guidelines for diagnosis, treatment and follow-up. Ann Oncol. 2017;28(suppl_4):iv72-iv83.</w:t>
      </w:r>
    </w:p>
    <w:p w14:paraId="09D72A06" w14:textId="77777777" w:rsidR="00B06C67" w:rsidRPr="00AF1814" w:rsidRDefault="00DA3174" w:rsidP="003250C9">
      <w:pPr>
        <w:pStyle w:val="Heading9"/>
        <w:rPr>
          <w:lang w:val="pt-BR"/>
        </w:rPr>
      </w:pPr>
      <w:bookmarkStart w:id="386" w:name="_Hazelbag_S,_Kenter"/>
      <w:bookmarkStart w:id="387" w:name="_Howlader__N,"/>
      <w:bookmarkEnd w:id="386"/>
      <w:bookmarkEnd w:id="387"/>
      <w:r w:rsidRPr="00AF1814">
        <w:lastRenderedPageBreak/>
        <w:t xml:space="preserve">Park SS, Dong H, Liu X, et al. PD-1 Restrains Radiotherapy-Induced Abscopal Effect. </w:t>
      </w:r>
      <w:r w:rsidRPr="00AF1814">
        <w:rPr>
          <w:lang w:val="pt-BR"/>
        </w:rPr>
        <w:t>Cancer Immunol Res. 2015;3(6):610-9.</w:t>
      </w:r>
    </w:p>
    <w:p w14:paraId="1E73D2BE" w14:textId="77777777" w:rsidR="00B06C67" w:rsidRPr="00AF1814" w:rsidRDefault="00DA3174" w:rsidP="003250C9">
      <w:pPr>
        <w:pStyle w:val="Heading9"/>
      </w:pPr>
      <w:bookmarkStart w:id="388" w:name="_Pecorelli_S,_Zigliani"/>
      <w:bookmarkStart w:id="389" w:name="_Park_SS,_Dong"/>
      <w:bookmarkStart w:id="390" w:name="_Peralta-Zaragoza_O,_Bermúdez-Morale"/>
      <w:bookmarkEnd w:id="388"/>
      <w:bookmarkEnd w:id="389"/>
      <w:bookmarkEnd w:id="390"/>
      <w:r w:rsidRPr="00AF1814">
        <w:rPr>
          <w:lang w:val="es-ES_tradnl"/>
        </w:rPr>
        <w:t xml:space="preserve">Peralta-Zaragoza O, Bermúdez-Morales V, Gutiérrez-Xicotencatl L, et al. </w:t>
      </w:r>
      <w:r w:rsidRPr="00AF1814">
        <w:t>E6 and E7 oncoproteins from human papillomavirus type 16 induce activation of human transforming growth factor beta1 promoter throughout Sp1 recognition sequence. Viral Immunol. 2006;19(3):468-80.</w:t>
      </w:r>
    </w:p>
    <w:p w14:paraId="5C687D17" w14:textId="77777777" w:rsidR="00B06C67" w:rsidRPr="00AF1814" w:rsidRDefault="00DA3174" w:rsidP="003250C9">
      <w:pPr>
        <w:pStyle w:val="Heading9"/>
      </w:pPr>
      <w:bookmarkStart w:id="391" w:name="_Phippen_NT,_Leath"/>
      <w:bookmarkEnd w:id="391"/>
      <w:r w:rsidRPr="00AF1814">
        <w:t>Phippen NT, Leath CA 3rd, Havrilesky LJ, et al. Bevacizumab in recurrent, persistent, or advanced stage carcinoma of the cervix: is it cost-effective? Gynecol Oncol. 2015;136(1):43-7.</w:t>
      </w:r>
    </w:p>
    <w:p w14:paraId="2F93D2CB" w14:textId="77777777" w:rsidR="00B06C67" w:rsidRPr="00AF1814" w:rsidRDefault="00DA3174" w:rsidP="003250C9">
      <w:pPr>
        <w:pStyle w:val="Heading9"/>
      </w:pPr>
      <w:bookmarkStart w:id="392" w:name="_Postow_MA,_Callahan"/>
      <w:bookmarkEnd w:id="392"/>
      <w:r w:rsidRPr="00AF1814">
        <w:t>Postow MA, Callahan MK, Wolchok JD. Immune checkpoint blockade in cancer therapy. J Clin Oncol. 2015;33(17):1974-82.</w:t>
      </w:r>
    </w:p>
    <w:p w14:paraId="550A7DC0" w14:textId="77777777" w:rsidR="00B06C67" w:rsidRPr="00AF1814" w:rsidRDefault="00DA3174" w:rsidP="003250C9">
      <w:pPr>
        <w:pStyle w:val="Heading9"/>
      </w:pPr>
      <w:bookmarkStart w:id="393" w:name="_Rose_PG,_Java"/>
      <w:bookmarkEnd w:id="393"/>
      <w:r w:rsidRPr="00AF1814">
        <w:t xml:space="preserve">Rose PG, Java J, Whitney CW, et al. Nomograms </w:t>
      </w:r>
      <w:r w:rsidR="00B91CA2" w:rsidRPr="00AF1814">
        <w:t>p</w:t>
      </w:r>
      <w:r w:rsidRPr="00AF1814">
        <w:t xml:space="preserve">redicting </w:t>
      </w:r>
      <w:r w:rsidR="00B91CA2" w:rsidRPr="00AF1814">
        <w:t>p</w:t>
      </w:r>
      <w:r w:rsidRPr="00AF1814">
        <w:t>rogression-</w:t>
      </w:r>
      <w:r w:rsidR="00B91CA2" w:rsidRPr="00AF1814">
        <w:t>f</w:t>
      </w:r>
      <w:r w:rsidRPr="00AF1814">
        <w:t xml:space="preserve">ree </w:t>
      </w:r>
      <w:r w:rsidR="00B91CA2" w:rsidRPr="00AF1814">
        <w:t>s</w:t>
      </w:r>
      <w:r w:rsidRPr="00AF1814">
        <w:t xml:space="preserve">urvival, </w:t>
      </w:r>
      <w:r w:rsidR="00B91CA2" w:rsidRPr="00AF1814">
        <w:t>o</w:t>
      </w:r>
      <w:r w:rsidRPr="00AF1814">
        <w:t xml:space="preserve">verall </w:t>
      </w:r>
      <w:r w:rsidR="00B91CA2" w:rsidRPr="00AF1814">
        <w:t>s</w:t>
      </w:r>
      <w:r w:rsidRPr="00AF1814">
        <w:t xml:space="preserve">urvival, and </w:t>
      </w:r>
      <w:r w:rsidR="00B91CA2" w:rsidRPr="00AF1814">
        <w:t>p</w:t>
      </w:r>
      <w:r w:rsidRPr="00AF1814">
        <w:t xml:space="preserve">elvic </w:t>
      </w:r>
      <w:r w:rsidR="00B91CA2" w:rsidRPr="00AF1814">
        <w:t>r</w:t>
      </w:r>
      <w:r w:rsidRPr="00AF1814">
        <w:t xml:space="preserve">ecurrence in </w:t>
      </w:r>
      <w:r w:rsidR="00B91CA2" w:rsidRPr="00AF1814">
        <w:t>l</w:t>
      </w:r>
      <w:r w:rsidRPr="00AF1814">
        <w:t xml:space="preserve">ocally </w:t>
      </w:r>
      <w:r w:rsidR="00B91CA2" w:rsidRPr="00AF1814">
        <w:t>a</w:t>
      </w:r>
      <w:r w:rsidRPr="00AF1814">
        <w:t xml:space="preserve">dvanced </w:t>
      </w:r>
      <w:r w:rsidR="00B91CA2" w:rsidRPr="00AF1814">
        <w:t>c</w:t>
      </w:r>
      <w:r w:rsidRPr="00AF1814">
        <w:t xml:space="preserve">ervical </w:t>
      </w:r>
      <w:r w:rsidR="00B91CA2" w:rsidRPr="00AF1814">
        <w:t>c</w:t>
      </w:r>
      <w:r w:rsidRPr="00AF1814">
        <w:t xml:space="preserve">ancer </w:t>
      </w:r>
      <w:r w:rsidR="00B91CA2" w:rsidRPr="00AF1814">
        <w:t>d</w:t>
      </w:r>
      <w:r w:rsidRPr="00AF1814">
        <w:t xml:space="preserve">eveloped </w:t>
      </w:r>
      <w:r w:rsidR="00B91CA2" w:rsidRPr="00AF1814">
        <w:t>f</w:t>
      </w:r>
      <w:r w:rsidRPr="00AF1814">
        <w:t xml:space="preserve">rom an </w:t>
      </w:r>
      <w:r w:rsidR="00B91CA2" w:rsidRPr="00AF1814">
        <w:t>a</w:t>
      </w:r>
      <w:r w:rsidRPr="00AF1814">
        <w:t xml:space="preserve">nalysis of </w:t>
      </w:r>
      <w:r w:rsidR="00B91CA2" w:rsidRPr="00AF1814">
        <w:t>i</w:t>
      </w:r>
      <w:r w:rsidRPr="00AF1814">
        <w:t xml:space="preserve">dentifiable </w:t>
      </w:r>
      <w:r w:rsidR="00B91CA2" w:rsidRPr="00AF1814">
        <w:t>p</w:t>
      </w:r>
      <w:r w:rsidRPr="00AF1814">
        <w:t xml:space="preserve">rognostic </w:t>
      </w:r>
      <w:r w:rsidR="00B91CA2" w:rsidRPr="00AF1814">
        <w:t>f</w:t>
      </w:r>
      <w:r w:rsidRPr="00AF1814">
        <w:t xml:space="preserve">actors in </w:t>
      </w:r>
      <w:r w:rsidR="00B91CA2" w:rsidRPr="00AF1814">
        <w:t>p</w:t>
      </w:r>
      <w:r w:rsidRPr="00AF1814">
        <w:t xml:space="preserve">atients </w:t>
      </w:r>
      <w:r w:rsidR="00B91CA2" w:rsidRPr="00AF1814">
        <w:t>f</w:t>
      </w:r>
      <w:r w:rsidRPr="00AF1814">
        <w:t xml:space="preserve">rom NRG Oncology/Gynecologic Oncology Group Randomized Trials of Chemoradiotherapy. J Clin Oncol. 2015;33(19):2136-42. </w:t>
      </w:r>
    </w:p>
    <w:p w14:paraId="0E74D939" w14:textId="0BBD61B2" w:rsidR="002F5B53" w:rsidRDefault="00DA3174" w:rsidP="002F5B53">
      <w:pPr>
        <w:pStyle w:val="Heading9"/>
      </w:pPr>
      <w:bookmarkStart w:id="394" w:name="_Roszik_J,_Ring"/>
      <w:bookmarkEnd w:id="394"/>
      <w:r w:rsidRPr="00AF1814">
        <w:t>Roszik J, Ring KL, Wani KM, et al. Gene expression analysis identifies novel targets for cervical cancer therapy. Front Immunol. 2018;9:2102.</w:t>
      </w:r>
      <w:bookmarkStart w:id="395" w:name="_Smith_TJ,_Khatcheressian"/>
      <w:bookmarkStart w:id="396" w:name="_Tewari_KS,_Sill"/>
      <w:bookmarkEnd w:id="395"/>
      <w:bookmarkEnd w:id="396"/>
    </w:p>
    <w:p w14:paraId="2EBCD470" w14:textId="754427A9" w:rsidR="002F5B53" w:rsidRPr="00AF1814" w:rsidRDefault="002F5B53" w:rsidP="002F5B53">
      <w:pPr>
        <w:pStyle w:val="Heading9"/>
      </w:pPr>
      <w:bookmarkStart w:id="397" w:name="_Tewari_KS,_Sill_1"/>
      <w:bookmarkEnd w:id="397"/>
      <w:r>
        <w:t>Tewari KS, Sill MW, Penson  RT, et al. Bevacizumab for Advanced Cervical Cancer: Final Overall Survival and Adverse Event Analysis of a Randomised, Controlled, Open-Label, Phase 3 Trial (Gynecologic Oncology Group 240)</w:t>
      </w:r>
      <w:r w:rsidR="00C15737">
        <w:t>.</w:t>
      </w:r>
      <w:r w:rsidRPr="002F5B53">
        <w:t xml:space="preserve"> </w:t>
      </w:r>
      <w:r>
        <w:t>Clin Trial Lancet. 2017;390(10103):1654</w:t>
      </w:r>
      <w:r>
        <w:noBreakHyphen/>
        <w:t>63.</w:t>
      </w:r>
    </w:p>
    <w:p w14:paraId="71F0A87C" w14:textId="77777777" w:rsidR="00B06C67" w:rsidRPr="00AF1814" w:rsidRDefault="00DA3174" w:rsidP="003250C9">
      <w:pPr>
        <w:pStyle w:val="Heading9"/>
      </w:pPr>
      <w:bookmarkStart w:id="398" w:name="_The_Cancer_Genome"/>
      <w:bookmarkEnd w:id="398"/>
      <w:r w:rsidRPr="00AF1814">
        <w:t>The Cancer Genome Atlas Research Network. Integrated genomic and molecular characterization of cervical cancer. Nature. 2017;543(7645):378-84.</w:t>
      </w:r>
    </w:p>
    <w:p w14:paraId="387C96E2" w14:textId="77777777" w:rsidR="00B06C67" w:rsidRPr="00AF1814" w:rsidRDefault="00DA3174" w:rsidP="003250C9">
      <w:pPr>
        <w:pStyle w:val="Heading9"/>
        <w:rPr>
          <w:lang w:val="es-ES_tradnl"/>
        </w:rPr>
      </w:pPr>
      <w:bookmarkStart w:id="399" w:name="_Verma_V,_Simone"/>
      <w:bookmarkEnd w:id="399"/>
      <w:r w:rsidRPr="00AF1814">
        <w:t xml:space="preserve">Verma V, Simone CB, Werner-Wasik M. Acute and Late Toxicities of Concurrent Chemoradiotherapy for Locally-Advanced Non-Small Cell Lung Cancer. </w:t>
      </w:r>
      <w:r w:rsidRPr="00AF1814">
        <w:rPr>
          <w:lang w:val="es-ES_tradnl"/>
        </w:rPr>
        <w:t>Cancers (Basel). 2017</w:t>
      </w:r>
      <w:r w:rsidR="00C355BF" w:rsidRPr="00AF1814">
        <w:rPr>
          <w:lang w:val="es-ES_tradnl"/>
        </w:rPr>
        <w:t xml:space="preserve">;9(9):120. </w:t>
      </w:r>
    </w:p>
    <w:p w14:paraId="1EB51D11" w14:textId="77777777" w:rsidR="00B406E1" w:rsidRPr="00AF1814" w:rsidRDefault="00DA3174" w:rsidP="001D42DE">
      <w:pPr>
        <w:pStyle w:val="Heading9"/>
      </w:pPr>
      <w:bookmarkStart w:id="400" w:name="_Yan_Y,_Kumar"/>
      <w:bookmarkEnd w:id="400"/>
      <w:r w:rsidRPr="00AF1814">
        <w:rPr>
          <w:lang w:val="es-ES_tradnl"/>
        </w:rPr>
        <w:t xml:space="preserve">Yan Y, Kumar AB, Finnes H, et al. </w:t>
      </w:r>
      <w:r w:rsidRPr="00AF1814">
        <w:t xml:space="preserve">Combining immune checkpoint inhibitors with conventional cancer therapy. Front Immunol. 2018;9(1739):1-13. </w:t>
      </w:r>
    </w:p>
    <w:p w14:paraId="2528DB29" w14:textId="77777777" w:rsidR="005E1E9B" w:rsidRPr="00AF1814" w:rsidRDefault="00DA3174" w:rsidP="004864B8">
      <w:pPr>
        <w:pStyle w:val="Heading1"/>
        <w:pageBreakBefore/>
        <w:tabs>
          <w:tab w:val="clear" w:pos="4716"/>
        </w:tabs>
        <w:ind w:left="1985" w:hanging="1985"/>
      </w:pPr>
      <w:bookmarkStart w:id="401" w:name="_Toc44601733"/>
      <w:r w:rsidRPr="00AF1814">
        <w:lastRenderedPageBreak/>
        <w:t>Appendices</w:t>
      </w:r>
      <w:bookmarkEnd w:id="401"/>
    </w:p>
    <w:p w14:paraId="2B6C8066" w14:textId="77777777" w:rsidR="000A2366" w:rsidRPr="00AF1814" w:rsidRDefault="00DA3174" w:rsidP="00060D53">
      <w:pPr>
        <w:pStyle w:val="Heading1"/>
        <w:keepNext w:val="0"/>
        <w:keepLines w:val="0"/>
        <w:widowControl w:val="0"/>
        <w:numPr>
          <w:ilvl w:val="0"/>
          <w:numId w:val="0"/>
        </w:numPr>
        <w:tabs>
          <w:tab w:val="left" w:pos="1985"/>
        </w:tabs>
      </w:pPr>
      <w:bookmarkStart w:id="402" w:name="_Toc44601734"/>
      <w:r w:rsidRPr="00AF1814">
        <w:t>Appendix 1</w:t>
      </w:r>
      <w:r w:rsidRPr="00AF1814">
        <w:tab/>
        <w:t>Abbreviations</w:t>
      </w:r>
      <w:bookmarkEnd w:id="40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3"/>
        <w:gridCol w:w="7759"/>
      </w:tblGrid>
      <w:tr w:rsidR="00395942" w:rsidRPr="00AF1814" w14:paraId="6AEFEB18"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5E165287" w14:textId="77777777" w:rsidR="00395942" w:rsidRPr="00AF1814" w:rsidRDefault="00395942" w:rsidP="00060D53">
            <w:pPr>
              <w:pStyle w:val="BodyText"/>
              <w:widowControl w:val="0"/>
              <w:spacing w:before="120"/>
            </w:pPr>
            <w:r w:rsidRPr="00AF1814">
              <w:t>ADA</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1968F79C" w14:textId="77777777" w:rsidR="00395942" w:rsidRPr="00AF1814" w:rsidRDefault="00395942" w:rsidP="00060D53">
            <w:pPr>
              <w:pStyle w:val="BodyText"/>
              <w:widowControl w:val="0"/>
              <w:spacing w:before="120"/>
            </w:pPr>
            <w:r w:rsidRPr="00AF1814">
              <w:t>Antidrug antibody</w:t>
            </w:r>
          </w:p>
        </w:tc>
      </w:tr>
      <w:tr w:rsidR="00395942" w:rsidRPr="00AF1814" w14:paraId="1937B2D9"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111AE63E" w14:textId="77777777" w:rsidR="00395942" w:rsidRPr="00AF1814" w:rsidRDefault="00395942" w:rsidP="00060D53">
            <w:pPr>
              <w:pStyle w:val="BodyText"/>
              <w:widowControl w:val="0"/>
              <w:spacing w:before="120"/>
            </w:pPr>
            <w:r w:rsidRPr="00AF1814">
              <w:t>AEs</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4FFF8900" w14:textId="77777777" w:rsidR="00395942" w:rsidRPr="00AF1814" w:rsidRDefault="00395942" w:rsidP="00060D53">
            <w:pPr>
              <w:pStyle w:val="BodyText"/>
              <w:widowControl w:val="0"/>
              <w:spacing w:before="120"/>
            </w:pPr>
            <w:r w:rsidRPr="00AF1814">
              <w:t>Adverse events</w:t>
            </w:r>
          </w:p>
        </w:tc>
      </w:tr>
      <w:tr w:rsidR="00395942" w:rsidRPr="00AF1814" w14:paraId="3827F3F0"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08D4ED40" w14:textId="77777777" w:rsidR="00395942" w:rsidRPr="00AF1814" w:rsidRDefault="00395942" w:rsidP="00060D53">
            <w:pPr>
              <w:pStyle w:val="BodyText"/>
              <w:widowControl w:val="0"/>
              <w:spacing w:before="120"/>
            </w:pPr>
            <w:r w:rsidRPr="00AF1814">
              <w:t>AESI</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6B9E6F7D" w14:textId="77777777" w:rsidR="00395942" w:rsidRPr="00AF1814" w:rsidRDefault="00395942" w:rsidP="00060D53">
            <w:pPr>
              <w:pStyle w:val="BodyText"/>
              <w:widowControl w:val="0"/>
              <w:spacing w:before="120"/>
            </w:pPr>
            <w:r w:rsidRPr="00AF1814">
              <w:t>Adverse events of special interest</w:t>
            </w:r>
          </w:p>
        </w:tc>
      </w:tr>
      <w:tr w:rsidR="00395942" w:rsidRPr="00AF1814" w14:paraId="79EE0E85"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6FC61CD2" w14:textId="77777777" w:rsidR="00395942" w:rsidRPr="00AF1814" w:rsidRDefault="00395942" w:rsidP="00060D53">
            <w:pPr>
              <w:pStyle w:val="BodyText"/>
              <w:widowControl w:val="0"/>
              <w:spacing w:before="120"/>
            </w:pPr>
            <w:r w:rsidRPr="00AF1814">
              <w:t>ALT</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1E4C8DF1" w14:textId="77777777" w:rsidR="00395942" w:rsidRPr="00AF1814" w:rsidRDefault="00395942" w:rsidP="00060D53">
            <w:pPr>
              <w:pStyle w:val="BodyText"/>
              <w:widowControl w:val="0"/>
              <w:spacing w:before="120"/>
            </w:pPr>
            <w:r w:rsidRPr="00AF1814">
              <w:t>Alanine aminotransferase</w:t>
            </w:r>
          </w:p>
        </w:tc>
      </w:tr>
      <w:tr w:rsidR="00395942" w:rsidRPr="00AF1814" w14:paraId="0D5671A6"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3CAFF875" w14:textId="77777777" w:rsidR="00395942" w:rsidRPr="00AF1814" w:rsidRDefault="00395942" w:rsidP="00060D53">
            <w:pPr>
              <w:pStyle w:val="BodyText"/>
              <w:widowControl w:val="0"/>
              <w:spacing w:before="120"/>
            </w:pPr>
            <w:r w:rsidRPr="00AF1814">
              <w:t>ANC</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45DB68F6" w14:textId="77777777" w:rsidR="00395942" w:rsidRPr="00AF1814" w:rsidRDefault="00395942" w:rsidP="00060D53">
            <w:pPr>
              <w:pStyle w:val="BodyText"/>
              <w:widowControl w:val="0"/>
              <w:spacing w:before="120"/>
            </w:pPr>
            <w:r w:rsidRPr="00AF1814">
              <w:t>Absolute neutrophil count</w:t>
            </w:r>
          </w:p>
        </w:tc>
      </w:tr>
      <w:tr w:rsidR="00395942" w:rsidRPr="00AF1814" w14:paraId="2BF96AF0"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48529D55" w14:textId="77777777" w:rsidR="00395942" w:rsidRPr="00AF1814" w:rsidRDefault="00395942" w:rsidP="00060D53">
            <w:pPr>
              <w:pStyle w:val="BodyText"/>
              <w:widowControl w:val="0"/>
              <w:spacing w:before="120"/>
            </w:pPr>
            <w:r w:rsidRPr="00AF1814">
              <w:t>aPTT</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246AB047" w14:textId="77777777" w:rsidR="00395942" w:rsidRPr="00AF1814" w:rsidRDefault="00395942" w:rsidP="00060D53">
            <w:pPr>
              <w:pStyle w:val="BodyText"/>
              <w:widowControl w:val="0"/>
              <w:spacing w:before="120"/>
            </w:pPr>
            <w:r w:rsidRPr="00AF1814">
              <w:t>Activated partial thromboplastin time</w:t>
            </w:r>
          </w:p>
        </w:tc>
      </w:tr>
      <w:tr w:rsidR="00395942" w:rsidRPr="00AF1814" w14:paraId="0D7DA878"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1A88362F" w14:textId="77777777" w:rsidR="00395942" w:rsidRPr="00AF1814" w:rsidRDefault="00395942" w:rsidP="00060D53">
            <w:pPr>
              <w:pStyle w:val="BodyText"/>
              <w:widowControl w:val="0"/>
              <w:spacing w:before="120"/>
            </w:pPr>
            <w:r w:rsidRPr="00AF1814">
              <w:t>ART</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76935701" w14:textId="77777777" w:rsidR="00395942" w:rsidRPr="00AF1814" w:rsidRDefault="00395942" w:rsidP="00060D53">
            <w:pPr>
              <w:pStyle w:val="BodyText"/>
              <w:widowControl w:val="0"/>
              <w:spacing w:before="120"/>
            </w:pPr>
            <w:r w:rsidRPr="00AF1814">
              <w:t>Antiretroviral therapy</w:t>
            </w:r>
          </w:p>
        </w:tc>
      </w:tr>
      <w:tr w:rsidR="00395942" w:rsidRPr="00AF1814" w14:paraId="5E815781"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28B4B4AC" w14:textId="77777777" w:rsidR="00395942" w:rsidRPr="00AF1814" w:rsidRDefault="00395942" w:rsidP="00060D53">
            <w:pPr>
              <w:pStyle w:val="BodyText"/>
              <w:widowControl w:val="0"/>
              <w:spacing w:before="120"/>
            </w:pPr>
            <w:r w:rsidRPr="00AF1814">
              <w:t>AST</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3784035A" w14:textId="77777777" w:rsidR="00395942" w:rsidRPr="00AF1814" w:rsidRDefault="00395942" w:rsidP="00060D53">
            <w:pPr>
              <w:pStyle w:val="BodyText"/>
              <w:widowControl w:val="0"/>
              <w:spacing w:before="120"/>
            </w:pPr>
            <w:r w:rsidRPr="00AF1814">
              <w:t>Aspartate aminotransferase</w:t>
            </w:r>
          </w:p>
        </w:tc>
      </w:tr>
      <w:tr w:rsidR="00395942" w:rsidRPr="00AF1814" w14:paraId="368E4BAA"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2306D877" w14:textId="77777777" w:rsidR="00395942" w:rsidRPr="00AF1814" w:rsidRDefault="00395942" w:rsidP="00060D53">
            <w:pPr>
              <w:pStyle w:val="BodyText"/>
              <w:widowControl w:val="0"/>
              <w:spacing w:before="120"/>
            </w:pPr>
            <w:r w:rsidRPr="00AF1814">
              <w:t>cCRT</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58AB1696" w14:textId="77777777" w:rsidR="00395942" w:rsidRPr="00AF1814" w:rsidRDefault="00395942" w:rsidP="00060D53">
            <w:pPr>
              <w:pStyle w:val="BodyText"/>
              <w:widowControl w:val="0"/>
              <w:spacing w:before="120"/>
            </w:pPr>
            <w:r w:rsidRPr="00AF1814">
              <w:t>Concomitant chemoradiation therapy</w:t>
            </w:r>
          </w:p>
        </w:tc>
      </w:tr>
      <w:tr w:rsidR="00395942" w:rsidRPr="00AF1814" w14:paraId="49CE5D37"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0BF98410" w14:textId="77777777" w:rsidR="00395942" w:rsidRPr="00AF1814" w:rsidRDefault="00395942" w:rsidP="00060D53">
            <w:pPr>
              <w:pStyle w:val="BodyText"/>
              <w:widowControl w:val="0"/>
              <w:spacing w:before="120"/>
            </w:pPr>
            <w:r w:rsidRPr="00AF1814">
              <w:t>CNS</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7E4C2257" w14:textId="77777777" w:rsidR="00395942" w:rsidRPr="00AF1814" w:rsidRDefault="00395942" w:rsidP="00060D53">
            <w:pPr>
              <w:pStyle w:val="BodyText"/>
              <w:widowControl w:val="0"/>
              <w:spacing w:before="120"/>
            </w:pPr>
            <w:r w:rsidRPr="00AF1814">
              <w:t>Central nervous system</w:t>
            </w:r>
          </w:p>
        </w:tc>
      </w:tr>
      <w:tr w:rsidR="00395942" w:rsidRPr="00AF1814" w14:paraId="48D6BEB1"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0CDAD955" w14:textId="77777777" w:rsidR="00395942" w:rsidRPr="00AF1814" w:rsidRDefault="00395942" w:rsidP="00060D53">
            <w:pPr>
              <w:pStyle w:val="BodyText"/>
              <w:widowControl w:val="0"/>
              <w:spacing w:before="120"/>
            </w:pPr>
            <w:r w:rsidRPr="00AF1814">
              <w:t>CR</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42D036E5" w14:textId="77777777" w:rsidR="00395942" w:rsidRPr="00AF1814" w:rsidRDefault="00395942" w:rsidP="00060D53">
            <w:pPr>
              <w:pStyle w:val="BodyText"/>
              <w:widowControl w:val="0"/>
              <w:spacing w:before="120"/>
            </w:pPr>
            <w:r w:rsidRPr="00AF1814">
              <w:t>Complete response</w:t>
            </w:r>
          </w:p>
        </w:tc>
      </w:tr>
      <w:tr w:rsidR="00395942" w:rsidRPr="00AF1814" w14:paraId="59E22CD9"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715E5B6C" w14:textId="77777777" w:rsidR="00395942" w:rsidRPr="00AF1814" w:rsidRDefault="00395942" w:rsidP="00060D53">
            <w:pPr>
              <w:pStyle w:val="BodyText"/>
              <w:widowControl w:val="0"/>
              <w:spacing w:before="120"/>
            </w:pPr>
            <w:r w:rsidRPr="00AF1814">
              <w:t>CrCL</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4BE6373E" w14:textId="77777777" w:rsidR="00395942" w:rsidRPr="00AF1814" w:rsidRDefault="00395942" w:rsidP="00060D53">
            <w:pPr>
              <w:pStyle w:val="BodyText"/>
              <w:widowControl w:val="0"/>
              <w:spacing w:before="120"/>
            </w:pPr>
            <w:r w:rsidRPr="00AF1814">
              <w:t>Creatinine clearance</w:t>
            </w:r>
          </w:p>
        </w:tc>
      </w:tr>
      <w:tr w:rsidR="00395942" w:rsidRPr="00AF1814" w14:paraId="4767E4EA" w14:textId="77777777" w:rsidTr="00506AC8">
        <w:tc>
          <w:tcPr>
            <w:tcW w:w="1563" w:type="dxa"/>
            <w:shd w:val="clear" w:color="auto" w:fill="auto"/>
          </w:tcPr>
          <w:p w14:paraId="54DF6D2D" w14:textId="77777777" w:rsidR="00395942" w:rsidRPr="00AF1814" w:rsidRDefault="00395942" w:rsidP="00060D53">
            <w:pPr>
              <w:pStyle w:val="BodyText"/>
              <w:widowControl w:val="0"/>
              <w:spacing w:before="120"/>
            </w:pPr>
            <w:r w:rsidRPr="00AF1814">
              <w:t>CRF</w:t>
            </w:r>
          </w:p>
        </w:tc>
        <w:tc>
          <w:tcPr>
            <w:tcW w:w="7759" w:type="dxa"/>
            <w:shd w:val="clear" w:color="auto" w:fill="auto"/>
          </w:tcPr>
          <w:p w14:paraId="1A6C4A37" w14:textId="77777777" w:rsidR="00395942" w:rsidRPr="00AF1814" w:rsidRDefault="00395942" w:rsidP="00060D53">
            <w:pPr>
              <w:pStyle w:val="BodyText"/>
              <w:widowControl w:val="0"/>
              <w:spacing w:before="120"/>
            </w:pPr>
            <w:r w:rsidRPr="00AF1814">
              <w:t>Case Report Form</w:t>
            </w:r>
          </w:p>
        </w:tc>
      </w:tr>
      <w:tr w:rsidR="00395942" w:rsidRPr="00AF1814" w14:paraId="1E4BC448"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77C5C30A" w14:textId="77777777" w:rsidR="00395942" w:rsidRPr="00AF1814" w:rsidRDefault="00395942" w:rsidP="00060D53">
            <w:pPr>
              <w:pStyle w:val="BodyText"/>
              <w:widowControl w:val="0"/>
              <w:spacing w:before="120"/>
            </w:pPr>
            <w:r w:rsidRPr="00AF1814">
              <w:t>CRO</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78D85542" w14:textId="77777777" w:rsidR="00395942" w:rsidRPr="00AF1814" w:rsidRDefault="00395942" w:rsidP="00060D53">
            <w:pPr>
              <w:pStyle w:val="BodyText"/>
              <w:widowControl w:val="0"/>
              <w:spacing w:before="120"/>
            </w:pPr>
            <w:r w:rsidRPr="00AF1814">
              <w:t>Contract Research Organization</w:t>
            </w:r>
          </w:p>
        </w:tc>
      </w:tr>
      <w:tr w:rsidR="00395942" w:rsidRPr="00AF1814" w14:paraId="1350ACF6"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5BB5C902" w14:textId="77777777" w:rsidR="00395942" w:rsidRPr="00AF1814" w:rsidRDefault="00395942" w:rsidP="00060D53">
            <w:pPr>
              <w:pStyle w:val="BodyText"/>
              <w:widowControl w:val="0"/>
              <w:spacing w:before="120"/>
            </w:pPr>
            <w:r w:rsidRPr="00AF1814">
              <w:t>cSCC</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67ED3D2C" w14:textId="77777777" w:rsidR="00395942" w:rsidRPr="00AF1814" w:rsidRDefault="00395942" w:rsidP="00060D53">
            <w:pPr>
              <w:pStyle w:val="BodyText"/>
              <w:widowControl w:val="0"/>
              <w:spacing w:before="120"/>
            </w:pPr>
            <w:r w:rsidRPr="00AF1814">
              <w:t>Cutaneous squamous cell carcinoma</w:t>
            </w:r>
          </w:p>
        </w:tc>
      </w:tr>
      <w:tr w:rsidR="00395942" w:rsidRPr="00AF1814" w14:paraId="4DC1EACA"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19080308" w14:textId="77777777" w:rsidR="00395942" w:rsidRPr="00AF1814" w:rsidRDefault="00395942" w:rsidP="00060D53">
            <w:pPr>
              <w:pStyle w:val="BodyText"/>
              <w:widowControl w:val="0"/>
              <w:spacing w:before="120"/>
            </w:pPr>
            <w:r w:rsidRPr="00AF1814">
              <w:t>CSR</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6368FD15" w14:textId="77777777" w:rsidR="00395942" w:rsidRPr="00AF1814" w:rsidRDefault="00395942" w:rsidP="00060D53">
            <w:pPr>
              <w:pStyle w:val="BodyText"/>
              <w:widowControl w:val="0"/>
              <w:spacing w:before="120"/>
            </w:pPr>
            <w:r w:rsidRPr="00AF1814">
              <w:t>Clinical study report</w:t>
            </w:r>
          </w:p>
        </w:tc>
      </w:tr>
      <w:tr w:rsidR="00395942" w:rsidRPr="00AF1814" w14:paraId="79BA3C3A"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23593142" w14:textId="77777777" w:rsidR="00395942" w:rsidRPr="00AF1814" w:rsidRDefault="00395942" w:rsidP="00060D53">
            <w:pPr>
              <w:pStyle w:val="BodyText"/>
              <w:widowControl w:val="0"/>
              <w:spacing w:before="120"/>
            </w:pPr>
            <w:r w:rsidRPr="00AF1814">
              <w:t>CT</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2FC37DB4" w14:textId="77777777" w:rsidR="00395942" w:rsidRPr="00AF1814" w:rsidRDefault="00395942" w:rsidP="00060D53">
            <w:pPr>
              <w:pStyle w:val="BodyText"/>
              <w:widowControl w:val="0"/>
              <w:spacing w:before="120"/>
            </w:pPr>
            <w:r w:rsidRPr="00AF1814">
              <w:t>Computed tomography</w:t>
            </w:r>
          </w:p>
        </w:tc>
      </w:tr>
      <w:tr w:rsidR="00395942" w:rsidRPr="00AF1814" w14:paraId="1E854092"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78A5751A" w14:textId="77777777" w:rsidR="00395942" w:rsidRPr="00AF1814" w:rsidRDefault="00395942" w:rsidP="00060D53">
            <w:pPr>
              <w:pStyle w:val="BodyText"/>
              <w:widowControl w:val="0"/>
              <w:spacing w:before="120"/>
            </w:pPr>
            <w:r w:rsidRPr="00AF1814">
              <w:t>CTLA-4</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7E8A6658" w14:textId="77777777" w:rsidR="00395942" w:rsidRPr="00AF1814" w:rsidRDefault="00395942" w:rsidP="00060D53">
            <w:pPr>
              <w:pStyle w:val="BodyText"/>
              <w:widowControl w:val="0"/>
              <w:spacing w:before="120"/>
            </w:pPr>
            <w:r w:rsidRPr="00AF1814">
              <w:t>Cytotoxic T-cell lymphocyte-associated antigen-4</w:t>
            </w:r>
          </w:p>
        </w:tc>
      </w:tr>
      <w:tr w:rsidR="00395942" w:rsidRPr="00AF1814" w14:paraId="2D6E42FD"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790AEB97" w14:textId="77777777" w:rsidR="00395942" w:rsidRPr="00AF1814" w:rsidRDefault="00395942" w:rsidP="00060D53">
            <w:pPr>
              <w:pStyle w:val="BodyText"/>
              <w:widowControl w:val="0"/>
              <w:spacing w:before="120"/>
            </w:pPr>
            <w:r w:rsidRPr="00AF1814">
              <w:t>D</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32FCF5CB" w14:textId="77777777" w:rsidR="00395942" w:rsidRPr="00AF1814" w:rsidRDefault="00395942" w:rsidP="00060D53">
            <w:pPr>
              <w:pStyle w:val="BodyText"/>
              <w:widowControl w:val="0"/>
              <w:spacing w:before="120"/>
            </w:pPr>
            <w:r w:rsidRPr="00AF1814">
              <w:t>Day</w:t>
            </w:r>
          </w:p>
        </w:tc>
      </w:tr>
      <w:tr w:rsidR="00395942" w:rsidRPr="00AF1814" w14:paraId="77CCC2DE"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7A0CC05E" w14:textId="77777777" w:rsidR="00395942" w:rsidRPr="00AF1814" w:rsidRDefault="00395942" w:rsidP="00060D53">
            <w:pPr>
              <w:pStyle w:val="BodyText"/>
              <w:widowControl w:val="0"/>
              <w:spacing w:before="120"/>
            </w:pPr>
            <w:r w:rsidRPr="00AF1814">
              <w:t>DLT</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563CDBE5" w14:textId="77777777" w:rsidR="00395942" w:rsidRPr="00AF1814" w:rsidRDefault="00395942" w:rsidP="00060D53">
            <w:pPr>
              <w:pStyle w:val="BodyText"/>
              <w:widowControl w:val="0"/>
              <w:spacing w:before="120"/>
            </w:pPr>
            <w:r w:rsidRPr="00AF1814">
              <w:t>Dose-limiting toxicity</w:t>
            </w:r>
          </w:p>
        </w:tc>
      </w:tr>
      <w:tr w:rsidR="00395942" w:rsidRPr="00AF1814" w14:paraId="584815AF"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055CC752" w14:textId="77777777" w:rsidR="00395942" w:rsidRPr="00AF1814" w:rsidRDefault="00395942" w:rsidP="00060D53">
            <w:pPr>
              <w:pStyle w:val="BodyText"/>
              <w:widowControl w:val="0"/>
              <w:spacing w:before="120"/>
            </w:pPr>
            <w:r w:rsidRPr="00AF1814">
              <w:t>DNA</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53575441" w14:textId="77777777" w:rsidR="00395942" w:rsidRPr="00AF1814" w:rsidRDefault="00395942" w:rsidP="00060D53">
            <w:pPr>
              <w:pStyle w:val="BodyText"/>
              <w:widowControl w:val="0"/>
              <w:spacing w:before="120"/>
            </w:pPr>
            <w:r w:rsidRPr="00AF1814">
              <w:t>Deoxyribonucleic acid</w:t>
            </w:r>
          </w:p>
        </w:tc>
      </w:tr>
      <w:tr w:rsidR="00395942" w:rsidRPr="00AF1814" w14:paraId="77B04540"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6074ACC5" w14:textId="77777777" w:rsidR="00395942" w:rsidRPr="00AF1814" w:rsidRDefault="00395942" w:rsidP="00060D53">
            <w:pPr>
              <w:pStyle w:val="BodyText"/>
              <w:widowControl w:val="0"/>
              <w:spacing w:before="120"/>
            </w:pPr>
            <w:r w:rsidRPr="00AF1814">
              <w:t>DoR</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7714E55E" w14:textId="77777777" w:rsidR="00395942" w:rsidRPr="00AF1814" w:rsidRDefault="00395942" w:rsidP="00060D53">
            <w:pPr>
              <w:pStyle w:val="BodyText"/>
              <w:widowControl w:val="0"/>
              <w:spacing w:before="120"/>
            </w:pPr>
            <w:r w:rsidRPr="00AF1814">
              <w:t>Duration of response</w:t>
            </w:r>
          </w:p>
        </w:tc>
      </w:tr>
      <w:tr w:rsidR="00395942" w:rsidRPr="00AF1814" w14:paraId="7D7B7470"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405D9D10" w14:textId="77777777" w:rsidR="00395942" w:rsidRPr="00AF1814" w:rsidRDefault="00395942" w:rsidP="00060D53">
            <w:pPr>
              <w:pStyle w:val="BodyText"/>
              <w:widowControl w:val="0"/>
              <w:spacing w:before="120"/>
            </w:pPr>
            <w:r w:rsidRPr="00AF1814">
              <w:t>EBRT</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625F4F8B" w14:textId="77777777" w:rsidR="00395942" w:rsidRPr="00AF1814" w:rsidRDefault="00395942" w:rsidP="00060D53">
            <w:pPr>
              <w:pStyle w:val="BodyText"/>
              <w:widowControl w:val="0"/>
              <w:spacing w:before="120"/>
            </w:pPr>
            <w:r w:rsidRPr="00AF1814">
              <w:t>External Beam Radiation Therapy</w:t>
            </w:r>
          </w:p>
        </w:tc>
      </w:tr>
      <w:tr w:rsidR="00395942" w:rsidRPr="00AF1814" w14:paraId="388A15DB"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042EF0F1" w14:textId="77777777" w:rsidR="00395942" w:rsidRPr="00AF1814" w:rsidRDefault="00395942" w:rsidP="00060D53">
            <w:pPr>
              <w:pStyle w:val="BodyText"/>
              <w:widowControl w:val="0"/>
              <w:spacing w:before="120"/>
            </w:pPr>
            <w:r w:rsidRPr="00AF1814">
              <w:t>ECG</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17DDF198" w14:textId="77777777" w:rsidR="00395942" w:rsidRPr="00AF1814" w:rsidRDefault="00395942" w:rsidP="00060D53">
            <w:pPr>
              <w:pStyle w:val="BodyText"/>
              <w:widowControl w:val="0"/>
              <w:spacing w:before="120"/>
            </w:pPr>
            <w:r w:rsidRPr="00AF1814">
              <w:t>Electrocardiogram</w:t>
            </w:r>
          </w:p>
        </w:tc>
      </w:tr>
      <w:tr w:rsidR="00395942" w:rsidRPr="00AF1814" w14:paraId="65EFA866"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247550E5" w14:textId="77777777" w:rsidR="00395942" w:rsidRPr="00AF1814" w:rsidRDefault="00395942" w:rsidP="00060D53">
            <w:pPr>
              <w:pStyle w:val="BodyText"/>
              <w:widowControl w:val="0"/>
              <w:spacing w:before="120"/>
            </w:pPr>
            <w:r w:rsidRPr="00AF1814">
              <w:t>ECOG</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43AD2EF8" w14:textId="77777777" w:rsidR="00395942" w:rsidRPr="00AF1814" w:rsidRDefault="00395942" w:rsidP="00060D53">
            <w:pPr>
              <w:pStyle w:val="BodyText"/>
              <w:widowControl w:val="0"/>
              <w:spacing w:before="120"/>
            </w:pPr>
            <w:r w:rsidRPr="00AF1814">
              <w:t>Eastern Cooperative Oncology Group</w:t>
            </w:r>
          </w:p>
        </w:tc>
      </w:tr>
      <w:tr w:rsidR="00395942" w:rsidRPr="00AF1814" w14:paraId="0D5A45D3"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361C35C2" w14:textId="77777777" w:rsidR="00395942" w:rsidRPr="00AF1814" w:rsidRDefault="00395942" w:rsidP="00060D53">
            <w:pPr>
              <w:pStyle w:val="BodyText"/>
              <w:widowControl w:val="0"/>
              <w:spacing w:before="120"/>
            </w:pPr>
            <w:r w:rsidRPr="00AF1814">
              <w:t>eCRF</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7347321C" w14:textId="77777777" w:rsidR="00395942" w:rsidRPr="00AF1814" w:rsidRDefault="00395942" w:rsidP="00060D53">
            <w:pPr>
              <w:pStyle w:val="BodyText"/>
              <w:widowControl w:val="0"/>
              <w:spacing w:before="120"/>
            </w:pPr>
            <w:r w:rsidRPr="00AF1814">
              <w:t>Electronic case report form</w:t>
            </w:r>
          </w:p>
        </w:tc>
      </w:tr>
      <w:tr w:rsidR="00395942" w:rsidRPr="00AF1814" w14:paraId="500E9039"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5B35679F" w14:textId="77777777" w:rsidR="00395942" w:rsidRPr="00AF1814" w:rsidRDefault="00395942" w:rsidP="00060D53">
            <w:pPr>
              <w:pStyle w:val="BodyText"/>
              <w:widowControl w:val="0"/>
              <w:spacing w:before="120"/>
            </w:pPr>
            <w:r w:rsidRPr="00AF1814">
              <w:t>FAS</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2AD532E7" w14:textId="77777777" w:rsidR="00395942" w:rsidRPr="00AF1814" w:rsidRDefault="00395942" w:rsidP="00060D53">
            <w:pPr>
              <w:pStyle w:val="BodyText"/>
              <w:widowControl w:val="0"/>
              <w:spacing w:before="120"/>
            </w:pPr>
            <w:r w:rsidRPr="00AF1814">
              <w:rPr>
                <w:rStyle w:val="BodyTextChar"/>
              </w:rPr>
              <w:t>Full Analysis Set</w:t>
            </w:r>
          </w:p>
        </w:tc>
      </w:tr>
      <w:tr w:rsidR="00395942" w:rsidRPr="00AF1814" w14:paraId="3BFAA4F1"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59BFBF69" w14:textId="77777777" w:rsidR="00395942" w:rsidRPr="00AF1814" w:rsidRDefault="00395942" w:rsidP="00060D53">
            <w:pPr>
              <w:pStyle w:val="BodyText"/>
              <w:widowControl w:val="0"/>
              <w:spacing w:before="120"/>
            </w:pPr>
            <w:r w:rsidRPr="00AF1814">
              <w:t>FIGO</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2C1EFDC8" w14:textId="77777777" w:rsidR="00395942" w:rsidRPr="00AF1814" w:rsidRDefault="00395942" w:rsidP="00060D53">
            <w:pPr>
              <w:pStyle w:val="BodyText"/>
              <w:widowControl w:val="0"/>
              <w:spacing w:before="120"/>
            </w:pPr>
            <w:r w:rsidRPr="00AF1814">
              <w:t>International Federation of Gynecology and Obstetrics</w:t>
            </w:r>
          </w:p>
        </w:tc>
      </w:tr>
      <w:tr w:rsidR="00395942" w:rsidRPr="00AF1814" w14:paraId="0180D00D" w14:textId="77777777" w:rsidTr="00506AC8">
        <w:tc>
          <w:tcPr>
            <w:tcW w:w="1563" w:type="dxa"/>
            <w:shd w:val="clear" w:color="auto" w:fill="auto"/>
          </w:tcPr>
          <w:p w14:paraId="19968FBD" w14:textId="77777777" w:rsidR="00395942" w:rsidRPr="00AF1814" w:rsidRDefault="00395942" w:rsidP="00060D53">
            <w:pPr>
              <w:pStyle w:val="BodyText"/>
              <w:widowControl w:val="0"/>
              <w:spacing w:before="120"/>
            </w:pPr>
            <w:r w:rsidRPr="00AF1814">
              <w:t>GCP</w:t>
            </w:r>
          </w:p>
        </w:tc>
        <w:tc>
          <w:tcPr>
            <w:tcW w:w="7759" w:type="dxa"/>
            <w:shd w:val="clear" w:color="auto" w:fill="auto"/>
          </w:tcPr>
          <w:p w14:paraId="40150580" w14:textId="77777777" w:rsidR="00395942" w:rsidRPr="00AF1814" w:rsidRDefault="00395942" w:rsidP="00060D53">
            <w:pPr>
              <w:pStyle w:val="BodyText"/>
              <w:widowControl w:val="0"/>
              <w:spacing w:before="120"/>
            </w:pPr>
            <w:r w:rsidRPr="00AF1814">
              <w:t>Good Clinical Practice</w:t>
            </w:r>
          </w:p>
        </w:tc>
      </w:tr>
      <w:tr w:rsidR="00395942" w:rsidRPr="00AF1814" w14:paraId="253BA49F" w14:textId="77777777" w:rsidTr="00506AC8">
        <w:tc>
          <w:tcPr>
            <w:tcW w:w="1563" w:type="dxa"/>
            <w:shd w:val="clear" w:color="auto" w:fill="auto"/>
          </w:tcPr>
          <w:p w14:paraId="45BA4050" w14:textId="77777777" w:rsidR="00395942" w:rsidRPr="00AF1814" w:rsidRDefault="00395942" w:rsidP="00060D53">
            <w:pPr>
              <w:pStyle w:val="BodyText"/>
              <w:widowControl w:val="0"/>
              <w:spacing w:before="120"/>
            </w:pPr>
            <w:r w:rsidRPr="00AF1814">
              <w:lastRenderedPageBreak/>
              <w:t>G-CSF</w:t>
            </w:r>
          </w:p>
        </w:tc>
        <w:tc>
          <w:tcPr>
            <w:tcW w:w="7759" w:type="dxa"/>
            <w:shd w:val="clear" w:color="auto" w:fill="auto"/>
          </w:tcPr>
          <w:p w14:paraId="154222BF" w14:textId="77777777" w:rsidR="00395942" w:rsidRPr="00AF1814" w:rsidRDefault="00395942" w:rsidP="00060D53">
            <w:pPr>
              <w:pStyle w:val="BodyText"/>
              <w:widowControl w:val="0"/>
              <w:spacing w:before="120"/>
            </w:pPr>
            <w:r w:rsidRPr="00AF1814">
              <w:t>Granulocyte-colony stimulating factor</w:t>
            </w:r>
          </w:p>
        </w:tc>
      </w:tr>
      <w:tr w:rsidR="00395942" w:rsidRPr="00AF1814" w14:paraId="1AC0CDB1"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7C273A2E" w14:textId="77777777" w:rsidR="00395942" w:rsidRPr="00AF1814" w:rsidRDefault="00395942" w:rsidP="00060D53">
            <w:pPr>
              <w:pStyle w:val="BodyText"/>
              <w:widowControl w:val="0"/>
              <w:spacing w:before="120"/>
            </w:pPr>
            <w:r w:rsidRPr="00AF1814">
              <w:t>GI</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07EFEF6D" w14:textId="77777777" w:rsidR="00395942" w:rsidRPr="00AF1814" w:rsidRDefault="00395942" w:rsidP="00060D53">
            <w:pPr>
              <w:pStyle w:val="BodyText"/>
              <w:widowControl w:val="0"/>
              <w:spacing w:before="120"/>
            </w:pPr>
            <w:r w:rsidRPr="00AF1814">
              <w:t>Gastrointestinal</w:t>
            </w:r>
          </w:p>
        </w:tc>
      </w:tr>
      <w:tr w:rsidR="00395942" w:rsidRPr="00AF1814" w14:paraId="564D391D"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719FAF67" w14:textId="77777777" w:rsidR="00395942" w:rsidRPr="00AF1814" w:rsidRDefault="00395942" w:rsidP="00060D53">
            <w:pPr>
              <w:pStyle w:val="BodyText"/>
              <w:widowControl w:val="0"/>
              <w:spacing w:before="120"/>
            </w:pPr>
            <w:r w:rsidRPr="00AF1814">
              <w:t>HBV</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1618F3CA" w14:textId="77777777" w:rsidR="00395942" w:rsidRPr="00AF1814" w:rsidRDefault="00395942" w:rsidP="00060D53">
            <w:pPr>
              <w:pStyle w:val="BodyText"/>
              <w:widowControl w:val="0"/>
              <w:spacing w:before="120"/>
            </w:pPr>
            <w:r w:rsidRPr="00AF1814">
              <w:t>Hepatitis B virus</w:t>
            </w:r>
          </w:p>
        </w:tc>
      </w:tr>
      <w:tr w:rsidR="00395942" w:rsidRPr="00AF1814" w14:paraId="291328BA"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6B94F83B" w14:textId="77777777" w:rsidR="00395942" w:rsidRPr="00AF1814" w:rsidRDefault="00395942" w:rsidP="00060D53">
            <w:pPr>
              <w:pStyle w:val="BodyText"/>
              <w:widowControl w:val="0"/>
              <w:spacing w:before="120"/>
            </w:pPr>
            <w:r w:rsidRPr="00AF1814">
              <w:t>HCV</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4D03E273" w14:textId="77777777" w:rsidR="00395942" w:rsidRPr="00AF1814" w:rsidRDefault="00395942" w:rsidP="00060D53">
            <w:pPr>
              <w:pStyle w:val="BodyText"/>
              <w:widowControl w:val="0"/>
              <w:spacing w:before="120"/>
            </w:pPr>
            <w:r w:rsidRPr="00AF1814">
              <w:t>Hepatitis C virus</w:t>
            </w:r>
          </w:p>
        </w:tc>
      </w:tr>
      <w:tr w:rsidR="00395942" w:rsidRPr="00AF1814" w14:paraId="188DC709"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5F0E1DF7" w14:textId="77777777" w:rsidR="00395942" w:rsidRPr="00AF1814" w:rsidRDefault="00395942" w:rsidP="00060D53">
            <w:pPr>
              <w:pStyle w:val="BodyText"/>
              <w:widowControl w:val="0"/>
              <w:spacing w:before="120"/>
            </w:pPr>
            <w:r w:rsidRPr="00AF1814">
              <w:t>HIV</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3BA087FD" w14:textId="77777777" w:rsidR="00395942" w:rsidRPr="00AF1814" w:rsidRDefault="00395942" w:rsidP="00060D53">
            <w:pPr>
              <w:pStyle w:val="BodyText"/>
              <w:widowControl w:val="0"/>
              <w:spacing w:before="120"/>
            </w:pPr>
            <w:r w:rsidRPr="00AF1814">
              <w:t>Human immunodeficiency virus</w:t>
            </w:r>
          </w:p>
        </w:tc>
      </w:tr>
      <w:tr w:rsidR="00395942" w:rsidRPr="00AF1814" w14:paraId="2F040077" w14:textId="77777777" w:rsidTr="00506AC8">
        <w:tc>
          <w:tcPr>
            <w:tcW w:w="1563" w:type="dxa"/>
            <w:shd w:val="clear" w:color="auto" w:fill="auto"/>
          </w:tcPr>
          <w:p w14:paraId="12195ABF" w14:textId="77777777" w:rsidR="00395942" w:rsidRPr="00AF1814" w:rsidRDefault="00395942" w:rsidP="00060D53">
            <w:pPr>
              <w:pStyle w:val="BodyText"/>
              <w:widowControl w:val="0"/>
              <w:spacing w:before="120"/>
            </w:pPr>
            <w:r w:rsidRPr="00AF1814">
              <w:t>HPV</w:t>
            </w:r>
          </w:p>
        </w:tc>
        <w:tc>
          <w:tcPr>
            <w:tcW w:w="7759" w:type="dxa"/>
            <w:shd w:val="clear" w:color="auto" w:fill="auto"/>
          </w:tcPr>
          <w:p w14:paraId="71BB06E2" w14:textId="77777777" w:rsidR="00395942" w:rsidRPr="00AF1814" w:rsidRDefault="00395942" w:rsidP="00060D53">
            <w:pPr>
              <w:pStyle w:val="BodyText"/>
              <w:widowControl w:val="0"/>
              <w:spacing w:before="120"/>
            </w:pPr>
            <w:r w:rsidRPr="00AF1814">
              <w:t>Human papilloma virus</w:t>
            </w:r>
          </w:p>
        </w:tc>
      </w:tr>
      <w:tr w:rsidR="00395942" w:rsidRPr="00AF1814" w14:paraId="1C5552FB" w14:textId="77777777" w:rsidTr="00506AC8">
        <w:tc>
          <w:tcPr>
            <w:tcW w:w="1563" w:type="dxa"/>
            <w:shd w:val="clear" w:color="auto" w:fill="auto"/>
          </w:tcPr>
          <w:p w14:paraId="4792B284" w14:textId="77777777" w:rsidR="00395942" w:rsidRPr="00AF1814" w:rsidRDefault="00395942" w:rsidP="00060D53">
            <w:pPr>
              <w:pStyle w:val="BodyText"/>
              <w:widowControl w:val="0"/>
              <w:spacing w:before="120"/>
            </w:pPr>
            <w:r w:rsidRPr="00AF1814">
              <w:t>HRT</w:t>
            </w:r>
          </w:p>
        </w:tc>
        <w:tc>
          <w:tcPr>
            <w:tcW w:w="7759" w:type="dxa"/>
            <w:shd w:val="clear" w:color="auto" w:fill="auto"/>
          </w:tcPr>
          <w:p w14:paraId="61D75143" w14:textId="77777777" w:rsidR="00395942" w:rsidRPr="00AF1814" w:rsidRDefault="00395942" w:rsidP="00060D53">
            <w:pPr>
              <w:pStyle w:val="BodyText"/>
              <w:widowControl w:val="0"/>
              <w:spacing w:before="120"/>
              <w:rPr>
                <w:b/>
                <w:bCs/>
              </w:rPr>
            </w:pPr>
            <w:r w:rsidRPr="00AF1814">
              <w:rPr>
                <w:lang w:val="en-GB" w:eastAsia="en-GB"/>
              </w:rPr>
              <w:t>Hormonal replacement therapy</w:t>
            </w:r>
          </w:p>
        </w:tc>
      </w:tr>
      <w:tr w:rsidR="00395942" w:rsidRPr="00AF1814" w14:paraId="6B55465D"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105D2048" w14:textId="77777777" w:rsidR="00395942" w:rsidRPr="00AF1814" w:rsidRDefault="00395942" w:rsidP="00060D53">
            <w:pPr>
              <w:pStyle w:val="BodyText"/>
              <w:widowControl w:val="0"/>
              <w:spacing w:before="120"/>
            </w:pPr>
            <w:r w:rsidRPr="00AF1814">
              <w:t>IAP</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5FAC2D5E" w14:textId="77777777" w:rsidR="00395942" w:rsidRPr="00AF1814" w:rsidRDefault="00395942" w:rsidP="00060D53">
            <w:pPr>
              <w:pStyle w:val="BodyText"/>
              <w:widowControl w:val="0"/>
              <w:spacing w:before="120"/>
            </w:pPr>
            <w:r w:rsidRPr="00AF1814">
              <w:t>Integrated Analysis Plan</w:t>
            </w:r>
          </w:p>
        </w:tc>
      </w:tr>
      <w:tr w:rsidR="00395942" w:rsidRPr="00AF1814" w14:paraId="20F83951" w14:textId="77777777" w:rsidTr="00506AC8">
        <w:tc>
          <w:tcPr>
            <w:tcW w:w="1563" w:type="dxa"/>
            <w:shd w:val="clear" w:color="auto" w:fill="auto"/>
          </w:tcPr>
          <w:p w14:paraId="4179481C" w14:textId="77777777" w:rsidR="00395942" w:rsidRPr="00AF1814" w:rsidRDefault="00395942" w:rsidP="00060D53">
            <w:pPr>
              <w:pStyle w:val="BodyText"/>
              <w:widowControl w:val="0"/>
              <w:spacing w:before="120"/>
            </w:pPr>
            <w:r w:rsidRPr="00AF1814">
              <w:t>IB</w:t>
            </w:r>
          </w:p>
        </w:tc>
        <w:tc>
          <w:tcPr>
            <w:tcW w:w="7759" w:type="dxa"/>
            <w:shd w:val="clear" w:color="auto" w:fill="auto"/>
          </w:tcPr>
          <w:p w14:paraId="64D02A6B" w14:textId="77777777" w:rsidR="00395942" w:rsidRPr="00AF1814" w:rsidRDefault="00395942" w:rsidP="00060D53">
            <w:pPr>
              <w:pStyle w:val="BodyText"/>
              <w:widowControl w:val="0"/>
              <w:spacing w:before="120"/>
            </w:pPr>
            <w:r w:rsidRPr="00AF1814">
              <w:t>Investigator’s Brochure</w:t>
            </w:r>
          </w:p>
        </w:tc>
      </w:tr>
      <w:tr w:rsidR="00395942" w:rsidRPr="00AF1814" w14:paraId="2CB04AEB"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6DBBA839" w14:textId="77777777" w:rsidR="00395942" w:rsidRPr="00AF1814" w:rsidRDefault="00395942" w:rsidP="00060D53">
            <w:pPr>
              <w:pStyle w:val="BodyText"/>
              <w:widowControl w:val="0"/>
              <w:spacing w:before="120"/>
            </w:pPr>
            <w:r w:rsidRPr="00AF1814">
              <w:t>ICF</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53317DB4" w14:textId="77777777" w:rsidR="00395942" w:rsidRPr="00AF1814" w:rsidRDefault="00395942" w:rsidP="00060D53">
            <w:pPr>
              <w:pStyle w:val="BodyText"/>
              <w:widowControl w:val="0"/>
              <w:spacing w:before="120"/>
            </w:pPr>
            <w:r w:rsidRPr="00AF1814">
              <w:t>Informed consent form</w:t>
            </w:r>
          </w:p>
        </w:tc>
      </w:tr>
      <w:tr w:rsidR="00395942" w:rsidRPr="00AF1814" w14:paraId="53BAE87F"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0236DBC3" w14:textId="77777777" w:rsidR="00395942" w:rsidRPr="00AF1814" w:rsidRDefault="00395942" w:rsidP="00060D53">
            <w:pPr>
              <w:pStyle w:val="BodyText"/>
              <w:widowControl w:val="0"/>
              <w:spacing w:before="120"/>
            </w:pPr>
            <w:r w:rsidRPr="00AF1814">
              <w:t>ICH</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0D9978C5" w14:textId="77777777" w:rsidR="00395942" w:rsidRPr="00AF1814" w:rsidRDefault="00395942" w:rsidP="00060D53">
            <w:pPr>
              <w:pStyle w:val="BodyText"/>
              <w:widowControl w:val="0"/>
              <w:spacing w:before="120"/>
            </w:pPr>
            <w:r w:rsidRPr="00AF1814">
              <w:t>International Council for Harmonisation</w:t>
            </w:r>
          </w:p>
        </w:tc>
      </w:tr>
      <w:tr w:rsidR="00395942" w:rsidRPr="00AF1814" w14:paraId="02F3F4B8" w14:textId="77777777" w:rsidTr="00506AC8">
        <w:tc>
          <w:tcPr>
            <w:tcW w:w="1563" w:type="dxa"/>
            <w:shd w:val="clear" w:color="auto" w:fill="auto"/>
          </w:tcPr>
          <w:p w14:paraId="44763331" w14:textId="77777777" w:rsidR="00395942" w:rsidRPr="00AF1814" w:rsidRDefault="00395942" w:rsidP="00060D53">
            <w:pPr>
              <w:pStyle w:val="BodyText"/>
              <w:widowControl w:val="0"/>
              <w:spacing w:before="120"/>
            </w:pPr>
            <w:r w:rsidRPr="00AF1814">
              <w:t>IEC</w:t>
            </w:r>
          </w:p>
        </w:tc>
        <w:tc>
          <w:tcPr>
            <w:tcW w:w="7759" w:type="dxa"/>
            <w:shd w:val="clear" w:color="auto" w:fill="auto"/>
          </w:tcPr>
          <w:p w14:paraId="0596BD97" w14:textId="77777777" w:rsidR="00395942" w:rsidRPr="00AF1814" w:rsidRDefault="00395942" w:rsidP="00060D53">
            <w:pPr>
              <w:pStyle w:val="BodyText"/>
              <w:widowControl w:val="0"/>
              <w:spacing w:before="120"/>
            </w:pPr>
            <w:r w:rsidRPr="00AF1814">
              <w:t>Independent Ethics Committee</w:t>
            </w:r>
          </w:p>
        </w:tc>
      </w:tr>
      <w:tr w:rsidR="00395942" w:rsidRPr="00AF1814" w14:paraId="50A2A5F2"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63FFE66C" w14:textId="77777777" w:rsidR="00395942" w:rsidRPr="00AF1814" w:rsidRDefault="00395942" w:rsidP="00060D53">
            <w:pPr>
              <w:pStyle w:val="BodyText"/>
              <w:widowControl w:val="0"/>
              <w:spacing w:before="120"/>
            </w:pPr>
            <w:r w:rsidRPr="00AF1814">
              <w:t>INR</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6B37A430" w14:textId="77777777" w:rsidR="00395942" w:rsidRPr="00AF1814" w:rsidRDefault="00395942" w:rsidP="00060D53">
            <w:pPr>
              <w:pStyle w:val="BodyText"/>
              <w:widowControl w:val="0"/>
              <w:spacing w:before="120"/>
            </w:pPr>
            <w:r w:rsidRPr="00AF1814">
              <w:t>International normalized ratio</w:t>
            </w:r>
          </w:p>
        </w:tc>
      </w:tr>
      <w:tr w:rsidR="00395942" w:rsidRPr="00AF1814" w14:paraId="36D6B209"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0AC50CF5" w14:textId="77777777" w:rsidR="00395942" w:rsidRPr="00AF1814" w:rsidRDefault="00395942" w:rsidP="00060D53">
            <w:pPr>
              <w:pStyle w:val="BodyText"/>
              <w:widowControl w:val="0"/>
              <w:spacing w:before="120"/>
            </w:pPr>
            <w:r w:rsidRPr="00AF1814">
              <w:t>irAE</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448ED6E4" w14:textId="77777777" w:rsidR="00395942" w:rsidRPr="00AF1814" w:rsidRDefault="00395942" w:rsidP="00060D53">
            <w:pPr>
              <w:pStyle w:val="BodyText"/>
              <w:widowControl w:val="0"/>
              <w:spacing w:before="120"/>
            </w:pPr>
            <w:r w:rsidRPr="00AF1814">
              <w:t>Immune-related adverse event</w:t>
            </w:r>
          </w:p>
        </w:tc>
      </w:tr>
      <w:tr w:rsidR="00395942" w:rsidRPr="00AF1814" w14:paraId="4B3813ED" w14:textId="77777777" w:rsidTr="00506AC8">
        <w:tc>
          <w:tcPr>
            <w:tcW w:w="1563" w:type="dxa"/>
            <w:shd w:val="clear" w:color="auto" w:fill="auto"/>
          </w:tcPr>
          <w:p w14:paraId="6578C880" w14:textId="77777777" w:rsidR="00395942" w:rsidRPr="00AF1814" w:rsidRDefault="00395942" w:rsidP="00060D53">
            <w:pPr>
              <w:pStyle w:val="BodyText"/>
              <w:widowControl w:val="0"/>
              <w:spacing w:before="120"/>
            </w:pPr>
            <w:r w:rsidRPr="00AF1814">
              <w:t>IRB</w:t>
            </w:r>
          </w:p>
        </w:tc>
        <w:tc>
          <w:tcPr>
            <w:tcW w:w="7759" w:type="dxa"/>
            <w:shd w:val="clear" w:color="auto" w:fill="auto"/>
          </w:tcPr>
          <w:p w14:paraId="65B0D068" w14:textId="77777777" w:rsidR="00395942" w:rsidRPr="00AF1814" w:rsidRDefault="00395942" w:rsidP="00060D53">
            <w:pPr>
              <w:pStyle w:val="BodyText"/>
              <w:widowControl w:val="0"/>
              <w:spacing w:before="120"/>
            </w:pPr>
            <w:r w:rsidRPr="00AF1814">
              <w:t>Institutional Review Board</w:t>
            </w:r>
          </w:p>
        </w:tc>
      </w:tr>
      <w:tr w:rsidR="00395942" w:rsidRPr="00AF1814" w14:paraId="2FCF58A8"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41614563" w14:textId="77777777" w:rsidR="00395942" w:rsidRPr="00AF1814" w:rsidRDefault="00395942" w:rsidP="00060D53">
            <w:pPr>
              <w:pStyle w:val="BodyText"/>
              <w:widowControl w:val="0"/>
              <w:spacing w:before="120"/>
            </w:pPr>
            <w:r w:rsidRPr="00AF1814">
              <w:t>IRR</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4BAFBC15" w14:textId="77777777" w:rsidR="00395942" w:rsidRPr="00AF1814" w:rsidRDefault="00395942" w:rsidP="00060D53">
            <w:pPr>
              <w:pStyle w:val="BodyText"/>
              <w:widowControl w:val="0"/>
              <w:spacing w:before="120"/>
            </w:pPr>
            <w:r w:rsidRPr="00AF1814">
              <w:t>Infusion-related reaction</w:t>
            </w:r>
          </w:p>
        </w:tc>
      </w:tr>
      <w:tr w:rsidR="00395942" w:rsidRPr="00AF1814" w14:paraId="508E98A1" w14:textId="77777777" w:rsidTr="00506AC8">
        <w:tc>
          <w:tcPr>
            <w:tcW w:w="1563" w:type="dxa"/>
            <w:shd w:val="clear" w:color="auto" w:fill="auto"/>
          </w:tcPr>
          <w:p w14:paraId="4088F581" w14:textId="77777777" w:rsidR="00395942" w:rsidRPr="00AF1814" w:rsidRDefault="00395942" w:rsidP="00060D53">
            <w:pPr>
              <w:pStyle w:val="BodyText"/>
              <w:widowControl w:val="0"/>
              <w:spacing w:before="120"/>
            </w:pPr>
            <w:r w:rsidRPr="00AF1814">
              <w:t>IWRS</w:t>
            </w:r>
          </w:p>
        </w:tc>
        <w:tc>
          <w:tcPr>
            <w:tcW w:w="7759" w:type="dxa"/>
            <w:shd w:val="clear" w:color="auto" w:fill="auto"/>
          </w:tcPr>
          <w:p w14:paraId="613F32D9" w14:textId="77777777" w:rsidR="00395942" w:rsidRPr="00AF1814" w:rsidRDefault="00395942" w:rsidP="00060D53">
            <w:pPr>
              <w:pStyle w:val="BodyText"/>
              <w:widowControl w:val="0"/>
              <w:spacing w:before="120"/>
            </w:pPr>
            <w:r w:rsidRPr="00AF1814">
              <w:t>Interactive Web Response System</w:t>
            </w:r>
          </w:p>
        </w:tc>
      </w:tr>
      <w:tr w:rsidR="00395942" w:rsidRPr="00AF1814" w14:paraId="37FF0226"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0982449D" w14:textId="77777777" w:rsidR="00395942" w:rsidRPr="00AF1814" w:rsidRDefault="00395942" w:rsidP="00060D53">
            <w:pPr>
              <w:pStyle w:val="BodyText"/>
              <w:widowControl w:val="0"/>
              <w:spacing w:before="120"/>
            </w:pPr>
            <w:r w:rsidRPr="00AF1814">
              <w:t>KA</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658EF2A1" w14:textId="77777777" w:rsidR="00395942" w:rsidRPr="00AF1814" w:rsidRDefault="00395942" w:rsidP="00060D53">
            <w:pPr>
              <w:pStyle w:val="BodyText"/>
              <w:widowControl w:val="0"/>
              <w:spacing w:before="120"/>
            </w:pPr>
            <w:r w:rsidRPr="00AF1814">
              <w:t>Keratoacanthoma</w:t>
            </w:r>
          </w:p>
        </w:tc>
      </w:tr>
      <w:tr w:rsidR="00395942" w:rsidRPr="00AF1814" w14:paraId="526A01F1"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4D0248B7" w14:textId="77777777" w:rsidR="00395942" w:rsidRPr="00AF1814" w:rsidRDefault="00395942" w:rsidP="00060D53">
            <w:pPr>
              <w:pStyle w:val="BodyText"/>
              <w:widowControl w:val="0"/>
              <w:spacing w:before="120"/>
            </w:pPr>
            <w:r w:rsidRPr="00AF1814">
              <w:t>MRI</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6BAC774F" w14:textId="77777777" w:rsidR="00395942" w:rsidRPr="00AF1814" w:rsidRDefault="00395942" w:rsidP="00060D53">
            <w:pPr>
              <w:pStyle w:val="BodyText"/>
              <w:widowControl w:val="0"/>
              <w:spacing w:before="120"/>
            </w:pPr>
            <w:r w:rsidRPr="00AF1814">
              <w:t>Magnetic resonance imaging</w:t>
            </w:r>
          </w:p>
        </w:tc>
      </w:tr>
      <w:tr w:rsidR="00395942" w:rsidRPr="00AF1814" w14:paraId="03AF25B5"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47D95849" w14:textId="77777777" w:rsidR="00395942" w:rsidRPr="00AF1814" w:rsidRDefault="00395942" w:rsidP="00060D53">
            <w:pPr>
              <w:pStyle w:val="BodyText"/>
              <w:widowControl w:val="0"/>
              <w:spacing w:before="120"/>
            </w:pPr>
            <w:r w:rsidRPr="00AF1814">
              <w:t>N</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781CCB46" w14:textId="77777777" w:rsidR="00395942" w:rsidRPr="00AF1814" w:rsidRDefault="00395942" w:rsidP="00060D53">
            <w:pPr>
              <w:pStyle w:val="BodyText"/>
              <w:widowControl w:val="0"/>
              <w:spacing w:before="120"/>
            </w:pPr>
            <w:r w:rsidRPr="00AF1814">
              <w:t>Number of participants</w:t>
            </w:r>
          </w:p>
        </w:tc>
      </w:tr>
      <w:tr w:rsidR="00395942" w:rsidRPr="00AF1814" w14:paraId="5E8C869B"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71464C2B" w14:textId="77777777" w:rsidR="00395942" w:rsidRPr="00AF1814" w:rsidRDefault="00395942" w:rsidP="00060D53">
            <w:pPr>
              <w:pStyle w:val="BodyText"/>
              <w:widowControl w:val="0"/>
              <w:spacing w:before="120"/>
            </w:pPr>
            <w:r w:rsidRPr="00AF1814">
              <w:t>NCCN</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30E50F66" w14:textId="77777777" w:rsidR="00395942" w:rsidRPr="00AF1814" w:rsidRDefault="00395942" w:rsidP="00060D53">
            <w:pPr>
              <w:pStyle w:val="BodyText"/>
              <w:widowControl w:val="0"/>
              <w:spacing w:before="120"/>
            </w:pPr>
            <w:r w:rsidRPr="00AF1814">
              <w:rPr>
                <w:rFonts w:eastAsia="MS Mincho"/>
                <w:lang w:eastAsia="ja-JP" w:bidi="he-IL"/>
              </w:rPr>
              <w:t>National Comprehensive Cancer Network</w:t>
            </w:r>
          </w:p>
        </w:tc>
      </w:tr>
      <w:tr w:rsidR="00395942" w:rsidRPr="00AF1814" w14:paraId="2AF627B6"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5014DE3F" w14:textId="77777777" w:rsidR="00395942" w:rsidRPr="00AF1814" w:rsidRDefault="00395942" w:rsidP="00060D53">
            <w:pPr>
              <w:pStyle w:val="BodyText"/>
              <w:widowControl w:val="0"/>
              <w:spacing w:before="120"/>
            </w:pPr>
            <w:r w:rsidRPr="00AF1814">
              <w:t>NCI-CTCAE</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4B9EECFB" w14:textId="77777777" w:rsidR="00395942" w:rsidRPr="00AF1814" w:rsidRDefault="00395942" w:rsidP="00060D53">
            <w:pPr>
              <w:pStyle w:val="BodyText"/>
              <w:widowControl w:val="0"/>
              <w:spacing w:before="120"/>
            </w:pPr>
            <w:r w:rsidRPr="00AF1814">
              <w:t>National Cancer Institute-Common Terminology Criteria for Adverse Event</w:t>
            </w:r>
          </w:p>
        </w:tc>
      </w:tr>
      <w:tr w:rsidR="00395942" w:rsidRPr="00AF1814" w14:paraId="68C79C19"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405E3261" w14:textId="77777777" w:rsidR="00395942" w:rsidRPr="00AF1814" w:rsidRDefault="00395942" w:rsidP="00060D53">
            <w:pPr>
              <w:pStyle w:val="BodyText"/>
              <w:widowControl w:val="0"/>
              <w:spacing w:before="120"/>
            </w:pPr>
            <w:r w:rsidRPr="00AF1814">
              <w:t>NSCLC</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78BF9517" w14:textId="77777777" w:rsidR="00395942" w:rsidRPr="00AF1814" w:rsidRDefault="00395942" w:rsidP="00060D53">
            <w:pPr>
              <w:pStyle w:val="BodyText"/>
              <w:widowControl w:val="0"/>
              <w:spacing w:before="120"/>
            </w:pPr>
            <w:r w:rsidRPr="00AF1814">
              <w:t>Non</w:t>
            </w:r>
            <w:r w:rsidRPr="00AF1814">
              <w:noBreakHyphen/>
              <w:t>small cell lung cancer</w:t>
            </w:r>
          </w:p>
        </w:tc>
      </w:tr>
      <w:tr w:rsidR="00395942" w:rsidRPr="00AF1814" w14:paraId="0679F667"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4CBC57F4" w14:textId="77777777" w:rsidR="00395942" w:rsidRPr="00AF1814" w:rsidRDefault="00395942" w:rsidP="00060D53">
            <w:pPr>
              <w:pStyle w:val="BodyText"/>
              <w:widowControl w:val="0"/>
              <w:spacing w:before="120"/>
            </w:pPr>
            <w:r w:rsidRPr="00AF1814">
              <w:t>ORR</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7087028E" w14:textId="77777777" w:rsidR="00395942" w:rsidRPr="00AF1814" w:rsidRDefault="00395942" w:rsidP="00060D53">
            <w:pPr>
              <w:pStyle w:val="BodyText"/>
              <w:widowControl w:val="0"/>
              <w:spacing w:before="120"/>
            </w:pPr>
            <w:r w:rsidRPr="00AF1814">
              <w:t>Objective response rate</w:t>
            </w:r>
          </w:p>
        </w:tc>
      </w:tr>
      <w:tr w:rsidR="00395942" w:rsidRPr="00AF1814" w14:paraId="3269DF9E"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0FEE87CA" w14:textId="77777777" w:rsidR="00395942" w:rsidRPr="00AF1814" w:rsidRDefault="00395942" w:rsidP="00060D53">
            <w:pPr>
              <w:pStyle w:val="BodyText"/>
              <w:widowControl w:val="0"/>
              <w:spacing w:before="120"/>
            </w:pPr>
            <w:r w:rsidRPr="00AF1814">
              <w:t>OS</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4CDC16F7" w14:textId="77777777" w:rsidR="00395942" w:rsidRPr="00AF1814" w:rsidRDefault="00395942" w:rsidP="00060D53">
            <w:pPr>
              <w:pStyle w:val="BodyText"/>
              <w:widowControl w:val="0"/>
              <w:spacing w:before="120"/>
            </w:pPr>
            <w:r w:rsidRPr="00AF1814">
              <w:t>Overall survival</w:t>
            </w:r>
          </w:p>
        </w:tc>
      </w:tr>
      <w:tr w:rsidR="00395942" w:rsidRPr="00AF1814" w14:paraId="09378068"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22B47ABB" w14:textId="77777777" w:rsidR="00395942" w:rsidRPr="00AF1814" w:rsidRDefault="00395942" w:rsidP="00060D53">
            <w:pPr>
              <w:pStyle w:val="BodyText"/>
              <w:widowControl w:val="0"/>
              <w:spacing w:before="120"/>
            </w:pPr>
            <w:r w:rsidRPr="00AF1814">
              <w:t>PD</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00D5129B" w14:textId="77777777" w:rsidR="00395942" w:rsidRPr="00AF1814" w:rsidRDefault="00395942" w:rsidP="00060D53">
            <w:pPr>
              <w:pStyle w:val="BodyText"/>
              <w:widowControl w:val="0"/>
              <w:spacing w:before="120"/>
            </w:pPr>
            <w:r w:rsidRPr="00AF1814">
              <w:t>Progressive disease</w:t>
            </w:r>
          </w:p>
        </w:tc>
      </w:tr>
      <w:tr w:rsidR="00395942" w:rsidRPr="00AF1814" w14:paraId="7D83DDFD"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3145BCD2" w14:textId="77777777" w:rsidR="00395942" w:rsidRPr="00AF1814" w:rsidRDefault="00395942" w:rsidP="00060D53">
            <w:pPr>
              <w:pStyle w:val="BodyText"/>
              <w:widowControl w:val="0"/>
              <w:spacing w:before="120"/>
            </w:pPr>
            <w:r w:rsidRPr="00AF1814">
              <w:t>PD-1</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5B699B9E" w14:textId="77777777" w:rsidR="00395942" w:rsidRPr="00AF1814" w:rsidRDefault="00395942" w:rsidP="00060D53">
            <w:pPr>
              <w:pStyle w:val="BodyText"/>
              <w:widowControl w:val="0"/>
              <w:spacing w:before="120"/>
            </w:pPr>
            <w:r w:rsidRPr="00AF1814">
              <w:t>Programmed death-1</w:t>
            </w:r>
          </w:p>
        </w:tc>
      </w:tr>
      <w:tr w:rsidR="00395942" w:rsidRPr="00AF1814" w14:paraId="05E4B4BA"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46E8367C" w14:textId="77777777" w:rsidR="00395942" w:rsidRPr="00AF1814" w:rsidRDefault="00395942" w:rsidP="00060D53">
            <w:pPr>
              <w:pStyle w:val="BodyText"/>
              <w:widowControl w:val="0"/>
              <w:spacing w:before="120"/>
            </w:pPr>
            <w:r w:rsidRPr="00AF1814">
              <w:t>PD-L1</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557F0B63" w14:textId="77777777" w:rsidR="00395942" w:rsidRPr="00AF1814" w:rsidRDefault="00395942" w:rsidP="00060D53">
            <w:pPr>
              <w:pStyle w:val="BodyText"/>
              <w:widowControl w:val="0"/>
              <w:spacing w:before="120"/>
            </w:pPr>
            <w:r w:rsidRPr="00AF1814">
              <w:t>Programmed death</w:t>
            </w:r>
            <w:r w:rsidRPr="00AF1814">
              <w:noBreakHyphen/>
              <w:t>ligand 1</w:t>
            </w:r>
          </w:p>
        </w:tc>
      </w:tr>
      <w:tr w:rsidR="00395942" w:rsidRPr="00AF1814" w14:paraId="5C8C55A4"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31F5FC4B" w14:textId="77777777" w:rsidR="00395942" w:rsidRPr="00AF1814" w:rsidRDefault="00395942" w:rsidP="00060D53">
            <w:pPr>
              <w:pStyle w:val="BodyText"/>
              <w:widowControl w:val="0"/>
              <w:spacing w:before="120"/>
            </w:pPr>
            <w:r w:rsidRPr="00AF1814">
              <w:t>PFS</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44DC8FFA" w14:textId="77777777" w:rsidR="00395942" w:rsidRPr="00AF1814" w:rsidRDefault="00395942" w:rsidP="00060D53">
            <w:pPr>
              <w:pStyle w:val="BodyText"/>
              <w:widowControl w:val="0"/>
              <w:spacing w:before="120"/>
            </w:pPr>
            <w:r w:rsidRPr="00AF1814">
              <w:t>Progression</w:t>
            </w:r>
            <w:r w:rsidRPr="00AF1814">
              <w:noBreakHyphen/>
              <w:t>free survival</w:t>
            </w:r>
          </w:p>
        </w:tc>
      </w:tr>
      <w:tr w:rsidR="00395942" w:rsidRPr="00AF1814" w14:paraId="019CC692"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0EBE5D08" w14:textId="77777777" w:rsidR="00395942" w:rsidRPr="00AF1814" w:rsidRDefault="00395942" w:rsidP="00060D53">
            <w:pPr>
              <w:pStyle w:val="BodyText"/>
              <w:widowControl w:val="0"/>
              <w:spacing w:before="120"/>
            </w:pPr>
            <w:r w:rsidRPr="00AF1814">
              <w:t>PK</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3803B753" w14:textId="77777777" w:rsidR="00395942" w:rsidRPr="00AF1814" w:rsidRDefault="00395942" w:rsidP="00060D53">
            <w:pPr>
              <w:pStyle w:val="BodyText"/>
              <w:widowControl w:val="0"/>
              <w:spacing w:before="120"/>
            </w:pPr>
            <w:r w:rsidRPr="00AF1814">
              <w:t>Pharmacokinetic</w:t>
            </w:r>
          </w:p>
        </w:tc>
      </w:tr>
      <w:tr w:rsidR="00395942" w:rsidRPr="00AF1814" w14:paraId="62C0245B"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767A733A" w14:textId="77777777" w:rsidR="00395942" w:rsidRPr="00AF1814" w:rsidRDefault="00395942" w:rsidP="00060D53">
            <w:pPr>
              <w:pStyle w:val="BodyText"/>
              <w:widowControl w:val="0"/>
              <w:spacing w:before="120"/>
            </w:pPr>
            <w:r w:rsidRPr="00AF1814">
              <w:t>PR</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52A36E02" w14:textId="77777777" w:rsidR="00395942" w:rsidRPr="00AF1814" w:rsidRDefault="00395942" w:rsidP="00060D53">
            <w:pPr>
              <w:pStyle w:val="BodyText"/>
              <w:widowControl w:val="0"/>
              <w:spacing w:before="120"/>
            </w:pPr>
            <w:r w:rsidRPr="00AF1814">
              <w:t>Partial response</w:t>
            </w:r>
          </w:p>
        </w:tc>
      </w:tr>
      <w:tr w:rsidR="00395942" w:rsidRPr="00AF1814" w14:paraId="08C2A786"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003FAAE7" w14:textId="77777777" w:rsidR="00395942" w:rsidRPr="00AF1814" w:rsidRDefault="00395942" w:rsidP="00060D53">
            <w:pPr>
              <w:pStyle w:val="BodyText"/>
              <w:widowControl w:val="0"/>
              <w:spacing w:before="120"/>
            </w:pPr>
            <w:r w:rsidRPr="00AF1814">
              <w:lastRenderedPageBreak/>
              <w:t>PS</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258C0C5A" w14:textId="77777777" w:rsidR="00395942" w:rsidRPr="00AF1814" w:rsidRDefault="00395942" w:rsidP="00060D53">
            <w:pPr>
              <w:pStyle w:val="BodyText"/>
              <w:widowControl w:val="0"/>
              <w:spacing w:before="120"/>
            </w:pPr>
            <w:r w:rsidRPr="00AF1814">
              <w:t>Performance status</w:t>
            </w:r>
          </w:p>
        </w:tc>
      </w:tr>
      <w:tr w:rsidR="00395942" w:rsidRPr="00AF1814" w14:paraId="005E1D7B"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2EA184D7" w14:textId="77777777" w:rsidR="00395942" w:rsidRPr="00AF1814" w:rsidRDefault="00395942" w:rsidP="00060D53">
            <w:pPr>
              <w:pStyle w:val="BodyText"/>
              <w:widowControl w:val="0"/>
              <w:spacing w:before="120"/>
            </w:pPr>
            <w:r w:rsidRPr="00AF1814">
              <w:t>RECIST 1.1</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0571F8B0" w14:textId="77777777" w:rsidR="00395942" w:rsidRPr="00AF1814" w:rsidRDefault="00395942" w:rsidP="00060D53">
            <w:pPr>
              <w:pStyle w:val="BodyText"/>
              <w:widowControl w:val="0"/>
              <w:spacing w:before="120"/>
            </w:pPr>
            <w:r w:rsidRPr="00AF1814">
              <w:t>Response Evaluation Criteria in Solid Tumors Version 1.1</w:t>
            </w:r>
          </w:p>
        </w:tc>
      </w:tr>
      <w:tr w:rsidR="00395942" w:rsidRPr="00AF1814" w14:paraId="44DAAD58"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359DAB3C" w14:textId="77777777" w:rsidR="00395942" w:rsidRPr="00AF1814" w:rsidRDefault="00395942" w:rsidP="00060D53">
            <w:pPr>
              <w:pStyle w:val="BodyText"/>
              <w:widowControl w:val="0"/>
              <w:spacing w:before="120"/>
            </w:pPr>
            <w:r w:rsidRPr="00AF1814">
              <w:t>RNA</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7CBEF56F" w14:textId="77777777" w:rsidR="00395942" w:rsidRPr="00AF1814" w:rsidRDefault="00395942" w:rsidP="00060D53">
            <w:pPr>
              <w:pStyle w:val="BodyText"/>
              <w:widowControl w:val="0"/>
              <w:spacing w:before="120"/>
            </w:pPr>
            <w:r w:rsidRPr="00AF1814">
              <w:t>Ribonucleic acid</w:t>
            </w:r>
          </w:p>
        </w:tc>
      </w:tr>
      <w:tr w:rsidR="00395942" w:rsidRPr="00AF1814" w14:paraId="2712C395"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1438D2ED" w14:textId="77777777" w:rsidR="00395942" w:rsidRPr="00AF1814" w:rsidRDefault="00395942" w:rsidP="00060D53">
            <w:pPr>
              <w:pStyle w:val="BodyText"/>
              <w:widowControl w:val="0"/>
              <w:spacing w:before="120"/>
            </w:pPr>
            <w:r w:rsidRPr="00AF1814">
              <w:t>SAE</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63008C49" w14:textId="77777777" w:rsidR="00395942" w:rsidRPr="00AF1814" w:rsidRDefault="00395942" w:rsidP="00060D53">
            <w:pPr>
              <w:pStyle w:val="BodyText"/>
              <w:widowControl w:val="0"/>
              <w:spacing w:before="120"/>
            </w:pPr>
            <w:r w:rsidRPr="00AF1814">
              <w:t>Serious adverse event</w:t>
            </w:r>
          </w:p>
        </w:tc>
      </w:tr>
      <w:tr w:rsidR="00395942" w:rsidRPr="00AF1814" w14:paraId="1F988A7A"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15E5F6A9" w14:textId="77777777" w:rsidR="00395942" w:rsidRPr="00AF1814" w:rsidRDefault="00395942" w:rsidP="00060D53">
            <w:pPr>
              <w:pStyle w:val="BodyText"/>
              <w:widowControl w:val="0"/>
              <w:spacing w:before="120"/>
            </w:pPr>
            <w:r w:rsidRPr="00AF1814">
              <w:t>SAF</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32346878" w14:textId="77777777" w:rsidR="00395942" w:rsidRPr="00AF1814" w:rsidRDefault="00395942" w:rsidP="00060D53">
            <w:pPr>
              <w:pStyle w:val="BodyText"/>
              <w:widowControl w:val="0"/>
              <w:spacing w:before="120"/>
            </w:pPr>
            <w:r w:rsidRPr="00AF1814">
              <w:rPr>
                <w:rStyle w:val="BodyTextChar"/>
              </w:rPr>
              <w:t>Safety Analysis Set</w:t>
            </w:r>
          </w:p>
        </w:tc>
      </w:tr>
      <w:tr w:rsidR="00395942" w:rsidRPr="00AF1814" w14:paraId="6338C377"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3A053DB7" w14:textId="77777777" w:rsidR="00395942" w:rsidRPr="00AF1814" w:rsidRDefault="00395942" w:rsidP="00060D53">
            <w:pPr>
              <w:pStyle w:val="BodyText"/>
              <w:widowControl w:val="0"/>
              <w:spacing w:before="120"/>
            </w:pPr>
            <w:r w:rsidRPr="00AF1814">
              <w:t>SD</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761D75AF" w14:textId="77777777" w:rsidR="00395942" w:rsidRPr="00AF1814" w:rsidRDefault="00395942" w:rsidP="00060D53">
            <w:pPr>
              <w:pStyle w:val="BodyText"/>
              <w:widowControl w:val="0"/>
              <w:spacing w:before="120"/>
            </w:pPr>
            <w:r w:rsidRPr="00AF1814">
              <w:t>Stable disease</w:t>
            </w:r>
          </w:p>
        </w:tc>
      </w:tr>
      <w:tr w:rsidR="00395942" w:rsidRPr="00AF1814" w14:paraId="4B141AE6"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13AFA70A" w14:textId="77777777" w:rsidR="00395942" w:rsidRPr="00AF1814" w:rsidRDefault="00395942" w:rsidP="00060D53">
            <w:pPr>
              <w:pStyle w:val="BodyText"/>
              <w:widowControl w:val="0"/>
              <w:spacing w:before="120"/>
            </w:pPr>
            <w:r w:rsidRPr="00AF1814">
              <w:t>SMC</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54A7F94E" w14:textId="77777777" w:rsidR="00395942" w:rsidRPr="00AF1814" w:rsidRDefault="00395942" w:rsidP="00060D53">
            <w:pPr>
              <w:pStyle w:val="BodyText"/>
              <w:widowControl w:val="0"/>
              <w:spacing w:before="120"/>
            </w:pPr>
            <w:r w:rsidRPr="00AF1814">
              <w:t>Safety Monitoring Committee</w:t>
            </w:r>
          </w:p>
        </w:tc>
      </w:tr>
      <w:tr w:rsidR="00395942" w:rsidRPr="00AF1814" w14:paraId="1F4F4A81"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5D58C32B" w14:textId="77777777" w:rsidR="00395942" w:rsidRPr="00AF1814" w:rsidRDefault="00395942" w:rsidP="00060D53">
            <w:pPr>
              <w:pStyle w:val="BodyText"/>
              <w:widowControl w:val="0"/>
              <w:spacing w:before="120"/>
            </w:pPr>
            <w:r w:rsidRPr="00AF1814">
              <w:t>SUSAR</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31442BC1" w14:textId="77777777" w:rsidR="00395942" w:rsidRPr="00AF1814" w:rsidRDefault="00395942" w:rsidP="00060D53">
            <w:pPr>
              <w:pStyle w:val="BodyText"/>
              <w:widowControl w:val="0"/>
              <w:spacing w:before="120"/>
            </w:pPr>
            <w:r w:rsidRPr="00AF1814">
              <w:t>Suspected unexpected serious adverse reactions</w:t>
            </w:r>
          </w:p>
        </w:tc>
      </w:tr>
      <w:tr w:rsidR="00395942" w:rsidRPr="00AF1814" w14:paraId="127A3CCB"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3FEA03F7" w14:textId="77777777" w:rsidR="00395942" w:rsidRPr="00AF1814" w:rsidRDefault="00395942" w:rsidP="00060D53">
            <w:pPr>
              <w:pStyle w:val="BodyText"/>
              <w:widowControl w:val="0"/>
              <w:spacing w:before="120"/>
            </w:pPr>
            <w:r w:rsidRPr="00AF1814">
              <w:t>TEAE</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0FA6F10D" w14:textId="77777777" w:rsidR="00395942" w:rsidRPr="00AF1814" w:rsidRDefault="00395942" w:rsidP="00060D53">
            <w:pPr>
              <w:pStyle w:val="BodyText"/>
              <w:widowControl w:val="0"/>
              <w:spacing w:before="120"/>
            </w:pPr>
            <w:r w:rsidRPr="00AF1814">
              <w:t>Treatment-emergent adverse event</w:t>
            </w:r>
          </w:p>
        </w:tc>
      </w:tr>
      <w:tr w:rsidR="00395942" w:rsidRPr="00AF1814" w14:paraId="67C12DA0"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767AECA4" w14:textId="77777777" w:rsidR="00395942" w:rsidRPr="00AF1814" w:rsidRDefault="00395942" w:rsidP="00060D53">
            <w:pPr>
              <w:pStyle w:val="BodyText"/>
              <w:widowControl w:val="0"/>
              <w:spacing w:before="120"/>
            </w:pPr>
            <w:r w:rsidRPr="00AF1814">
              <w:t>TGF</w:t>
            </w:r>
            <w:r w:rsidRPr="00AF1814">
              <w:noBreakHyphen/>
              <w:t>β</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64D558EB" w14:textId="77777777" w:rsidR="00395942" w:rsidRPr="00AF1814" w:rsidRDefault="00395942" w:rsidP="00060D53">
            <w:pPr>
              <w:pStyle w:val="BodyText"/>
              <w:widowControl w:val="0"/>
              <w:spacing w:before="120"/>
            </w:pPr>
            <w:r w:rsidRPr="00AF1814">
              <w:t>Transforming growth factor-β</w:t>
            </w:r>
          </w:p>
        </w:tc>
      </w:tr>
      <w:tr w:rsidR="00395942" w:rsidRPr="00AF1814" w14:paraId="0E86DC47"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79002F6F" w14:textId="77777777" w:rsidR="00395942" w:rsidRPr="00AF1814" w:rsidRDefault="00395942" w:rsidP="00060D53">
            <w:pPr>
              <w:pStyle w:val="BodyText"/>
              <w:widowControl w:val="0"/>
              <w:spacing w:before="120"/>
            </w:pPr>
            <w:r w:rsidRPr="00AF1814">
              <w:t>TMB</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1728AD23" w14:textId="77777777" w:rsidR="00395942" w:rsidRPr="00AF1814" w:rsidRDefault="00395942" w:rsidP="00060D53">
            <w:pPr>
              <w:pStyle w:val="BodyText"/>
              <w:widowControl w:val="0"/>
              <w:spacing w:before="120"/>
            </w:pPr>
            <w:r w:rsidRPr="00AF1814">
              <w:t>Tumor mutational burden</w:t>
            </w:r>
          </w:p>
        </w:tc>
      </w:tr>
      <w:tr w:rsidR="00395942" w:rsidRPr="00AF1814" w14:paraId="22E7E9CA"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66BD4AFC" w14:textId="77777777" w:rsidR="00395942" w:rsidRPr="00AF1814" w:rsidRDefault="00395942" w:rsidP="00060D53">
            <w:pPr>
              <w:pStyle w:val="BodyText"/>
              <w:widowControl w:val="0"/>
              <w:spacing w:before="120"/>
            </w:pPr>
            <w:r w:rsidRPr="00AF1814">
              <w:t>ULN</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06F2926C" w14:textId="77777777" w:rsidR="00395942" w:rsidRPr="00AF1814" w:rsidRDefault="00395942" w:rsidP="00060D53">
            <w:pPr>
              <w:pStyle w:val="BodyText"/>
              <w:widowControl w:val="0"/>
              <w:spacing w:before="120"/>
            </w:pPr>
            <w:r w:rsidRPr="00AF1814">
              <w:t>Upper limit of normal</w:t>
            </w:r>
          </w:p>
        </w:tc>
      </w:tr>
      <w:tr w:rsidR="00395942" w:rsidRPr="00AF1814" w14:paraId="5704D33F" w14:textId="77777777" w:rsidTr="00506AC8">
        <w:tc>
          <w:tcPr>
            <w:tcW w:w="1563" w:type="dxa"/>
            <w:tcBorders>
              <w:top w:val="single" w:sz="4" w:space="0" w:color="auto"/>
              <w:left w:val="single" w:sz="4" w:space="0" w:color="auto"/>
              <w:bottom w:val="single" w:sz="4" w:space="0" w:color="auto"/>
              <w:right w:val="single" w:sz="4" w:space="0" w:color="auto"/>
            </w:tcBorders>
            <w:shd w:val="clear" w:color="auto" w:fill="auto"/>
          </w:tcPr>
          <w:p w14:paraId="3600B8D5" w14:textId="77777777" w:rsidR="00395942" w:rsidRPr="00AF1814" w:rsidRDefault="00395942" w:rsidP="00060D53">
            <w:pPr>
              <w:pStyle w:val="BodyText"/>
              <w:widowControl w:val="0"/>
              <w:spacing w:before="120"/>
            </w:pPr>
            <w:r w:rsidRPr="00AF1814">
              <w:t>W1D1</w:t>
            </w:r>
          </w:p>
        </w:tc>
        <w:tc>
          <w:tcPr>
            <w:tcW w:w="7759" w:type="dxa"/>
            <w:tcBorders>
              <w:top w:val="single" w:sz="4" w:space="0" w:color="auto"/>
              <w:left w:val="single" w:sz="4" w:space="0" w:color="auto"/>
              <w:bottom w:val="single" w:sz="4" w:space="0" w:color="auto"/>
              <w:right w:val="single" w:sz="4" w:space="0" w:color="auto"/>
            </w:tcBorders>
            <w:shd w:val="clear" w:color="auto" w:fill="auto"/>
          </w:tcPr>
          <w:p w14:paraId="54BFA409" w14:textId="77777777" w:rsidR="00395942" w:rsidRPr="00AF1814" w:rsidRDefault="00395942" w:rsidP="00060D53">
            <w:pPr>
              <w:pStyle w:val="BodyText"/>
              <w:widowControl w:val="0"/>
              <w:spacing w:before="120"/>
            </w:pPr>
            <w:r w:rsidRPr="00AF1814">
              <w:t>Week 1 Day 1</w:t>
            </w:r>
          </w:p>
        </w:tc>
      </w:tr>
    </w:tbl>
    <w:p w14:paraId="770F5A93" w14:textId="77777777" w:rsidR="000A2366" w:rsidRPr="00AF1814" w:rsidRDefault="000A2366" w:rsidP="000A2366">
      <w:pPr>
        <w:pStyle w:val="BodyText"/>
      </w:pPr>
      <w:bookmarkStart w:id="403" w:name="_Hlk503349964"/>
    </w:p>
    <w:p w14:paraId="2312AAD9" w14:textId="77777777" w:rsidR="005971DC" w:rsidRPr="00AF1814" w:rsidRDefault="00DA3174" w:rsidP="009D0A75">
      <w:pPr>
        <w:pStyle w:val="Heading1"/>
        <w:pageBreakBefore/>
        <w:numPr>
          <w:ilvl w:val="0"/>
          <w:numId w:val="0"/>
        </w:numPr>
        <w:tabs>
          <w:tab w:val="left" w:pos="1985"/>
        </w:tabs>
      </w:pPr>
      <w:bookmarkStart w:id="404" w:name="_Appendix_2_Study"/>
      <w:bookmarkStart w:id="405" w:name="_Toc44601735"/>
      <w:bookmarkStart w:id="406" w:name="_Hlk496177650"/>
      <w:bookmarkEnd w:id="403"/>
      <w:bookmarkEnd w:id="404"/>
      <w:r w:rsidRPr="00AF1814">
        <w:lastRenderedPageBreak/>
        <w:t>Appendix 2</w:t>
      </w:r>
      <w:r w:rsidRPr="00AF1814">
        <w:tab/>
        <w:t>Study Governance</w:t>
      </w:r>
      <w:bookmarkEnd w:id="405"/>
    </w:p>
    <w:bookmarkEnd w:id="406"/>
    <w:p w14:paraId="1E30FA9C" w14:textId="77777777" w:rsidR="009D0A75" w:rsidRPr="00AF1814" w:rsidRDefault="00DA3174" w:rsidP="009D0A75">
      <w:pPr>
        <w:pStyle w:val="BodyText"/>
        <w:rPr>
          <w:b/>
        </w:rPr>
      </w:pPr>
      <w:r w:rsidRPr="00AF1814">
        <w:rPr>
          <w:b/>
        </w:rPr>
        <w:t>Financial Disclosure</w:t>
      </w:r>
    </w:p>
    <w:p w14:paraId="580AF9DA" w14:textId="77777777" w:rsidR="009D0A75" w:rsidRPr="00AF1814" w:rsidRDefault="00DA3174" w:rsidP="00AA7FFD">
      <w:pPr>
        <w:pStyle w:val="BodyText"/>
      </w:pPr>
      <w:r w:rsidRPr="00AF1814">
        <w:t>Investigators and Sub-Investigators will provide the Sponsor with enough, accurate financial information, as requested, for the Sponsor to submit complete and accurate financial certification or disclosure statements to the appropriate regulatory authorities. This information is required during the study and for 1 year after completion of the study.</w:t>
      </w:r>
    </w:p>
    <w:p w14:paraId="38200F77" w14:textId="77777777" w:rsidR="009D0A75" w:rsidRPr="00AF1814" w:rsidRDefault="00DA3174" w:rsidP="009D0A75">
      <w:pPr>
        <w:pStyle w:val="BodyText"/>
        <w:rPr>
          <w:b/>
        </w:rPr>
      </w:pPr>
      <w:r w:rsidRPr="00AF1814">
        <w:rPr>
          <w:b/>
        </w:rPr>
        <w:t>Informed Consent Process</w:t>
      </w:r>
    </w:p>
    <w:p w14:paraId="40FE17F4" w14:textId="77777777" w:rsidR="009D0A75" w:rsidRPr="00AF1814" w:rsidRDefault="00DA3174" w:rsidP="00020F35">
      <w:pPr>
        <w:pStyle w:val="List2withbullet"/>
      </w:pPr>
      <w:r w:rsidRPr="00AF1814">
        <w:t>The Investigator or his/her representative will explain the nature of the study to the participant or her legally authorized representative and answer all questions on the study.</w:t>
      </w:r>
    </w:p>
    <w:p w14:paraId="6EE9CFAB" w14:textId="77777777" w:rsidR="009D0A75" w:rsidRPr="00AF1814" w:rsidRDefault="00DA3174" w:rsidP="00020F35">
      <w:pPr>
        <w:pStyle w:val="List2withbullet"/>
      </w:pPr>
      <w:r w:rsidRPr="00AF1814">
        <w:t>Participants will be informed that their participation is voluntary.</w:t>
      </w:r>
    </w:p>
    <w:p w14:paraId="1AD0BFC5" w14:textId="77777777" w:rsidR="009D0A75" w:rsidRPr="00AF1814" w:rsidRDefault="00DA3174" w:rsidP="00020F35">
      <w:pPr>
        <w:pStyle w:val="List2withbullet"/>
      </w:pPr>
      <w:r w:rsidRPr="00AF1814">
        <w:t xml:space="preserve">Participants or their legally-authorized representative defined as </w:t>
      </w:r>
      <w:r w:rsidR="00500F9C" w:rsidRPr="00AF1814">
        <w:t>an individual or judicial or other body authorized to consent on behalf of a prospective participant under applicable law to the participant's participation in the procedure[s] involved in the research</w:t>
      </w:r>
      <w:r w:rsidRPr="00AF1814">
        <w:t xml:space="preserve"> will be required to sign a statement of informed consent that meets the requirements of 21 CFR 50; the Japanese ministerial ordinance on </w:t>
      </w:r>
      <w:r w:rsidR="008012C0" w:rsidRPr="00AF1814">
        <w:t>Good Clinical Practice (</w:t>
      </w:r>
      <w:r w:rsidRPr="00AF1814">
        <w:t>GCP</w:t>
      </w:r>
      <w:r w:rsidR="008012C0" w:rsidRPr="00AF1814">
        <w:t>)</w:t>
      </w:r>
      <w:r w:rsidRPr="00AF1814">
        <w:t xml:space="preserve">; local regulations; </w:t>
      </w:r>
      <w:r w:rsidR="008012C0" w:rsidRPr="00AF1814">
        <w:t xml:space="preserve">International Council </w:t>
      </w:r>
      <w:r w:rsidR="00464FA1" w:rsidRPr="00AF1814">
        <w:t xml:space="preserve">for </w:t>
      </w:r>
      <w:r w:rsidR="008012C0" w:rsidRPr="00AF1814">
        <w:t>Harmonisation (</w:t>
      </w:r>
      <w:r w:rsidRPr="00AF1814">
        <w:t>ICH</w:t>
      </w:r>
      <w:r w:rsidR="008012C0" w:rsidRPr="00AF1814">
        <w:t>)</w:t>
      </w:r>
      <w:r w:rsidRPr="00AF1814">
        <w:t xml:space="preserve"> guidelines; Health Insurance Portability and Accountability Act (HIPAA) requirements, where applicable; and the IRB/IEC or study center.</w:t>
      </w:r>
    </w:p>
    <w:p w14:paraId="5559AABA" w14:textId="77777777" w:rsidR="009D0A75" w:rsidRPr="00AF1814" w:rsidRDefault="00DA3174" w:rsidP="00020F35">
      <w:pPr>
        <w:pStyle w:val="List2withbullet"/>
      </w:pPr>
      <w:r w:rsidRPr="00AF1814">
        <w:t>The medical record will include a statement that written informed consent was obtained before the participant was enrolled in the study and the date the written consent was obtained. The authorized person obtaining the informed consent will also sign the ICF.</w:t>
      </w:r>
    </w:p>
    <w:p w14:paraId="6BF78A51" w14:textId="77777777" w:rsidR="009D0A75" w:rsidRPr="00AF1814" w:rsidRDefault="00DA3174" w:rsidP="00020F35">
      <w:pPr>
        <w:pStyle w:val="List2withbullet"/>
      </w:pPr>
      <w:r w:rsidRPr="00AF1814">
        <w:t>If the ICF is updated during their participation in the study, participants will be re-consented to the most current, approved version.</w:t>
      </w:r>
    </w:p>
    <w:p w14:paraId="7E4CE4DE" w14:textId="77777777" w:rsidR="009D0A75" w:rsidRPr="00AF1814" w:rsidRDefault="00DA3174" w:rsidP="00020F35">
      <w:pPr>
        <w:pStyle w:val="List2withbullet"/>
      </w:pPr>
      <w:r w:rsidRPr="00AF1814">
        <w:t>Participants who are rescreened are required to sign a new ICF.</w:t>
      </w:r>
    </w:p>
    <w:p w14:paraId="66F522BD" w14:textId="77777777" w:rsidR="009D0A75" w:rsidRPr="00AF1814" w:rsidRDefault="00DA3174" w:rsidP="009D0A75">
      <w:pPr>
        <w:pStyle w:val="BodyText"/>
        <w:rPr>
          <w:b/>
        </w:rPr>
      </w:pPr>
      <w:bookmarkStart w:id="407" w:name="_Hlk496177695"/>
      <w:r w:rsidRPr="00AF1814">
        <w:rPr>
          <w:b/>
        </w:rPr>
        <w:t>Data Protection</w:t>
      </w:r>
    </w:p>
    <w:p w14:paraId="6542A3DE" w14:textId="77777777" w:rsidR="009D0A75" w:rsidRPr="00AF1814" w:rsidRDefault="00DA3174" w:rsidP="00020F35">
      <w:pPr>
        <w:pStyle w:val="List2withbullet"/>
      </w:pPr>
      <w:r w:rsidRPr="00AF1814">
        <w:t>The Sponsor will assign a unique identifier to participants after obtaining their informed consent. Any participant records or datasets that are transferred to the Sponsor will contain the identifier only; participant names or any identifiable information will not be transferred.</w:t>
      </w:r>
    </w:p>
    <w:p w14:paraId="48957B7A" w14:textId="77777777" w:rsidR="009D0A75" w:rsidRPr="00AF1814" w:rsidRDefault="00DA3174" w:rsidP="00020F35">
      <w:pPr>
        <w:pStyle w:val="List2withbullet"/>
      </w:pPr>
      <w:r w:rsidRPr="00AF1814">
        <w:t>The Sponsor will inform participants that their personal study-related data will be used per local data protection and privacy laws. The level of disclosure will also be explained to the participant and pregnant partners (if applicable), who will be required to give consent for their data to be used, as specified in the informed consent.</w:t>
      </w:r>
    </w:p>
    <w:p w14:paraId="29AECC84" w14:textId="77777777" w:rsidR="009D0A75" w:rsidRPr="00AF1814" w:rsidRDefault="00DA3174" w:rsidP="00020F35">
      <w:pPr>
        <w:pStyle w:val="List2withbullet"/>
      </w:pPr>
      <w:r w:rsidRPr="00AF1814">
        <w:t>The participant will be informed that her medical records may be examined by Clinical Quality Assurance auditors or other Sponsor-appointed, authorized personnel, by appropriate IRB/IEC members, and by regulatory authority inspectors.  All such persons will strictly maintain participants’ confidentiality.</w:t>
      </w:r>
    </w:p>
    <w:bookmarkEnd w:id="407"/>
    <w:p w14:paraId="31E8AB96" w14:textId="77777777" w:rsidR="009D0A75" w:rsidRPr="00AF1814" w:rsidRDefault="00DA3174" w:rsidP="00C15737">
      <w:pPr>
        <w:pStyle w:val="BodyText"/>
        <w:keepNext/>
        <w:rPr>
          <w:b/>
        </w:rPr>
      </w:pPr>
      <w:r w:rsidRPr="00AF1814">
        <w:rPr>
          <w:b/>
        </w:rPr>
        <w:lastRenderedPageBreak/>
        <w:t>Study Administrative</w:t>
      </w:r>
    </w:p>
    <w:p w14:paraId="460B65D8" w14:textId="77777777" w:rsidR="009D0A75" w:rsidRPr="00AF1814" w:rsidRDefault="00DA3174" w:rsidP="00BF230B">
      <w:pPr>
        <w:pStyle w:val="BodyText"/>
      </w:pPr>
      <w:r w:rsidRPr="00AF1814">
        <w:t xml:space="preserve">The Coordinating Investigator listed on the title page represents all Investigators for decisions and discussions on this study, per ICH GCP. The Coordinating Investigator will provide expert medical input and advice on the study design and execution and is responsible for the review and signoff of the </w:t>
      </w:r>
      <w:r w:rsidR="00464FA1" w:rsidRPr="00AF1814">
        <w:t>CSR</w:t>
      </w:r>
      <w:r w:rsidRPr="00AF1814">
        <w:t>.</w:t>
      </w:r>
    </w:p>
    <w:p w14:paraId="3E4EECD4" w14:textId="77777777" w:rsidR="009D0A75" w:rsidRPr="00AF1814" w:rsidRDefault="00DA3174" w:rsidP="00BF230B">
      <w:pPr>
        <w:pStyle w:val="BodyText"/>
      </w:pPr>
      <w:r w:rsidRPr="00AF1814">
        <w:t xml:space="preserve">The study will appear in the following clinical studies registries: </w:t>
      </w:r>
      <w:r w:rsidR="007A4AFB" w:rsidRPr="00AF1814">
        <w:t>ClinicalTrials.gov.</w:t>
      </w:r>
    </w:p>
    <w:p w14:paraId="74E0674A" w14:textId="77777777" w:rsidR="009D0A75" w:rsidRPr="00AF1814" w:rsidRDefault="00DA3174" w:rsidP="00BF230B">
      <w:pPr>
        <w:pStyle w:val="BodyText"/>
      </w:pPr>
      <w:r w:rsidRPr="00AF1814">
        <w:t>Details of structures and associated procedures will be defined in a separate Operations Manual.</w:t>
      </w:r>
    </w:p>
    <w:p w14:paraId="5FE77FC3" w14:textId="77777777" w:rsidR="00BF230B" w:rsidRPr="00AF1814" w:rsidRDefault="00DA3174" w:rsidP="00BF230B">
      <w:pPr>
        <w:pStyle w:val="List1withoutbullet"/>
        <w:ind w:left="0"/>
      </w:pPr>
      <w:r w:rsidRPr="00AF1814">
        <w:t>This will be prepared under the supervision of the Clinical Trial Leader in close collaboration with the responsible units at the Sponsor.</w:t>
      </w:r>
    </w:p>
    <w:p w14:paraId="4F1D3BAC" w14:textId="77777777" w:rsidR="00BF230B" w:rsidRPr="00AF1814" w:rsidRDefault="00DA3174" w:rsidP="00BF230B">
      <w:pPr>
        <w:pStyle w:val="BodyText"/>
      </w:pPr>
      <w:r w:rsidRPr="00AF1814">
        <w:t>The Sponsor will coordinate the study and will provide the support for a Contract Research Organization (CRO) for some activities of the study. Sponsor Global Clinical Operations will perform oversight of the activities performed by the CRO.</w:t>
      </w:r>
    </w:p>
    <w:p w14:paraId="2F871B8A" w14:textId="77777777" w:rsidR="00BF230B" w:rsidRPr="00AF1814" w:rsidRDefault="00DA3174" w:rsidP="00BF230B">
      <w:pPr>
        <w:pStyle w:val="BodyText"/>
      </w:pPr>
      <w:r w:rsidRPr="00AF1814">
        <w:t>The Clinical Trial Supplies department of the Sponsor will supply the study medication of bintrafusp alfa, which will be distributed to the sites by Fisher Clinical Services.</w:t>
      </w:r>
    </w:p>
    <w:p w14:paraId="6D383FBE" w14:textId="77777777" w:rsidR="00BF230B" w:rsidRPr="00AF1814" w:rsidRDefault="00DA3174" w:rsidP="00BF230B">
      <w:pPr>
        <w:pStyle w:val="BodyText"/>
      </w:pPr>
      <w:r w:rsidRPr="00AF1814">
        <w:t>Participant</w:t>
      </w:r>
      <w:r w:rsidR="00097877" w:rsidRPr="00AF1814">
        <w:t>s</w:t>
      </w:r>
      <w:r w:rsidRPr="00AF1814">
        <w:t xml:space="preserve"> enrollment will be managed by an interactive voice response system or an </w:t>
      </w:r>
      <w:r w:rsidR="009F2769" w:rsidRPr="00AF1814">
        <w:t>I</w:t>
      </w:r>
      <w:r w:rsidRPr="00AF1814">
        <w:t xml:space="preserve">nteractive </w:t>
      </w:r>
      <w:r w:rsidR="009F2769" w:rsidRPr="00AF1814">
        <w:t>W</w:t>
      </w:r>
      <w:r w:rsidRPr="00AF1814">
        <w:t xml:space="preserve">eb </w:t>
      </w:r>
      <w:r w:rsidR="009F2769" w:rsidRPr="00AF1814">
        <w:t>R</w:t>
      </w:r>
      <w:r w:rsidRPr="00AF1814">
        <w:t xml:space="preserve">esponse </w:t>
      </w:r>
      <w:r w:rsidR="009F2769" w:rsidRPr="00AF1814">
        <w:t>S</w:t>
      </w:r>
      <w:r w:rsidRPr="00AF1814">
        <w:t>ystem.</w:t>
      </w:r>
    </w:p>
    <w:p w14:paraId="21F24839" w14:textId="77777777" w:rsidR="00BF230B" w:rsidRPr="00AF1814" w:rsidRDefault="00DA3174" w:rsidP="00BF230B">
      <w:pPr>
        <w:pStyle w:val="BodyText"/>
      </w:pPr>
      <w:r w:rsidRPr="00AF1814">
        <w:t xml:space="preserve">Safety laboratory assessments will be performed locally by investigational sites. Pharmacokinetic (PK), exploratory biomarkers, and pharmacogenetic assessments will be performed under the responsibility and/or supervision of the Sponsor. </w:t>
      </w:r>
    </w:p>
    <w:p w14:paraId="66C97145" w14:textId="29B2E623" w:rsidR="00BF230B" w:rsidRPr="00AF1814" w:rsidRDefault="00DA3174" w:rsidP="00BF230B">
      <w:pPr>
        <w:pStyle w:val="BodyText"/>
      </w:pPr>
      <w:r w:rsidRPr="00AF1814">
        <w:t>The Global Drug Safety Department, Merck KGaA, Darmstadt, Germany, or its designated representatives will supervise drug safety and the timely reporting of AEs and SAEs.</w:t>
      </w:r>
    </w:p>
    <w:p w14:paraId="590B579B" w14:textId="77777777" w:rsidR="00BF230B" w:rsidRPr="00AF1814" w:rsidRDefault="00DA3174" w:rsidP="00BF230B">
      <w:pPr>
        <w:pStyle w:val="BodyText"/>
      </w:pPr>
      <w:r w:rsidRPr="00AF1814">
        <w:t>Quality assurance of the study conduct will be performed by the Development Quality Assurance Department, Merck KGaA, Darmstadt, Germany.</w:t>
      </w:r>
    </w:p>
    <w:p w14:paraId="232CB299" w14:textId="77777777" w:rsidR="00BF230B" w:rsidRPr="00AF1814" w:rsidRDefault="00DA3174" w:rsidP="00BF230B">
      <w:pPr>
        <w:pStyle w:val="BodyText"/>
      </w:pPr>
      <w:r w:rsidRPr="00AF1814">
        <w:t>The department of Global Biostatistics will supervise the statistical analyses (with the exception of the PK data analyses that will be outsourced to a CRO).</w:t>
      </w:r>
    </w:p>
    <w:p w14:paraId="04CC5088" w14:textId="77777777" w:rsidR="009D0A75" w:rsidRPr="00AF1814" w:rsidRDefault="00DA3174" w:rsidP="009F2769">
      <w:pPr>
        <w:pStyle w:val="BodyText"/>
        <w:keepNext/>
        <w:rPr>
          <w:b/>
        </w:rPr>
      </w:pPr>
      <w:r w:rsidRPr="00AF1814">
        <w:rPr>
          <w:b/>
        </w:rPr>
        <w:t>Regulatory and Ethical Considerations</w:t>
      </w:r>
    </w:p>
    <w:p w14:paraId="2D3A26AF" w14:textId="77777777" w:rsidR="009D0A75" w:rsidRPr="00AF1814" w:rsidRDefault="00DA3174" w:rsidP="009F2769">
      <w:pPr>
        <w:pStyle w:val="BodyText"/>
        <w:keepNext/>
      </w:pPr>
      <w:r w:rsidRPr="00AF1814">
        <w:t>This study will be conducted in accordance with the protocol and the following:</w:t>
      </w:r>
    </w:p>
    <w:p w14:paraId="2AEAC0AC" w14:textId="77777777" w:rsidR="009D0A75" w:rsidRPr="00AF1814" w:rsidRDefault="00DA3174" w:rsidP="00020F35">
      <w:pPr>
        <w:pStyle w:val="List2withbullet"/>
      </w:pPr>
      <w:r w:rsidRPr="00AF1814">
        <w:t>Consensus ethical principles derived from international guidelines, including the Declaration of Helsinki and Council for International Organizations of Medical Sciences (CIOMS) International Ethical Guidelines</w:t>
      </w:r>
    </w:p>
    <w:p w14:paraId="0AEE49B3" w14:textId="77777777" w:rsidR="009D0A75" w:rsidRPr="00AF1814" w:rsidRDefault="00DA3174" w:rsidP="00020F35">
      <w:pPr>
        <w:pStyle w:val="List2withbullet"/>
      </w:pPr>
      <w:r w:rsidRPr="00AF1814">
        <w:t>Applicable ICH GCP Guidelines</w:t>
      </w:r>
    </w:p>
    <w:p w14:paraId="728E08E1" w14:textId="77777777" w:rsidR="009D0A75" w:rsidRPr="00AF1814" w:rsidRDefault="00DA3174" w:rsidP="00020F35">
      <w:pPr>
        <w:pStyle w:val="List2withbullet"/>
      </w:pPr>
      <w:r w:rsidRPr="00AF1814">
        <w:t xml:space="preserve">The Japanese ministerial ordinance on GCP </w:t>
      </w:r>
    </w:p>
    <w:p w14:paraId="4DF78A10" w14:textId="77777777" w:rsidR="009D0A75" w:rsidRPr="00AF1814" w:rsidRDefault="00DA3174" w:rsidP="00020F35">
      <w:pPr>
        <w:pStyle w:val="List2withbullet"/>
      </w:pPr>
      <w:r w:rsidRPr="00AF1814">
        <w:t>Applicable laws and regulations</w:t>
      </w:r>
    </w:p>
    <w:p w14:paraId="2C785810" w14:textId="77777777" w:rsidR="009D0A75" w:rsidRPr="00AF1814" w:rsidRDefault="00DA3174" w:rsidP="00BF230B">
      <w:pPr>
        <w:pStyle w:val="Bodytext-keepwithnext"/>
      </w:pPr>
      <w:r w:rsidRPr="00AF1814">
        <w:lastRenderedPageBreak/>
        <w:t>The Investigator will submit the protocol, protocol amendments (if applicable), ICF, Investigator Brochure, and other relevant documents (e.g., advertisements) to an IRB/IEC and the IRB/IEC will review and approve them before the study is initiated.</w:t>
      </w:r>
    </w:p>
    <w:p w14:paraId="1FD725E5" w14:textId="72361505" w:rsidR="009D0A75" w:rsidRPr="00AF1814" w:rsidRDefault="0062289F" w:rsidP="00BF230B">
      <w:pPr>
        <w:pStyle w:val="Bodytext-keepwithnext"/>
      </w:pPr>
      <w:r>
        <w:t>For s</w:t>
      </w:r>
      <w:r w:rsidR="00F652F0">
        <w:t>t</w:t>
      </w:r>
      <w:r>
        <w:t>udy sites in Japan, t</w:t>
      </w:r>
      <w:r w:rsidR="00DA3174" w:rsidRPr="00AF1814">
        <w:t>he Sponsor initiates the study at a site after obtaining written approval from the Head of the study site, based on favorable opinion/approval from the concerned IRB.</w:t>
      </w:r>
    </w:p>
    <w:p w14:paraId="1BD591FE" w14:textId="77777777" w:rsidR="009D0A75" w:rsidRPr="00AF1814" w:rsidRDefault="00DA3174" w:rsidP="00BF230B">
      <w:pPr>
        <w:pStyle w:val="Bodytext-keepwithnext"/>
      </w:pPr>
      <w:r w:rsidRPr="00AF1814">
        <w:t>Any protocol amendments (i.e., changes to the protocol) will be documented in writing and require IRB/IEC approval before implementation of changes, except for changes necessary to eliminate an immediate hazard to study participants. When applicable, amendments will be submitted to the appropriate Health Authorities.</w:t>
      </w:r>
    </w:p>
    <w:p w14:paraId="6B4E81E8" w14:textId="77777777" w:rsidR="009D0A75" w:rsidRPr="00AF1814" w:rsidRDefault="00DA3174" w:rsidP="00BF230B">
      <w:pPr>
        <w:pStyle w:val="Bodytext-keepwithnext"/>
      </w:pPr>
      <w:r w:rsidRPr="00AF1814">
        <w:t>The Investigator will be responsible for the following:</w:t>
      </w:r>
    </w:p>
    <w:p w14:paraId="3DDA89CF" w14:textId="77777777" w:rsidR="009D0A75" w:rsidRPr="00AF1814" w:rsidRDefault="00DA3174" w:rsidP="00BF230B">
      <w:pPr>
        <w:pStyle w:val="List1withbullet"/>
      </w:pPr>
      <w:r w:rsidRPr="00AF1814">
        <w:t>Providing written summaries of the status of the study to the IRB/IEC annually or more frequently per the IRB’s/IEC’s requirements, policies, and procedures.</w:t>
      </w:r>
    </w:p>
    <w:p w14:paraId="03E58CAA" w14:textId="77777777" w:rsidR="009D0A75" w:rsidRPr="00AF1814" w:rsidRDefault="00DA3174" w:rsidP="00BF230B">
      <w:pPr>
        <w:pStyle w:val="List1withbullet"/>
      </w:pPr>
      <w:r w:rsidRPr="00AF1814">
        <w:t>Notifying the IRB/IEC of SAEs or other significant safety findings, as required by IRB/IEC procedures</w:t>
      </w:r>
      <w:r w:rsidR="009F2769" w:rsidRPr="00AF1814">
        <w:t>.</w:t>
      </w:r>
    </w:p>
    <w:p w14:paraId="18520DA8" w14:textId="77777777" w:rsidR="009D0A75" w:rsidRPr="00AF1814" w:rsidRDefault="00DA3174" w:rsidP="00BF230B">
      <w:pPr>
        <w:pStyle w:val="List1withbullet"/>
      </w:pPr>
      <w:r w:rsidRPr="00AF1814">
        <w:t>Providing oversight of the study conduct at the site and adherence to requirements of 21 CFR, ICH guidelines, the IRB/IEC, European regulation 536/2014 for clinical studies (if applicable), and all other applicable local regulations</w:t>
      </w:r>
      <w:r w:rsidR="009F2769" w:rsidRPr="00AF1814">
        <w:t>.</w:t>
      </w:r>
    </w:p>
    <w:p w14:paraId="1EE2ACD7" w14:textId="77777777" w:rsidR="009D0A75" w:rsidRPr="00AF1814" w:rsidRDefault="00DA3174" w:rsidP="00BF230B">
      <w:pPr>
        <w:pStyle w:val="Bodytext-keepwithnext"/>
      </w:pPr>
      <w:r w:rsidRPr="00AF1814">
        <w:t>The protocol and any applicable documentation will be submitted or notified to the Health Authorities in accordance with all local and national regulations for each site.</w:t>
      </w:r>
    </w:p>
    <w:p w14:paraId="790D8087" w14:textId="77777777" w:rsidR="002E37D0" w:rsidRPr="00AF1814" w:rsidRDefault="00DA3174" w:rsidP="002E37D0">
      <w:pPr>
        <w:pStyle w:val="BodyText"/>
        <w:rPr>
          <w:b/>
        </w:rPr>
      </w:pPr>
      <w:r w:rsidRPr="00AF1814">
        <w:rPr>
          <w:b/>
        </w:rPr>
        <w:t>Review Committees</w:t>
      </w:r>
    </w:p>
    <w:p w14:paraId="1608C5BD" w14:textId="77777777" w:rsidR="002E37D0" w:rsidRPr="00AF1814" w:rsidRDefault="00DA3174" w:rsidP="002E37D0">
      <w:r w:rsidRPr="00AF1814">
        <w:t xml:space="preserve">The following committee will be involved in the study: </w:t>
      </w:r>
    </w:p>
    <w:p w14:paraId="69969F87" w14:textId="77777777" w:rsidR="002E37D0" w:rsidRPr="00AF1814" w:rsidRDefault="00DA3174" w:rsidP="002E37D0">
      <w:pPr>
        <w:rPr>
          <w:b/>
          <w:bCs/>
          <w:sz w:val="22"/>
        </w:rPr>
      </w:pPr>
      <w:r w:rsidRPr="00AF1814">
        <w:rPr>
          <w:b/>
        </w:rPr>
        <w:t>Safety Monitoring Committee</w:t>
      </w:r>
      <w:r w:rsidR="009977EF" w:rsidRPr="00AF1814">
        <w:rPr>
          <w:b/>
          <w:bCs/>
        </w:rPr>
        <w:t>:</w:t>
      </w:r>
    </w:p>
    <w:p w14:paraId="5272DCE7" w14:textId="77777777" w:rsidR="002E37D0" w:rsidRPr="00AF1814" w:rsidRDefault="00DA3174" w:rsidP="002E37D0">
      <w:r w:rsidRPr="00AF1814">
        <w:t>To ensure participants’ safety during the study, a SMC will periodically review safety data. </w:t>
      </w:r>
      <w:bookmarkStart w:id="408" w:name="_Hlk35005490"/>
      <w:r w:rsidR="009E661D" w:rsidRPr="00AF1814">
        <w:t xml:space="preserve">The SMC consists of permanent members of the Sponsor and/or CRO (GPS Product Lead, Medical Lead, Biostatistician, Medical Advisor) and the Coordinating Investigator. The SMC </w:t>
      </w:r>
      <w:r w:rsidR="008012C0" w:rsidRPr="00AF1814">
        <w:t>c</w:t>
      </w:r>
      <w:r w:rsidR="009E661D" w:rsidRPr="00AF1814">
        <w:t>harter will specify whether additional members, e.g.</w:t>
      </w:r>
      <w:r w:rsidR="00464FA1" w:rsidRPr="00AF1814">
        <w:t>,</w:t>
      </w:r>
      <w:r w:rsidR="009E661D" w:rsidRPr="00AF1814">
        <w:t xml:space="preserve"> external experts, treating </w:t>
      </w:r>
      <w:r w:rsidR="00097877" w:rsidRPr="00AF1814">
        <w:t>I</w:t>
      </w:r>
      <w:r w:rsidR="009E661D" w:rsidRPr="00AF1814">
        <w:t>nvestigators will be required</w:t>
      </w:r>
      <w:r w:rsidRPr="00AF1814">
        <w:t xml:space="preserve">.  The full membership, mandate, and processes of the SMC is detailed in the SMC charter.  </w:t>
      </w:r>
      <w:bookmarkEnd w:id="408"/>
    </w:p>
    <w:p w14:paraId="1B91621C" w14:textId="77777777" w:rsidR="009D0A75" w:rsidRPr="00AF1814" w:rsidRDefault="00DA3174" w:rsidP="009D0A75">
      <w:pPr>
        <w:pStyle w:val="BodyText"/>
        <w:rPr>
          <w:b/>
        </w:rPr>
      </w:pPr>
      <w:r w:rsidRPr="00AF1814">
        <w:rPr>
          <w:b/>
        </w:rPr>
        <w:t>Emergency Medical Support</w:t>
      </w:r>
    </w:p>
    <w:p w14:paraId="336D9DFF" w14:textId="77777777" w:rsidR="009D0A75" w:rsidRPr="00AF1814" w:rsidRDefault="00DA3174" w:rsidP="002E37D0">
      <w:pPr>
        <w:pStyle w:val="BodyText"/>
      </w:pPr>
      <w:r w:rsidRPr="00AF1814">
        <w:t>The Sponsor or designee will provide Emergency Medical Support cards to participants for use during the study. These provide the means for participants to identify themselves as participating in a clinical study. Also, these give health care providers access to any information about this participation that may be needed to determine the course of medical treatment for the participant. The information on the Emergency Medical Support card may include the process for emergency unblinding (if applicable).</w:t>
      </w:r>
    </w:p>
    <w:p w14:paraId="0F53009A" w14:textId="77777777" w:rsidR="009D0A75" w:rsidRPr="00AF1814" w:rsidRDefault="00DA3174" w:rsidP="002E37D0">
      <w:pPr>
        <w:pStyle w:val="BodyText"/>
      </w:pPr>
      <w:r w:rsidRPr="00AF1814">
        <w:lastRenderedPageBreak/>
        <w:t>The first point of contact for all emergencies will be the clinical study Investigator caring for the participant. Consequently, the Investigator agrees to provide his or her emergency contact information on the card. If the Investigator is available when an event occurs, they will answer any questions. Any subsequent action (e.g., unblinding) will follow the standard process established for Investigators.</w:t>
      </w:r>
    </w:p>
    <w:p w14:paraId="7E4AD9ED" w14:textId="77777777" w:rsidR="009D0A75" w:rsidRPr="00AF1814" w:rsidRDefault="00DA3174" w:rsidP="00AF0143">
      <w:pPr>
        <w:pStyle w:val="BodyText"/>
      </w:pPr>
      <w:r w:rsidRPr="00AF1814">
        <w:t xml:space="preserve">When the Investigator is not available, the Sponsor provides the appropriate means to contact a Sponsor </w:t>
      </w:r>
      <w:bookmarkStart w:id="409" w:name="_Hlk1746858"/>
      <w:r w:rsidRPr="00AF1814">
        <w:t xml:space="preserve">(or designee) </w:t>
      </w:r>
      <w:bookmarkEnd w:id="409"/>
      <w:r w:rsidRPr="00AF1814">
        <w:t>physician. This includes provision of a 24-hour contact number at a call center, whereby the health care providers will be given access to the appropriate Sponsor (or designee) physician to assist with the medical emergency.</w:t>
      </w:r>
    </w:p>
    <w:p w14:paraId="18974BF7" w14:textId="77777777" w:rsidR="009D0A75" w:rsidRPr="00AF1814" w:rsidRDefault="00DA3174" w:rsidP="009D0A75">
      <w:pPr>
        <w:pStyle w:val="BodyText"/>
        <w:rPr>
          <w:b/>
        </w:rPr>
      </w:pPr>
      <w:r w:rsidRPr="00AF1814">
        <w:rPr>
          <w:b/>
        </w:rPr>
        <w:t>Clinical Study Insurance and Compensation to Participants</w:t>
      </w:r>
    </w:p>
    <w:p w14:paraId="7F4A07BC" w14:textId="77777777" w:rsidR="009D0A75" w:rsidRPr="00AF1814" w:rsidRDefault="00DA3174" w:rsidP="00AF0143">
      <w:pPr>
        <w:pStyle w:val="BodyText"/>
      </w:pPr>
      <w:r w:rsidRPr="00AF1814">
        <w:t>Insurance coverage will be provided for each country participating in the study. Insurance conditions will meet good local standards, as applicable.</w:t>
      </w:r>
    </w:p>
    <w:p w14:paraId="5617C2AA" w14:textId="77777777" w:rsidR="009D0A75" w:rsidRPr="00AF1814" w:rsidRDefault="00DA3174" w:rsidP="00AF0143">
      <w:pPr>
        <w:pStyle w:val="BodyText"/>
      </w:pPr>
      <w:r w:rsidRPr="00AF1814">
        <w:t>The Sponsor is entirely responsible for AEs that are associated with this study and cause damage to the health of the participants, except for AEs caused by an intentional and/or significant deviation on the part of the Investigator, the study site, and/or the participant. The Sponsor takes out insurance to fulfill the responsibility.</w:t>
      </w:r>
    </w:p>
    <w:p w14:paraId="6893C7E6" w14:textId="77777777" w:rsidR="009D0A75" w:rsidRPr="00AF1814" w:rsidRDefault="00DA3174" w:rsidP="009D0A75">
      <w:pPr>
        <w:pStyle w:val="BodyText"/>
        <w:rPr>
          <w:b/>
        </w:rPr>
      </w:pPr>
      <w:r w:rsidRPr="00AF1814">
        <w:rPr>
          <w:b/>
        </w:rPr>
        <w:t>Clinical Study Report</w:t>
      </w:r>
    </w:p>
    <w:p w14:paraId="0868C216" w14:textId="77777777" w:rsidR="009D0A75" w:rsidRPr="00AF1814" w:rsidRDefault="00DA3174" w:rsidP="00AF0143">
      <w:pPr>
        <w:pStyle w:val="BodyText"/>
      </w:pPr>
      <w:r w:rsidRPr="00AF1814">
        <w:t xml:space="preserve">After study completion, the Sponsor will write a </w:t>
      </w:r>
      <w:r w:rsidR="00464FA1" w:rsidRPr="00AF1814">
        <w:t>CSR</w:t>
      </w:r>
      <w:r w:rsidRPr="00AF1814">
        <w:t xml:space="preserve"> in consultation with the Coordinating Investigator</w:t>
      </w:r>
      <w:r w:rsidR="00AF0143" w:rsidRPr="00AF1814">
        <w:t>.</w:t>
      </w:r>
    </w:p>
    <w:p w14:paraId="35EA7F50" w14:textId="77777777" w:rsidR="009D0A75" w:rsidRPr="00AF1814" w:rsidRDefault="00DA3174" w:rsidP="009D0A75">
      <w:pPr>
        <w:pStyle w:val="BodyText"/>
        <w:rPr>
          <w:b/>
        </w:rPr>
      </w:pPr>
      <w:r w:rsidRPr="00AF1814">
        <w:rPr>
          <w:b/>
        </w:rPr>
        <w:t>Publication</w:t>
      </w:r>
    </w:p>
    <w:p w14:paraId="0022F82F" w14:textId="77777777" w:rsidR="009D0A75" w:rsidRPr="00AF1814" w:rsidRDefault="00DA3174" w:rsidP="00977F69">
      <w:pPr>
        <w:pStyle w:val="BodyText"/>
      </w:pPr>
      <w:r w:rsidRPr="00AF1814">
        <w:t xml:space="preserve">The results of this study may be published or presented at scientific meetings. If this is foreseen, the Investigator agrees to submit all manuscripts or abstracts to the Sponsor before submission. This allows Merck to protect proprietary information and to provide comments. </w:t>
      </w:r>
    </w:p>
    <w:p w14:paraId="5897C790" w14:textId="77777777" w:rsidR="009D0A75" w:rsidRPr="00AF1814" w:rsidRDefault="00DA3174" w:rsidP="00977F69">
      <w:pPr>
        <w:pStyle w:val="BodyText"/>
      </w:pPr>
      <w:r w:rsidRPr="00AF1814">
        <w:t xml:space="preserve">The Sponsor will comply with the requirements for publication of study results. Per standard editorial and ethical practice, the Sponsor will generally support publication of multicenter studies only in their entirety and not as individual site data. In this case, a </w:t>
      </w:r>
      <w:r w:rsidR="009F2769" w:rsidRPr="00AF1814">
        <w:t>C</w:t>
      </w:r>
      <w:r w:rsidRPr="00AF1814">
        <w:t>oordinating Investigator will be designated by agreement.</w:t>
      </w:r>
    </w:p>
    <w:p w14:paraId="51CFCAC3" w14:textId="77777777" w:rsidR="009D0A75" w:rsidRPr="00AF1814" w:rsidRDefault="00DA3174" w:rsidP="00977F69">
      <w:pPr>
        <w:pStyle w:val="BodyText"/>
      </w:pPr>
      <w:r w:rsidRPr="00AF1814">
        <w:t>Authorship will be determined by agreement and in line with International Committee of Medical Journal Editors authorship requirements.</w:t>
      </w:r>
    </w:p>
    <w:p w14:paraId="2BA26ED6" w14:textId="77777777" w:rsidR="009D0A75" w:rsidRPr="00AF1814" w:rsidRDefault="00DA3174" w:rsidP="004F480D">
      <w:pPr>
        <w:pStyle w:val="BodyText"/>
        <w:keepNext/>
        <w:rPr>
          <w:b/>
        </w:rPr>
      </w:pPr>
      <w:r w:rsidRPr="00AF1814">
        <w:rPr>
          <w:b/>
        </w:rPr>
        <w:t>Dissemination of Clinical Study Data</w:t>
      </w:r>
    </w:p>
    <w:p w14:paraId="1182D2F9" w14:textId="77777777" w:rsidR="00992FEB" w:rsidRPr="00AF1814" w:rsidRDefault="00DA3174" w:rsidP="00992FEB">
      <w:pPr>
        <w:pStyle w:val="BodyText"/>
      </w:pPr>
      <w:r w:rsidRPr="00AF1814">
        <w:t>After completion of the study, a CSR will be written by the Sponsor in consultation with the Coordinating Investigator following the guidance in ICH Topic E3 and will be submitted in accordance with local regulations.</w:t>
      </w:r>
    </w:p>
    <w:p w14:paraId="62E45C04" w14:textId="77777777" w:rsidR="00992FEB" w:rsidRPr="00AF1814" w:rsidRDefault="00DA3174" w:rsidP="00992FEB">
      <w:pPr>
        <w:pStyle w:val="BodyText"/>
      </w:pPr>
      <w:r w:rsidRPr="00AF1814">
        <w:t xml:space="preserve">Any and all scientific, commercial, and technical information disclosed by the Sponsor in this protocol or elsewhere should be considered the confidential and proprietary property of the </w:t>
      </w:r>
      <w:r w:rsidRPr="00AF1814">
        <w:lastRenderedPageBreak/>
        <w:t>Sponsor. The Investigator shall hold such information in confidence and shall not disclose the information to any third party except to such of the Investigator’s employees and staff who had been made aware that the information is confidential and who are bound to treat it as such and to whom disclosure is necessary to evaluate that information. The Investigator shall not use such information for any purpose other than for determining mutual interest in performing the study and, if the parties decide to proceed with the study, for the purpose of conducting the study.</w:t>
      </w:r>
    </w:p>
    <w:p w14:paraId="6DAB032E" w14:textId="77777777" w:rsidR="00992FEB" w:rsidRPr="00AF1814" w:rsidRDefault="00DA3174" w:rsidP="00992FEB">
      <w:pPr>
        <w:pStyle w:val="BodyText"/>
      </w:pPr>
      <w:r w:rsidRPr="00AF1814">
        <w:t>The Investigator understands that the information developed from this clinical study will be used by the Sponsor in connection with the development of the study intervention and therefore may be disclosed as required to other clinical Investigators, to the USA Food and Drug Administration, and to other government agencies. The Investigator also understands that, to allow for the use of the information derived from the clinical study, the Investigator has the obligation to provide the Sponsor with complete test results and all data developed in the study.</w:t>
      </w:r>
    </w:p>
    <w:p w14:paraId="54A5F3F8" w14:textId="77777777" w:rsidR="00992FEB" w:rsidRPr="00AF1814" w:rsidRDefault="00DA3174" w:rsidP="00992FEB">
      <w:pPr>
        <w:pStyle w:val="Bodytext-keepwithnext"/>
        <w:keepNext w:val="0"/>
      </w:pPr>
      <w:r w:rsidRPr="00AF1814">
        <w:t>No publication or disclosure of study results will be permitted except under the terms and conditions of a separate written agreement.</w:t>
      </w:r>
    </w:p>
    <w:p w14:paraId="7D8D5F76" w14:textId="77777777" w:rsidR="009D0A75" w:rsidRPr="00AF1814" w:rsidRDefault="00DA3174" w:rsidP="009D0A75">
      <w:pPr>
        <w:pStyle w:val="BodyText"/>
        <w:rPr>
          <w:b/>
        </w:rPr>
      </w:pPr>
      <w:r w:rsidRPr="00AF1814">
        <w:rPr>
          <w:b/>
        </w:rPr>
        <w:t>Data Quality Assurance</w:t>
      </w:r>
    </w:p>
    <w:p w14:paraId="33942110" w14:textId="77777777" w:rsidR="009D0A75" w:rsidRPr="00AF1814" w:rsidRDefault="00DA3174" w:rsidP="00992FEB">
      <w:pPr>
        <w:pStyle w:val="BodyText"/>
      </w:pPr>
      <w:r w:rsidRPr="00AF1814">
        <w:t>All participant study data will be recorded on printed or electronic CRFs or transmitted to the Sponsor or designee electronically (e.g., laboratory data). The Investigator is responsible for verifying that data entries are complete, accurate, legible, and timely by physically or electronically signing the CRF. Details for managing CRFs are in the Operations Manual.</w:t>
      </w:r>
    </w:p>
    <w:p w14:paraId="54C52B91" w14:textId="77777777" w:rsidR="009D0A75" w:rsidRPr="00AF1814" w:rsidRDefault="00DA3174" w:rsidP="00992FEB">
      <w:pPr>
        <w:pStyle w:val="BodyText"/>
      </w:pPr>
      <w:r w:rsidRPr="00AF1814">
        <w:t>The Investigator will maintain accurate documentation (source data) that supports the information in the CRF.</w:t>
      </w:r>
    </w:p>
    <w:p w14:paraId="2B2541D4" w14:textId="77777777" w:rsidR="009D0A75" w:rsidRPr="00AF1814" w:rsidRDefault="00DA3174" w:rsidP="00992FEB">
      <w:pPr>
        <w:pStyle w:val="BodyText"/>
      </w:pPr>
      <w:r w:rsidRPr="00AF1814">
        <w:t>The Investigator will permit study-related monitoring, quality assurance audits, IRB/IEC review, and regulatory agency inspections and provide direct access to the study file and source data.</w:t>
      </w:r>
    </w:p>
    <w:p w14:paraId="4F5B27EC" w14:textId="77777777" w:rsidR="009D0A75" w:rsidRPr="00AF1814" w:rsidRDefault="00DA3174" w:rsidP="00992FEB">
      <w:pPr>
        <w:pStyle w:val="BodyText"/>
      </w:pPr>
      <w:bookmarkStart w:id="410" w:name="_Hlk505262899"/>
      <w:r w:rsidRPr="00AF1814">
        <w:t>Monitoring details describing strategy (e.g., risk-based initiatives in operations and quality such as Risk Management and Mitigation Strategies and Analytical Risk-Based Monitoring), methods, responsibilities and requirements, including handling of noncompliance issues and monitoring techniques (central, remote, or on-site monitoring) are in the Monitoring Plan or contracts.</w:t>
      </w:r>
    </w:p>
    <w:bookmarkEnd w:id="410"/>
    <w:p w14:paraId="771774A1" w14:textId="77777777" w:rsidR="009D0A75" w:rsidRPr="00AF1814" w:rsidRDefault="00DA3174" w:rsidP="00992FEB">
      <w:pPr>
        <w:pStyle w:val="BodyText"/>
      </w:pPr>
      <w:r w:rsidRPr="00AF1814">
        <w:t xml:space="preserve">The Sponsor or designee is responsible for data management of this study, including quality checking of the data and maintaining a validated database. Database lock will occur once quality control and quality assurance procedures have been completed. Details will be outlined in </w:t>
      </w:r>
      <w:r w:rsidR="009F2769" w:rsidRPr="00AF1814">
        <w:t>d</w:t>
      </w:r>
      <w:r w:rsidRPr="00AF1814">
        <w:t xml:space="preserve">ata </w:t>
      </w:r>
      <w:r w:rsidR="009F2769" w:rsidRPr="00AF1814">
        <w:t>m</w:t>
      </w:r>
      <w:r w:rsidRPr="00AF1814">
        <w:t>anagement documents and procedures.</w:t>
      </w:r>
    </w:p>
    <w:p w14:paraId="59E233E8" w14:textId="77777777" w:rsidR="009D0A75" w:rsidRPr="00AF1814" w:rsidRDefault="00DA3174" w:rsidP="00992FEB">
      <w:pPr>
        <w:pStyle w:val="BodyText"/>
      </w:pPr>
      <w:r w:rsidRPr="00AF1814">
        <w:t>Study Monitors will perform ongoing source data verification to confirm that data in the CRF are accurate, complete, and verifiable; that the safety and rights of participants are being protected; and that the study is being conducted per the currently approved protocol and any other study agreements, ICH GCP, the Japanese ministerial ordinance on GCP, and all applicable regulatory requirements.</w:t>
      </w:r>
    </w:p>
    <w:p w14:paraId="55EE2904" w14:textId="77777777" w:rsidR="009D0A75" w:rsidRPr="00AF1814" w:rsidRDefault="00DA3174" w:rsidP="00992FEB">
      <w:pPr>
        <w:pStyle w:val="BodyText"/>
      </w:pPr>
      <w:r w:rsidRPr="00AF1814">
        <w:lastRenderedPageBreak/>
        <w:t>The Investigator will retain records and documents, including signed ICFs, pertaining to the conduct of this study for 15 years after study completion, unless local regulations, institutional policies, or the Sponsor requires a longer retention. No records may be destroyed during the retention period without the Sponsor’s written approval. No records may be transferred to another location or party without the Sponsor’s written notification.</w:t>
      </w:r>
    </w:p>
    <w:p w14:paraId="2CA86136" w14:textId="77777777" w:rsidR="009D0A75" w:rsidRPr="00AF1814" w:rsidRDefault="00DA3174" w:rsidP="009D0A75">
      <w:pPr>
        <w:pStyle w:val="BodyText"/>
        <w:rPr>
          <w:b/>
        </w:rPr>
      </w:pPr>
      <w:r w:rsidRPr="00AF1814">
        <w:rPr>
          <w:b/>
        </w:rPr>
        <w:t>Source Documents</w:t>
      </w:r>
    </w:p>
    <w:p w14:paraId="52A61787" w14:textId="77777777" w:rsidR="009D0A75" w:rsidRPr="00AF1814" w:rsidRDefault="00DA3174" w:rsidP="00020F35">
      <w:pPr>
        <w:pStyle w:val="List2withbullet"/>
      </w:pPr>
      <w:r w:rsidRPr="00AF1814">
        <w:t>Source documents provide evidence for the existence of the participant and substantiate the integrity of the data collected.</w:t>
      </w:r>
    </w:p>
    <w:p w14:paraId="48E177C0" w14:textId="77777777" w:rsidR="009D0A75" w:rsidRPr="00AF1814" w:rsidRDefault="00DA3174" w:rsidP="00020F35">
      <w:pPr>
        <w:pStyle w:val="List2withbullet"/>
      </w:pPr>
      <w:r w:rsidRPr="00AF1814">
        <w:t>The Investigator will keep a paper or electronic file (medical file and original medical records) at the site for each study participant. The file will identify each participant, contain the following demographic and medical information for the participant, and will be as complete as possible:</w:t>
      </w:r>
    </w:p>
    <w:p w14:paraId="0CBBD533" w14:textId="77777777" w:rsidR="009D0A75" w:rsidRPr="00AF1814" w:rsidRDefault="00DA3174" w:rsidP="00020F35">
      <w:pPr>
        <w:pStyle w:val="List2withbullet"/>
      </w:pPr>
      <w:r w:rsidRPr="00AF1814">
        <w:t>Participant’s full name, date of birth, sex, height, and weight</w:t>
      </w:r>
    </w:p>
    <w:p w14:paraId="1CEEADD7" w14:textId="77777777" w:rsidR="009D0A75" w:rsidRPr="00AF1814" w:rsidRDefault="00DA3174" w:rsidP="00020F35">
      <w:pPr>
        <w:pStyle w:val="List2withbullet"/>
      </w:pPr>
      <w:r w:rsidRPr="00AF1814">
        <w:t>Medical history and concomitant diseases</w:t>
      </w:r>
    </w:p>
    <w:p w14:paraId="0B8FE04F" w14:textId="77777777" w:rsidR="009D0A75" w:rsidRPr="00AF1814" w:rsidRDefault="00DA3174" w:rsidP="00020F35">
      <w:pPr>
        <w:pStyle w:val="List2withbullet"/>
      </w:pPr>
      <w:r w:rsidRPr="00AF1814">
        <w:t>Prior and concomitant therapies (including changes during the study)</w:t>
      </w:r>
    </w:p>
    <w:p w14:paraId="299CE9F4" w14:textId="77777777" w:rsidR="009D0A75" w:rsidRPr="00AF1814" w:rsidRDefault="00DA3174" w:rsidP="00020F35">
      <w:pPr>
        <w:pStyle w:val="List2withbullet"/>
      </w:pPr>
      <w:r w:rsidRPr="00AF1814">
        <w:t>Study identifier (i.e., the Sponsor’s study number) and participant’s study number.</w:t>
      </w:r>
    </w:p>
    <w:p w14:paraId="03C7F269" w14:textId="77777777" w:rsidR="009D0A75" w:rsidRPr="00AF1814" w:rsidRDefault="00DA3174" w:rsidP="00020F35">
      <w:pPr>
        <w:pStyle w:val="List2withbullet"/>
      </w:pPr>
      <w:r w:rsidRPr="00AF1814">
        <w:t>Dates of entry into the study (i.e., signature date on the informed consent) and each visit to the site</w:t>
      </w:r>
    </w:p>
    <w:p w14:paraId="28AB6589" w14:textId="77777777" w:rsidR="009D0A75" w:rsidRPr="00AF1814" w:rsidRDefault="00DA3174" w:rsidP="00020F35">
      <w:pPr>
        <w:pStyle w:val="List2withbullet"/>
      </w:pPr>
      <w:r w:rsidRPr="00AF1814">
        <w:t>Any medical examinations and clinical findings predefined in the protocol</w:t>
      </w:r>
    </w:p>
    <w:p w14:paraId="526305DF" w14:textId="77777777" w:rsidR="009D0A75" w:rsidRPr="00AF1814" w:rsidRDefault="00DA3174" w:rsidP="00020F35">
      <w:pPr>
        <w:pStyle w:val="List2withbullet"/>
      </w:pPr>
      <w:r w:rsidRPr="00AF1814">
        <w:t>All AEs</w:t>
      </w:r>
    </w:p>
    <w:p w14:paraId="3BE51254" w14:textId="77777777" w:rsidR="009D0A75" w:rsidRPr="00AF1814" w:rsidRDefault="00DA3174" w:rsidP="00020F35">
      <w:pPr>
        <w:pStyle w:val="List2withbullet"/>
      </w:pPr>
      <w:r w:rsidRPr="00AF1814">
        <w:t>Date that the participant left the study, including any reason for early withdrawal from the study or study intervention, if applicable.</w:t>
      </w:r>
    </w:p>
    <w:p w14:paraId="5DFD03F2" w14:textId="77777777" w:rsidR="009D0A75" w:rsidRPr="00AF1814" w:rsidRDefault="00DA3174" w:rsidP="00020F35">
      <w:pPr>
        <w:pStyle w:val="List2withbullet"/>
      </w:pPr>
      <w:r w:rsidRPr="00AF1814">
        <w:t>All source data will be filed (e.g., CT or MRI scan images, ECG recordings, and laboratory results). Each document will have the participant number and the procedure date; ideally, printed by the instrument used for the procedure. As necessary, medical evaluation of these records will be performed, documented, signed and dated by the Investigator.</w:t>
      </w:r>
    </w:p>
    <w:p w14:paraId="4E8D362D" w14:textId="77777777" w:rsidR="009D0A75" w:rsidRPr="00AF1814" w:rsidRDefault="00DA3174" w:rsidP="00020F35">
      <w:pPr>
        <w:pStyle w:val="List2withbullet"/>
      </w:pPr>
      <w:r w:rsidRPr="00AF1814">
        <w:t>Data recorded on printed or electronic CRFs that are transcribed from source documents will be consistent with the source documents or the discrepancies will be explained. The Investigator may need to request previous medical records or transfer records, depending on the study. Also, current medical records will be available.</w:t>
      </w:r>
    </w:p>
    <w:p w14:paraId="1A643F55" w14:textId="77777777" w:rsidR="009D0A75" w:rsidRPr="00AF1814" w:rsidRDefault="00DA3174" w:rsidP="00020F35">
      <w:pPr>
        <w:pStyle w:val="List2withbullet"/>
      </w:pPr>
      <w:r w:rsidRPr="00AF1814">
        <w:t>The Study Monitors will use printouts of electronic files for source data verification. These printouts will be signed and dated by the Investigator and kept in the study file.</w:t>
      </w:r>
    </w:p>
    <w:p w14:paraId="12DE5156" w14:textId="77777777" w:rsidR="009D0A75" w:rsidRPr="00AF1814" w:rsidRDefault="00DA3174" w:rsidP="00020F35">
      <w:pPr>
        <w:pStyle w:val="List2withbullet"/>
      </w:pPr>
      <w:r w:rsidRPr="00AF1814">
        <w:t xml:space="preserve">Source documents are stored at the site for the longest possible time permitted by the applicable regulations, and/or as per ICH GCP guidelines, whichever is longer. The Investigator </w:t>
      </w:r>
      <w:r w:rsidR="00F53E1F" w:rsidRPr="00AF1814">
        <w:t>or in Japan</w:t>
      </w:r>
      <w:r w:rsidR="00573B7E" w:rsidRPr="00AF1814">
        <w:t xml:space="preserve">: </w:t>
      </w:r>
      <w:r w:rsidRPr="00AF1814">
        <w:t>a record retainer designated by the Head of the study site ensures that no destruction of medical records is performed without the Sponsor’s written approval.</w:t>
      </w:r>
    </w:p>
    <w:p w14:paraId="75E2FF38" w14:textId="77777777" w:rsidR="009D0A75" w:rsidRPr="00AF1814" w:rsidRDefault="00DA3174" w:rsidP="00020F35">
      <w:pPr>
        <w:pStyle w:val="List2withbullet"/>
      </w:pPr>
      <w:r w:rsidRPr="00AF1814">
        <w:t xml:space="preserve">Definition of what constitutes source data is found in </w:t>
      </w:r>
      <w:r w:rsidR="00573B7E" w:rsidRPr="00AF1814">
        <w:t>eCRF guidelines</w:t>
      </w:r>
      <w:r w:rsidRPr="00AF1814">
        <w:t>.</w:t>
      </w:r>
    </w:p>
    <w:p w14:paraId="20660347" w14:textId="77777777" w:rsidR="009D0A75" w:rsidRPr="00AF1814" w:rsidRDefault="00DA3174" w:rsidP="009D0A75">
      <w:pPr>
        <w:pStyle w:val="BodyText"/>
        <w:rPr>
          <w:b/>
        </w:rPr>
      </w:pPr>
      <w:r w:rsidRPr="00AF1814">
        <w:rPr>
          <w:b/>
        </w:rPr>
        <w:lastRenderedPageBreak/>
        <w:t>Study and Site Start and Closure</w:t>
      </w:r>
    </w:p>
    <w:p w14:paraId="04987F0E" w14:textId="77777777" w:rsidR="009D0A75" w:rsidRPr="00AF1814" w:rsidRDefault="00DA3174" w:rsidP="009D0A75">
      <w:pPr>
        <w:pStyle w:val="List1withbullet"/>
        <w:numPr>
          <w:ilvl w:val="0"/>
          <w:numId w:val="0"/>
        </w:numPr>
        <w:ind w:left="270"/>
      </w:pPr>
      <w:r w:rsidRPr="00AF1814">
        <w:t>First Act of Recruitment</w:t>
      </w:r>
    </w:p>
    <w:p w14:paraId="694F01C4" w14:textId="77777777" w:rsidR="009D0A75" w:rsidRPr="00AF1814" w:rsidRDefault="00DA3174" w:rsidP="00020F35">
      <w:pPr>
        <w:pStyle w:val="List1withbullet"/>
        <w:ind w:left="540" w:hanging="270"/>
      </w:pPr>
      <w:r w:rsidRPr="00AF1814">
        <w:rPr>
          <w:lang w:val="en" w:eastAsia="en-GB"/>
        </w:rPr>
        <w:t>The study start date is the date when the clinical study will be open for recruitment.</w:t>
      </w:r>
    </w:p>
    <w:p w14:paraId="1703B990" w14:textId="77777777" w:rsidR="009D0A75" w:rsidRPr="00AF1814" w:rsidRDefault="00DA3174" w:rsidP="00020F35">
      <w:pPr>
        <w:pStyle w:val="List1withbullet"/>
        <w:ind w:left="540" w:hanging="270"/>
      </w:pPr>
      <w:r w:rsidRPr="00AF1814">
        <w:t xml:space="preserve">The first act of recruitment is </w:t>
      </w:r>
      <w:r w:rsidR="00165DDE" w:rsidRPr="00AF1814">
        <w:t xml:space="preserve">when the first </w:t>
      </w:r>
      <w:r w:rsidR="008012C0" w:rsidRPr="00AF1814">
        <w:t>participant</w:t>
      </w:r>
      <w:r w:rsidR="00165DDE" w:rsidRPr="00AF1814">
        <w:t xml:space="preserve"> is screened and signs the ICF</w:t>
      </w:r>
      <w:r w:rsidRPr="00AF1814">
        <w:t xml:space="preserve"> and will be the study start date.</w:t>
      </w:r>
    </w:p>
    <w:p w14:paraId="04F2785F" w14:textId="77777777" w:rsidR="009D0A75" w:rsidRPr="00AF1814" w:rsidRDefault="00DA3174" w:rsidP="009D0A75">
      <w:pPr>
        <w:pStyle w:val="List1withbullet"/>
        <w:numPr>
          <w:ilvl w:val="0"/>
          <w:numId w:val="0"/>
        </w:numPr>
        <w:ind w:left="270"/>
      </w:pPr>
      <w:r w:rsidRPr="00AF1814">
        <w:t>Study Closure and Site Termination</w:t>
      </w:r>
    </w:p>
    <w:p w14:paraId="65008AAF" w14:textId="77777777" w:rsidR="009D0A75" w:rsidRPr="00AF1814" w:rsidRDefault="00DA3174" w:rsidP="00020F35">
      <w:pPr>
        <w:pStyle w:val="List2withbullet"/>
      </w:pPr>
      <w:r w:rsidRPr="00AF1814">
        <w:t>The Sponsor reserves the right to close the study site or terminate the study at any time and for any reason. Study sites will be closed upon study completion. A study site is considered closed when all required documents and study supplies have been collected and a site closure visit has been completed.</w:t>
      </w:r>
    </w:p>
    <w:p w14:paraId="60D541ED" w14:textId="77777777" w:rsidR="009D0A75" w:rsidRPr="00AF1814" w:rsidRDefault="00DA3174" w:rsidP="00020F35">
      <w:pPr>
        <w:pStyle w:val="List2withbullet"/>
      </w:pPr>
      <w:r w:rsidRPr="00AF1814">
        <w:t>The Investigator may initiate site closure at any time, provided there is reasonable cause and enough notice is given in advance of the intended termination.</w:t>
      </w:r>
    </w:p>
    <w:p w14:paraId="704EFF94" w14:textId="77777777" w:rsidR="009D0A75" w:rsidRPr="00AF1814" w:rsidRDefault="00DA3174" w:rsidP="00020F35">
      <w:pPr>
        <w:pStyle w:val="List2withbullet"/>
      </w:pPr>
      <w:r w:rsidRPr="00AF1814">
        <w:t>Reasons for the early closure of a study site by the Sponsor or Investigator may include:</w:t>
      </w:r>
    </w:p>
    <w:p w14:paraId="21AFD2D8" w14:textId="77777777" w:rsidR="009D0A75" w:rsidRPr="00AF1814" w:rsidRDefault="00DA3174" w:rsidP="002A577A">
      <w:pPr>
        <w:pStyle w:val="List2withbullet"/>
        <w:numPr>
          <w:ilvl w:val="1"/>
          <w:numId w:val="3"/>
        </w:numPr>
      </w:pPr>
      <w:r w:rsidRPr="00AF1814">
        <w:t xml:space="preserve">Failure of the Investigator to comply with the protocol, the requirements of the IRB/IEC or local </w:t>
      </w:r>
      <w:r w:rsidR="009F2769" w:rsidRPr="00AF1814">
        <w:t>H</w:t>
      </w:r>
      <w:r w:rsidRPr="00AF1814">
        <w:t xml:space="preserve">ealth </w:t>
      </w:r>
      <w:r w:rsidR="009F2769" w:rsidRPr="00AF1814">
        <w:t>A</w:t>
      </w:r>
      <w:r w:rsidRPr="00AF1814">
        <w:t>uthorities, the Sponsor's procedures, or GCP guidelines</w:t>
      </w:r>
    </w:p>
    <w:p w14:paraId="71386888" w14:textId="77777777" w:rsidR="009D0A75" w:rsidRPr="00AF1814" w:rsidRDefault="00DA3174" w:rsidP="002A577A">
      <w:pPr>
        <w:pStyle w:val="List2withbullet"/>
        <w:numPr>
          <w:ilvl w:val="1"/>
          <w:numId w:val="3"/>
        </w:numPr>
      </w:pPr>
      <w:r w:rsidRPr="00AF1814">
        <w:t>Inadequate recruitment of participants by the Investigator</w:t>
      </w:r>
    </w:p>
    <w:p w14:paraId="1C0F0EDD" w14:textId="77777777" w:rsidR="009D0A75" w:rsidRPr="00AF1814" w:rsidRDefault="00DA3174" w:rsidP="002A577A">
      <w:pPr>
        <w:pStyle w:val="List2withbullet"/>
        <w:numPr>
          <w:ilvl w:val="1"/>
          <w:numId w:val="3"/>
        </w:numPr>
      </w:pPr>
      <w:r w:rsidRPr="00AF1814">
        <w:t>Discontinuation of further development of the Sponsor’s compound</w:t>
      </w:r>
    </w:p>
    <w:p w14:paraId="08B9E5AB" w14:textId="77777777" w:rsidR="00245DB7" w:rsidRPr="00AF1814" w:rsidRDefault="00DA3174" w:rsidP="00FE2057">
      <w:pPr>
        <w:pStyle w:val="BodyText"/>
      </w:pPr>
      <w:r w:rsidRPr="00AF1814">
        <w:t xml:space="preserve">If the study is prematurely terminated or suspended, the Sponsor will promptly inform the Investigators, the IECs/IRBs, the regulatory authorities, and any </w:t>
      </w:r>
      <w:r w:rsidR="00464FA1" w:rsidRPr="00AF1814">
        <w:t>CRO</w:t>
      </w:r>
      <w:r w:rsidRPr="00AF1814">
        <w:t xml:space="preserve">s used in the study of the reason for termination or suspension, as specified by the applicable regulatory requirements. The Investigator will promptly inform the participants and assure appropriate participant therapy and/or follow-up. </w:t>
      </w:r>
    </w:p>
    <w:p w14:paraId="5EAC7922" w14:textId="77777777" w:rsidR="00FE2057" w:rsidRPr="00AF1814" w:rsidRDefault="00DA3174" w:rsidP="00FE2057">
      <w:pPr>
        <w:pStyle w:val="BodyText"/>
      </w:pPr>
      <w:r w:rsidRPr="00AF1814">
        <w:t xml:space="preserve">The whole study may </w:t>
      </w:r>
      <w:r w:rsidR="00C32217" w:rsidRPr="00AF1814">
        <w:t xml:space="preserve">also </w:t>
      </w:r>
      <w:r w:rsidRPr="00AF1814">
        <w:t xml:space="preserve">be </w:t>
      </w:r>
      <w:r w:rsidR="00C32217" w:rsidRPr="00AF1814">
        <w:t xml:space="preserve">terminated </w:t>
      </w:r>
      <w:r w:rsidRPr="00AF1814">
        <w:t>prematurely in the event of any of the following:</w:t>
      </w:r>
    </w:p>
    <w:p w14:paraId="19AFE70B" w14:textId="77777777" w:rsidR="00FE2057" w:rsidRPr="00AF1814" w:rsidRDefault="00DA3174" w:rsidP="00F15279">
      <w:pPr>
        <w:pStyle w:val="List1withbullet"/>
      </w:pPr>
      <w:r w:rsidRPr="00AF1814">
        <w:t>New information leading to unfavorable risk</w:t>
      </w:r>
      <w:r w:rsidRPr="00AF1814">
        <w:noBreakHyphen/>
        <w:t>benefit judgment of the study</w:t>
      </w:r>
      <w:r w:rsidR="003C6AB2" w:rsidRPr="00AF1814">
        <w:t xml:space="preserve"> intervention</w:t>
      </w:r>
      <w:r w:rsidRPr="00AF1814">
        <w:t>, for example, due to:</w:t>
      </w:r>
    </w:p>
    <w:p w14:paraId="0C3F54BC" w14:textId="77777777" w:rsidR="00FE2057" w:rsidRPr="00AF1814" w:rsidRDefault="00DA3174" w:rsidP="00116BB3">
      <w:pPr>
        <w:pStyle w:val="List1withbullet"/>
        <w:numPr>
          <w:ilvl w:val="1"/>
          <w:numId w:val="5"/>
        </w:numPr>
      </w:pPr>
      <w:r w:rsidRPr="00AF1814">
        <w:t>evidence of inefficacy of the study</w:t>
      </w:r>
      <w:r w:rsidR="003C6AB2" w:rsidRPr="00AF1814">
        <w:t xml:space="preserve"> intervention</w:t>
      </w:r>
      <w:r w:rsidRPr="00AF1814">
        <w:t>,</w:t>
      </w:r>
    </w:p>
    <w:p w14:paraId="74A26B90" w14:textId="77777777" w:rsidR="00FE2057" w:rsidRPr="00AF1814" w:rsidRDefault="00DA3174" w:rsidP="00116BB3">
      <w:pPr>
        <w:pStyle w:val="List1withbullet"/>
        <w:numPr>
          <w:ilvl w:val="1"/>
          <w:numId w:val="5"/>
        </w:numPr>
      </w:pPr>
      <w:r w:rsidRPr="00AF1814">
        <w:t>occurrence of significant previously unknown treatment-related adverse events</w:t>
      </w:r>
      <w:r w:rsidR="00CE7850" w:rsidRPr="00AF1814">
        <w:t xml:space="preserve"> </w:t>
      </w:r>
      <w:r w:rsidRPr="00AF1814">
        <w:t>or unexpectedly high intensity or incidence of known treatment-related adverse</w:t>
      </w:r>
      <w:r w:rsidR="00CE7850" w:rsidRPr="00AF1814">
        <w:t xml:space="preserve"> </w:t>
      </w:r>
      <w:r w:rsidRPr="00AF1814">
        <w:t>events, or</w:t>
      </w:r>
    </w:p>
    <w:p w14:paraId="16056728" w14:textId="77777777" w:rsidR="00FE2057" w:rsidRPr="00AF1814" w:rsidRDefault="00DA3174" w:rsidP="00116BB3">
      <w:pPr>
        <w:pStyle w:val="List1withbullet"/>
        <w:numPr>
          <w:ilvl w:val="1"/>
          <w:numId w:val="5"/>
        </w:numPr>
      </w:pPr>
      <w:r w:rsidRPr="00AF1814">
        <w:t>other unfavorable safety findings.</w:t>
      </w:r>
    </w:p>
    <w:p w14:paraId="6853161D" w14:textId="77777777" w:rsidR="00FE2057" w:rsidRPr="00AF1814" w:rsidRDefault="00DA3174" w:rsidP="00FE2057">
      <w:pPr>
        <w:pStyle w:val="BodyText"/>
        <w:rPr>
          <w:i/>
        </w:rPr>
      </w:pPr>
      <w:r w:rsidRPr="00AF1814">
        <w:rPr>
          <w:i/>
        </w:rPr>
        <w:t>(Note: Evidence of inefficacy may arise from this study or from other studies; unfavorable safety findings may arise from clinical or nonclinical examinations, for example, toxicology.)</w:t>
      </w:r>
    </w:p>
    <w:p w14:paraId="5684334C" w14:textId="77777777" w:rsidR="00FE2057" w:rsidRPr="00AF1814" w:rsidRDefault="00DA3174" w:rsidP="00F15279">
      <w:pPr>
        <w:pStyle w:val="List1withbullet"/>
      </w:pPr>
      <w:r w:rsidRPr="00AF1814">
        <w:t>Sponsor’s decision that continuation of the study is unjustifiable for medical or ethical reasons.</w:t>
      </w:r>
    </w:p>
    <w:p w14:paraId="28B0BF81" w14:textId="77777777" w:rsidR="00FE2057" w:rsidRPr="00AF1814" w:rsidRDefault="00DA3174" w:rsidP="00FE2057">
      <w:pPr>
        <w:pStyle w:val="BodyText"/>
      </w:pPr>
      <w:r w:rsidRPr="00AF1814">
        <w:lastRenderedPageBreak/>
        <w:t xml:space="preserve">Health Authorities and IECs/IRBs will be informed about the </w:t>
      </w:r>
      <w:r w:rsidR="00C766EE" w:rsidRPr="00AF1814">
        <w:t xml:space="preserve">termination </w:t>
      </w:r>
      <w:r w:rsidRPr="00AF1814">
        <w:t>of the study in accordance with applicable regulations (Head of study site will also be informed in Japan).</w:t>
      </w:r>
    </w:p>
    <w:p w14:paraId="1FAF89FD" w14:textId="77777777" w:rsidR="00FE2057" w:rsidRPr="00AF1814" w:rsidRDefault="00DA3174" w:rsidP="00FE2057">
      <w:pPr>
        <w:pStyle w:val="BodyText"/>
      </w:pPr>
      <w:r w:rsidRPr="00AF1814">
        <w:t>The whole study may be terminated or suspended upon request of Health Authorities.</w:t>
      </w:r>
    </w:p>
    <w:p w14:paraId="2C4D6562" w14:textId="77777777" w:rsidR="005971DC" w:rsidRPr="00AF1814" w:rsidRDefault="005971DC" w:rsidP="005971DC">
      <w:pPr>
        <w:pStyle w:val="BodyText"/>
        <w:rPr>
          <w:color w:val="BFBFBF" w:themeColor="background1" w:themeShade="BF"/>
        </w:rPr>
      </w:pPr>
    </w:p>
    <w:p w14:paraId="30373C77" w14:textId="77777777" w:rsidR="00FA1E6B" w:rsidRPr="00AF1814" w:rsidRDefault="00DA3174" w:rsidP="006A4116">
      <w:pPr>
        <w:pStyle w:val="Heading1"/>
        <w:pageBreakBefore/>
        <w:numPr>
          <w:ilvl w:val="0"/>
          <w:numId w:val="0"/>
        </w:numPr>
        <w:tabs>
          <w:tab w:val="left" w:pos="1985"/>
        </w:tabs>
      </w:pPr>
      <w:bookmarkStart w:id="411" w:name="_Appendix_3_Contraception"/>
      <w:bookmarkStart w:id="412" w:name="_Toc44601736"/>
      <w:bookmarkEnd w:id="411"/>
      <w:r w:rsidRPr="00AF1814">
        <w:lastRenderedPageBreak/>
        <w:t xml:space="preserve">Appendix </w:t>
      </w:r>
      <w:r w:rsidR="005971DC" w:rsidRPr="00AF1814">
        <w:t>3</w:t>
      </w:r>
      <w:r w:rsidRPr="00AF1814">
        <w:tab/>
        <w:t>Contraception</w:t>
      </w:r>
      <w:bookmarkEnd w:id="412"/>
    </w:p>
    <w:p w14:paraId="52176F3B" w14:textId="77777777" w:rsidR="00094804" w:rsidRPr="00AF1814" w:rsidRDefault="00DA3174" w:rsidP="00094804">
      <w:pPr>
        <w:spacing w:before="100" w:beforeAutospacing="1" w:after="100" w:afterAutospacing="1"/>
        <w:rPr>
          <w:szCs w:val="24"/>
          <w:lang w:val="en-GB" w:eastAsia="en-GB"/>
        </w:rPr>
      </w:pPr>
      <w:r w:rsidRPr="00AF1814">
        <w:rPr>
          <w:szCs w:val="24"/>
          <w:lang w:val="en-GB" w:eastAsia="en-GB"/>
        </w:rPr>
        <w:t xml:space="preserve">Contraceptive use by females will be consistent with local regulations on contraception methods for those participating in clinical studies. </w:t>
      </w:r>
    </w:p>
    <w:p w14:paraId="681307A4" w14:textId="77777777" w:rsidR="00094804" w:rsidRPr="00AF1814" w:rsidRDefault="00DA3174" w:rsidP="00094804">
      <w:pPr>
        <w:pStyle w:val="BodyText"/>
        <w:rPr>
          <w:b/>
          <w:lang w:val="en-GB" w:eastAsia="en-GB"/>
        </w:rPr>
      </w:pPr>
      <w:r w:rsidRPr="00AF1814">
        <w:rPr>
          <w:b/>
          <w:lang w:val="en-GB" w:eastAsia="en-GB"/>
        </w:rPr>
        <w:t>Woman of Childbearing Potential</w:t>
      </w:r>
    </w:p>
    <w:p w14:paraId="3D191D48" w14:textId="77777777" w:rsidR="00094804" w:rsidRPr="00AF1814" w:rsidRDefault="00DA3174" w:rsidP="00094804">
      <w:pPr>
        <w:pStyle w:val="BodyText"/>
        <w:spacing w:before="120"/>
        <w:rPr>
          <w:b/>
          <w:lang w:val="en-GB" w:eastAsia="en-GB"/>
        </w:rPr>
      </w:pPr>
      <w:r w:rsidRPr="00AF1814">
        <w:rPr>
          <w:lang w:val="en-GB" w:eastAsia="en-GB"/>
        </w:rPr>
        <w:t xml:space="preserve">A woman is considered fertile following menarche and until becoming postmenopausal unless permanently sterile, as specified below. </w:t>
      </w:r>
    </w:p>
    <w:p w14:paraId="078532EB" w14:textId="77777777" w:rsidR="00094804" w:rsidRPr="00AF1814" w:rsidRDefault="00DA3174" w:rsidP="00094804">
      <w:pPr>
        <w:pStyle w:val="BodyText"/>
        <w:spacing w:before="120"/>
        <w:rPr>
          <w:lang w:val="en-GB" w:eastAsia="en-GB"/>
        </w:rPr>
      </w:pPr>
      <w:r w:rsidRPr="00AF1814">
        <w:rPr>
          <w:lang w:val="en-GB" w:eastAsia="en-GB"/>
        </w:rPr>
        <w:t xml:space="preserve">If fertility is unclear (e.g., amenorrhea in adolescents or athletes) and a menstrual cycle cannot be confirmed before the first dose of study intervention, consider additional evaluation. </w:t>
      </w:r>
    </w:p>
    <w:p w14:paraId="1BFF1A18" w14:textId="77777777" w:rsidR="00094804" w:rsidRPr="00AF1814" w:rsidRDefault="00DA3174" w:rsidP="00094804">
      <w:pPr>
        <w:pStyle w:val="BodyText"/>
        <w:spacing w:before="120"/>
        <w:rPr>
          <w:lang w:val="en-GB" w:eastAsia="en-GB"/>
        </w:rPr>
      </w:pPr>
      <w:r w:rsidRPr="00AF1814">
        <w:rPr>
          <w:lang w:val="en-GB" w:eastAsia="en-GB"/>
        </w:rPr>
        <w:t xml:space="preserve">A </w:t>
      </w:r>
      <w:r w:rsidR="00F15342" w:rsidRPr="00AF1814">
        <w:t>woman of childbearing potential</w:t>
      </w:r>
      <w:r w:rsidRPr="00AF1814">
        <w:rPr>
          <w:lang w:val="en-GB" w:eastAsia="en-GB"/>
        </w:rPr>
        <w:t xml:space="preserve"> is </w:t>
      </w:r>
      <w:r w:rsidRPr="00AF1814">
        <w:rPr>
          <w:b/>
          <w:lang w:val="en-GB" w:eastAsia="en-GB"/>
        </w:rPr>
        <w:t>not</w:t>
      </w:r>
      <w:r w:rsidRPr="00AF1814">
        <w:rPr>
          <w:lang w:val="en-GB" w:eastAsia="en-GB"/>
        </w:rPr>
        <w:t xml:space="preserve">: </w:t>
      </w:r>
    </w:p>
    <w:p w14:paraId="2498D174" w14:textId="77777777" w:rsidR="00094804" w:rsidRPr="00AF1814" w:rsidRDefault="00DA3174" w:rsidP="00094804">
      <w:pPr>
        <w:pStyle w:val="BodyText"/>
        <w:spacing w:before="120"/>
        <w:rPr>
          <w:lang w:val="en-GB" w:eastAsia="en-GB"/>
        </w:rPr>
      </w:pPr>
      <w:r w:rsidRPr="00AF1814">
        <w:rPr>
          <w:lang w:val="en-GB" w:eastAsia="en-GB"/>
        </w:rPr>
        <w:t xml:space="preserve">1. Premenarchal </w:t>
      </w:r>
    </w:p>
    <w:p w14:paraId="15A8149A" w14:textId="77777777" w:rsidR="00094804" w:rsidRPr="00AF1814" w:rsidRDefault="00DA3174" w:rsidP="00094804">
      <w:pPr>
        <w:pStyle w:val="BodyText"/>
        <w:spacing w:before="120"/>
        <w:rPr>
          <w:lang w:val="en-GB" w:eastAsia="en-GB"/>
        </w:rPr>
      </w:pPr>
      <w:r w:rsidRPr="00AF1814">
        <w:rPr>
          <w:lang w:val="en-GB" w:eastAsia="en-GB"/>
        </w:rPr>
        <w:t xml:space="preserve">2. A premenopausal female with 1 of the following: </w:t>
      </w:r>
    </w:p>
    <w:p w14:paraId="6C2B1A08" w14:textId="77777777" w:rsidR="00094804" w:rsidRPr="00AF1814" w:rsidRDefault="00DA3174" w:rsidP="008E7142">
      <w:pPr>
        <w:pStyle w:val="List1withbullet"/>
        <w:numPr>
          <w:ilvl w:val="0"/>
          <w:numId w:val="34"/>
        </w:numPr>
        <w:rPr>
          <w:lang w:val="en-GB" w:eastAsia="en-GB"/>
        </w:rPr>
      </w:pPr>
      <w:r w:rsidRPr="00AF1814">
        <w:rPr>
          <w:lang w:val="en-GB" w:eastAsia="en-GB"/>
        </w:rPr>
        <w:t xml:space="preserve">Documented hysterectomy </w:t>
      </w:r>
    </w:p>
    <w:p w14:paraId="4C9286B0" w14:textId="77777777" w:rsidR="00094804" w:rsidRPr="00AF1814" w:rsidRDefault="00DA3174" w:rsidP="008E7142">
      <w:pPr>
        <w:pStyle w:val="List1withbullet"/>
        <w:numPr>
          <w:ilvl w:val="0"/>
          <w:numId w:val="34"/>
        </w:numPr>
        <w:rPr>
          <w:lang w:val="en-GB" w:eastAsia="en-GB"/>
        </w:rPr>
      </w:pPr>
      <w:r w:rsidRPr="00AF1814">
        <w:rPr>
          <w:lang w:val="en-GB" w:eastAsia="en-GB"/>
        </w:rPr>
        <w:t xml:space="preserve">Documented bilateral salpingectomy </w:t>
      </w:r>
    </w:p>
    <w:p w14:paraId="2C45E96D" w14:textId="77777777" w:rsidR="00094804" w:rsidRPr="00AF1814" w:rsidRDefault="00DA3174" w:rsidP="008E7142">
      <w:pPr>
        <w:pStyle w:val="List1withbullet"/>
        <w:numPr>
          <w:ilvl w:val="0"/>
          <w:numId w:val="34"/>
        </w:numPr>
        <w:rPr>
          <w:lang w:val="en-GB" w:eastAsia="en-GB"/>
        </w:rPr>
      </w:pPr>
      <w:r w:rsidRPr="00AF1814">
        <w:rPr>
          <w:lang w:val="en-GB" w:eastAsia="en-GB"/>
        </w:rPr>
        <w:t xml:space="preserve">Documented bilateral oophorectomy. </w:t>
      </w:r>
    </w:p>
    <w:p w14:paraId="1118CC1F" w14:textId="77777777" w:rsidR="00094804" w:rsidRPr="00AF1814" w:rsidRDefault="00DA3174" w:rsidP="00094804">
      <w:pPr>
        <w:pStyle w:val="BodyText"/>
        <w:spacing w:before="120"/>
        <w:ind w:left="283"/>
        <w:rPr>
          <w:lang w:val="en-GB" w:eastAsia="en-GB"/>
        </w:rPr>
      </w:pPr>
      <w:r w:rsidRPr="00AF1814">
        <w:rPr>
          <w:lang w:val="en-GB" w:eastAsia="en-GB"/>
        </w:rPr>
        <w:t xml:space="preserve">Documentation can come from the site personnel’s review of the female’s medical records, medical examination, or medical history interview. </w:t>
      </w:r>
    </w:p>
    <w:p w14:paraId="7F5B8CB6" w14:textId="77777777" w:rsidR="00094804" w:rsidRPr="00AF1814" w:rsidRDefault="00DA3174" w:rsidP="00094804">
      <w:pPr>
        <w:pStyle w:val="BodyText"/>
        <w:spacing w:before="120"/>
        <w:ind w:left="283"/>
        <w:rPr>
          <w:lang w:val="en-GB" w:eastAsia="en-GB"/>
        </w:rPr>
      </w:pPr>
      <w:r w:rsidRPr="00AF1814">
        <w:rPr>
          <w:lang w:val="en-GB" w:eastAsia="en-GB"/>
        </w:rPr>
        <w:t xml:space="preserve">For a female with permanent infertility due to an alternate medical cause other than the above, (e.g., </w:t>
      </w:r>
      <w:r w:rsidR="009F2769" w:rsidRPr="00AF1814">
        <w:rPr>
          <w:lang w:val="en-GB" w:eastAsia="en-GB"/>
        </w:rPr>
        <w:t>M</w:t>
      </w:r>
      <w:r w:rsidRPr="00AF1814">
        <w:rPr>
          <w:lang w:val="en-GB" w:eastAsia="en-GB"/>
        </w:rPr>
        <w:t xml:space="preserve">ullerian agenesis, androgen insensitivity), Investigator discretion applies to determine study entry. </w:t>
      </w:r>
    </w:p>
    <w:p w14:paraId="76321EF2" w14:textId="77777777" w:rsidR="00094804" w:rsidRPr="00AF1814" w:rsidRDefault="00DA3174" w:rsidP="00094804">
      <w:pPr>
        <w:pStyle w:val="BodyText"/>
        <w:spacing w:before="120"/>
        <w:rPr>
          <w:lang w:val="en-GB" w:eastAsia="en-GB"/>
        </w:rPr>
      </w:pPr>
      <w:r w:rsidRPr="00AF1814">
        <w:rPr>
          <w:lang w:val="en-GB" w:eastAsia="en-GB"/>
        </w:rPr>
        <w:t xml:space="preserve">3. A postmenopausal female </w:t>
      </w:r>
    </w:p>
    <w:p w14:paraId="7BDA1B6D" w14:textId="77777777" w:rsidR="00094804" w:rsidRPr="00AF1814" w:rsidRDefault="00DA3174" w:rsidP="008E7142">
      <w:pPr>
        <w:pStyle w:val="List1withbullet"/>
        <w:numPr>
          <w:ilvl w:val="0"/>
          <w:numId w:val="34"/>
        </w:numPr>
        <w:rPr>
          <w:lang w:val="en-GB" w:eastAsia="en-GB"/>
        </w:rPr>
      </w:pPr>
      <w:r w:rsidRPr="00AF1814">
        <w:rPr>
          <w:lang w:val="en-GB" w:eastAsia="en-GB"/>
        </w:rPr>
        <w:t xml:space="preserve">A postmenopausal state is defined as no menses for 12 months without an alternative medical cause. </w:t>
      </w:r>
    </w:p>
    <w:p w14:paraId="795B2BFD" w14:textId="77777777" w:rsidR="00094804" w:rsidRPr="00AF1814" w:rsidRDefault="00DA3174" w:rsidP="008E7142">
      <w:pPr>
        <w:pStyle w:val="List1withbullet"/>
        <w:numPr>
          <w:ilvl w:val="0"/>
          <w:numId w:val="34"/>
        </w:numPr>
        <w:rPr>
          <w:lang w:val="en-GB" w:eastAsia="en-GB"/>
        </w:rPr>
      </w:pPr>
      <w:r w:rsidRPr="00AF1814">
        <w:rPr>
          <w:lang w:val="en-GB" w:eastAsia="en-GB"/>
        </w:rPr>
        <w:t xml:space="preserve">A high follicle-stimulating hormone level in the postmenopausal range may be used to confirm a postmenopausal state in a female not using hormonal contraception or hormonal replacement therapy (HRT). However, in the absence of 12 months of amenorrhea, more than 1 </w:t>
      </w:r>
      <w:r w:rsidR="008012C0" w:rsidRPr="00AF1814">
        <w:rPr>
          <w:lang w:val="en-GB" w:eastAsia="en-GB"/>
        </w:rPr>
        <w:t>follicle-stimulating hormone</w:t>
      </w:r>
      <w:r w:rsidRPr="00AF1814">
        <w:rPr>
          <w:lang w:val="en-GB" w:eastAsia="en-GB"/>
        </w:rPr>
        <w:t xml:space="preserve"> measurement is required in the postmenopausal range. </w:t>
      </w:r>
    </w:p>
    <w:p w14:paraId="39B391CE" w14:textId="2F9F7CF1" w:rsidR="00094804" w:rsidRPr="00AF1814" w:rsidRDefault="00DA3174" w:rsidP="00094804">
      <w:pPr>
        <w:pStyle w:val="BodyText"/>
        <w:rPr>
          <w:lang w:val="en-GB" w:eastAsia="en-GB"/>
        </w:rPr>
      </w:pPr>
      <w:r w:rsidRPr="00AF1814">
        <w:rPr>
          <w:lang w:val="en-GB" w:eastAsia="en-GB"/>
        </w:rPr>
        <w:t>A female on HRT and whose menopausal status is in doubt will be required to use one of the non</w:t>
      </w:r>
      <w:r w:rsidRPr="00AF1814">
        <w:rPr>
          <w:lang w:val="en-GB" w:eastAsia="en-GB"/>
        </w:rPr>
        <w:noBreakHyphen/>
        <w:t xml:space="preserve">estrogen hormonal highly effective contraception methods if she wishes to continue her HRT during the study. Otherwise, she must discontinue HRT to allow confirmation of postmenopausal status before study </w:t>
      </w:r>
      <w:r w:rsidR="00E21ECD" w:rsidRPr="00AF1814">
        <w:rPr>
          <w:lang w:val="en-GB" w:eastAsia="en-GB"/>
        </w:rPr>
        <w:t>enro</w:t>
      </w:r>
      <w:r w:rsidR="00587FD9" w:rsidRPr="00AF1814">
        <w:rPr>
          <w:lang w:val="en-GB" w:eastAsia="en-GB"/>
        </w:rPr>
        <w:t>l</w:t>
      </w:r>
      <w:r w:rsidR="00E21ECD" w:rsidRPr="00AF1814">
        <w:rPr>
          <w:lang w:val="en-GB" w:eastAsia="en-GB"/>
        </w:rPr>
        <w:t>lment</w:t>
      </w:r>
      <w:r w:rsidRPr="00AF1814">
        <w:rPr>
          <w:lang w:val="en-GB" w:eastAsia="en-GB"/>
        </w:rPr>
        <w:t>.</w:t>
      </w:r>
    </w:p>
    <w:tbl>
      <w:tblPr>
        <w:tblW w:w="0" w:type="auto"/>
        <w:tblLook w:val="04A0" w:firstRow="1" w:lastRow="0" w:firstColumn="1" w:lastColumn="0" w:noHBand="0" w:noVBand="1"/>
      </w:tblPr>
      <w:tblGrid>
        <w:gridCol w:w="8902"/>
      </w:tblGrid>
      <w:tr w:rsidR="002108B2" w:rsidRPr="00AF1814" w14:paraId="059378D6" w14:textId="77777777" w:rsidTr="00094804">
        <w:tc>
          <w:tcPr>
            <w:tcW w:w="8902" w:type="dxa"/>
          </w:tcPr>
          <w:p w14:paraId="38ED6048" w14:textId="77777777" w:rsidR="00094804" w:rsidRPr="00AF1814" w:rsidRDefault="00DA3174" w:rsidP="00094804">
            <w:pPr>
              <w:pStyle w:val="Tablelist"/>
              <w:keepNext/>
              <w:numPr>
                <w:ilvl w:val="0"/>
                <w:numId w:val="0"/>
              </w:numPr>
              <w:spacing w:before="120" w:after="120"/>
              <w:rPr>
                <w:rFonts w:ascii="Times New Roman" w:hAnsi="Times New Roman"/>
                <w:b/>
                <w:sz w:val="24"/>
                <w:szCs w:val="24"/>
                <w:lang w:val="en-GB" w:eastAsia="en-GB"/>
              </w:rPr>
            </w:pPr>
            <w:r w:rsidRPr="00AF1814">
              <w:rPr>
                <w:rFonts w:ascii="Times New Roman" w:hAnsi="Times New Roman"/>
                <w:b/>
                <w:sz w:val="24"/>
                <w:szCs w:val="24"/>
                <w:lang w:val="en-GB" w:eastAsia="en-GB"/>
              </w:rPr>
              <w:lastRenderedPageBreak/>
              <w:t>CONTRACEPTIVES ALLOWED DURING THE STUDY</w:t>
            </w:r>
          </w:p>
        </w:tc>
      </w:tr>
      <w:tr w:rsidR="002108B2" w:rsidRPr="00AF1814" w14:paraId="7B260CC7" w14:textId="77777777" w:rsidTr="00094804">
        <w:tc>
          <w:tcPr>
            <w:tcW w:w="8902" w:type="dxa"/>
          </w:tcPr>
          <w:p w14:paraId="058F5295" w14:textId="77777777" w:rsidR="00094804" w:rsidRPr="00AF1814" w:rsidRDefault="00DA3174" w:rsidP="00094804">
            <w:pPr>
              <w:pStyle w:val="Tablelist"/>
              <w:keepNext/>
              <w:numPr>
                <w:ilvl w:val="0"/>
                <w:numId w:val="0"/>
              </w:numPr>
              <w:spacing w:before="120" w:after="120"/>
              <w:rPr>
                <w:rFonts w:ascii="Times New Roman" w:hAnsi="Times New Roman"/>
                <w:b/>
                <w:sz w:val="24"/>
                <w:szCs w:val="24"/>
                <w:lang w:val="en-GB" w:eastAsia="en-GB"/>
              </w:rPr>
            </w:pPr>
            <w:r w:rsidRPr="00AF1814">
              <w:rPr>
                <w:rFonts w:ascii="Times New Roman" w:hAnsi="Times New Roman"/>
                <w:b/>
                <w:sz w:val="24"/>
                <w:szCs w:val="24"/>
                <w:lang w:val="en-GB" w:eastAsia="en-GB"/>
              </w:rPr>
              <w:t xml:space="preserve">Highly Effective Methods That Have Low User Dependency </w:t>
            </w:r>
          </w:p>
          <w:p w14:paraId="665FD161" w14:textId="77777777" w:rsidR="00094804" w:rsidRPr="00AF1814" w:rsidRDefault="00DA3174" w:rsidP="00F15279">
            <w:pPr>
              <w:pStyle w:val="List1withbullet"/>
              <w:rPr>
                <w:b/>
                <w:lang w:val="en-GB" w:eastAsia="en-GB"/>
              </w:rPr>
            </w:pPr>
            <w:r w:rsidRPr="00AF1814">
              <w:rPr>
                <w:lang w:val="en-GB" w:eastAsia="en-GB"/>
              </w:rPr>
              <w:t xml:space="preserve">Implantable progestogen-only hormone contraception associated with inhibition of ovulation* </w:t>
            </w:r>
          </w:p>
          <w:p w14:paraId="04F0595F" w14:textId="77777777" w:rsidR="00094804" w:rsidRPr="00AF1814" w:rsidRDefault="00DA3174" w:rsidP="00F15279">
            <w:pPr>
              <w:pStyle w:val="List1withbullet"/>
            </w:pPr>
            <w:r w:rsidRPr="00AF1814">
              <w:t>Intrauterine device</w:t>
            </w:r>
          </w:p>
          <w:p w14:paraId="13A150E7" w14:textId="77777777" w:rsidR="00094804" w:rsidRPr="00AF1814" w:rsidRDefault="00DA3174" w:rsidP="00F15279">
            <w:pPr>
              <w:pStyle w:val="List1withbullet"/>
            </w:pPr>
            <w:r w:rsidRPr="00AF1814">
              <w:t>Intrauterine hormone-releasing system</w:t>
            </w:r>
          </w:p>
          <w:p w14:paraId="2EA97B05" w14:textId="77777777" w:rsidR="00094804" w:rsidRPr="00AF1814" w:rsidRDefault="00DA3174" w:rsidP="00F15279">
            <w:pPr>
              <w:pStyle w:val="List1withbullet"/>
            </w:pPr>
            <w:r w:rsidRPr="00AF1814">
              <w:t>Bilateral tubal occlusion</w:t>
            </w:r>
          </w:p>
          <w:p w14:paraId="36E14522" w14:textId="77777777" w:rsidR="00094804" w:rsidRPr="00AF1814" w:rsidRDefault="00DA3174" w:rsidP="00F15279">
            <w:pPr>
              <w:pStyle w:val="List1withbullet"/>
            </w:pPr>
            <w:r w:rsidRPr="00AF1814">
              <w:t xml:space="preserve">Vasectomized partner: a highly effective contraceptive method provided that the partner is the sole sexual partner of a </w:t>
            </w:r>
            <w:r w:rsidR="00F15342" w:rsidRPr="00AF1814">
              <w:t>woman of childbearing potential</w:t>
            </w:r>
            <w:r w:rsidRPr="00AF1814">
              <w:t xml:space="preserve"> and the absence of sperm has been confirmed. Otherwise, use an additional highly effective method of contraception. The spermatogenesis cycle is approximately 90 days</w:t>
            </w:r>
            <w:r w:rsidRPr="00AF1814">
              <w:rPr>
                <w:lang w:val="en-GB" w:eastAsia="en-GB"/>
              </w:rPr>
              <w:t xml:space="preserve">. </w:t>
            </w:r>
          </w:p>
        </w:tc>
      </w:tr>
      <w:tr w:rsidR="002108B2" w:rsidRPr="00AF1814" w14:paraId="75D01650" w14:textId="77777777" w:rsidTr="00094804">
        <w:tc>
          <w:tcPr>
            <w:tcW w:w="8902" w:type="dxa"/>
          </w:tcPr>
          <w:p w14:paraId="7DC52FEA" w14:textId="77777777" w:rsidR="00094804" w:rsidRPr="00AF1814" w:rsidRDefault="00DA3174" w:rsidP="00094804">
            <w:pPr>
              <w:keepNext/>
              <w:keepLines/>
              <w:spacing w:before="120" w:after="120"/>
              <w:jc w:val="left"/>
              <w:rPr>
                <w:b/>
                <w:szCs w:val="24"/>
                <w:lang w:val="en-GB" w:eastAsia="en-GB"/>
              </w:rPr>
            </w:pPr>
            <w:r w:rsidRPr="00AF1814">
              <w:rPr>
                <w:b/>
                <w:szCs w:val="24"/>
                <w:lang w:val="en-GB" w:eastAsia="en-GB"/>
              </w:rPr>
              <w:t xml:space="preserve">Highly Effective Methods That Are User Dependent </w:t>
            </w:r>
          </w:p>
          <w:p w14:paraId="10CC2D81" w14:textId="77777777" w:rsidR="00094804" w:rsidRPr="00AF1814" w:rsidRDefault="00DA3174" w:rsidP="00094804">
            <w:pPr>
              <w:pStyle w:val="Tablelist"/>
              <w:keepNext/>
              <w:numPr>
                <w:ilvl w:val="0"/>
                <w:numId w:val="0"/>
              </w:numPr>
              <w:rPr>
                <w:rFonts w:ascii="Times New Roman" w:hAnsi="Times New Roman"/>
                <w:b/>
                <w:sz w:val="24"/>
                <w:szCs w:val="24"/>
                <w:lang w:val="en-GB" w:eastAsia="en-GB"/>
              </w:rPr>
            </w:pPr>
            <w:r w:rsidRPr="00AF1814">
              <w:rPr>
                <w:rFonts w:ascii="Times New Roman" w:hAnsi="Times New Roman"/>
                <w:sz w:val="24"/>
                <w:szCs w:val="24"/>
                <w:lang w:val="en-GB" w:eastAsia="en-GB"/>
              </w:rPr>
              <w:t xml:space="preserve">Combined (estrogen- and progestogen-containing) hormonal contraception associated with inhibition of ovulation </w:t>
            </w:r>
          </w:p>
          <w:p w14:paraId="03FA6D55" w14:textId="77777777" w:rsidR="00094804" w:rsidRPr="00AF1814" w:rsidRDefault="00DA3174" w:rsidP="00F15279">
            <w:pPr>
              <w:pStyle w:val="List1withbullet"/>
              <w:rPr>
                <w:lang w:val="en-GB" w:eastAsia="en-GB"/>
              </w:rPr>
            </w:pPr>
            <w:r w:rsidRPr="00AF1814">
              <w:rPr>
                <w:lang w:val="en-GB" w:eastAsia="en-GB"/>
              </w:rPr>
              <w:t xml:space="preserve">Oral </w:t>
            </w:r>
          </w:p>
          <w:p w14:paraId="39410396" w14:textId="77777777" w:rsidR="00094804" w:rsidRPr="00AF1814" w:rsidRDefault="00DA3174" w:rsidP="00F15279">
            <w:pPr>
              <w:pStyle w:val="List1withbullet"/>
              <w:rPr>
                <w:lang w:val="en-GB" w:eastAsia="en-GB"/>
              </w:rPr>
            </w:pPr>
            <w:r w:rsidRPr="00AF1814">
              <w:rPr>
                <w:lang w:val="en-GB" w:eastAsia="en-GB"/>
              </w:rPr>
              <w:t xml:space="preserve">Intravaginal* </w:t>
            </w:r>
          </w:p>
          <w:p w14:paraId="0E3363B1" w14:textId="77777777" w:rsidR="00094804" w:rsidRPr="00AF1814" w:rsidRDefault="00DA3174" w:rsidP="00F15279">
            <w:pPr>
              <w:pStyle w:val="List1withbullet"/>
              <w:rPr>
                <w:lang w:val="en-GB" w:eastAsia="en-GB"/>
              </w:rPr>
            </w:pPr>
            <w:r w:rsidRPr="00AF1814">
              <w:rPr>
                <w:lang w:val="en-GB" w:eastAsia="en-GB"/>
              </w:rPr>
              <w:t xml:space="preserve">Transdermal* </w:t>
            </w:r>
          </w:p>
          <w:p w14:paraId="64843ABD" w14:textId="77777777" w:rsidR="00094804" w:rsidRPr="00AF1814" w:rsidRDefault="00DA3174" w:rsidP="00F15279">
            <w:pPr>
              <w:pStyle w:val="List1withbullet"/>
              <w:rPr>
                <w:lang w:val="en-GB" w:eastAsia="en-GB"/>
              </w:rPr>
            </w:pPr>
            <w:r w:rsidRPr="00AF1814">
              <w:rPr>
                <w:lang w:val="en-GB" w:eastAsia="en-GB"/>
              </w:rPr>
              <w:t xml:space="preserve">Injectable* </w:t>
            </w:r>
          </w:p>
          <w:p w14:paraId="3FCE62C4" w14:textId="77777777" w:rsidR="00094804" w:rsidRPr="00AF1814" w:rsidRDefault="00DA3174" w:rsidP="00F15279">
            <w:pPr>
              <w:pStyle w:val="List1withbullet"/>
              <w:rPr>
                <w:lang w:val="en-GB" w:eastAsia="en-GB"/>
              </w:rPr>
            </w:pPr>
            <w:r w:rsidRPr="00AF1814">
              <w:rPr>
                <w:lang w:val="en-GB" w:eastAsia="en-GB"/>
              </w:rPr>
              <w:t xml:space="preserve">Progestogen-only hormone contraception associated with inhibition of ovulation </w:t>
            </w:r>
          </w:p>
          <w:p w14:paraId="6BAFC793" w14:textId="77777777" w:rsidR="00094804" w:rsidRPr="00AF1814" w:rsidRDefault="00DA3174" w:rsidP="006470FD">
            <w:pPr>
              <w:pStyle w:val="List1withbullet"/>
              <w:rPr>
                <w:lang w:val="en-GB" w:eastAsia="en-GB"/>
              </w:rPr>
            </w:pPr>
            <w:r w:rsidRPr="00AF1814">
              <w:rPr>
                <w:lang w:val="en-GB" w:eastAsia="en-GB"/>
              </w:rPr>
              <w:t xml:space="preserve">Oral </w:t>
            </w:r>
          </w:p>
          <w:p w14:paraId="51885274" w14:textId="77777777" w:rsidR="00094804" w:rsidRPr="00AF1814" w:rsidRDefault="00DA3174" w:rsidP="002D2172">
            <w:pPr>
              <w:pStyle w:val="List1withbullet"/>
              <w:rPr>
                <w:lang w:val="en-GB" w:eastAsia="en-GB"/>
              </w:rPr>
            </w:pPr>
            <w:r w:rsidRPr="00AF1814">
              <w:rPr>
                <w:lang w:val="en-GB" w:eastAsia="en-GB"/>
              </w:rPr>
              <w:t xml:space="preserve">Sexual abstinence: a highly effective method only if defined as refraining from intercourse during the entire period of risk associated with the study intervention. The reliability of sexual abstinence needs to be evaluated in relation to the duration of the study. </w:t>
            </w:r>
          </w:p>
        </w:tc>
      </w:tr>
      <w:tr w:rsidR="002108B2" w:rsidRPr="00AF1814" w14:paraId="51B2613B" w14:textId="77777777" w:rsidTr="00094804">
        <w:tc>
          <w:tcPr>
            <w:tcW w:w="8902" w:type="dxa"/>
          </w:tcPr>
          <w:p w14:paraId="4AF4E3A9" w14:textId="77777777" w:rsidR="00094804" w:rsidRPr="00AF1814" w:rsidRDefault="00DA3174" w:rsidP="00094804">
            <w:pPr>
              <w:keepNext/>
              <w:keepLines/>
              <w:spacing w:before="120" w:after="120"/>
              <w:jc w:val="left"/>
              <w:rPr>
                <w:b/>
                <w:szCs w:val="24"/>
                <w:lang w:val="en-GB" w:eastAsia="en-GB"/>
              </w:rPr>
            </w:pPr>
            <w:r w:rsidRPr="00AF1814">
              <w:rPr>
                <w:b/>
                <w:szCs w:val="24"/>
                <w:lang w:val="en-GB" w:eastAsia="en-GB"/>
              </w:rPr>
              <w:t xml:space="preserve">Notes: </w:t>
            </w:r>
          </w:p>
          <w:p w14:paraId="2FCEBA1D" w14:textId="77777777" w:rsidR="00094804" w:rsidRPr="00AF1814" w:rsidRDefault="00DA3174" w:rsidP="00094804">
            <w:pPr>
              <w:keepNext/>
              <w:keepLines/>
              <w:spacing w:before="120" w:after="120"/>
              <w:jc w:val="left"/>
              <w:rPr>
                <w:szCs w:val="24"/>
                <w:lang w:val="en-GB" w:eastAsia="en-GB"/>
              </w:rPr>
            </w:pPr>
            <w:r w:rsidRPr="00AF1814">
              <w:rPr>
                <w:szCs w:val="24"/>
                <w:lang w:val="en-GB" w:eastAsia="en-GB"/>
              </w:rPr>
              <w:t xml:space="preserve">Contraceptive use by men or women is consistent with local regulations on the use of contraceptive methods for clinical study participants. </w:t>
            </w:r>
          </w:p>
          <w:p w14:paraId="28C6BDB5" w14:textId="77777777" w:rsidR="00094804" w:rsidRPr="00AF1814" w:rsidRDefault="00DA3174" w:rsidP="00094804">
            <w:pPr>
              <w:keepNext/>
              <w:keepLines/>
              <w:spacing w:before="120" w:after="120"/>
              <w:jc w:val="left"/>
              <w:rPr>
                <w:szCs w:val="24"/>
                <w:lang w:val="en-GB" w:eastAsia="en-GB"/>
              </w:rPr>
            </w:pPr>
            <w:r w:rsidRPr="00AF1814">
              <w:rPr>
                <w:szCs w:val="24"/>
                <w:lang w:val="en-GB" w:eastAsia="en-GB"/>
              </w:rPr>
              <w:t>Highly effective methods are those with a failure rate of &lt; 1% per year when used consistently and correctly.</w:t>
            </w:r>
          </w:p>
          <w:p w14:paraId="6B68940E" w14:textId="77777777" w:rsidR="00094804" w:rsidRPr="00AF1814" w:rsidRDefault="00DA3174" w:rsidP="00094804">
            <w:pPr>
              <w:keepNext/>
              <w:keepLines/>
              <w:spacing w:before="120" w:after="120"/>
              <w:jc w:val="left"/>
              <w:rPr>
                <w:szCs w:val="24"/>
                <w:lang w:val="en-GB" w:eastAsia="en-GB"/>
              </w:rPr>
            </w:pPr>
            <w:r w:rsidRPr="00AF1814">
              <w:rPr>
                <w:szCs w:val="24"/>
                <w:lang w:val="en-GB" w:eastAsia="en-GB"/>
              </w:rPr>
              <w:t xml:space="preserve">Typical use failure rates differ from those when used consistently and correctly. </w:t>
            </w:r>
          </w:p>
          <w:p w14:paraId="2604CBFB" w14:textId="77777777" w:rsidR="00094804" w:rsidRPr="00AF1814" w:rsidRDefault="00DA3174" w:rsidP="00094804">
            <w:pPr>
              <w:keepNext/>
              <w:keepLines/>
              <w:spacing w:before="120" w:after="120"/>
              <w:jc w:val="left"/>
              <w:rPr>
                <w:szCs w:val="24"/>
                <w:lang w:val="en-GB" w:eastAsia="en-GB"/>
              </w:rPr>
            </w:pPr>
            <w:r w:rsidRPr="00AF1814">
              <w:rPr>
                <w:szCs w:val="24"/>
                <w:lang w:val="en-GB" w:eastAsia="en-GB"/>
              </w:rPr>
              <w:t xml:space="preserve">Periodic abstinence (calendar, symptothermal, post-ovulation methods), withdrawal (coitus interruptus), spermicides only, and lactational amenorrhoea method are not acceptable methods of contraception for this study. Male condom and female condom cannot be used together (due to risk of failure with friction). </w:t>
            </w:r>
          </w:p>
          <w:p w14:paraId="21122F6E" w14:textId="77777777" w:rsidR="00094804" w:rsidRPr="00AF1814" w:rsidRDefault="00DA3174" w:rsidP="00094804">
            <w:pPr>
              <w:pStyle w:val="BodyText"/>
              <w:rPr>
                <w:lang w:val="en-GB" w:eastAsia="en-GB"/>
              </w:rPr>
            </w:pPr>
            <w:r w:rsidRPr="00AF1814">
              <w:rPr>
                <w:szCs w:val="24"/>
                <w:lang w:val="en-GB" w:eastAsia="en-GB"/>
              </w:rPr>
              <w:t>*Not approved in Japan.</w:t>
            </w:r>
          </w:p>
        </w:tc>
      </w:tr>
    </w:tbl>
    <w:p w14:paraId="4348FF35" w14:textId="77777777" w:rsidR="005971DC" w:rsidRPr="00AF1814" w:rsidRDefault="00DA3174" w:rsidP="006A4116">
      <w:pPr>
        <w:pStyle w:val="Heading1"/>
        <w:pageBreakBefore/>
        <w:numPr>
          <w:ilvl w:val="0"/>
          <w:numId w:val="0"/>
        </w:numPr>
        <w:tabs>
          <w:tab w:val="left" w:pos="1985"/>
        </w:tabs>
        <w:ind w:left="1985" w:hanging="1985"/>
      </w:pPr>
      <w:bookmarkStart w:id="413" w:name="_Appendix_4_Adverse"/>
      <w:bookmarkStart w:id="414" w:name="_Toc44601737"/>
      <w:bookmarkEnd w:id="413"/>
      <w:r w:rsidRPr="00AF1814">
        <w:lastRenderedPageBreak/>
        <w:t>Appendix 4</w:t>
      </w:r>
      <w:r w:rsidRPr="00AF1814">
        <w:tab/>
        <w:t>Adverse Events: Definitions and Procedures for Recording, Evaluating, Follow-up, and Reporting</w:t>
      </w:r>
      <w:bookmarkEnd w:id="414"/>
    </w:p>
    <w:p w14:paraId="627367DF" w14:textId="77777777" w:rsidR="006A4116" w:rsidRPr="00AF1814" w:rsidRDefault="00DA3174" w:rsidP="006A4116">
      <w:pPr>
        <w:keepNext/>
        <w:keepLines/>
        <w:ind w:left="283"/>
        <w:outlineLvl w:val="1"/>
        <w:rPr>
          <w:b/>
          <w:sz w:val="28"/>
        </w:rPr>
      </w:pPr>
      <w:bookmarkStart w:id="415" w:name="_Toc877215"/>
      <w:r w:rsidRPr="00AF1814">
        <w:rPr>
          <w:b/>
          <w:sz w:val="28"/>
        </w:rPr>
        <w:t>AE Definition</w:t>
      </w:r>
      <w:bookmarkEnd w:id="415"/>
    </w:p>
    <w:tbl>
      <w:tblPr>
        <w:tblW w:w="5000"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2"/>
      </w:tblGrid>
      <w:tr w:rsidR="002108B2" w:rsidRPr="00AF1814" w14:paraId="35D160CB" w14:textId="77777777" w:rsidTr="007F7F16">
        <w:tc>
          <w:tcPr>
            <w:tcW w:w="9525" w:type="dxa"/>
            <w:shd w:val="clear" w:color="auto" w:fill="EEECE1" w:themeFill="background2"/>
          </w:tcPr>
          <w:p w14:paraId="0064CB21" w14:textId="77777777" w:rsidR="006A4116" w:rsidRPr="00AF1814" w:rsidRDefault="00DA3174" w:rsidP="007F7F16">
            <w:pPr>
              <w:spacing w:before="60" w:after="60"/>
              <w:jc w:val="left"/>
              <w:rPr>
                <w:b/>
                <w:color w:val="000000"/>
              </w:rPr>
            </w:pPr>
            <w:r w:rsidRPr="00AF1814">
              <w:rPr>
                <w:b/>
                <w:color w:val="000000"/>
              </w:rPr>
              <w:t>AE Definition</w:t>
            </w:r>
          </w:p>
        </w:tc>
      </w:tr>
      <w:tr w:rsidR="002108B2" w:rsidRPr="00AF1814" w14:paraId="3C62B729" w14:textId="77777777" w:rsidTr="007F7F16">
        <w:tc>
          <w:tcPr>
            <w:tcW w:w="9525" w:type="dxa"/>
          </w:tcPr>
          <w:p w14:paraId="3C7B213E" w14:textId="77777777" w:rsidR="006A4116" w:rsidRPr="00AF1814" w:rsidRDefault="00DA3174" w:rsidP="008E7142">
            <w:pPr>
              <w:numPr>
                <w:ilvl w:val="0"/>
                <w:numId w:val="18"/>
              </w:numPr>
              <w:spacing w:before="120" w:after="120"/>
              <w:jc w:val="left"/>
              <w:rPr>
                <w:szCs w:val="24"/>
                <w:lang w:val="en-GB"/>
              </w:rPr>
            </w:pPr>
            <w:r w:rsidRPr="00AF1814">
              <w:rPr>
                <w:szCs w:val="24"/>
                <w:lang w:val="en-GB"/>
              </w:rPr>
              <w:t>An AE is any untoward medical occurrence in a patient or clinical study participant, temporally associated with the use of study intervention, whether considered related to the study intervention or not.</w:t>
            </w:r>
          </w:p>
          <w:p w14:paraId="5AB7130D" w14:textId="77777777" w:rsidR="006A4116" w:rsidRPr="00AF1814" w:rsidRDefault="00DA3174" w:rsidP="008E7142">
            <w:pPr>
              <w:numPr>
                <w:ilvl w:val="0"/>
                <w:numId w:val="18"/>
              </w:numPr>
              <w:spacing w:before="120" w:after="120"/>
              <w:jc w:val="left"/>
              <w:rPr>
                <w:szCs w:val="24"/>
              </w:rPr>
            </w:pPr>
            <w:r w:rsidRPr="00AF1814">
              <w:rPr>
                <w:szCs w:val="24"/>
                <w:lang w:val="en-GB"/>
              </w:rPr>
              <w:t xml:space="preserve">An AE can therefore be any </w:t>
            </w:r>
            <w:r w:rsidR="00E21ECD" w:rsidRPr="00AF1814">
              <w:rPr>
                <w:szCs w:val="24"/>
                <w:lang w:val="en-GB"/>
              </w:rPr>
              <w:t>unfavourable</w:t>
            </w:r>
            <w:r w:rsidRPr="00AF1814">
              <w:rPr>
                <w:szCs w:val="24"/>
                <w:lang w:val="en-GB"/>
              </w:rPr>
              <w:t xml:space="preserve"> and unintended sign (including an abnormal laboratory finding), symptom, or disease (new or exacerbated) temporally associated with the use of study intervention</w:t>
            </w:r>
            <w:r w:rsidRPr="00AF1814">
              <w:rPr>
                <w:szCs w:val="24"/>
              </w:rPr>
              <w:t xml:space="preserve">.  </w:t>
            </w:r>
            <w:r w:rsidRPr="00AF1814">
              <w:rPr>
                <w:szCs w:val="24"/>
                <w:lang w:val="en-GB"/>
              </w:rPr>
              <w:t>For surgical or diagnostic procedures, the condition/illness leading to such a procedure is considered as the AE rather than the procedure itself.</w:t>
            </w:r>
          </w:p>
        </w:tc>
      </w:tr>
      <w:tr w:rsidR="002108B2" w:rsidRPr="00AF1814" w14:paraId="1388B3B1" w14:textId="77777777" w:rsidTr="007F7F16">
        <w:tc>
          <w:tcPr>
            <w:tcW w:w="9525" w:type="dxa"/>
            <w:shd w:val="clear" w:color="auto" w:fill="EEECE1" w:themeFill="background2"/>
          </w:tcPr>
          <w:p w14:paraId="321966C7" w14:textId="77777777" w:rsidR="006A4116" w:rsidRPr="00AF1814" w:rsidRDefault="00DA3174" w:rsidP="007F7F16">
            <w:pPr>
              <w:pStyle w:val="TableHeaderText"/>
              <w:jc w:val="left"/>
            </w:pPr>
            <w:r w:rsidRPr="00AF1814">
              <w:t xml:space="preserve">Events </w:t>
            </w:r>
            <w:r w:rsidRPr="00AF1814">
              <w:rPr>
                <w:u w:val="single"/>
              </w:rPr>
              <w:t>Meeting</w:t>
            </w:r>
            <w:r w:rsidRPr="00AF1814">
              <w:t xml:space="preserve"> the AE Definition</w:t>
            </w:r>
          </w:p>
        </w:tc>
      </w:tr>
      <w:tr w:rsidR="002108B2" w:rsidRPr="00AF1814" w14:paraId="548183F5" w14:textId="77777777" w:rsidTr="007F7F16">
        <w:tc>
          <w:tcPr>
            <w:tcW w:w="9525" w:type="dxa"/>
          </w:tcPr>
          <w:p w14:paraId="7E624724" w14:textId="77777777" w:rsidR="006A4116" w:rsidRPr="00AF1814" w:rsidRDefault="00DA3174" w:rsidP="008E7142">
            <w:pPr>
              <w:pStyle w:val="ListParagraph"/>
              <w:numPr>
                <w:ilvl w:val="0"/>
                <w:numId w:val="19"/>
              </w:numPr>
            </w:pPr>
            <w:r w:rsidRPr="00AF1814">
              <w:t>Any abnormal laboratory test results (hematology, clinical chemistry, or urinalysis) or other safety assessments (e.g., ECG, radiological scans, vital signs measurements), including those that worsen from baseline, considered clinically significant in the medical and scientific judgment of the Investigator (i.e., not related to progression of underlying disease).</w:t>
            </w:r>
          </w:p>
          <w:p w14:paraId="1B5038FA" w14:textId="77777777" w:rsidR="006A4116" w:rsidRPr="00AF1814" w:rsidRDefault="00DA3174" w:rsidP="008E7142">
            <w:pPr>
              <w:pStyle w:val="ListParagraph"/>
              <w:numPr>
                <w:ilvl w:val="0"/>
                <w:numId w:val="19"/>
              </w:numPr>
            </w:pPr>
            <w:r w:rsidRPr="00AF1814">
              <w:t>Exacerbation of a chronic or intermittent pre-existing condition including either an increase in frequency and/or intensity of the condition.</w:t>
            </w:r>
          </w:p>
          <w:p w14:paraId="6FA67CE6" w14:textId="77777777" w:rsidR="006A4116" w:rsidRPr="00AF1814" w:rsidRDefault="00DA3174" w:rsidP="008E7142">
            <w:pPr>
              <w:pStyle w:val="ListParagraph"/>
              <w:numPr>
                <w:ilvl w:val="0"/>
                <w:numId w:val="19"/>
              </w:numPr>
            </w:pPr>
            <w:r w:rsidRPr="00AF1814">
              <w:t>New conditions detected or diagnosed after study intervention administration even though it may have been present before the start of the study.</w:t>
            </w:r>
          </w:p>
          <w:p w14:paraId="61127897" w14:textId="77777777" w:rsidR="006A4116" w:rsidRPr="00AF1814" w:rsidRDefault="00DA3174" w:rsidP="008E7142">
            <w:pPr>
              <w:pStyle w:val="ListParagraph"/>
              <w:numPr>
                <w:ilvl w:val="0"/>
                <w:numId w:val="19"/>
              </w:numPr>
            </w:pPr>
            <w:r w:rsidRPr="00AF1814">
              <w:t>Signs, symptoms, or the clinical sequelae of a suspected drug-drug interaction.</w:t>
            </w:r>
          </w:p>
          <w:p w14:paraId="1CA92E92" w14:textId="77777777" w:rsidR="006A4116" w:rsidRPr="00AF1814" w:rsidRDefault="00DA3174" w:rsidP="008E7142">
            <w:pPr>
              <w:pStyle w:val="ListParagraph"/>
              <w:numPr>
                <w:ilvl w:val="0"/>
                <w:numId w:val="19"/>
              </w:numPr>
            </w:pPr>
            <w:r w:rsidRPr="00AF1814">
              <w:t>Signs, symptoms, or the clinical sequelae of a suspected overdose of either study intervention or a concomitant medication.</w:t>
            </w:r>
          </w:p>
          <w:p w14:paraId="216C583B" w14:textId="62B4BF7B" w:rsidR="006A4116" w:rsidRPr="00AF1814" w:rsidRDefault="00DA3174" w:rsidP="008E7142">
            <w:pPr>
              <w:pStyle w:val="ListParagraph"/>
              <w:numPr>
                <w:ilvl w:val="0"/>
                <w:numId w:val="19"/>
              </w:numPr>
              <w:rPr>
                <w:color w:val="000000" w:themeColor="text1"/>
              </w:rPr>
            </w:pPr>
            <w:r w:rsidRPr="00AF1814">
              <w:t>“Lack of efficacy” or “failure of expected pharmacological action” per se will not be reported as an AE or a SAE. However, the signs, symptoms, and/or clinical sequelae resulting from lack of efficacy will be reported as an AE or a SAE if they fulfi</w:t>
            </w:r>
            <w:r w:rsidR="009F2769" w:rsidRPr="00AF1814">
              <w:t>l</w:t>
            </w:r>
            <w:r w:rsidRPr="00AF1814">
              <w:t>l the definition of an AE or SAE.</w:t>
            </w:r>
          </w:p>
        </w:tc>
      </w:tr>
      <w:tr w:rsidR="002108B2" w:rsidRPr="00AF1814" w14:paraId="0DDB254A" w14:textId="77777777" w:rsidTr="007F7F16">
        <w:tc>
          <w:tcPr>
            <w:tcW w:w="9525" w:type="dxa"/>
            <w:shd w:val="clear" w:color="auto" w:fill="EEECE1" w:themeFill="background2"/>
          </w:tcPr>
          <w:p w14:paraId="07B03482" w14:textId="77777777" w:rsidR="006A4116" w:rsidRPr="00AF1814" w:rsidRDefault="00DA3174" w:rsidP="007F7F16">
            <w:pPr>
              <w:pStyle w:val="TableHeaderText"/>
              <w:jc w:val="left"/>
            </w:pPr>
            <w:r w:rsidRPr="00AF1814">
              <w:t xml:space="preserve">Events </w:t>
            </w:r>
            <w:r w:rsidRPr="00AF1814">
              <w:rPr>
                <w:u w:val="single"/>
              </w:rPr>
              <w:t>NOT</w:t>
            </w:r>
            <w:r w:rsidRPr="00AF1814">
              <w:t xml:space="preserve"> Meeting the AE Definition</w:t>
            </w:r>
          </w:p>
        </w:tc>
      </w:tr>
      <w:tr w:rsidR="002108B2" w:rsidRPr="00AF1814" w14:paraId="20514672" w14:textId="77777777" w:rsidTr="007F7F16">
        <w:tc>
          <w:tcPr>
            <w:tcW w:w="9525" w:type="dxa"/>
          </w:tcPr>
          <w:p w14:paraId="2B3234FE" w14:textId="77777777" w:rsidR="006A4116" w:rsidRPr="00AF1814" w:rsidRDefault="00DA3174" w:rsidP="008E7142">
            <w:pPr>
              <w:pStyle w:val="ListParagraph"/>
              <w:numPr>
                <w:ilvl w:val="0"/>
                <w:numId w:val="20"/>
              </w:numPr>
            </w:pPr>
            <w:r w:rsidRPr="00AF1814">
              <w:t>Unless judged by the Investigator to be more severe than expected for the participant’s condition, any clinically significant abnormal laboratory findings, other abnormal safety assessments that are associated with the underlying disease, the disease/disorder being studied, or expected progression, signs, or symptoms of the disease/disorder being studied.</w:t>
            </w:r>
          </w:p>
          <w:p w14:paraId="4027B516" w14:textId="77777777" w:rsidR="006A4116" w:rsidRPr="00AF1814" w:rsidRDefault="00DA3174" w:rsidP="008E7142">
            <w:pPr>
              <w:pStyle w:val="ListParagraph"/>
              <w:numPr>
                <w:ilvl w:val="0"/>
                <w:numId w:val="20"/>
              </w:numPr>
              <w:rPr>
                <w:szCs w:val="22"/>
              </w:rPr>
            </w:pPr>
            <w:r w:rsidRPr="00AF1814">
              <w:rPr>
                <w:szCs w:val="22"/>
              </w:rPr>
              <w:t>Medical or surgical procedure (e.g., endoscopy, appendectomy): the condition that leads to the procedure is the AE.</w:t>
            </w:r>
          </w:p>
          <w:p w14:paraId="4E5AEB67" w14:textId="77777777" w:rsidR="006A4116" w:rsidRPr="00AF1814" w:rsidRDefault="00DA3174" w:rsidP="008E7142">
            <w:pPr>
              <w:pStyle w:val="ListParagraph"/>
              <w:numPr>
                <w:ilvl w:val="0"/>
                <w:numId w:val="20"/>
              </w:numPr>
            </w:pPr>
            <w:r w:rsidRPr="00AF1814">
              <w:t>Situations in which an untoward medical occurrence did not occur (social and/or convenience admission to a hospital).</w:t>
            </w:r>
          </w:p>
          <w:p w14:paraId="1105A32A" w14:textId="77777777" w:rsidR="006A4116" w:rsidRPr="00AF1814" w:rsidRDefault="00DA3174" w:rsidP="008E7142">
            <w:pPr>
              <w:pStyle w:val="ListParagraph"/>
              <w:numPr>
                <w:ilvl w:val="0"/>
                <w:numId w:val="20"/>
              </w:numPr>
            </w:pPr>
            <w:r w:rsidRPr="00AF1814">
              <w:lastRenderedPageBreak/>
              <w:t>Anticipated day-to-day fluctuations of pre-existing disease(s) or condition(s) present or detected at the start of the study that do not worsen.</w:t>
            </w:r>
          </w:p>
        </w:tc>
      </w:tr>
    </w:tbl>
    <w:p w14:paraId="69084220" w14:textId="77777777" w:rsidR="006A4116" w:rsidRPr="00AF1814" w:rsidRDefault="00DA3174" w:rsidP="006A4116">
      <w:pPr>
        <w:pStyle w:val="List1withbullet"/>
        <w:numPr>
          <w:ilvl w:val="0"/>
          <w:numId w:val="0"/>
        </w:numPr>
        <w:ind w:left="360"/>
      </w:pPr>
      <w:r w:rsidRPr="00AF1814">
        <w:t>AE/SAEs Observed in Association with Disease Progression</w:t>
      </w:r>
    </w:p>
    <w:p w14:paraId="7CDDC719" w14:textId="02933609" w:rsidR="006A4116" w:rsidRPr="00AF1814" w:rsidRDefault="00DA3174" w:rsidP="006A4116">
      <w:pPr>
        <w:pStyle w:val="List1withbullet"/>
        <w:numPr>
          <w:ilvl w:val="0"/>
          <w:numId w:val="0"/>
        </w:numPr>
        <w:ind w:left="360"/>
      </w:pPr>
      <w:r w:rsidRPr="00AF1814">
        <w:t xml:space="preserve">Progression of the disease/disorder being studied assessed by measurement of lesions on radiographs or other methods as well as associated clinical signs or symptoms (including laboratory abnormalities) will not be reported as AEs/SAEs, unless the participant’s general condition is more severe than expected for </w:t>
      </w:r>
      <w:r w:rsidR="00097877" w:rsidRPr="00AF1814">
        <w:t>her</w:t>
      </w:r>
      <w:r w:rsidRPr="00AF1814">
        <w:t xml:space="preserve"> condition and/or unless the outcome is fatal within the AE reporting period, as define</w:t>
      </w:r>
      <w:r w:rsidRPr="00E44F28">
        <w:t xml:space="preserve">d in Section </w:t>
      </w:r>
      <w:r w:rsidR="00165DDE" w:rsidRPr="00E44F28">
        <w:fldChar w:fldCharType="begin"/>
      </w:r>
      <w:r w:rsidR="00165DDE" w:rsidRPr="00E44F28">
        <w:instrText xml:space="preserve"> REF _Ref33118032 \w \h </w:instrText>
      </w:r>
      <w:r w:rsidR="00587FD9" w:rsidRPr="00E44F28">
        <w:instrText xml:space="preserve"> \* MERGEFORMAT </w:instrText>
      </w:r>
      <w:r w:rsidR="00165DDE" w:rsidRPr="00E44F28">
        <w:fldChar w:fldCharType="separate"/>
      </w:r>
      <w:r w:rsidR="00C548C3" w:rsidRPr="00E44F28">
        <w:t>8.3.1</w:t>
      </w:r>
      <w:r w:rsidR="00165DDE" w:rsidRPr="00E44F28">
        <w:fldChar w:fldCharType="end"/>
      </w:r>
      <w:r w:rsidRPr="00E44F28">
        <w:t>.</w:t>
      </w:r>
    </w:p>
    <w:p w14:paraId="632C057D" w14:textId="77777777" w:rsidR="006A4116" w:rsidRPr="00AF1814" w:rsidRDefault="00DA3174" w:rsidP="006A4116">
      <w:pPr>
        <w:pStyle w:val="List1withbullet"/>
        <w:numPr>
          <w:ilvl w:val="0"/>
          <w:numId w:val="0"/>
        </w:numPr>
        <w:ind w:left="360"/>
      </w:pPr>
      <w:r w:rsidRPr="00AF1814">
        <w:t>Other Adverse Events to be Reported Using a Specialized Procedure or Form</w:t>
      </w:r>
    </w:p>
    <w:p w14:paraId="2ADB6C8B" w14:textId="77777777" w:rsidR="006A4116" w:rsidRPr="00AF1814" w:rsidRDefault="00DA3174" w:rsidP="006A4116">
      <w:pPr>
        <w:pStyle w:val="List1withbullet"/>
        <w:numPr>
          <w:ilvl w:val="0"/>
          <w:numId w:val="0"/>
        </w:numPr>
        <w:ind w:left="360"/>
      </w:pPr>
      <w:r w:rsidRPr="00AF1814">
        <w:t>Not applicable.</w:t>
      </w:r>
    </w:p>
    <w:p w14:paraId="3EDFEC0F" w14:textId="77777777" w:rsidR="006A4116" w:rsidRPr="00AF1814" w:rsidRDefault="00DA3174" w:rsidP="00D87917">
      <w:pPr>
        <w:keepNext/>
        <w:keepLines/>
        <w:ind w:left="270"/>
        <w:outlineLvl w:val="1"/>
        <w:rPr>
          <w:b/>
          <w:sz w:val="28"/>
        </w:rPr>
      </w:pPr>
      <w:bookmarkStart w:id="416" w:name="_Toc877216"/>
      <w:bookmarkStart w:id="417" w:name="_Toc33006127"/>
      <w:r w:rsidRPr="00AF1814">
        <w:rPr>
          <w:b/>
          <w:sz w:val="28"/>
        </w:rPr>
        <w:t>SAE Definition</w:t>
      </w:r>
      <w:bookmarkEnd w:id="416"/>
      <w:bookmarkEnd w:id="417"/>
    </w:p>
    <w:p w14:paraId="2F6FD3F1" w14:textId="77777777" w:rsidR="006A4116" w:rsidRPr="00AF1814" w:rsidRDefault="00DA3174" w:rsidP="006A4116">
      <w:pPr>
        <w:spacing w:after="120"/>
        <w:ind w:left="274"/>
        <w:rPr>
          <w:szCs w:val="24"/>
        </w:rPr>
      </w:pPr>
      <w:r w:rsidRPr="00AF1814">
        <w:rPr>
          <w:szCs w:val="24"/>
        </w:rPr>
        <w:t>If an event is not an AE per the definition above, then it cannot be an SAE even if serious conditions are met (e.g., hospitalization for signs/symptoms of the disease under study, death due to progression of disease).</w:t>
      </w:r>
    </w:p>
    <w:p w14:paraId="70228BE1" w14:textId="77777777" w:rsidR="006A4116" w:rsidRPr="00AF1814" w:rsidRDefault="006A4116" w:rsidP="006A4116">
      <w:pPr>
        <w:pStyle w:val="List1withoutbullet"/>
        <w:rPr>
          <w:b/>
        </w:rPr>
      </w:pPr>
    </w:p>
    <w:tbl>
      <w:tblPr>
        <w:tblW w:w="5000"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2"/>
      </w:tblGrid>
      <w:tr w:rsidR="002108B2" w:rsidRPr="00AF1814" w14:paraId="2A9E9279" w14:textId="77777777" w:rsidTr="007F7F16">
        <w:tc>
          <w:tcPr>
            <w:tcW w:w="9352" w:type="dxa"/>
            <w:shd w:val="clear" w:color="auto" w:fill="EEECE1"/>
          </w:tcPr>
          <w:p w14:paraId="785D33F1" w14:textId="77777777" w:rsidR="006A4116" w:rsidRPr="00AF1814" w:rsidRDefault="00DA3174" w:rsidP="007F7F16">
            <w:pPr>
              <w:spacing w:before="60" w:after="60"/>
              <w:jc w:val="left"/>
              <w:rPr>
                <w:b/>
                <w:color w:val="000000"/>
              </w:rPr>
            </w:pPr>
            <w:r w:rsidRPr="00AF1814">
              <w:rPr>
                <w:b/>
                <w:color w:val="000000"/>
              </w:rPr>
              <w:t>A SAE is defined as any untoward medical occurrence that, at any dose:</w:t>
            </w:r>
          </w:p>
        </w:tc>
      </w:tr>
      <w:tr w:rsidR="002108B2" w:rsidRPr="00AF1814" w14:paraId="01EB57F6" w14:textId="77777777" w:rsidTr="007F7F16">
        <w:tc>
          <w:tcPr>
            <w:tcW w:w="9352" w:type="dxa"/>
          </w:tcPr>
          <w:p w14:paraId="2065F16B" w14:textId="77777777" w:rsidR="006A4116" w:rsidRPr="00AF1814" w:rsidRDefault="00DA3174" w:rsidP="008E7142">
            <w:pPr>
              <w:numPr>
                <w:ilvl w:val="0"/>
                <w:numId w:val="30"/>
              </w:numPr>
              <w:spacing w:before="120" w:after="120"/>
              <w:jc w:val="left"/>
              <w:rPr>
                <w:b/>
                <w:szCs w:val="24"/>
              </w:rPr>
            </w:pPr>
            <w:r w:rsidRPr="00AF1814">
              <w:rPr>
                <w:b/>
                <w:szCs w:val="24"/>
              </w:rPr>
              <w:t>Results in death</w:t>
            </w:r>
          </w:p>
        </w:tc>
      </w:tr>
      <w:tr w:rsidR="002108B2" w:rsidRPr="00AF1814" w14:paraId="548F60E1" w14:textId="77777777" w:rsidTr="007F7F16">
        <w:tc>
          <w:tcPr>
            <w:tcW w:w="9352" w:type="dxa"/>
          </w:tcPr>
          <w:p w14:paraId="3C9A33C9" w14:textId="77777777" w:rsidR="006A4116" w:rsidRPr="00AF1814" w:rsidRDefault="00DA3174" w:rsidP="008E7142">
            <w:pPr>
              <w:numPr>
                <w:ilvl w:val="0"/>
                <w:numId w:val="30"/>
              </w:numPr>
              <w:spacing w:before="120" w:after="120"/>
              <w:jc w:val="left"/>
              <w:rPr>
                <w:b/>
                <w:szCs w:val="24"/>
              </w:rPr>
            </w:pPr>
            <w:r w:rsidRPr="00AF1814">
              <w:rPr>
                <w:b/>
                <w:szCs w:val="24"/>
              </w:rPr>
              <w:t>Is life-threatening</w:t>
            </w:r>
          </w:p>
          <w:p w14:paraId="02C18170" w14:textId="77777777" w:rsidR="006A4116" w:rsidRPr="00AF1814" w:rsidRDefault="00DA3174" w:rsidP="007F7F16">
            <w:r w:rsidRPr="00AF1814">
              <w:t>The term 'life-threatening' in the definition of 'serious' refers to an event in which the participant was at risk of death at the time of the event. It does not refer to an event, which hypothetically might have caused death, if it were more severe.</w:t>
            </w:r>
          </w:p>
        </w:tc>
      </w:tr>
      <w:tr w:rsidR="002108B2" w:rsidRPr="00AF1814" w14:paraId="45C17280" w14:textId="77777777" w:rsidTr="007F7F16">
        <w:tc>
          <w:tcPr>
            <w:tcW w:w="9352" w:type="dxa"/>
          </w:tcPr>
          <w:p w14:paraId="1B84849D" w14:textId="77777777" w:rsidR="006A4116" w:rsidRPr="00AF1814" w:rsidRDefault="00DA3174" w:rsidP="008E7142">
            <w:pPr>
              <w:numPr>
                <w:ilvl w:val="0"/>
                <w:numId w:val="30"/>
              </w:numPr>
              <w:spacing w:before="120" w:after="120"/>
              <w:jc w:val="left"/>
              <w:rPr>
                <w:b/>
                <w:szCs w:val="24"/>
              </w:rPr>
            </w:pPr>
            <w:r w:rsidRPr="00AF1814">
              <w:rPr>
                <w:b/>
                <w:szCs w:val="24"/>
              </w:rPr>
              <w:t>Requires inpatient hospitalization or prolongation of existing hospitalization</w:t>
            </w:r>
          </w:p>
          <w:p w14:paraId="45E04297" w14:textId="77777777" w:rsidR="006A4116" w:rsidRPr="00AF1814" w:rsidRDefault="00DA3174" w:rsidP="008E7142">
            <w:pPr>
              <w:numPr>
                <w:ilvl w:val="0"/>
                <w:numId w:val="21"/>
              </w:numPr>
              <w:spacing w:before="14" w:after="144" w:line="300" w:lineRule="atLeast"/>
              <w:contextualSpacing/>
              <w:jc w:val="left"/>
              <w:rPr>
                <w:szCs w:val="22"/>
              </w:rPr>
            </w:pPr>
            <w:r w:rsidRPr="00AF1814">
              <w:rPr>
                <w:szCs w:val="22"/>
              </w:rPr>
              <w:t>In general, hospitalization signifies that the participant has been detained (usually involving at least an overnight stay) at the hospital or emergency ward for observation and/or treatment that would not have been appropriate in the physician’s office or outpatient setting. Complications that occur during hospitalization are AEs. If a complication prolongs hospitalization or fulfills any other serious criteria, the event is serious.</w:t>
            </w:r>
            <w:r w:rsidRPr="00AF1814">
              <w:t xml:space="preserve"> When in doubt as to whether “hospitalization” occurred or was necessary, the AE will be considered serious</w:t>
            </w:r>
            <w:r w:rsidRPr="00AF1814">
              <w:rPr>
                <w:szCs w:val="22"/>
              </w:rPr>
              <w:t>.</w:t>
            </w:r>
          </w:p>
          <w:p w14:paraId="4767869A" w14:textId="77777777" w:rsidR="006A4116" w:rsidRPr="00AF1814" w:rsidRDefault="00DA3174" w:rsidP="008E7142">
            <w:pPr>
              <w:numPr>
                <w:ilvl w:val="0"/>
                <w:numId w:val="21"/>
              </w:numPr>
              <w:spacing w:before="14" w:after="144" w:line="300" w:lineRule="atLeast"/>
              <w:contextualSpacing/>
              <w:jc w:val="left"/>
              <w:rPr>
                <w:szCs w:val="22"/>
              </w:rPr>
            </w:pPr>
            <w:r w:rsidRPr="00AF1814">
              <w:rPr>
                <w:szCs w:val="22"/>
              </w:rPr>
              <w:t xml:space="preserve">Hospitalization for elective treatment of a pre-existing condition that did not worsen from baseline is </w:t>
            </w:r>
            <w:r w:rsidRPr="00AF1814">
              <w:rPr>
                <w:b/>
                <w:szCs w:val="22"/>
              </w:rPr>
              <w:t>not</w:t>
            </w:r>
            <w:r w:rsidRPr="00AF1814">
              <w:rPr>
                <w:szCs w:val="22"/>
              </w:rPr>
              <w:t xml:space="preserve"> considered an AE.</w:t>
            </w:r>
          </w:p>
          <w:p w14:paraId="69A3A36D" w14:textId="77777777" w:rsidR="006A4116" w:rsidRPr="00AF1814" w:rsidRDefault="00DA3174" w:rsidP="008E7142">
            <w:pPr>
              <w:numPr>
                <w:ilvl w:val="0"/>
                <w:numId w:val="21"/>
              </w:numPr>
              <w:spacing w:before="14" w:after="144" w:line="300" w:lineRule="atLeast"/>
              <w:contextualSpacing/>
              <w:jc w:val="left"/>
              <w:rPr>
                <w:rFonts w:ascii="Calibri" w:hAnsi="Calibri" w:cs="Cordia New"/>
                <w:szCs w:val="22"/>
                <w:lang w:bidi="th-TH"/>
              </w:rPr>
            </w:pPr>
            <w:r w:rsidRPr="00AF1814">
              <w:rPr>
                <w:szCs w:val="24"/>
              </w:rPr>
              <w:t>However, all events leading to unplanned hospitalizations or unplanned prolongation of an elective hospitalization (i.e., undesirable effects of any administered treatment) must be documented and reported as SAEs.</w:t>
            </w:r>
          </w:p>
        </w:tc>
      </w:tr>
      <w:tr w:rsidR="002108B2" w:rsidRPr="00AF1814" w14:paraId="11121EA2" w14:textId="77777777" w:rsidTr="007F7F16">
        <w:tc>
          <w:tcPr>
            <w:tcW w:w="9352" w:type="dxa"/>
          </w:tcPr>
          <w:p w14:paraId="2952738A" w14:textId="77777777" w:rsidR="006A4116" w:rsidRPr="00AF1814" w:rsidRDefault="00DA3174" w:rsidP="008E7142">
            <w:pPr>
              <w:keepNext/>
              <w:numPr>
                <w:ilvl w:val="0"/>
                <w:numId w:val="30"/>
              </w:numPr>
              <w:spacing w:before="120" w:after="120"/>
              <w:jc w:val="left"/>
              <w:rPr>
                <w:b/>
                <w:szCs w:val="24"/>
              </w:rPr>
            </w:pPr>
            <w:r w:rsidRPr="00AF1814">
              <w:rPr>
                <w:b/>
                <w:szCs w:val="24"/>
              </w:rPr>
              <w:lastRenderedPageBreak/>
              <w:t>Results in persistent disability/incapacity</w:t>
            </w:r>
          </w:p>
          <w:p w14:paraId="5B274335" w14:textId="77777777" w:rsidR="006A4116" w:rsidRPr="00AF1814" w:rsidRDefault="00DA3174" w:rsidP="007F7F16">
            <w:pPr>
              <w:spacing w:before="14" w:after="144" w:line="300" w:lineRule="atLeast"/>
              <w:contextualSpacing/>
              <w:jc w:val="left"/>
              <w:rPr>
                <w:szCs w:val="24"/>
              </w:rPr>
            </w:pPr>
            <w:r w:rsidRPr="00AF1814">
              <w:rPr>
                <w:szCs w:val="24"/>
              </w:rPr>
              <w:t>The term disability means a substantial disruption of a person’s ability to conduct normal life functions.</w:t>
            </w:r>
          </w:p>
          <w:p w14:paraId="0C4A2C70" w14:textId="77777777" w:rsidR="006A4116" w:rsidRPr="00AF1814" w:rsidRDefault="006A4116" w:rsidP="007F7F16">
            <w:pPr>
              <w:spacing w:before="14" w:after="144" w:line="300" w:lineRule="atLeast"/>
              <w:ind w:left="343"/>
              <w:contextualSpacing/>
              <w:jc w:val="left"/>
              <w:rPr>
                <w:szCs w:val="24"/>
              </w:rPr>
            </w:pPr>
          </w:p>
          <w:p w14:paraId="1497728C" w14:textId="77777777" w:rsidR="006A4116" w:rsidRPr="00AF1814" w:rsidRDefault="00DA3174" w:rsidP="007F7F16">
            <w:pPr>
              <w:spacing w:before="14" w:after="144" w:line="300" w:lineRule="atLeast"/>
              <w:contextualSpacing/>
              <w:jc w:val="left"/>
              <w:rPr>
                <w:rFonts w:ascii="Calibri" w:hAnsi="Calibri" w:cs="Cordia New"/>
                <w:szCs w:val="22"/>
                <w:lang w:bidi="th-TH"/>
              </w:rPr>
            </w:pPr>
            <w:r w:rsidRPr="00AF1814">
              <w:rPr>
                <w:szCs w:val="24"/>
              </w:rPr>
              <w:t xml:space="preserve">This definition is </w:t>
            </w:r>
            <w:r w:rsidRPr="00AF1814">
              <w:rPr>
                <w:b/>
                <w:szCs w:val="24"/>
              </w:rPr>
              <w:t>not</w:t>
            </w:r>
            <w:r w:rsidRPr="00AF1814">
              <w:rPr>
                <w:szCs w:val="24"/>
              </w:rPr>
              <w:t xml:space="preserve"> intended to include experiences of relatively minor medical significance such as uncomplicated headache, nausea, vomiting, diarrhea, influenza, and accidental trauma (e.g., sprained ankle) which may interfere with or prevent everyday life functions but do not constitute a substantial disruption.</w:t>
            </w:r>
          </w:p>
        </w:tc>
      </w:tr>
      <w:tr w:rsidR="002108B2" w:rsidRPr="00AF1814" w14:paraId="1E45E537" w14:textId="77777777" w:rsidTr="007F7F16">
        <w:tc>
          <w:tcPr>
            <w:tcW w:w="9352" w:type="dxa"/>
          </w:tcPr>
          <w:p w14:paraId="7F2DE20C" w14:textId="77777777" w:rsidR="006A4116" w:rsidRPr="00AF1814" w:rsidRDefault="00DA3174" w:rsidP="008E7142">
            <w:pPr>
              <w:numPr>
                <w:ilvl w:val="0"/>
                <w:numId w:val="30"/>
              </w:numPr>
              <w:spacing w:before="120" w:after="120"/>
              <w:jc w:val="left"/>
              <w:rPr>
                <w:b/>
                <w:szCs w:val="24"/>
              </w:rPr>
            </w:pPr>
            <w:r w:rsidRPr="00AF1814">
              <w:rPr>
                <w:b/>
                <w:szCs w:val="24"/>
              </w:rPr>
              <w:t>Is a congenital anomaly/birth defect</w:t>
            </w:r>
          </w:p>
        </w:tc>
      </w:tr>
      <w:tr w:rsidR="002108B2" w:rsidRPr="00AF1814" w14:paraId="1D26A5D3" w14:textId="77777777" w:rsidTr="007F7F16">
        <w:tc>
          <w:tcPr>
            <w:tcW w:w="9352" w:type="dxa"/>
          </w:tcPr>
          <w:p w14:paraId="7A773662" w14:textId="77777777" w:rsidR="006A4116" w:rsidRPr="00AF1814" w:rsidRDefault="00DA3174" w:rsidP="008E7142">
            <w:pPr>
              <w:numPr>
                <w:ilvl w:val="0"/>
                <w:numId w:val="30"/>
              </w:numPr>
              <w:spacing w:before="120" w:after="120"/>
              <w:jc w:val="left"/>
              <w:rPr>
                <w:b/>
                <w:szCs w:val="24"/>
              </w:rPr>
            </w:pPr>
            <w:r w:rsidRPr="00AF1814">
              <w:rPr>
                <w:b/>
                <w:szCs w:val="24"/>
              </w:rPr>
              <w:t>Other situations:</w:t>
            </w:r>
          </w:p>
          <w:p w14:paraId="4A6E51C6" w14:textId="77777777" w:rsidR="006A4116" w:rsidRPr="00AF1814" w:rsidRDefault="00DA3174" w:rsidP="00193011">
            <w:pPr>
              <w:pStyle w:val="List1withbullet"/>
            </w:pPr>
            <w:r w:rsidRPr="00AF1814">
              <w:t>Medical or scientific judgment will be exercised in deciding whether SAE reporting is appropriate in other situations, such as important medical events that may not be immediately life-threatening or result in death or hospitalization but may jeopardize the participant or may require medical or surgical intervention to prevent one of the other outcomes listed in the above definition. These events are usually considered as serious.</w:t>
            </w:r>
          </w:p>
          <w:p w14:paraId="054402A8" w14:textId="77777777" w:rsidR="006A4116" w:rsidRPr="00AF1814" w:rsidRDefault="00DA3174" w:rsidP="00193011">
            <w:pPr>
              <w:pStyle w:val="List1withbullet"/>
              <w:rPr>
                <w:rFonts w:ascii="Calibri" w:hAnsi="Calibri" w:cs="Cordia New"/>
                <w:sz w:val="22"/>
                <w:lang w:bidi="th-TH"/>
              </w:rPr>
            </w:pPr>
            <w:r w:rsidRPr="00AF1814">
              <w:t>Examples of such events include invasive or malignant cancers, intensive treatment in an emergency room or at home for allergic bronchospasm, blood dyscrasias or convulsions that do not result in hospitalization, or development of drug dependency or drug abuse.</w:t>
            </w:r>
          </w:p>
        </w:tc>
      </w:tr>
    </w:tbl>
    <w:p w14:paraId="6EB44B5E" w14:textId="77777777" w:rsidR="006A4116" w:rsidRPr="00AF1814" w:rsidRDefault="00DA3174" w:rsidP="006A4116">
      <w:pPr>
        <w:ind w:left="270"/>
        <w:rPr>
          <w:rFonts w:cs="Arial"/>
          <w:szCs w:val="24"/>
        </w:rPr>
      </w:pPr>
      <w:r w:rsidRPr="00AF1814">
        <w:rPr>
          <w:rFonts w:cs="Arial"/>
          <w:szCs w:val="24"/>
        </w:rPr>
        <w:t>Any suspected transmission of an infectious agent via a study intervention is also considered an SAE for reporting purposes, as specified below for reporting SAEs.</w:t>
      </w:r>
    </w:p>
    <w:p w14:paraId="15BC4C70" w14:textId="77777777" w:rsidR="006A4116" w:rsidRPr="00AF1814" w:rsidRDefault="00DA3174" w:rsidP="006A4116">
      <w:pPr>
        <w:keepNext/>
        <w:keepLines/>
        <w:ind w:left="270"/>
        <w:outlineLvl w:val="1"/>
        <w:rPr>
          <w:b/>
          <w:sz w:val="28"/>
        </w:rPr>
      </w:pPr>
      <w:bookmarkStart w:id="418" w:name="_Toc528734935"/>
      <w:bookmarkStart w:id="419" w:name="_Toc877217"/>
      <w:r w:rsidRPr="00AF1814">
        <w:rPr>
          <w:b/>
          <w:sz w:val="28"/>
        </w:rPr>
        <w:t>Recording and Follow-Up of AE and/or SAE</w:t>
      </w:r>
      <w:bookmarkEnd w:id="418"/>
      <w:bookmarkEnd w:id="419"/>
    </w:p>
    <w:tbl>
      <w:tblPr>
        <w:tblW w:w="5000" w:type="pct"/>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2"/>
      </w:tblGrid>
      <w:tr w:rsidR="002108B2" w:rsidRPr="00AF1814" w14:paraId="1F21C98D" w14:textId="77777777" w:rsidTr="007F7F16">
        <w:tc>
          <w:tcPr>
            <w:tcW w:w="8902" w:type="dxa"/>
            <w:shd w:val="clear" w:color="auto" w:fill="EEECE1" w:themeFill="background2"/>
          </w:tcPr>
          <w:p w14:paraId="73CD1EC1" w14:textId="77777777" w:rsidR="006A4116" w:rsidRPr="00AF1814" w:rsidRDefault="00DA3174" w:rsidP="007F7F16">
            <w:pPr>
              <w:keepNext/>
              <w:keepLines/>
              <w:spacing w:before="60" w:after="60"/>
              <w:jc w:val="left"/>
              <w:rPr>
                <w:b/>
                <w:color w:val="000000"/>
              </w:rPr>
            </w:pPr>
            <w:r w:rsidRPr="00AF1814">
              <w:rPr>
                <w:b/>
                <w:color w:val="000000"/>
              </w:rPr>
              <w:t>AE and SAE Recording</w:t>
            </w:r>
          </w:p>
        </w:tc>
      </w:tr>
      <w:tr w:rsidR="002108B2" w:rsidRPr="00AF1814" w14:paraId="2E5E9418" w14:textId="77777777" w:rsidTr="007F7F16">
        <w:tc>
          <w:tcPr>
            <w:tcW w:w="8902" w:type="dxa"/>
          </w:tcPr>
          <w:p w14:paraId="6E3DEE60" w14:textId="77777777" w:rsidR="006A4116" w:rsidRPr="00AF1814" w:rsidRDefault="00DA3174" w:rsidP="000A0AAD">
            <w:pPr>
              <w:pStyle w:val="List1withbullet"/>
            </w:pPr>
            <w:r w:rsidRPr="00AF1814">
              <w:t>When an AE/SAE occurs, it is the responsibility of the Investigator to review all documentation (e.g., hospital progress notes, laboratory reports, and diagnostics reports) related to the event.</w:t>
            </w:r>
          </w:p>
          <w:p w14:paraId="58EED601" w14:textId="77777777" w:rsidR="006A4116" w:rsidRPr="00AF1814" w:rsidRDefault="00DA3174" w:rsidP="000A0AAD">
            <w:pPr>
              <w:pStyle w:val="List1withbullet"/>
            </w:pPr>
            <w:r w:rsidRPr="00AF1814">
              <w:t>The Investigator will then record all relevant AE/SAE information in the CRF.</w:t>
            </w:r>
          </w:p>
          <w:p w14:paraId="5D94CB63" w14:textId="77777777" w:rsidR="006A4116" w:rsidRPr="00AF1814" w:rsidRDefault="00DA3174" w:rsidP="000A0AAD">
            <w:pPr>
              <w:pStyle w:val="List1withbullet"/>
            </w:pPr>
            <w:r w:rsidRPr="00AF1814">
              <w:t xml:space="preserve">As needed, </w:t>
            </w:r>
            <w:r w:rsidR="003A47A4" w:rsidRPr="00AF1814">
              <w:t>Sponsor</w:t>
            </w:r>
            <w:r w:rsidR="005D20D4" w:rsidRPr="00AF1814">
              <w:t xml:space="preserve"> or designee</w:t>
            </w:r>
            <w:r w:rsidR="003A47A4" w:rsidRPr="00AF1814">
              <w:rPr>
                <w:color w:val="0070C0"/>
              </w:rPr>
              <w:t xml:space="preserve"> </w:t>
            </w:r>
            <w:r w:rsidRPr="00AF1814">
              <w:t xml:space="preserve">may ask for copies of certain medical records (e.g., autopsy reports, supplemental lab reports, documents on medical history/concomitant medications, discharge letters), as supporting source documentation. All participant identifiers, except the participant number, will be redacted on these copies before submission to </w:t>
            </w:r>
            <w:r w:rsidR="003A47A4" w:rsidRPr="00AF1814">
              <w:t>Sponsor</w:t>
            </w:r>
            <w:r w:rsidR="005D20D4" w:rsidRPr="00AF1814">
              <w:t xml:space="preserve"> or designee</w:t>
            </w:r>
            <w:r w:rsidRPr="00AF1814">
              <w:t>.</w:t>
            </w:r>
          </w:p>
          <w:p w14:paraId="304B8BCD" w14:textId="77777777" w:rsidR="006A4116" w:rsidRPr="00AF1814" w:rsidRDefault="00DA3174" w:rsidP="000A0AAD">
            <w:pPr>
              <w:pStyle w:val="List1withbullet"/>
            </w:pPr>
            <w:r w:rsidRPr="00AF1814">
              <w:t xml:space="preserve">The </w:t>
            </w:r>
            <w:r w:rsidR="001A74DA" w:rsidRPr="00AF1814">
              <w:t>Investigator will attempt to establish a diagnosis of the event based on signs, symptoms, and/or other clinical information. Whenever possible, the diagnosis (not the individual signs/symptoms) will be documented as the AE/SAE.</w:t>
            </w:r>
          </w:p>
          <w:p w14:paraId="5D3F1475" w14:textId="77777777" w:rsidR="006A4116" w:rsidRPr="00AF1814" w:rsidRDefault="00DA3174" w:rsidP="000A0AAD">
            <w:pPr>
              <w:pStyle w:val="List1withbullet"/>
            </w:pPr>
            <w:r w:rsidRPr="00AF1814">
              <w:t>If an AE constitutes a DLT this is documented accordingly.</w:t>
            </w:r>
          </w:p>
          <w:p w14:paraId="5800B64D" w14:textId="77777777" w:rsidR="006A4116" w:rsidRPr="00AF1814" w:rsidRDefault="00DA3174" w:rsidP="000A0AAD">
            <w:pPr>
              <w:pStyle w:val="List1withbullet"/>
              <w:rPr>
                <w:rFonts w:ascii="Calibri" w:hAnsi="Calibri" w:cs="Cordia New"/>
                <w:lang w:bidi="th-TH"/>
              </w:rPr>
            </w:pPr>
            <w:r w:rsidRPr="00AF1814">
              <w:lastRenderedPageBreak/>
              <w:t>Specific guidance is in the CRF Completion and Monitoring Conventions.</w:t>
            </w:r>
          </w:p>
        </w:tc>
      </w:tr>
    </w:tbl>
    <w:p w14:paraId="7D643AAD" w14:textId="77777777" w:rsidR="006A4116" w:rsidRPr="00AF1814" w:rsidRDefault="006A4116" w:rsidP="006A4116">
      <w:pPr>
        <w:pStyle w:val="BodyText"/>
        <w:rPr>
          <w:b/>
        </w:rPr>
      </w:pPr>
    </w:p>
    <w:tbl>
      <w:tblPr>
        <w:tblW w:w="5000" w:type="pct"/>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2"/>
      </w:tblGrid>
      <w:tr w:rsidR="002108B2" w:rsidRPr="00AF1814" w14:paraId="769CB636" w14:textId="77777777" w:rsidTr="007F7F16">
        <w:tc>
          <w:tcPr>
            <w:tcW w:w="8902" w:type="dxa"/>
            <w:shd w:val="clear" w:color="auto" w:fill="EEECE1" w:themeFill="background2"/>
          </w:tcPr>
          <w:p w14:paraId="092BF683" w14:textId="77777777" w:rsidR="006A4116" w:rsidRPr="00AF1814" w:rsidRDefault="00DA3174" w:rsidP="00616819">
            <w:pPr>
              <w:keepNext/>
              <w:widowControl w:val="0"/>
              <w:spacing w:before="60" w:after="60"/>
              <w:jc w:val="left"/>
              <w:rPr>
                <w:b/>
                <w:color w:val="000000"/>
              </w:rPr>
            </w:pPr>
            <w:r w:rsidRPr="00AF1814">
              <w:rPr>
                <w:b/>
                <w:color w:val="000000"/>
              </w:rPr>
              <w:t>Assessment of Intensity</w:t>
            </w:r>
          </w:p>
        </w:tc>
      </w:tr>
      <w:tr w:rsidR="002108B2" w:rsidRPr="00AF1814" w14:paraId="57E0F86C" w14:textId="77777777" w:rsidTr="007F7F16">
        <w:tc>
          <w:tcPr>
            <w:tcW w:w="8902" w:type="dxa"/>
          </w:tcPr>
          <w:p w14:paraId="75071F6A" w14:textId="77777777" w:rsidR="006A4116" w:rsidRPr="00AF1814" w:rsidRDefault="00DA3174" w:rsidP="007F7F16">
            <w:pPr>
              <w:rPr>
                <w:rFonts w:cs="Arial"/>
                <w:szCs w:val="24"/>
              </w:rPr>
            </w:pPr>
            <w:r w:rsidRPr="00AF1814">
              <w:rPr>
                <w:rFonts w:cs="Arial"/>
                <w:szCs w:val="24"/>
              </w:rPr>
              <w:t>The Investigator will assess the intensity of each AE and SAE reported during the study and assign it to 1 of the following categories:</w:t>
            </w:r>
          </w:p>
          <w:p w14:paraId="2D4D11A1" w14:textId="77777777" w:rsidR="006A4116" w:rsidRPr="00AF1814" w:rsidRDefault="00DA3174" w:rsidP="007970BF">
            <w:pPr>
              <w:pStyle w:val="List1withbullet"/>
            </w:pPr>
            <w:r w:rsidRPr="00AF1814">
              <w:t>Mild: An event that is easily tolerated by the participant, causing minimal discomfort and not interfering with everyday activities.</w:t>
            </w:r>
          </w:p>
          <w:p w14:paraId="00AA2B87" w14:textId="77777777" w:rsidR="006A4116" w:rsidRPr="00AF1814" w:rsidRDefault="00DA3174" w:rsidP="007970BF">
            <w:pPr>
              <w:pStyle w:val="List1withbullet"/>
            </w:pPr>
            <w:r w:rsidRPr="00AF1814">
              <w:t>Moderate: An event that causes sufficient discomfort and interferes with normal everyday activities.</w:t>
            </w:r>
          </w:p>
          <w:p w14:paraId="1B548BF3" w14:textId="77777777" w:rsidR="006A4116" w:rsidRPr="00AF1814" w:rsidRDefault="00DA3174" w:rsidP="007970BF">
            <w:pPr>
              <w:pStyle w:val="List1withbullet"/>
            </w:pPr>
            <w:r w:rsidRPr="00AF1814">
              <w:t>Severe: An event that prevents normal everyday activities.  Do not confuse an AE that is assessed as severe with a SAE. Severe is a category used to rate the intensity of an event; both AEs and SAEs can be assessed as severe.</w:t>
            </w:r>
          </w:p>
          <w:p w14:paraId="15899BB5" w14:textId="77777777" w:rsidR="006A4116" w:rsidRPr="00AF1814" w:rsidRDefault="00DA3174" w:rsidP="00AF1814">
            <w:pPr>
              <w:ind w:left="360"/>
            </w:pPr>
            <w:r w:rsidRPr="00AF1814">
              <w:rPr>
                <w:rFonts w:cs="Arial"/>
              </w:rPr>
              <w:t xml:space="preserve">An event is defined as “serious” when it meets at least 1 of the predefined </w:t>
            </w:r>
            <w:r w:rsidRPr="00AF1814">
              <w:rPr>
                <w:rFonts w:cs="Arial"/>
                <w:szCs w:val="24"/>
              </w:rPr>
              <w:t>criteria</w:t>
            </w:r>
            <w:r w:rsidRPr="00AF1814">
              <w:rPr>
                <w:rFonts w:cs="Arial"/>
              </w:rPr>
              <w:t xml:space="preserve"> specified in the definition of an SAE, NOT when it is rated as severe.</w:t>
            </w:r>
          </w:p>
          <w:p w14:paraId="5B273719" w14:textId="77777777" w:rsidR="006A4116" w:rsidRPr="00AF1814" w:rsidRDefault="00DA3174" w:rsidP="00AF1814">
            <w:pPr>
              <w:spacing w:before="120"/>
              <w:jc w:val="left"/>
              <w:rPr>
                <w:rFonts w:cs="Arial"/>
                <w:szCs w:val="24"/>
              </w:rPr>
            </w:pPr>
            <w:r w:rsidRPr="00AF1814">
              <w:rPr>
                <w:rFonts w:cs="Arial"/>
                <w:szCs w:val="24"/>
              </w:rPr>
              <w:t xml:space="preserve">Investigators will reference the </w:t>
            </w:r>
            <w:r w:rsidR="00B713B2" w:rsidRPr="00AF1814">
              <w:rPr>
                <w:rFonts w:cs="Arial"/>
                <w:szCs w:val="24"/>
              </w:rPr>
              <w:t>NCI-</w:t>
            </w:r>
            <w:r w:rsidRPr="00AF1814">
              <w:rPr>
                <w:rFonts w:cs="Arial"/>
                <w:szCs w:val="24"/>
              </w:rPr>
              <w:t xml:space="preserve">CTCAE, version </w:t>
            </w:r>
            <w:r w:rsidR="00767201" w:rsidRPr="00AF1814">
              <w:rPr>
                <w:rFonts w:cs="Arial"/>
                <w:szCs w:val="24"/>
              </w:rPr>
              <w:t>5.0</w:t>
            </w:r>
            <w:r w:rsidRPr="00AF1814">
              <w:rPr>
                <w:rFonts w:cs="Arial"/>
                <w:szCs w:val="24"/>
              </w:rPr>
              <w:t xml:space="preserve"> (publication date: </w:t>
            </w:r>
            <w:r w:rsidR="003A47A4" w:rsidRPr="00AF1814">
              <w:rPr>
                <w:rFonts w:cs="Arial"/>
                <w:szCs w:val="24"/>
              </w:rPr>
              <w:t>27</w:t>
            </w:r>
            <w:r w:rsidR="00B713B2" w:rsidRPr="00AF1814">
              <w:rPr>
                <w:rFonts w:cs="Arial"/>
                <w:szCs w:val="24"/>
              </w:rPr>
              <w:t> </w:t>
            </w:r>
            <w:r w:rsidR="003A47A4" w:rsidRPr="00AF1814">
              <w:rPr>
                <w:rFonts w:cs="Arial"/>
                <w:szCs w:val="24"/>
              </w:rPr>
              <w:t>November</w:t>
            </w:r>
            <w:r w:rsidR="00B713B2" w:rsidRPr="00AF1814">
              <w:rPr>
                <w:rFonts w:cs="Arial"/>
                <w:szCs w:val="24"/>
              </w:rPr>
              <w:t> </w:t>
            </w:r>
            <w:r w:rsidR="003A47A4" w:rsidRPr="00AF1814">
              <w:rPr>
                <w:rFonts w:cs="Arial"/>
                <w:szCs w:val="24"/>
              </w:rPr>
              <w:t>2017</w:t>
            </w:r>
            <w:r w:rsidRPr="00AF1814">
              <w:rPr>
                <w:rFonts w:cs="Arial"/>
                <w:szCs w:val="24"/>
              </w:rPr>
              <w:t>), a descriptive terminology that can be used for AE reporting.</w:t>
            </w:r>
          </w:p>
          <w:p w14:paraId="0A798F17" w14:textId="77777777" w:rsidR="006A4116" w:rsidRPr="00AF1814" w:rsidRDefault="00DA3174" w:rsidP="00AF1814">
            <w:pPr>
              <w:spacing w:before="120"/>
              <w:jc w:val="left"/>
              <w:rPr>
                <w:rFonts w:cs="Arial"/>
                <w:szCs w:val="24"/>
              </w:rPr>
            </w:pPr>
            <w:r w:rsidRPr="00AF1814">
              <w:rPr>
                <w:rFonts w:cs="Arial"/>
                <w:szCs w:val="24"/>
              </w:rPr>
              <w:t>A general grading (severity/intensity; hereafter referred to as severity) scale is provided at the beginning of the above referenced document, and specific event grades are also provided.</w:t>
            </w:r>
          </w:p>
          <w:p w14:paraId="74732EC8" w14:textId="77777777" w:rsidR="006A4116" w:rsidRPr="00AF1814" w:rsidRDefault="00DA3174" w:rsidP="00AF1814">
            <w:pPr>
              <w:spacing w:before="120"/>
              <w:jc w:val="left"/>
              <w:rPr>
                <w:rFonts w:cs="Arial"/>
                <w:szCs w:val="24"/>
              </w:rPr>
            </w:pPr>
            <w:r w:rsidRPr="00AF1814">
              <w:rPr>
                <w:rFonts w:cs="Arial"/>
                <w:szCs w:val="24"/>
              </w:rPr>
              <w:t>If the severity for an AE is not specifically graded by NCI-CTCAE, the Investigator is to use the general NCI-CTCAE definitions of Grade 1 through Grade 5, using his or her best medical judgment.</w:t>
            </w:r>
          </w:p>
          <w:p w14:paraId="01D6AF2A" w14:textId="77777777" w:rsidR="006A4116" w:rsidRPr="00AF1814" w:rsidRDefault="00DA3174" w:rsidP="00AF1814">
            <w:pPr>
              <w:spacing w:before="120"/>
              <w:jc w:val="left"/>
              <w:rPr>
                <w:rFonts w:cs="Arial"/>
                <w:szCs w:val="24"/>
              </w:rPr>
            </w:pPr>
            <w:r w:rsidRPr="00AF1814">
              <w:rPr>
                <w:rFonts w:cs="Arial"/>
                <w:szCs w:val="24"/>
              </w:rPr>
              <w:t>The 5 general grades are:</w:t>
            </w:r>
          </w:p>
          <w:p w14:paraId="240A7F27" w14:textId="77777777" w:rsidR="006A4116" w:rsidRPr="00AF1814" w:rsidRDefault="00DA3174" w:rsidP="00AF1814">
            <w:pPr>
              <w:pStyle w:val="List1withbullet"/>
            </w:pPr>
            <w:r w:rsidRPr="00AF1814">
              <w:t>Grade 1 or Mild</w:t>
            </w:r>
          </w:p>
          <w:p w14:paraId="41BCCB0B" w14:textId="77777777" w:rsidR="006A4116" w:rsidRPr="00AF1814" w:rsidRDefault="00DA3174" w:rsidP="00AF1814">
            <w:pPr>
              <w:pStyle w:val="List1withbullet"/>
            </w:pPr>
            <w:r w:rsidRPr="00AF1814">
              <w:t>Grade 2 or Moderate</w:t>
            </w:r>
          </w:p>
          <w:p w14:paraId="02C6479B" w14:textId="77777777" w:rsidR="006A4116" w:rsidRPr="00AF1814" w:rsidRDefault="00DA3174" w:rsidP="00AF1814">
            <w:pPr>
              <w:pStyle w:val="List1withbullet"/>
            </w:pPr>
            <w:r w:rsidRPr="00AF1814">
              <w:t xml:space="preserve">Grade 3 or Severe </w:t>
            </w:r>
          </w:p>
          <w:p w14:paraId="0BB5BA49" w14:textId="77777777" w:rsidR="006A4116" w:rsidRPr="00AF1814" w:rsidRDefault="00DA3174" w:rsidP="00AF1814">
            <w:pPr>
              <w:pStyle w:val="List1withbullet"/>
            </w:pPr>
            <w:r w:rsidRPr="00AF1814">
              <w:t xml:space="preserve">Grade 4 or Life-threatening </w:t>
            </w:r>
          </w:p>
          <w:p w14:paraId="55B8461B" w14:textId="77777777" w:rsidR="006A4116" w:rsidRPr="00AF1814" w:rsidRDefault="00DA3174" w:rsidP="00AF1814">
            <w:pPr>
              <w:pStyle w:val="List1withbullet"/>
            </w:pPr>
            <w:r w:rsidRPr="00AF1814">
              <w:t xml:space="preserve">Grade 5 or Death </w:t>
            </w:r>
          </w:p>
          <w:p w14:paraId="19666480" w14:textId="77777777" w:rsidR="006A4116" w:rsidRPr="00AF1814" w:rsidRDefault="00DA3174" w:rsidP="00AF1814">
            <w:pPr>
              <w:spacing w:before="120"/>
              <w:jc w:val="left"/>
              <w:rPr>
                <w:rFonts w:cs="Arial"/>
                <w:szCs w:val="24"/>
              </w:rPr>
            </w:pPr>
            <w:r w:rsidRPr="00AF1814">
              <w:rPr>
                <w:rFonts w:cs="Arial"/>
                <w:szCs w:val="24"/>
              </w:rPr>
              <w:t>Any clinical AE with severity of Grade 4 or 5 must also be reported as an SAE. However, a laboratory abnormality of Grade 4, such as anemia or neutropenia, is considered serious only if the condition meets one of the serious criteria specified below.</w:t>
            </w:r>
          </w:p>
          <w:p w14:paraId="082A3FDF" w14:textId="77777777" w:rsidR="006A4116" w:rsidRPr="00AF1814" w:rsidRDefault="00DA3174" w:rsidP="00AF1814">
            <w:pPr>
              <w:spacing w:before="120" w:after="120" w:line="280" w:lineRule="atLeast"/>
              <w:jc w:val="left"/>
              <w:rPr>
                <w:rFonts w:cs="Arial"/>
                <w:szCs w:val="24"/>
              </w:rPr>
            </w:pPr>
            <w:r w:rsidRPr="00AF1814">
              <w:rPr>
                <w:rFonts w:cs="Arial"/>
                <w:szCs w:val="24"/>
              </w:rPr>
              <w:t>If death occurs, the primary cause of death or event leading to death will be recorded and reported as an SAE. “Fatal” will be recorded as the outcome of this specific event and death will not be recorded as separate event. Only, if no cause of death can be reported (e.g., sudden death, unexplained death), the death per se might then be reported as an SAE.</w:t>
            </w:r>
          </w:p>
        </w:tc>
      </w:tr>
    </w:tbl>
    <w:p w14:paraId="6CA719BA" w14:textId="77777777" w:rsidR="006A4116" w:rsidRPr="00AF1814" w:rsidRDefault="006A4116" w:rsidP="006A4116">
      <w:pPr>
        <w:pStyle w:val="BodyText"/>
        <w:rPr>
          <w:b/>
        </w:rPr>
      </w:pPr>
    </w:p>
    <w:tbl>
      <w:tblPr>
        <w:tblW w:w="5000" w:type="pct"/>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2"/>
      </w:tblGrid>
      <w:tr w:rsidR="002108B2" w:rsidRPr="00AF1814" w14:paraId="5DB10281" w14:textId="77777777" w:rsidTr="007F7F16">
        <w:tc>
          <w:tcPr>
            <w:tcW w:w="8902" w:type="dxa"/>
            <w:shd w:val="clear" w:color="auto" w:fill="EEECE1"/>
          </w:tcPr>
          <w:p w14:paraId="6192F43F" w14:textId="77777777" w:rsidR="006A4116" w:rsidRPr="00AF1814" w:rsidRDefault="00DA3174" w:rsidP="00BC4BC4">
            <w:pPr>
              <w:keepNext/>
              <w:spacing w:before="60" w:after="60"/>
              <w:jc w:val="left"/>
              <w:rPr>
                <w:b/>
                <w:color w:val="000000"/>
              </w:rPr>
            </w:pPr>
            <w:r w:rsidRPr="00AF1814">
              <w:rPr>
                <w:b/>
                <w:color w:val="000000"/>
              </w:rPr>
              <w:t>Assessment of Causality</w:t>
            </w:r>
          </w:p>
        </w:tc>
      </w:tr>
      <w:tr w:rsidR="002108B2" w:rsidRPr="00AF1814" w14:paraId="1B41B49D" w14:textId="77777777" w:rsidTr="007F7F16">
        <w:tc>
          <w:tcPr>
            <w:tcW w:w="8902" w:type="dxa"/>
          </w:tcPr>
          <w:p w14:paraId="6ABA0519" w14:textId="77777777" w:rsidR="006A4116" w:rsidRPr="00AF1814" w:rsidRDefault="00DA3174" w:rsidP="000A0AAD">
            <w:pPr>
              <w:pStyle w:val="List1withbullet"/>
            </w:pPr>
            <w:r w:rsidRPr="00AF1814">
              <w:t>The Investigator will assess the relationship between study intervention and each AE/SAE occurrence:</w:t>
            </w:r>
          </w:p>
          <w:p w14:paraId="7D62820B" w14:textId="77777777" w:rsidR="006A4116" w:rsidRPr="00AF1814" w:rsidRDefault="00DA3174" w:rsidP="000A0AAD">
            <w:pPr>
              <w:pStyle w:val="List1withbullet"/>
              <w:numPr>
                <w:ilvl w:val="1"/>
                <w:numId w:val="5"/>
              </w:numPr>
            </w:pPr>
            <w:r w:rsidRPr="00AF1814">
              <w:t>Unrelated: Not reasonably related to the study intervention. AE could not medically (pharmacologically/clinically) be attributed to the study intervention. A reasonable alternative explanation will be available.</w:t>
            </w:r>
          </w:p>
          <w:p w14:paraId="4723EAC3" w14:textId="77777777" w:rsidR="006A4116" w:rsidRPr="00AF1814" w:rsidRDefault="00DA3174" w:rsidP="000A0AAD">
            <w:pPr>
              <w:pStyle w:val="List1withbullet"/>
              <w:numPr>
                <w:ilvl w:val="1"/>
                <w:numId w:val="5"/>
              </w:numPr>
            </w:pPr>
            <w:r w:rsidRPr="00AF1814">
              <w:t>Related: Reasonably related to the study intervention. AE could medically (pharmacologically/clinically) be attributed to the study intervention.</w:t>
            </w:r>
          </w:p>
          <w:p w14:paraId="47F223F7" w14:textId="77777777" w:rsidR="006A4116" w:rsidRPr="00AF1814" w:rsidRDefault="00DA3174" w:rsidP="000A0AAD">
            <w:pPr>
              <w:pStyle w:val="List1withbullet"/>
            </w:pPr>
            <w:r w:rsidRPr="00AF1814">
              <w:t>A “reasonable possibility” of a relationship conveys that there are facts, evidence, and/or arguments to suggest a causal relationship, rather than a relationship cannot be ruled out.</w:t>
            </w:r>
          </w:p>
          <w:p w14:paraId="2F5A8E80" w14:textId="77777777" w:rsidR="006A4116" w:rsidRPr="00AF1814" w:rsidRDefault="00DA3174" w:rsidP="000A0AAD">
            <w:pPr>
              <w:pStyle w:val="List1withbullet"/>
            </w:pPr>
            <w:r w:rsidRPr="00AF1814">
              <w:t>The Investigator will use clinical judgment to determine the relationship.</w:t>
            </w:r>
          </w:p>
          <w:p w14:paraId="4019A130" w14:textId="77777777" w:rsidR="006A4116" w:rsidRPr="00AF1814" w:rsidRDefault="00DA3174" w:rsidP="000A0AAD">
            <w:pPr>
              <w:pStyle w:val="List1withbullet"/>
            </w:pPr>
            <w:r w:rsidRPr="00AF1814">
              <w:t>Alternative causes, such as underlying disease(s), concomitant therapy, and other risk factors, as well as the temporal relationship of the event to study intervention administration will be considered and investigated.</w:t>
            </w:r>
          </w:p>
          <w:p w14:paraId="32497C5D" w14:textId="77777777" w:rsidR="006A4116" w:rsidRPr="00AF1814" w:rsidRDefault="00DA3174" w:rsidP="000A0AAD">
            <w:pPr>
              <w:pStyle w:val="List1withbullet"/>
            </w:pPr>
            <w:r w:rsidRPr="00AF1814">
              <w:t>The Investigator will also consult the IB and/or Product Information, for marketed products, in his/her assessment.</w:t>
            </w:r>
          </w:p>
          <w:p w14:paraId="4834D207" w14:textId="77777777" w:rsidR="006A4116" w:rsidRPr="00AF1814" w:rsidRDefault="00DA3174" w:rsidP="000A0AAD">
            <w:pPr>
              <w:pStyle w:val="List1withbullet"/>
            </w:pPr>
            <w:r w:rsidRPr="00AF1814">
              <w:t xml:space="preserve">For each AE/SAE, the Investigator </w:t>
            </w:r>
            <w:r w:rsidRPr="00AF1814">
              <w:rPr>
                <w:bCs/>
              </w:rPr>
              <w:t>will</w:t>
            </w:r>
            <w:r w:rsidRPr="00AF1814">
              <w:t xml:space="preserve"> document in the medical notes that he/she has reviewed the AE/SAE and assessed causality.</w:t>
            </w:r>
          </w:p>
          <w:p w14:paraId="2D6A3302" w14:textId="77777777" w:rsidR="006A4116" w:rsidRPr="00AF1814" w:rsidRDefault="00DA3174" w:rsidP="000A0AAD">
            <w:pPr>
              <w:pStyle w:val="List1withbullet"/>
            </w:pPr>
            <w:r w:rsidRPr="00AF1814">
              <w:t>There may be situations when an SAE has occurred, and the Investigator has minimal information to include in the initial report to the Sponsor or its designee. To meet the reporting timeline, the causality assessment is not required for the initial report.</w:t>
            </w:r>
          </w:p>
          <w:p w14:paraId="5E338CBF" w14:textId="77777777" w:rsidR="006A4116" w:rsidRPr="00AF1814" w:rsidRDefault="00DA3174" w:rsidP="000A0AAD">
            <w:pPr>
              <w:pStyle w:val="List1withbullet"/>
            </w:pPr>
            <w:r w:rsidRPr="00AF1814">
              <w:t>The Investigator may change his/her causality assessment after considering follow-up information and send a SAE follow-up report with the updated causality assessment.</w:t>
            </w:r>
          </w:p>
          <w:p w14:paraId="7AAB5DFD" w14:textId="77777777" w:rsidR="006A4116" w:rsidRPr="00AF1814" w:rsidRDefault="00DA3174" w:rsidP="000A0AAD">
            <w:pPr>
              <w:pStyle w:val="List1withbullet"/>
            </w:pPr>
            <w:r w:rsidRPr="00AF1814">
              <w:t>The causality assessment is one of the criteria used when determining regulatory reporting requirements.</w:t>
            </w:r>
          </w:p>
        </w:tc>
      </w:tr>
    </w:tbl>
    <w:p w14:paraId="42BAAEB2" w14:textId="77777777" w:rsidR="006A4116" w:rsidRPr="00AF1814" w:rsidRDefault="006A4116" w:rsidP="006A4116">
      <w:pPr>
        <w:pStyle w:val="BodyText"/>
        <w:rPr>
          <w:b/>
        </w:rPr>
      </w:pPr>
    </w:p>
    <w:tbl>
      <w:tblPr>
        <w:tblW w:w="5000" w:type="pct"/>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2"/>
      </w:tblGrid>
      <w:tr w:rsidR="002108B2" w:rsidRPr="00AF1814" w14:paraId="5F88111C" w14:textId="77777777" w:rsidTr="007F7F16">
        <w:tc>
          <w:tcPr>
            <w:tcW w:w="9352" w:type="dxa"/>
            <w:shd w:val="clear" w:color="auto" w:fill="EEECE1"/>
          </w:tcPr>
          <w:p w14:paraId="0ECCBD55" w14:textId="77777777" w:rsidR="006A4116" w:rsidRPr="00AF1814" w:rsidRDefault="00DA3174" w:rsidP="007F7F16">
            <w:pPr>
              <w:spacing w:before="60" w:after="60"/>
              <w:jc w:val="left"/>
              <w:rPr>
                <w:b/>
                <w:color w:val="000000"/>
              </w:rPr>
            </w:pPr>
            <w:r w:rsidRPr="00AF1814">
              <w:rPr>
                <w:b/>
                <w:color w:val="000000"/>
              </w:rPr>
              <w:t>Follow-up of AEs and SAEs</w:t>
            </w:r>
          </w:p>
        </w:tc>
      </w:tr>
      <w:tr w:rsidR="002108B2" w:rsidRPr="00AF1814" w14:paraId="7F55FAD6" w14:textId="77777777" w:rsidTr="007F7F16">
        <w:tc>
          <w:tcPr>
            <w:tcW w:w="9352" w:type="dxa"/>
          </w:tcPr>
          <w:p w14:paraId="020557F6" w14:textId="77777777" w:rsidR="007970BF" w:rsidRPr="00AF1814" w:rsidRDefault="00DA3174" w:rsidP="007970BF">
            <w:pPr>
              <w:pStyle w:val="List1withbullet"/>
            </w:pPr>
            <w:r w:rsidRPr="00AF1814">
              <w:t xml:space="preserve">The Investigator will perform or arrange for the conduct of supplemental measurements and/or evaluations, as medically indicated or as requested by </w:t>
            </w:r>
            <w:r w:rsidR="00A86E38" w:rsidRPr="00AF1814">
              <w:t xml:space="preserve">Sponsor or designee </w:t>
            </w:r>
            <w:r w:rsidRPr="00AF1814">
              <w:t>to elucidate the nature and/or causality of the AE or SAE, as fully as possible. This may include additional laboratory tests or investigations, histopathological examinations, or consultation with other health care professionals.</w:t>
            </w:r>
          </w:p>
          <w:p w14:paraId="220C245A" w14:textId="77777777" w:rsidR="006A4116" w:rsidRPr="00AF1814" w:rsidRDefault="00DA3174" w:rsidP="007970BF">
            <w:pPr>
              <w:pStyle w:val="List1withbullet"/>
            </w:pPr>
            <w:r w:rsidRPr="00AF1814">
              <w:t xml:space="preserve">If a participant dies during participation in the study or during a recognized follow-up period, the Investigator will provide </w:t>
            </w:r>
            <w:r w:rsidR="00C766EE" w:rsidRPr="00AF1814">
              <w:t xml:space="preserve">Sponsor or designee </w:t>
            </w:r>
            <w:r w:rsidRPr="00AF1814">
              <w:t>with a copy of any post</w:t>
            </w:r>
            <w:r w:rsidRPr="00AF1814">
              <w:noBreakHyphen/>
              <w:t>mortem findings including histopathology.</w:t>
            </w:r>
            <w:r w:rsidR="00C766EE" w:rsidRPr="00AF1814">
              <w:t xml:space="preserve"> Specific guidance is in the CRF Completion and Monitoring Conventions provided by the Sponsor.</w:t>
            </w:r>
          </w:p>
          <w:p w14:paraId="46DB5C13" w14:textId="77777777" w:rsidR="006A4116" w:rsidRPr="00AF1814" w:rsidRDefault="00DA3174" w:rsidP="007970BF">
            <w:pPr>
              <w:pStyle w:val="List1withbullet"/>
            </w:pPr>
            <w:r w:rsidRPr="00AF1814">
              <w:lastRenderedPageBreak/>
              <w:t>New or updated information will be recorded in the originally completed CRF.</w:t>
            </w:r>
          </w:p>
          <w:p w14:paraId="68682B67" w14:textId="77777777" w:rsidR="006A4116" w:rsidRPr="00AF1814" w:rsidRDefault="00DA3174" w:rsidP="007970BF">
            <w:pPr>
              <w:pStyle w:val="List1withbullet"/>
            </w:pPr>
            <w:r w:rsidRPr="00AF1814">
              <w:t xml:space="preserve">The Investigator will submit any updated SAE data to </w:t>
            </w:r>
            <w:r w:rsidR="00A86E38" w:rsidRPr="00AF1814">
              <w:t>Sponsor or designee</w:t>
            </w:r>
            <w:r w:rsidRPr="00AF1814">
              <w:t xml:space="preserve"> within 24 hours of receipt of the information.</w:t>
            </w:r>
          </w:p>
        </w:tc>
      </w:tr>
    </w:tbl>
    <w:p w14:paraId="2084DD94" w14:textId="77777777" w:rsidR="006A4116" w:rsidRPr="00AF1814" w:rsidRDefault="00DA3174" w:rsidP="006A4116">
      <w:pPr>
        <w:keepNext/>
        <w:keepLines/>
        <w:ind w:left="270"/>
        <w:outlineLvl w:val="1"/>
        <w:rPr>
          <w:b/>
          <w:sz w:val="28"/>
        </w:rPr>
      </w:pPr>
      <w:bookmarkStart w:id="420" w:name="_Toc528734936"/>
      <w:bookmarkStart w:id="421" w:name="_Toc877218"/>
      <w:r w:rsidRPr="00AF1814">
        <w:rPr>
          <w:b/>
          <w:sz w:val="28"/>
        </w:rPr>
        <w:t>Reporting of SAEs</w:t>
      </w:r>
      <w:bookmarkEnd w:id="420"/>
      <w:bookmarkEnd w:id="421"/>
    </w:p>
    <w:tbl>
      <w:tblPr>
        <w:tblW w:w="5000" w:type="pct"/>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2"/>
      </w:tblGrid>
      <w:tr w:rsidR="002108B2" w:rsidRPr="00AF1814" w14:paraId="28A7C6EB" w14:textId="77777777" w:rsidTr="007F7F16">
        <w:tc>
          <w:tcPr>
            <w:tcW w:w="9352" w:type="dxa"/>
            <w:shd w:val="clear" w:color="auto" w:fill="EEECE1"/>
          </w:tcPr>
          <w:p w14:paraId="243537BB" w14:textId="77777777" w:rsidR="006A4116" w:rsidRPr="00AF1814" w:rsidRDefault="00DA3174" w:rsidP="007F7F16">
            <w:pPr>
              <w:keepNext/>
              <w:keepLines/>
              <w:spacing w:before="60" w:after="60"/>
              <w:jc w:val="left"/>
              <w:rPr>
                <w:b/>
                <w:color w:val="000000"/>
              </w:rPr>
            </w:pPr>
            <w:r w:rsidRPr="00AF1814">
              <w:rPr>
                <w:b/>
                <w:color w:val="000000"/>
              </w:rPr>
              <w:t>SAE Reporting by an Electronic Data Collection Tool</w:t>
            </w:r>
          </w:p>
        </w:tc>
      </w:tr>
      <w:tr w:rsidR="002108B2" w:rsidRPr="00AF1814" w14:paraId="3E8B0CCF" w14:textId="77777777" w:rsidTr="007F7F16">
        <w:tc>
          <w:tcPr>
            <w:tcW w:w="9352" w:type="dxa"/>
          </w:tcPr>
          <w:p w14:paraId="4786F1DF" w14:textId="77777777" w:rsidR="006A4116" w:rsidRPr="00AF1814" w:rsidRDefault="00DA3174" w:rsidP="007970BF">
            <w:pPr>
              <w:pStyle w:val="List1withbullet"/>
            </w:pPr>
            <w:r w:rsidRPr="00AF1814">
              <w:t>The primary mechanism for reporting an SAE to the Sponsor or its designee will be the electronic data collection tool.</w:t>
            </w:r>
          </w:p>
          <w:p w14:paraId="1EF9E350" w14:textId="77777777" w:rsidR="006A4116" w:rsidRPr="00AF1814" w:rsidRDefault="00DA3174" w:rsidP="007970BF">
            <w:pPr>
              <w:pStyle w:val="List1withbullet"/>
            </w:pPr>
            <w:r w:rsidRPr="00AF1814">
              <w:t>If the electronic system is unavailable, then the site will use the paper SAE data collection tool, specified below, to report the event within 24 hours.</w:t>
            </w:r>
          </w:p>
          <w:p w14:paraId="73922BBB" w14:textId="77777777" w:rsidR="006A4116" w:rsidRPr="00AF1814" w:rsidRDefault="00DA3174" w:rsidP="007970BF">
            <w:pPr>
              <w:pStyle w:val="List1withbullet"/>
            </w:pPr>
            <w:r w:rsidRPr="00AF1814">
              <w:t>The site will enter the SAE data into the electronic system as soon as it becomes available.</w:t>
            </w:r>
          </w:p>
          <w:p w14:paraId="49A4A390" w14:textId="77777777" w:rsidR="006A4116" w:rsidRPr="00AF1814" w:rsidRDefault="00DA3174" w:rsidP="007970BF">
            <w:pPr>
              <w:pStyle w:val="List1withbullet"/>
            </w:pPr>
            <w:r w:rsidRPr="00AF1814">
              <w:t>After the study is completed at a site, the electronic data collection tool will be taken off-line to prevent the entry of new data or changes to existing data.</w:t>
            </w:r>
          </w:p>
          <w:p w14:paraId="4C23A441" w14:textId="77777777" w:rsidR="006A4116" w:rsidRPr="00AF1814" w:rsidRDefault="00DA3174" w:rsidP="007970BF">
            <w:pPr>
              <w:pStyle w:val="List1withbullet"/>
            </w:pPr>
            <w:r w:rsidRPr="00AF1814">
              <w:t>If a site receives a report of a new SAE from a study participant or receives updated data on a previously reported SAE after the electronic data collection tool has been taken off-line, then the site can report this information on a paper SAE form or to the Sponsor’s safety department.</w:t>
            </w:r>
          </w:p>
          <w:p w14:paraId="0E611C65" w14:textId="77777777" w:rsidR="006A4116" w:rsidRPr="00AF1814" w:rsidRDefault="00DA3174" w:rsidP="007970BF">
            <w:pPr>
              <w:pStyle w:val="List1withbullet"/>
            </w:pPr>
            <w:r w:rsidRPr="00AF1814">
              <w:t>By exception, an SAE (or follow-up information) may be reported by telephone.  The site will complete the electronic SAE data entry immediately thereafter.</w:t>
            </w:r>
          </w:p>
        </w:tc>
      </w:tr>
      <w:tr w:rsidR="002108B2" w:rsidRPr="00AF1814" w14:paraId="31B6BC1C" w14:textId="77777777" w:rsidTr="007F7F16">
        <w:tc>
          <w:tcPr>
            <w:tcW w:w="9352" w:type="dxa"/>
            <w:shd w:val="clear" w:color="auto" w:fill="EEECE1"/>
          </w:tcPr>
          <w:p w14:paraId="77772AED" w14:textId="77777777" w:rsidR="006A4116" w:rsidRPr="00AF1814" w:rsidRDefault="00DA3174" w:rsidP="007F7F16">
            <w:pPr>
              <w:spacing w:before="60" w:after="60"/>
              <w:jc w:val="left"/>
              <w:rPr>
                <w:b/>
                <w:color w:val="000000"/>
              </w:rPr>
            </w:pPr>
            <w:r w:rsidRPr="00AF1814">
              <w:rPr>
                <w:b/>
                <w:color w:val="000000"/>
              </w:rPr>
              <w:t>SAE Reporting by a Paper Form</w:t>
            </w:r>
          </w:p>
        </w:tc>
      </w:tr>
      <w:tr w:rsidR="002108B2" w:rsidRPr="00AF1814" w14:paraId="4F2C23AA" w14:textId="77777777" w:rsidTr="007F7F16">
        <w:tc>
          <w:tcPr>
            <w:tcW w:w="9352" w:type="dxa"/>
          </w:tcPr>
          <w:p w14:paraId="4A5B5B4F" w14:textId="77777777" w:rsidR="006A4116" w:rsidRPr="00AF1814" w:rsidRDefault="00DA3174" w:rsidP="007970BF">
            <w:pPr>
              <w:pStyle w:val="List1withbullet"/>
            </w:pPr>
            <w:r w:rsidRPr="00AF1814">
              <w:t xml:space="preserve">SAE reporting on a paper report form is used as a back-up method for an </w:t>
            </w:r>
            <w:r w:rsidR="008B2E94" w:rsidRPr="00AF1814">
              <w:t>Electronic Data Capture (</w:t>
            </w:r>
            <w:r w:rsidRPr="00AF1814">
              <w:t>EDC</w:t>
            </w:r>
            <w:r w:rsidR="008B2E94" w:rsidRPr="00AF1814">
              <w:t>)</w:t>
            </w:r>
            <w:r w:rsidRPr="00AF1814">
              <w:t xml:space="preserve"> system failure. The form includes</w:t>
            </w:r>
            <w:r w:rsidRPr="00AF1814">
              <w:rPr>
                <w:color w:val="7030A0"/>
                <w:sz w:val="22"/>
              </w:rPr>
              <w:t xml:space="preserve"> </w:t>
            </w:r>
            <w:r w:rsidRPr="00AF1814">
              <w:t>completion instructions for the Investigator, names, addresses, and telephone and fax numbers. All information from the paper form will be transcribed into the electronic form as soon as the system becomes available.</w:t>
            </w:r>
          </w:p>
          <w:p w14:paraId="2DCAB713" w14:textId="77777777" w:rsidR="006A4116" w:rsidRPr="00AF1814" w:rsidRDefault="00DA3174" w:rsidP="007970BF">
            <w:pPr>
              <w:pStyle w:val="List1withbullet"/>
            </w:pPr>
            <w:r w:rsidRPr="00AF1814">
              <w:t>Facsimile transmission (fax to mail) of the paper form or any follow-up information is the preferred method for transmission and will be done within 24 hours to the Sponsor or its designee.</w:t>
            </w:r>
          </w:p>
          <w:p w14:paraId="54DE116B" w14:textId="77777777" w:rsidR="006A4116" w:rsidRPr="00AF1814" w:rsidRDefault="00DA3174" w:rsidP="007970BF">
            <w:pPr>
              <w:pStyle w:val="List1withbullet"/>
            </w:pPr>
            <w:r w:rsidRPr="00AF1814">
              <w:t>In rare circumstances and in the absence of facsimile equipment, notification by telephone is acceptable with a copy of the form sent by overnight mail or courier service.</w:t>
            </w:r>
          </w:p>
          <w:p w14:paraId="664F1494" w14:textId="77777777" w:rsidR="006A4116" w:rsidRPr="00AF1814" w:rsidRDefault="00DA3174" w:rsidP="007970BF">
            <w:pPr>
              <w:pStyle w:val="List1withbullet"/>
            </w:pPr>
            <w:r w:rsidRPr="00AF1814">
              <w:t>Initial notification via telephone does not replace the need for the Investigator to complete and sign the form</w:t>
            </w:r>
            <w:r w:rsidRPr="00AF1814">
              <w:rPr>
                <w:color w:val="7030A0"/>
                <w:sz w:val="22"/>
              </w:rPr>
              <w:t xml:space="preserve"> </w:t>
            </w:r>
            <w:r w:rsidRPr="00AF1814">
              <w:t>within 24 hours after becoming aware of the event.</w:t>
            </w:r>
          </w:p>
          <w:p w14:paraId="02D56263" w14:textId="77777777" w:rsidR="006A4116" w:rsidRPr="00AF1814" w:rsidRDefault="00DA3174" w:rsidP="007970BF">
            <w:pPr>
              <w:pStyle w:val="List1withbullet"/>
              <w:rPr>
                <w:szCs w:val="24"/>
              </w:rPr>
            </w:pPr>
            <w:r w:rsidRPr="00AF1814">
              <w:t>Additional documents (e.g.</w:t>
            </w:r>
            <w:r w:rsidR="002A3C2E" w:rsidRPr="00AF1814">
              <w:t>,</w:t>
            </w:r>
            <w:r w:rsidRPr="00AF1814">
              <w:t xml:space="preserve"> laboratory reports, autopsy report, hospital discharge letter) and relevant pages from the CRF may be required in addition (e.g.</w:t>
            </w:r>
            <w:r w:rsidR="002A3C2E" w:rsidRPr="00AF1814">
              <w:t>,</w:t>
            </w:r>
            <w:r w:rsidRPr="00AF1814">
              <w:t xml:space="preserve"> medical history, concomitant medication). The data provided will be consistent with the information in the CRF.</w:t>
            </w:r>
          </w:p>
        </w:tc>
      </w:tr>
    </w:tbl>
    <w:p w14:paraId="6B611756" w14:textId="77777777" w:rsidR="006A4116" w:rsidRPr="00AF1814" w:rsidRDefault="00DA3174" w:rsidP="006A4116">
      <w:pPr>
        <w:keepNext/>
        <w:keepLines/>
        <w:spacing w:after="120"/>
        <w:ind w:left="274"/>
        <w:outlineLvl w:val="1"/>
        <w:rPr>
          <w:b/>
          <w:sz w:val="28"/>
        </w:rPr>
      </w:pPr>
      <w:r w:rsidRPr="00AF1814">
        <w:rPr>
          <w:b/>
          <w:sz w:val="28"/>
        </w:rPr>
        <w:lastRenderedPageBreak/>
        <w:t>Recording and Reporting of DLTs</w:t>
      </w:r>
    </w:p>
    <w:tbl>
      <w:tblPr>
        <w:tblW w:w="5000" w:type="pct"/>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2"/>
      </w:tblGrid>
      <w:tr w:rsidR="002108B2" w:rsidRPr="00AF1814" w14:paraId="170B21A1" w14:textId="77777777" w:rsidTr="007F7F16">
        <w:tc>
          <w:tcPr>
            <w:tcW w:w="9352" w:type="dxa"/>
          </w:tcPr>
          <w:p w14:paraId="06C92246" w14:textId="0137AD51" w:rsidR="006A4116" w:rsidRPr="00AF1814" w:rsidRDefault="00DA3174" w:rsidP="007970BF">
            <w:pPr>
              <w:pStyle w:val="List1withbullet"/>
              <w:rPr>
                <w:lang w:val="en-GB"/>
              </w:rPr>
            </w:pPr>
            <w:bookmarkStart w:id="422" w:name="_Hlk21523831"/>
            <w:r w:rsidRPr="00AF1814">
              <w:rPr>
                <w:lang w:val="en-GB"/>
              </w:rPr>
              <w:t xml:space="preserve">Each event that meets the DLT criteria, as </w:t>
            </w:r>
            <w:r w:rsidRPr="00E44F28">
              <w:rPr>
                <w:lang w:val="en-GB"/>
              </w:rPr>
              <w:t xml:space="preserve">specified in Section </w:t>
            </w:r>
            <w:r w:rsidR="003A47A4" w:rsidRPr="00E44F28">
              <w:rPr>
                <w:lang w:val="en-GB"/>
              </w:rPr>
              <w:fldChar w:fldCharType="begin"/>
            </w:r>
            <w:r w:rsidR="003A47A4" w:rsidRPr="00E44F28">
              <w:rPr>
                <w:lang w:val="en-GB"/>
              </w:rPr>
              <w:instrText xml:space="preserve"> REF _Ref28878737 \w \h </w:instrText>
            </w:r>
            <w:r w:rsidR="007970BF" w:rsidRPr="00E44F28">
              <w:rPr>
                <w:lang w:val="en-GB"/>
              </w:rPr>
              <w:instrText xml:space="preserve"> \* MERGEFORMAT </w:instrText>
            </w:r>
            <w:r w:rsidR="003A47A4" w:rsidRPr="00E44F28">
              <w:rPr>
                <w:lang w:val="en-GB"/>
              </w:rPr>
            </w:r>
            <w:r w:rsidR="003A47A4" w:rsidRPr="00E44F28">
              <w:rPr>
                <w:lang w:val="en-GB"/>
              </w:rPr>
              <w:fldChar w:fldCharType="separate"/>
            </w:r>
            <w:r w:rsidR="00C548C3" w:rsidRPr="00E44F28">
              <w:rPr>
                <w:lang w:val="en-GB"/>
              </w:rPr>
              <w:t>6.6.2</w:t>
            </w:r>
            <w:r w:rsidR="003A47A4" w:rsidRPr="00E44F28">
              <w:rPr>
                <w:lang w:val="en-GB"/>
              </w:rPr>
              <w:fldChar w:fldCharType="end"/>
            </w:r>
            <w:r w:rsidRPr="00E44F28">
              <w:rPr>
                <w:lang w:val="en-GB"/>
              </w:rPr>
              <w:t xml:space="preserve">, will </w:t>
            </w:r>
            <w:r w:rsidRPr="00AF1814">
              <w:rPr>
                <w:lang w:val="en-GB"/>
              </w:rPr>
              <w:t>be recorded in the CRF within 24 hours after awareness of the event.</w:t>
            </w:r>
          </w:p>
          <w:p w14:paraId="6D349DC9" w14:textId="77777777" w:rsidR="006A4116" w:rsidRPr="00AF1814" w:rsidRDefault="00DA3174" w:rsidP="007970BF">
            <w:pPr>
              <w:pStyle w:val="List1withbullet"/>
              <w:rPr>
                <w:lang w:val="en-GB"/>
              </w:rPr>
            </w:pPr>
            <w:r w:rsidRPr="00AF1814">
              <w:rPr>
                <w:lang w:val="en-GB"/>
              </w:rPr>
              <w:t>Serious DLTs will be reported in an expedited manner, using the SAE reporting process, as specified above.</w:t>
            </w:r>
          </w:p>
          <w:p w14:paraId="1696175E" w14:textId="77777777" w:rsidR="006A4116" w:rsidRPr="00AF1814" w:rsidRDefault="00DA3174" w:rsidP="007970BF">
            <w:pPr>
              <w:pStyle w:val="List1withbullet"/>
              <w:rPr>
                <w:rFonts w:ascii="Arial" w:hAnsi="Arial" w:cs="Arial"/>
                <w:szCs w:val="22"/>
              </w:rPr>
            </w:pPr>
            <w:r w:rsidRPr="00AF1814">
              <w:t>Notification of each DLT related event (non-serious and serious) will be reported to the Sponsor or its designee within 24 hours from the date of awareness.</w:t>
            </w:r>
          </w:p>
        </w:tc>
      </w:tr>
    </w:tbl>
    <w:p w14:paraId="2115E4F9" w14:textId="77777777" w:rsidR="006A4116" w:rsidRPr="00AF1814" w:rsidRDefault="00DA3174" w:rsidP="006A4116">
      <w:pPr>
        <w:keepNext/>
        <w:keepLines/>
        <w:spacing w:after="120"/>
        <w:ind w:left="274"/>
        <w:outlineLvl w:val="1"/>
        <w:rPr>
          <w:b/>
          <w:sz w:val="28"/>
        </w:rPr>
      </w:pPr>
      <w:bookmarkStart w:id="423" w:name="_Hlk21514541"/>
      <w:bookmarkEnd w:id="422"/>
      <w:r w:rsidRPr="00AF1814">
        <w:rPr>
          <w:b/>
          <w:sz w:val="28"/>
        </w:rPr>
        <w:t>Reporting of AESIs</w:t>
      </w:r>
    </w:p>
    <w:tbl>
      <w:tblPr>
        <w:tblW w:w="5000" w:type="pct"/>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2"/>
      </w:tblGrid>
      <w:tr w:rsidR="002108B2" w:rsidRPr="00AF1814" w14:paraId="29F56A9E" w14:textId="77777777" w:rsidTr="007F7F16">
        <w:tc>
          <w:tcPr>
            <w:tcW w:w="9352" w:type="dxa"/>
          </w:tcPr>
          <w:p w14:paraId="5FFDE2DF" w14:textId="77777777" w:rsidR="006A4116" w:rsidRPr="00AF1814" w:rsidRDefault="00DA3174" w:rsidP="00BC4BC4">
            <w:pPr>
              <w:pStyle w:val="BodyText"/>
              <w:rPr>
                <w:rFonts w:ascii="Arial" w:hAnsi="Arial" w:cs="Arial"/>
              </w:rPr>
            </w:pPr>
            <w:r w:rsidRPr="00AF1814">
              <w:rPr>
                <w:lang w:eastAsia="de-DE"/>
              </w:rPr>
              <w:t>Not applicable.</w:t>
            </w:r>
          </w:p>
        </w:tc>
      </w:tr>
    </w:tbl>
    <w:bookmarkEnd w:id="423"/>
    <w:p w14:paraId="4707EE90" w14:textId="77777777" w:rsidR="006A4116" w:rsidRPr="00AF1814" w:rsidRDefault="00DA3174" w:rsidP="006A4116">
      <w:pPr>
        <w:keepNext/>
        <w:keepLines/>
        <w:spacing w:after="120"/>
        <w:ind w:left="274"/>
        <w:outlineLvl w:val="1"/>
        <w:rPr>
          <w:b/>
          <w:sz w:val="28"/>
        </w:rPr>
      </w:pPr>
      <w:r w:rsidRPr="00AF1814">
        <w:rPr>
          <w:b/>
          <w:sz w:val="28"/>
        </w:rPr>
        <w:t>Reporting of Pregnancies</w:t>
      </w:r>
    </w:p>
    <w:tbl>
      <w:tblPr>
        <w:tblW w:w="5000" w:type="pct"/>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2"/>
      </w:tblGrid>
      <w:tr w:rsidR="002108B2" w:rsidRPr="00AF1814" w14:paraId="200FE523" w14:textId="77777777" w:rsidTr="007F7F16">
        <w:tc>
          <w:tcPr>
            <w:tcW w:w="9352" w:type="dxa"/>
          </w:tcPr>
          <w:p w14:paraId="1657E8E0" w14:textId="77777777" w:rsidR="006A4116" w:rsidRPr="00AF1814" w:rsidRDefault="00DA3174" w:rsidP="00BC4BC4">
            <w:pPr>
              <w:pStyle w:val="List1withbullet"/>
              <w:rPr>
                <w:szCs w:val="22"/>
              </w:rPr>
            </w:pPr>
            <w:r w:rsidRPr="00AF1814">
              <w:t>Pregnancy will be reported whether related to the study intervention using the applicable paper form.</w:t>
            </w:r>
          </w:p>
          <w:p w14:paraId="458D95B1" w14:textId="77777777" w:rsidR="006A4116" w:rsidRPr="00AF1814" w:rsidRDefault="00DA3174" w:rsidP="00BC4BC4">
            <w:pPr>
              <w:pStyle w:val="List1withbullet"/>
            </w:pPr>
            <w:r w:rsidRPr="00AF1814">
              <w:t>The applicable form will be used to report if an abnormal outcome of the pregnancy occurs and the child/fetus sustains an event.</w:t>
            </w:r>
            <w:bookmarkStart w:id="424" w:name="_Hlk21524941"/>
          </w:p>
          <w:bookmarkEnd w:id="424"/>
          <w:p w14:paraId="63B4899B" w14:textId="77777777" w:rsidR="006A4116" w:rsidRPr="00AF1814" w:rsidRDefault="00DA3174" w:rsidP="00BC4BC4">
            <w:pPr>
              <w:pStyle w:val="List1withbullet"/>
            </w:pPr>
            <w:r w:rsidRPr="00AF1814">
              <w:t>Facsimile transmission (fax to mail) of the paper form or any follow-up information is the preferred method for transmission and will be done within 24 hours to the Sponsor or its designee.</w:t>
            </w:r>
          </w:p>
        </w:tc>
      </w:tr>
    </w:tbl>
    <w:p w14:paraId="1CD643C9" w14:textId="77777777" w:rsidR="006A4116" w:rsidRPr="00AF1814" w:rsidRDefault="006A4116" w:rsidP="006A4116">
      <w:pPr>
        <w:pStyle w:val="BodyText"/>
      </w:pPr>
    </w:p>
    <w:p w14:paraId="62F34837" w14:textId="77777777" w:rsidR="00317FCA" w:rsidRPr="00AF1814" w:rsidRDefault="00317FCA" w:rsidP="00317FCA">
      <w:pPr>
        <w:pStyle w:val="BodyText"/>
      </w:pPr>
      <w:bookmarkStart w:id="425" w:name="_Appendix_5_Liver"/>
      <w:bookmarkStart w:id="426" w:name="_Appendix_5_The"/>
      <w:bookmarkEnd w:id="425"/>
      <w:bookmarkEnd w:id="426"/>
    </w:p>
    <w:p w14:paraId="2A2649C9" w14:textId="77777777" w:rsidR="00317FCA" w:rsidRPr="00AF1814" w:rsidRDefault="00317FCA" w:rsidP="000A2366">
      <w:pPr>
        <w:pStyle w:val="BodyText"/>
      </w:pPr>
    </w:p>
    <w:p w14:paraId="19E97BC3" w14:textId="77777777" w:rsidR="005971DC" w:rsidRPr="00AF1814" w:rsidRDefault="00DA3174" w:rsidP="00A44A6B">
      <w:pPr>
        <w:pStyle w:val="Heading1"/>
        <w:pageBreakBefore/>
        <w:numPr>
          <w:ilvl w:val="0"/>
          <w:numId w:val="0"/>
        </w:numPr>
        <w:tabs>
          <w:tab w:val="left" w:pos="1985"/>
        </w:tabs>
      </w:pPr>
      <w:bookmarkStart w:id="427" w:name="_Appendix_6_Clinical"/>
      <w:bookmarkStart w:id="428" w:name="_Appendix_5_Clinical"/>
      <w:bookmarkStart w:id="429" w:name="_Toc44601738"/>
      <w:bookmarkEnd w:id="427"/>
      <w:bookmarkEnd w:id="428"/>
      <w:r w:rsidRPr="00AF1814">
        <w:lastRenderedPageBreak/>
        <w:t xml:space="preserve">Appendix </w:t>
      </w:r>
      <w:r w:rsidR="00E50719" w:rsidRPr="00AF1814">
        <w:t>5</w:t>
      </w:r>
      <w:r w:rsidRPr="00AF1814">
        <w:tab/>
        <w:t>Clinical Laboratory Tests</w:t>
      </w:r>
      <w:bookmarkEnd w:id="429"/>
    </w:p>
    <w:p w14:paraId="2D3DB637" w14:textId="5AF13848" w:rsidR="005971DC" w:rsidRPr="00AF1814" w:rsidRDefault="00DA3174" w:rsidP="00C36C5D">
      <w:pPr>
        <w:pStyle w:val="Caption"/>
      </w:pPr>
      <w:bookmarkStart w:id="430" w:name="_Toc44601760"/>
      <w:r w:rsidRPr="00AF1814">
        <w:t xml:space="preserve">Table </w:t>
      </w:r>
      <w:r w:rsidR="0093258F" w:rsidRPr="00AF1814">
        <w:fldChar w:fldCharType="begin"/>
      </w:r>
      <w:r w:rsidR="0093258F" w:rsidRPr="00AF1814">
        <w:instrText xml:space="preserve"> SEQ Table \* ARABIC </w:instrText>
      </w:r>
      <w:r w:rsidR="0093258F" w:rsidRPr="00AF1814">
        <w:fldChar w:fldCharType="separate"/>
      </w:r>
      <w:r w:rsidR="00C548C3">
        <w:rPr>
          <w:noProof/>
        </w:rPr>
        <w:t>16</w:t>
      </w:r>
      <w:r w:rsidR="0093258F" w:rsidRPr="00AF1814">
        <w:fldChar w:fldCharType="end"/>
      </w:r>
      <w:r w:rsidRPr="00AF1814">
        <w:tab/>
        <w:t>Protocol-Required Clinical Laboratory Assessments</w:t>
      </w:r>
      <w:bookmarkEnd w:id="430"/>
    </w:p>
    <w:tbl>
      <w:tblPr>
        <w:tblW w:w="93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347"/>
        <w:gridCol w:w="1466"/>
        <w:gridCol w:w="2325"/>
        <w:gridCol w:w="2326"/>
      </w:tblGrid>
      <w:tr w:rsidR="002108B2" w:rsidRPr="00AF1814" w14:paraId="498004FA" w14:textId="77777777" w:rsidTr="00525373">
        <w:trPr>
          <w:tblHeader/>
        </w:trPr>
        <w:tc>
          <w:tcPr>
            <w:tcW w:w="1893" w:type="dxa"/>
            <w:shd w:val="clear" w:color="auto" w:fill="auto"/>
          </w:tcPr>
          <w:p w14:paraId="338435AC" w14:textId="77777777" w:rsidR="00C36C5D" w:rsidRPr="00AF1814" w:rsidRDefault="00DA3174" w:rsidP="00525373">
            <w:pPr>
              <w:pStyle w:val="Tableheading"/>
              <w:keepNext w:val="0"/>
              <w:keepLines w:val="0"/>
              <w:suppressAutoHyphens/>
            </w:pPr>
            <w:r w:rsidRPr="00AF1814">
              <w:t>Laboratory Assessments</w:t>
            </w:r>
          </w:p>
        </w:tc>
        <w:tc>
          <w:tcPr>
            <w:tcW w:w="7464" w:type="dxa"/>
            <w:gridSpan w:val="4"/>
            <w:shd w:val="clear" w:color="auto" w:fill="auto"/>
          </w:tcPr>
          <w:p w14:paraId="720BCB38" w14:textId="77777777" w:rsidR="00C36C5D" w:rsidRPr="00AF1814" w:rsidRDefault="00DA3174" w:rsidP="00525373">
            <w:pPr>
              <w:pStyle w:val="Tableheading"/>
              <w:keepNext w:val="0"/>
              <w:keepLines w:val="0"/>
              <w:suppressAutoHyphens/>
            </w:pPr>
            <w:r w:rsidRPr="00AF1814">
              <w:t>Parameters</w:t>
            </w:r>
          </w:p>
        </w:tc>
      </w:tr>
      <w:tr w:rsidR="002108B2" w:rsidRPr="00AF1814" w14:paraId="03B96C8C" w14:textId="77777777" w:rsidTr="00525373">
        <w:tc>
          <w:tcPr>
            <w:tcW w:w="1893" w:type="dxa"/>
            <w:vMerge w:val="restart"/>
          </w:tcPr>
          <w:p w14:paraId="4F4BB85F" w14:textId="77777777" w:rsidR="00C36C5D" w:rsidRPr="00AF1814" w:rsidRDefault="00DA3174" w:rsidP="00525373">
            <w:pPr>
              <w:pStyle w:val="Tabletext"/>
              <w:keepLines w:val="0"/>
              <w:suppressAutoHyphens/>
            </w:pPr>
            <w:r w:rsidRPr="00AF1814">
              <w:t>Hematology</w:t>
            </w:r>
          </w:p>
        </w:tc>
        <w:tc>
          <w:tcPr>
            <w:tcW w:w="2813" w:type="dxa"/>
            <w:gridSpan w:val="2"/>
          </w:tcPr>
          <w:p w14:paraId="26ECEE47" w14:textId="77777777" w:rsidR="00C36C5D" w:rsidRPr="00AF1814" w:rsidRDefault="00DA3174" w:rsidP="00525373">
            <w:pPr>
              <w:pStyle w:val="Tabletext"/>
              <w:keepLines w:val="0"/>
              <w:suppressAutoHyphens/>
            </w:pPr>
            <w:r w:rsidRPr="00AF1814">
              <w:t>Platelet count</w:t>
            </w:r>
            <w:r w:rsidRPr="00AF1814">
              <w:rPr>
                <w:vertAlign w:val="superscript"/>
              </w:rPr>
              <w:t>d</w:t>
            </w:r>
          </w:p>
        </w:tc>
        <w:tc>
          <w:tcPr>
            <w:tcW w:w="2325" w:type="dxa"/>
          </w:tcPr>
          <w:p w14:paraId="6A7DE47F" w14:textId="77777777" w:rsidR="00C36C5D" w:rsidRPr="00AF1814" w:rsidRDefault="00DA3174" w:rsidP="00525373">
            <w:pPr>
              <w:pStyle w:val="Tablelist"/>
              <w:keepLines w:val="0"/>
              <w:numPr>
                <w:ilvl w:val="0"/>
                <w:numId w:val="0"/>
              </w:numPr>
              <w:suppressAutoHyphens/>
            </w:pPr>
            <w:r w:rsidRPr="00AF1814">
              <w:t>Mean Corpuscular Volume (MCV)</w:t>
            </w:r>
          </w:p>
        </w:tc>
        <w:tc>
          <w:tcPr>
            <w:tcW w:w="2326" w:type="dxa"/>
            <w:vMerge w:val="restart"/>
          </w:tcPr>
          <w:p w14:paraId="7AB3B9A5" w14:textId="77777777" w:rsidR="00C36C5D" w:rsidRPr="00AF1814" w:rsidRDefault="00DA3174" w:rsidP="00525373">
            <w:pPr>
              <w:pStyle w:val="Tabletext"/>
              <w:keepLines w:val="0"/>
              <w:suppressAutoHyphens/>
            </w:pPr>
            <w:r w:rsidRPr="00AF1814">
              <w:t>White blood cell (WBC) Count with Differential</w:t>
            </w:r>
            <w:r w:rsidRPr="00AF1814">
              <w:rPr>
                <w:vertAlign w:val="superscript"/>
              </w:rPr>
              <w:t>d</w:t>
            </w:r>
            <w:r w:rsidRPr="00AF1814">
              <w:t>:</w:t>
            </w:r>
          </w:p>
          <w:p w14:paraId="5BE5E327" w14:textId="77777777" w:rsidR="00C36C5D" w:rsidRPr="00AF1814" w:rsidRDefault="00DA3174" w:rsidP="00525373">
            <w:pPr>
              <w:pStyle w:val="Tablelist"/>
              <w:keepLines w:val="0"/>
              <w:suppressAutoHyphens/>
            </w:pPr>
            <w:r w:rsidRPr="00AF1814">
              <w:t>Neutrophils</w:t>
            </w:r>
          </w:p>
          <w:p w14:paraId="1D4844E2" w14:textId="77777777" w:rsidR="00C36C5D" w:rsidRPr="00AF1814" w:rsidRDefault="00DA3174" w:rsidP="00525373">
            <w:pPr>
              <w:pStyle w:val="Tablelist"/>
              <w:keepLines w:val="0"/>
              <w:suppressAutoHyphens/>
            </w:pPr>
            <w:r w:rsidRPr="00AF1814">
              <w:t>Lymphocytes</w:t>
            </w:r>
          </w:p>
          <w:p w14:paraId="78875349" w14:textId="77777777" w:rsidR="00C36C5D" w:rsidRPr="00AF1814" w:rsidRDefault="00DA3174" w:rsidP="00525373">
            <w:pPr>
              <w:pStyle w:val="Tablelist"/>
              <w:keepLines w:val="0"/>
              <w:suppressAutoHyphens/>
            </w:pPr>
            <w:r w:rsidRPr="00AF1814">
              <w:t>Monocytes</w:t>
            </w:r>
          </w:p>
          <w:p w14:paraId="7A9318C5" w14:textId="77777777" w:rsidR="00C36C5D" w:rsidRPr="00AF1814" w:rsidRDefault="00DA3174" w:rsidP="00525373">
            <w:pPr>
              <w:pStyle w:val="Tablelist"/>
              <w:keepLines w:val="0"/>
              <w:suppressAutoHyphens/>
            </w:pPr>
            <w:r w:rsidRPr="00AF1814">
              <w:t>Eosinophils</w:t>
            </w:r>
          </w:p>
          <w:p w14:paraId="782A2424" w14:textId="77777777" w:rsidR="00C36C5D" w:rsidRPr="00AF1814" w:rsidRDefault="00DA3174" w:rsidP="00525373">
            <w:pPr>
              <w:pStyle w:val="Tablelist"/>
              <w:keepLines w:val="0"/>
              <w:suppressAutoHyphens/>
            </w:pPr>
            <w:r w:rsidRPr="00AF1814">
              <w:t>Basophils</w:t>
            </w:r>
          </w:p>
        </w:tc>
      </w:tr>
      <w:tr w:rsidR="002108B2" w:rsidRPr="00AF1814" w14:paraId="2ECA85F0" w14:textId="77777777" w:rsidTr="00525373">
        <w:tc>
          <w:tcPr>
            <w:tcW w:w="1893" w:type="dxa"/>
            <w:vMerge/>
          </w:tcPr>
          <w:p w14:paraId="7B85E6E3" w14:textId="77777777" w:rsidR="00C36C5D" w:rsidRPr="00AF1814" w:rsidRDefault="00C36C5D" w:rsidP="00525373">
            <w:pPr>
              <w:pStyle w:val="Tabletext"/>
              <w:keepLines w:val="0"/>
              <w:suppressAutoHyphens/>
            </w:pPr>
          </w:p>
        </w:tc>
        <w:tc>
          <w:tcPr>
            <w:tcW w:w="2813" w:type="dxa"/>
            <w:gridSpan w:val="2"/>
          </w:tcPr>
          <w:p w14:paraId="5AF77CDD" w14:textId="77777777" w:rsidR="00C36C5D" w:rsidRPr="00AF1814" w:rsidRDefault="00DA3174" w:rsidP="00525373">
            <w:pPr>
              <w:pStyle w:val="Tabletext"/>
              <w:keepLines w:val="0"/>
              <w:suppressAutoHyphens/>
            </w:pPr>
            <w:r w:rsidRPr="00AF1814">
              <w:t>Reticulocytes (%)</w:t>
            </w:r>
          </w:p>
        </w:tc>
        <w:tc>
          <w:tcPr>
            <w:tcW w:w="2325" w:type="dxa"/>
          </w:tcPr>
          <w:p w14:paraId="637E016D" w14:textId="77777777" w:rsidR="00C36C5D" w:rsidRPr="00AF1814" w:rsidRDefault="00DA3174" w:rsidP="00525373">
            <w:pPr>
              <w:pStyle w:val="Tabletext"/>
              <w:keepLines w:val="0"/>
              <w:suppressAutoHyphens/>
            </w:pPr>
            <w:r w:rsidRPr="00AF1814">
              <w:t>Mean corpuscular hemoglobin concentration (MCHC)</w:t>
            </w:r>
          </w:p>
        </w:tc>
        <w:tc>
          <w:tcPr>
            <w:tcW w:w="2326" w:type="dxa"/>
            <w:vMerge/>
          </w:tcPr>
          <w:p w14:paraId="740995F3" w14:textId="77777777" w:rsidR="00C36C5D" w:rsidRPr="00AF1814" w:rsidRDefault="00C36C5D" w:rsidP="00525373">
            <w:pPr>
              <w:pStyle w:val="Tabletext"/>
              <w:keepLines w:val="0"/>
              <w:suppressAutoHyphens/>
            </w:pPr>
          </w:p>
        </w:tc>
      </w:tr>
      <w:tr w:rsidR="002108B2" w:rsidRPr="00AF1814" w14:paraId="0EF8EA2C" w14:textId="77777777" w:rsidTr="00525373">
        <w:tc>
          <w:tcPr>
            <w:tcW w:w="1893" w:type="dxa"/>
            <w:vMerge/>
          </w:tcPr>
          <w:p w14:paraId="2A810901" w14:textId="77777777" w:rsidR="00C36C5D" w:rsidRPr="00AF1814" w:rsidRDefault="00C36C5D" w:rsidP="00525373">
            <w:pPr>
              <w:pStyle w:val="Tabletext"/>
              <w:keepLines w:val="0"/>
              <w:suppressAutoHyphens/>
            </w:pPr>
          </w:p>
        </w:tc>
        <w:tc>
          <w:tcPr>
            <w:tcW w:w="2813" w:type="dxa"/>
            <w:gridSpan w:val="2"/>
          </w:tcPr>
          <w:p w14:paraId="33432369" w14:textId="77777777" w:rsidR="00C36C5D" w:rsidRPr="00AF1814" w:rsidRDefault="00DA3174" w:rsidP="00525373">
            <w:pPr>
              <w:pStyle w:val="Tabletext"/>
              <w:keepLines w:val="0"/>
              <w:suppressAutoHyphens/>
            </w:pPr>
            <w:r w:rsidRPr="00AF1814">
              <w:t>Hemoglobin</w:t>
            </w:r>
            <w:r w:rsidRPr="00AF1814">
              <w:rPr>
                <w:vertAlign w:val="superscript"/>
              </w:rPr>
              <w:t>d</w:t>
            </w:r>
          </w:p>
        </w:tc>
        <w:tc>
          <w:tcPr>
            <w:tcW w:w="2325" w:type="dxa"/>
          </w:tcPr>
          <w:p w14:paraId="31B247E4" w14:textId="77777777" w:rsidR="00C36C5D" w:rsidRPr="00AF1814" w:rsidRDefault="00DA3174" w:rsidP="00525373">
            <w:pPr>
              <w:pStyle w:val="Tabletext"/>
              <w:keepLines w:val="0"/>
              <w:suppressAutoHyphens/>
            </w:pPr>
            <w:r w:rsidRPr="00AF1814">
              <w:t>Mean corpuscular</w:t>
            </w:r>
            <w:r w:rsidRPr="00AF1814">
              <w:rPr>
                <w:spacing w:val="-2"/>
              </w:rPr>
              <w:t xml:space="preserve"> </w:t>
            </w:r>
            <w:r w:rsidRPr="00AF1814">
              <w:t>hemoglobin (MCH)</w:t>
            </w:r>
          </w:p>
        </w:tc>
        <w:tc>
          <w:tcPr>
            <w:tcW w:w="2326" w:type="dxa"/>
            <w:vMerge/>
          </w:tcPr>
          <w:p w14:paraId="1F7CBA04" w14:textId="77777777" w:rsidR="00C36C5D" w:rsidRPr="00AF1814" w:rsidRDefault="00C36C5D" w:rsidP="00525373">
            <w:pPr>
              <w:pStyle w:val="Tabletext"/>
              <w:keepLines w:val="0"/>
              <w:suppressAutoHyphens/>
            </w:pPr>
          </w:p>
        </w:tc>
      </w:tr>
      <w:tr w:rsidR="002108B2" w:rsidRPr="00AF1814" w14:paraId="4B6EBD32" w14:textId="77777777" w:rsidTr="00525373">
        <w:trPr>
          <w:trHeight w:val="336"/>
        </w:trPr>
        <w:tc>
          <w:tcPr>
            <w:tcW w:w="1893" w:type="dxa"/>
            <w:vMerge/>
          </w:tcPr>
          <w:p w14:paraId="7E3C4EBB" w14:textId="77777777" w:rsidR="00C36C5D" w:rsidRPr="00AF1814" w:rsidRDefault="00C36C5D" w:rsidP="00525373">
            <w:pPr>
              <w:pStyle w:val="Tabletext"/>
              <w:keepLines w:val="0"/>
              <w:suppressAutoHyphens/>
            </w:pPr>
          </w:p>
        </w:tc>
        <w:tc>
          <w:tcPr>
            <w:tcW w:w="2813" w:type="dxa"/>
            <w:gridSpan w:val="2"/>
          </w:tcPr>
          <w:p w14:paraId="6AA55757" w14:textId="77777777" w:rsidR="00C36C5D" w:rsidRPr="00AF1814" w:rsidRDefault="00DA3174" w:rsidP="00525373">
            <w:pPr>
              <w:pStyle w:val="Tabletext"/>
              <w:keepLines w:val="0"/>
              <w:suppressAutoHyphens/>
            </w:pPr>
            <w:r w:rsidRPr="00AF1814">
              <w:t>Hematocrit</w:t>
            </w:r>
          </w:p>
        </w:tc>
        <w:tc>
          <w:tcPr>
            <w:tcW w:w="2325" w:type="dxa"/>
          </w:tcPr>
          <w:p w14:paraId="641484BD" w14:textId="77777777" w:rsidR="00C36C5D" w:rsidRPr="00AF1814" w:rsidRDefault="00DA3174" w:rsidP="00525373">
            <w:pPr>
              <w:pStyle w:val="Tabletext"/>
              <w:keepLines w:val="0"/>
              <w:suppressAutoHyphens/>
            </w:pPr>
            <w:r w:rsidRPr="00AF1814">
              <w:t>Activated partial thromboplastin</w:t>
            </w:r>
            <w:r w:rsidRPr="00AF1814">
              <w:rPr>
                <w:spacing w:val="-6"/>
              </w:rPr>
              <w:t xml:space="preserve"> </w:t>
            </w:r>
            <w:r w:rsidRPr="00AF1814">
              <w:t>time (aPTT)</w:t>
            </w:r>
            <w:r w:rsidRPr="00AF1814">
              <w:rPr>
                <w:sz w:val="20"/>
                <w:vertAlign w:val="superscript"/>
              </w:rPr>
              <w:t>a</w:t>
            </w:r>
          </w:p>
        </w:tc>
        <w:tc>
          <w:tcPr>
            <w:tcW w:w="2326" w:type="dxa"/>
            <w:vMerge/>
          </w:tcPr>
          <w:p w14:paraId="0235223A" w14:textId="77777777" w:rsidR="00C36C5D" w:rsidRPr="00AF1814" w:rsidRDefault="00C36C5D" w:rsidP="00525373">
            <w:pPr>
              <w:pStyle w:val="Tabletext"/>
              <w:keepLines w:val="0"/>
              <w:suppressAutoHyphens/>
            </w:pPr>
          </w:p>
        </w:tc>
      </w:tr>
      <w:tr w:rsidR="002108B2" w:rsidRPr="00AF1814" w14:paraId="4FDC5A33" w14:textId="77777777" w:rsidTr="00525373">
        <w:trPr>
          <w:trHeight w:val="300"/>
        </w:trPr>
        <w:tc>
          <w:tcPr>
            <w:tcW w:w="1893" w:type="dxa"/>
            <w:vMerge/>
          </w:tcPr>
          <w:p w14:paraId="725D14DC" w14:textId="77777777" w:rsidR="00C36C5D" w:rsidRPr="00AF1814" w:rsidRDefault="00C36C5D" w:rsidP="00525373">
            <w:pPr>
              <w:pStyle w:val="Tabletext"/>
              <w:keepLines w:val="0"/>
              <w:suppressAutoHyphens/>
            </w:pPr>
          </w:p>
        </w:tc>
        <w:tc>
          <w:tcPr>
            <w:tcW w:w="2813" w:type="dxa"/>
            <w:gridSpan w:val="2"/>
          </w:tcPr>
          <w:p w14:paraId="77F629C4" w14:textId="77777777" w:rsidR="00C36C5D" w:rsidRPr="00AF1814" w:rsidRDefault="00DA3174" w:rsidP="00525373">
            <w:pPr>
              <w:pStyle w:val="Tabletext"/>
              <w:keepLines w:val="0"/>
              <w:suppressAutoHyphens/>
            </w:pPr>
            <w:r w:rsidRPr="00AF1814">
              <w:t>Red blood cell count</w:t>
            </w:r>
            <w:r w:rsidRPr="00AF1814">
              <w:rPr>
                <w:vertAlign w:val="superscript"/>
              </w:rPr>
              <w:t>d</w:t>
            </w:r>
          </w:p>
        </w:tc>
        <w:tc>
          <w:tcPr>
            <w:tcW w:w="2325" w:type="dxa"/>
          </w:tcPr>
          <w:p w14:paraId="39AD2922" w14:textId="77777777" w:rsidR="00C36C5D" w:rsidRPr="00AF1814" w:rsidRDefault="00DA3174" w:rsidP="00525373">
            <w:pPr>
              <w:pStyle w:val="Tabletext"/>
              <w:keepLines w:val="0"/>
              <w:suppressAutoHyphens/>
            </w:pPr>
            <w:r w:rsidRPr="00AF1814">
              <w:t>Prothrombin time</w:t>
            </w:r>
            <w:r w:rsidRPr="00AF1814">
              <w:rPr>
                <w:sz w:val="20"/>
                <w:vertAlign w:val="superscript"/>
              </w:rPr>
              <w:t>a</w:t>
            </w:r>
          </w:p>
        </w:tc>
        <w:tc>
          <w:tcPr>
            <w:tcW w:w="2326" w:type="dxa"/>
            <w:vMerge/>
          </w:tcPr>
          <w:p w14:paraId="430FCA9A" w14:textId="77777777" w:rsidR="00C36C5D" w:rsidRPr="00AF1814" w:rsidRDefault="00C36C5D" w:rsidP="00525373">
            <w:pPr>
              <w:pStyle w:val="Tabletext"/>
              <w:keepLines w:val="0"/>
              <w:suppressAutoHyphens/>
            </w:pPr>
          </w:p>
        </w:tc>
      </w:tr>
      <w:tr w:rsidR="002108B2" w:rsidRPr="00AF1814" w14:paraId="2A0DC23C" w14:textId="77777777" w:rsidTr="00525373">
        <w:trPr>
          <w:trHeight w:val="252"/>
        </w:trPr>
        <w:tc>
          <w:tcPr>
            <w:tcW w:w="1893" w:type="dxa"/>
            <w:vMerge/>
          </w:tcPr>
          <w:p w14:paraId="537D31B7" w14:textId="77777777" w:rsidR="00C36C5D" w:rsidRPr="00AF1814" w:rsidRDefault="00C36C5D" w:rsidP="00525373">
            <w:pPr>
              <w:pStyle w:val="Tabletext"/>
              <w:keepLines w:val="0"/>
              <w:suppressAutoHyphens/>
            </w:pPr>
          </w:p>
        </w:tc>
        <w:tc>
          <w:tcPr>
            <w:tcW w:w="2813" w:type="dxa"/>
            <w:gridSpan w:val="2"/>
          </w:tcPr>
          <w:p w14:paraId="04E9157F" w14:textId="77777777" w:rsidR="00C36C5D" w:rsidRPr="00AF1814" w:rsidRDefault="00DA3174" w:rsidP="00525373">
            <w:pPr>
              <w:pStyle w:val="Tabletext"/>
              <w:keepLines w:val="0"/>
              <w:suppressAutoHyphens/>
            </w:pPr>
            <w:r w:rsidRPr="00AF1814">
              <w:t>Absolute lymphocyte count</w:t>
            </w:r>
            <w:r w:rsidRPr="00AF1814">
              <w:rPr>
                <w:vertAlign w:val="superscript"/>
              </w:rPr>
              <w:t>d</w:t>
            </w:r>
          </w:p>
        </w:tc>
        <w:tc>
          <w:tcPr>
            <w:tcW w:w="2325" w:type="dxa"/>
          </w:tcPr>
          <w:p w14:paraId="7CEA5EB5" w14:textId="77777777" w:rsidR="00C36C5D" w:rsidRPr="00AF1814" w:rsidRDefault="00DA3174" w:rsidP="00525373">
            <w:pPr>
              <w:pStyle w:val="Tabletext"/>
              <w:keepLines w:val="0"/>
              <w:suppressAutoHyphens/>
            </w:pPr>
            <w:r w:rsidRPr="00AF1814">
              <w:t>International</w:t>
            </w:r>
            <w:r w:rsidRPr="00AF1814">
              <w:rPr>
                <w:spacing w:val="-9"/>
              </w:rPr>
              <w:t xml:space="preserve"> </w:t>
            </w:r>
            <w:r w:rsidRPr="00AF1814">
              <w:t>normalized</w:t>
            </w:r>
            <w:r w:rsidRPr="00AF1814">
              <w:rPr>
                <w:spacing w:val="-9"/>
              </w:rPr>
              <w:t xml:space="preserve"> </w:t>
            </w:r>
            <w:r w:rsidRPr="00AF1814">
              <w:t>ratio (INR)</w:t>
            </w:r>
            <w:r w:rsidRPr="00AF1814">
              <w:rPr>
                <w:sz w:val="20"/>
                <w:vertAlign w:val="superscript"/>
              </w:rPr>
              <w:t>a</w:t>
            </w:r>
          </w:p>
        </w:tc>
        <w:tc>
          <w:tcPr>
            <w:tcW w:w="2326" w:type="dxa"/>
            <w:vMerge/>
          </w:tcPr>
          <w:p w14:paraId="46404116" w14:textId="77777777" w:rsidR="00C36C5D" w:rsidRPr="00AF1814" w:rsidRDefault="00C36C5D" w:rsidP="00525373">
            <w:pPr>
              <w:pStyle w:val="Tabletext"/>
              <w:keepLines w:val="0"/>
              <w:suppressAutoHyphens/>
            </w:pPr>
          </w:p>
        </w:tc>
      </w:tr>
      <w:tr w:rsidR="002108B2" w:rsidRPr="00AF1814" w14:paraId="140812D7" w14:textId="77777777" w:rsidTr="00525373">
        <w:trPr>
          <w:trHeight w:val="252"/>
        </w:trPr>
        <w:tc>
          <w:tcPr>
            <w:tcW w:w="1893" w:type="dxa"/>
            <w:vMerge/>
            <w:tcBorders>
              <w:bottom w:val="single" w:sz="4" w:space="0" w:color="auto"/>
            </w:tcBorders>
          </w:tcPr>
          <w:p w14:paraId="6CE13815" w14:textId="77777777" w:rsidR="00C36C5D" w:rsidRPr="00AF1814" w:rsidRDefault="00C36C5D" w:rsidP="00525373">
            <w:pPr>
              <w:pStyle w:val="Tabletext"/>
              <w:keepLines w:val="0"/>
              <w:suppressAutoHyphens/>
            </w:pPr>
          </w:p>
        </w:tc>
        <w:tc>
          <w:tcPr>
            <w:tcW w:w="2813" w:type="dxa"/>
            <w:gridSpan w:val="2"/>
          </w:tcPr>
          <w:p w14:paraId="173177FD" w14:textId="77777777" w:rsidR="00C36C5D" w:rsidRPr="00AF1814" w:rsidRDefault="00DA3174" w:rsidP="00525373">
            <w:pPr>
              <w:pStyle w:val="Tabletext"/>
              <w:keepLines w:val="0"/>
              <w:suppressAutoHyphens/>
            </w:pPr>
            <w:r w:rsidRPr="00AF1814">
              <w:t>Absolute neutrophil count</w:t>
            </w:r>
            <w:r w:rsidRPr="00AF1814">
              <w:rPr>
                <w:vertAlign w:val="superscript"/>
              </w:rPr>
              <w:t>d</w:t>
            </w:r>
          </w:p>
        </w:tc>
        <w:tc>
          <w:tcPr>
            <w:tcW w:w="2325" w:type="dxa"/>
          </w:tcPr>
          <w:p w14:paraId="5FD4F036" w14:textId="77777777" w:rsidR="00C36C5D" w:rsidRPr="00AF1814" w:rsidRDefault="00C36C5D" w:rsidP="00525373">
            <w:pPr>
              <w:pStyle w:val="Tabletext"/>
              <w:keepLines w:val="0"/>
              <w:suppressAutoHyphens/>
            </w:pPr>
          </w:p>
        </w:tc>
        <w:tc>
          <w:tcPr>
            <w:tcW w:w="2326" w:type="dxa"/>
          </w:tcPr>
          <w:p w14:paraId="07103684" w14:textId="77777777" w:rsidR="00C36C5D" w:rsidRPr="00AF1814" w:rsidRDefault="00C36C5D" w:rsidP="00525373">
            <w:pPr>
              <w:pStyle w:val="Tabletext"/>
              <w:keepLines w:val="0"/>
              <w:suppressAutoHyphens/>
            </w:pPr>
          </w:p>
        </w:tc>
      </w:tr>
      <w:tr w:rsidR="002108B2" w:rsidRPr="00AF1814" w14:paraId="444AD665" w14:textId="77777777" w:rsidTr="00525373">
        <w:tc>
          <w:tcPr>
            <w:tcW w:w="1893" w:type="dxa"/>
            <w:vMerge w:val="restart"/>
          </w:tcPr>
          <w:p w14:paraId="14C76E04" w14:textId="77777777" w:rsidR="00C36C5D" w:rsidRPr="00AF1814" w:rsidRDefault="00DA3174" w:rsidP="00525373">
            <w:pPr>
              <w:pStyle w:val="Tabletext"/>
              <w:keepLines w:val="0"/>
              <w:suppressAutoHyphens/>
              <w:rPr>
                <w:szCs w:val="24"/>
              </w:rPr>
            </w:pPr>
            <w:r w:rsidRPr="00AF1814">
              <w:t>Biochemistry</w:t>
            </w:r>
          </w:p>
        </w:tc>
        <w:tc>
          <w:tcPr>
            <w:tcW w:w="1347" w:type="dxa"/>
          </w:tcPr>
          <w:p w14:paraId="41D453DD" w14:textId="77777777" w:rsidR="00C36C5D" w:rsidRPr="00AF1814" w:rsidRDefault="00DA3174" w:rsidP="00525373">
            <w:pPr>
              <w:pStyle w:val="Tabletext"/>
              <w:keepLines w:val="0"/>
              <w:suppressAutoHyphens/>
            </w:pPr>
            <w:r w:rsidRPr="00AF1814">
              <w:t>Blood Urea Nitrogen/Total urea</w:t>
            </w:r>
          </w:p>
        </w:tc>
        <w:tc>
          <w:tcPr>
            <w:tcW w:w="1466" w:type="dxa"/>
          </w:tcPr>
          <w:p w14:paraId="09A218E9" w14:textId="77777777" w:rsidR="00C36C5D" w:rsidRPr="00AF1814" w:rsidRDefault="00DA3174" w:rsidP="00525373">
            <w:pPr>
              <w:pStyle w:val="Tabletext"/>
              <w:keepLines w:val="0"/>
              <w:suppressAutoHyphens/>
            </w:pPr>
            <w:r w:rsidRPr="00AF1814">
              <w:t>Potassium</w:t>
            </w:r>
          </w:p>
        </w:tc>
        <w:tc>
          <w:tcPr>
            <w:tcW w:w="2325" w:type="dxa"/>
          </w:tcPr>
          <w:p w14:paraId="2AA24B08" w14:textId="77777777" w:rsidR="00C36C5D" w:rsidRPr="00AF1814" w:rsidRDefault="00DA3174" w:rsidP="00525373">
            <w:pPr>
              <w:pStyle w:val="Tabletext"/>
              <w:keepLines w:val="0"/>
              <w:suppressAutoHyphens/>
            </w:pPr>
            <w:r w:rsidRPr="00AF1814">
              <w:t>Aspartate Aminotransferase</w:t>
            </w:r>
            <w:r w:rsidRPr="00AF1814">
              <w:rPr>
                <w:vertAlign w:val="superscript"/>
              </w:rPr>
              <w:t>d</w:t>
            </w:r>
          </w:p>
        </w:tc>
        <w:tc>
          <w:tcPr>
            <w:tcW w:w="2326" w:type="dxa"/>
          </w:tcPr>
          <w:p w14:paraId="2F254813" w14:textId="77777777" w:rsidR="00C36C5D" w:rsidRPr="00AF1814" w:rsidRDefault="00DA3174" w:rsidP="00525373">
            <w:pPr>
              <w:pStyle w:val="Tabletext"/>
              <w:keepLines w:val="0"/>
              <w:suppressAutoHyphens/>
            </w:pPr>
            <w:r w:rsidRPr="00AF1814">
              <w:t>Bilirubin (total, indirect/direct)</w:t>
            </w:r>
            <w:r w:rsidRPr="00AF1814">
              <w:rPr>
                <w:vertAlign w:val="superscript"/>
              </w:rPr>
              <w:t>d</w:t>
            </w:r>
          </w:p>
        </w:tc>
      </w:tr>
      <w:tr w:rsidR="002108B2" w:rsidRPr="00AF1814" w14:paraId="59079373" w14:textId="77777777" w:rsidTr="00525373">
        <w:tc>
          <w:tcPr>
            <w:tcW w:w="1893" w:type="dxa"/>
            <w:vMerge/>
          </w:tcPr>
          <w:p w14:paraId="060FC433" w14:textId="77777777" w:rsidR="00C36C5D" w:rsidRPr="00AF1814" w:rsidRDefault="00C36C5D" w:rsidP="00525373">
            <w:pPr>
              <w:pStyle w:val="Tabletext"/>
              <w:keepLines w:val="0"/>
              <w:suppressAutoHyphens/>
              <w:rPr>
                <w:szCs w:val="24"/>
              </w:rPr>
            </w:pPr>
          </w:p>
        </w:tc>
        <w:tc>
          <w:tcPr>
            <w:tcW w:w="1347" w:type="dxa"/>
          </w:tcPr>
          <w:p w14:paraId="25E69466" w14:textId="77777777" w:rsidR="00C36C5D" w:rsidRPr="00AF1814" w:rsidRDefault="00DA3174" w:rsidP="00525373">
            <w:pPr>
              <w:pStyle w:val="Tabletext"/>
              <w:keepLines w:val="0"/>
              <w:suppressAutoHyphens/>
            </w:pPr>
            <w:r w:rsidRPr="00AF1814">
              <w:t>Creatinine</w:t>
            </w:r>
            <w:r w:rsidRPr="00AF1814">
              <w:rPr>
                <w:vertAlign w:val="superscript"/>
              </w:rPr>
              <w:t>d</w:t>
            </w:r>
          </w:p>
        </w:tc>
        <w:tc>
          <w:tcPr>
            <w:tcW w:w="1466" w:type="dxa"/>
          </w:tcPr>
          <w:p w14:paraId="19D7C58E" w14:textId="77777777" w:rsidR="00C36C5D" w:rsidRPr="00AF1814" w:rsidRDefault="00DA3174" w:rsidP="00525373">
            <w:pPr>
              <w:pStyle w:val="Tabletext"/>
              <w:keepLines w:val="0"/>
              <w:suppressAutoHyphens/>
            </w:pPr>
            <w:r w:rsidRPr="00AF1814">
              <w:t>Sodium</w:t>
            </w:r>
          </w:p>
        </w:tc>
        <w:tc>
          <w:tcPr>
            <w:tcW w:w="2325" w:type="dxa"/>
          </w:tcPr>
          <w:p w14:paraId="05C28A6B" w14:textId="77777777" w:rsidR="00C36C5D" w:rsidRPr="00AF1814" w:rsidRDefault="00DA3174" w:rsidP="00525373">
            <w:pPr>
              <w:pStyle w:val="Tabletext"/>
              <w:keepLines w:val="0"/>
              <w:suppressAutoHyphens/>
            </w:pPr>
            <w:r w:rsidRPr="00AF1814">
              <w:t>Alanine Aminotransferase</w:t>
            </w:r>
            <w:r w:rsidRPr="00AF1814">
              <w:rPr>
                <w:vertAlign w:val="superscript"/>
              </w:rPr>
              <w:t>d</w:t>
            </w:r>
          </w:p>
        </w:tc>
        <w:tc>
          <w:tcPr>
            <w:tcW w:w="2326" w:type="dxa"/>
          </w:tcPr>
          <w:p w14:paraId="1344D655" w14:textId="77777777" w:rsidR="00C36C5D" w:rsidRPr="00AF1814" w:rsidRDefault="00DA3174" w:rsidP="00525373">
            <w:pPr>
              <w:pStyle w:val="Tabletext"/>
              <w:keepLines w:val="0"/>
              <w:suppressAutoHyphens/>
            </w:pPr>
            <w:r w:rsidRPr="00AF1814">
              <w:t>Total Protein</w:t>
            </w:r>
          </w:p>
          <w:p w14:paraId="52DF3BD7" w14:textId="77777777" w:rsidR="001E7A4C" w:rsidRPr="00AF1814" w:rsidRDefault="001E7A4C" w:rsidP="00525373">
            <w:pPr>
              <w:pStyle w:val="Tabletext"/>
              <w:keepLines w:val="0"/>
              <w:suppressAutoHyphens/>
            </w:pPr>
          </w:p>
        </w:tc>
      </w:tr>
      <w:tr w:rsidR="002108B2" w:rsidRPr="00E44F28" w14:paraId="0D12A609" w14:textId="77777777" w:rsidTr="00525373">
        <w:tc>
          <w:tcPr>
            <w:tcW w:w="1893" w:type="dxa"/>
            <w:vMerge/>
          </w:tcPr>
          <w:p w14:paraId="12B095A5" w14:textId="77777777" w:rsidR="00C36C5D" w:rsidRPr="00E44F28" w:rsidRDefault="00C36C5D" w:rsidP="00525373">
            <w:pPr>
              <w:pStyle w:val="Tabletext"/>
              <w:keepLines w:val="0"/>
              <w:suppressAutoHyphens/>
              <w:rPr>
                <w:szCs w:val="24"/>
              </w:rPr>
            </w:pPr>
          </w:p>
        </w:tc>
        <w:tc>
          <w:tcPr>
            <w:tcW w:w="1347" w:type="dxa"/>
          </w:tcPr>
          <w:p w14:paraId="1B699FE1" w14:textId="77777777" w:rsidR="00C36C5D" w:rsidRPr="00E44F28" w:rsidRDefault="00DA3174" w:rsidP="00525373">
            <w:pPr>
              <w:pStyle w:val="Tabletext"/>
              <w:keepLines w:val="0"/>
              <w:suppressAutoHyphens/>
            </w:pPr>
            <w:r w:rsidRPr="00E44F28">
              <w:t>Glucose</w:t>
            </w:r>
          </w:p>
        </w:tc>
        <w:tc>
          <w:tcPr>
            <w:tcW w:w="1466" w:type="dxa"/>
          </w:tcPr>
          <w:p w14:paraId="3E273269" w14:textId="77777777" w:rsidR="00C36C5D" w:rsidRPr="00E44F28" w:rsidRDefault="00DA3174" w:rsidP="00525373">
            <w:pPr>
              <w:pStyle w:val="Tabletext"/>
              <w:keepLines w:val="0"/>
              <w:suppressAutoHyphens/>
            </w:pPr>
            <w:r w:rsidRPr="00E44F28">
              <w:t>Calcium</w:t>
            </w:r>
          </w:p>
        </w:tc>
        <w:tc>
          <w:tcPr>
            <w:tcW w:w="2325" w:type="dxa"/>
          </w:tcPr>
          <w:p w14:paraId="00C5BE6A" w14:textId="77777777" w:rsidR="00C36C5D" w:rsidRPr="00E44F28" w:rsidRDefault="00DA3174" w:rsidP="00525373">
            <w:pPr>
              <w:pStyle w:val="Tabletext"/>
              <w:keepLines w:val="0"/>
              <w:suppressAutoHyphens/>
            </w:pPr>
            <w:r w:rsidRPr="00E44F28">
              <w:t>Alkaline phosphatase</w:t>
            </w:r>
          </w:p>
        </w:tc>
        <w:tc>
          <w:tcPr>
            <w:tcW w:w="2326" w:type="dxa"/>
          </w:tcPr>
          <w:p w14:paraId="3D269AEF" w14:textId="3E7E0BDB" w:rsidR="00C36C5D" w:rsidRPr="00E44F28" w:rsidRDefault="00DA3174" w:rsidP="00525373">
            <w:pPr>
              <w:pStyle w:val="Tabletext"/>
              <w:keepLines w:val="0"/>
              <w:suppressAutoHyphens/>
            </w:pPr>
            <w:r w:rsidRPr="00E44F28">
              <w:t>Tuberculin skin test, QuantiFERON-TB-Gold, or T-SPOT (for patients with active tuberculosis (see Section</w:t>
            </w:r>
            <w:r w:rsidR="00767201" w:rsidRPr="00E44F28">
              <w:t xml:space="preserve"> </w:t>
            </w:r>
            <w:r w:rsidR="00767201" w:rsidRPr="00E44F28">
              <w:fldChar w:fldCharType="begin"/>
            </w:r>
            <w:r w:rsidR="00767201" w:rsidRPr="00E44F28">
              <w:instrText xml:space="preserve"> REF _Ref32398835 \r \h </w:instrText>
            </w:r>
            <w:r w:rsidR="00587FD9" w:rsidRPr="00E44F28">
              <w:instrText xml:space="preserve"> \* MERGEFORMAT </w:instrText>
            </w:r>
            <w:r w:rsidR="00767201" w:rsidRPr="00E44F28">
              <w:fldChar w:fldCharType="separate"/>
            </w:r>
            <w:r w:rsidR="00C548C3" w:rsidRPr="00E44F28">
              <w:t>5.2</w:t>
            </w:r>
            <w:r w:rsidR="00767201" w:rsidRPr="00E44F28">
              <w:fldChar w:fldCharType="end"/>
            </w:r>
            <w:r w:rsidRPr="00E44F28">
              <w:t>), perform at Baseline and as clinically indicated)</w:t>
            </w:r>
          </w:p>
        </w:tc>
      </w:tr>
      <w:tr w:rsidR="002108B2" w:rsidRPr="00E44F28" w14:paraId="4C8044D7" w14:textId="77777777" w:rsidTr="00525373">
        <w:tc>
          <w:tcPr>
            <w:tcW w:w="1893" w:type="dxa"/>
            <w:vMerge/>
          </w:tcPr>
          <w:p w14:paraId="1F7852BB" w14:textId="77777777" w:rsidR="00C36C5D" w:rsidRPr="00E44F28" w:rsidRDefault="00C36C5D" w:rsidP="00525373">
            <w:pPr>
              <w:pStyle w:val="Tabletext"/>
              <w:keepLines w:val="0"/>
              <w:suppressAutoHyphens/>
              <w:rPr>
                <w:szCs w:val="24"/>
              </w:rPr>
            </w:pPr>
          </w:p>
        </w:tc>
        <w:tc>
          <w:tcPr>
            <w:tcW w:w="1347" w:type="dxa"/>
          </w:tcPr>
          <w:p w14:paraId="660A90E5" w14:textId="77777777" w:rsidR="00C36C5D" w:rsidRPr="00E44F28" w:rsidRDefault="00DA3174" w:rsidP="00525373">
            <w:pPr>
              <w:pStyle w:val="Tabletext"/>
              <w:keepLines w:val="0"/>
              <w:suppressAutoHyphens/>
            </w:pPr>
            <w:r w:rsidRPr="00E44F28">
              <w:t>Lipase</w:t>
            </w:r>
          </w:p>
        </w:tc>
        <w:tc>
          <w:tcPr>
            <w:tcW w:w="1466" w:type="dxa"/>
          </w:tcPr>
          <w:p w14:paraId="3E658D8A" w14:textId="77777777" w:rsidR="00C36C5D" w:rsidRPr="00E44F28" w:rsidRDefault="00DA3174" w:rsidP="00525373">
            <w:pPr>
              <w:pStyle w:val="Tabletext"/>
              <w:keepLines w:val="0"/>
              <w:suppressAutoHyphens/>
            </w:pPr>
            <w:r w:rsidRPr="00E44F28">
              <w:t>Chloride</w:t>
            </w:r>
          </w:p>
        </w:tc>
        <w:tc>
          <w:tcPr>
            <w:tcW w:w="2325" w:type="dxa"/>
          </w:tcPr>
          <w:p w14:paraId="58F3B3A2" w14:textId="77777777" w:rsidR="00C36C5D" w:rsidRPr="00E44F28" w:rsidRDefault="00DA3174" w:rsidP="00525373">
            <w:pPr>
              <w:pStyle w:val="Tabletext"/>
              <w:keepLines w:val="0"/>
              <w:suppressAutoHyphens/>
            </w:pPr>
            <w:r w:rsidRPr="00E44F28">
              <w:t>Albumin</w:t>
            </w:r>
          </w:p>
        </w:tc>
        <w:tc>
          <w:tcPr>
            <w:tcW w:w="2326" w:type="dxa"/>
          </w:tcPr>
          <w:p w14:paraId="183F3927" w14:textId="77777777" w:rsidR="00C36C5D" w:rsidRPr="00E44F28" w:rsidRDefault="00C36C5D" w:rsidP="00525373">
            <w:pPr>
              <w:pStyle w:val="Tabletext"/>
              <w:keepLines w:val="0"/>
              <w:suppressAutoHyphens/>
            </w:pPr>
          </w:p>
        </w:tc>
      </w:tr>
      <w:tr w:rsidR="002108B2" w:rsidRPr="00E44F28" w14:paraId="5A6EC136" w14:textId="77777777" w:rsidTr="00525373">
        <w:tc>
          <w:tcPr>
            <w:tcW w:w="1893" w:type="dxa"/>
            <w:vMerge/>
          </w:tcPr>
          <w:p w14:paraId="6FDDC45E" w14:textId="77777777" w:rsidR="00C36C5D" w:rsidRPr="00E44F28" w:rsidRDefault="00C36C5D" w:rsidP="00525373">
            <w:pPr>
              <w:pStyle w:val="Tabletext"/>
              <w:keepLines w:val="0"/>
              <w:suppressAutoHyphens/>
              <w:rPr>
                <w:szCs w:val="24"/>
              </w:rPr>
            </w:pPr>
          </w:p>
        </w:tc>
        <w:tc>
          <w:tcPr>
            <w:tcW w:w="1347" w:type="dxa"/>
          </w:tcPr>
          <w:p w14:paraId="29C3494E" w14:textId="77777777" w:rsidR="00C36C5D" w:rsidRPr="00E44F28" w:rsidRDefault="00DA3174" w:rsidP="00525373">
            <w:pPr>
              <w:pStyle w:val="Tabletext"/>
              <w:keepLines w:val="0"/>
              <w:suppressAutoHyphens/>
            </w:pPr>
            <w:r w:rsidRPr="00E44F28">
              <w:t>C-reactive</w:t>
            </w:r>
            <w:r w:rsidRPr="00E44F28">
              <w:rPr>
                <w:spacing w:val="-1"/>
              </w:rPr>
              <w:t xml:space="preserve"> </w:t>
            </w:r>
            <w:r w:rsidRPr="00E44F28">
              <w:t>protein</w:t>
            </w:r>
          </w:p>
        </w:tc>
        <w:tc>
          <w:tcPr>
            <w:tcW w:w="1466" w:type="dxa"/>
          </w:tcPr>
          <w:p w14:paraId="43DFF241" w14:textId="77777777" w:rsidR="00C36C5D" w:rsidRPr="00E44F28" w:rsidRDefault="00DA3174" w:rsidP="00525373">
            <w:pPr>
              <w:pStyle w:val="Tabletext"/>
              <w:keepLines w:val="0"/>
              <w:suppressAutoHyphens/>
            </w:pPr>
            <w:r w:rsidRPr="00E44F28">
              <w:t>Amylase</w:t>
            </w:r>
          </w:p>
        </w:tc>
        <w:tc>
          <w:tcPr>
            <w:tcW w:w="2325" w:type="dxa"/>
          </w:tcPr>
          <w:p w14:paraId="015D74F2" w14:textId="77777777" w:rsidR="00C36C5D" w:rsidRPr="00E44F28" w:rsidRDefault="00C36C5D" w:rsidP="00525373">
            <w:pPr>
              <w:pStyle w:val="Tabletext"/>
              <w:keepLines w:val="0"/>
              <w:suppressAutoHyphens/>
            </w:pPr>
          </w:p>
        </w:tc>
        <w:tc>
          <w:tcPr>
            <w:tcW w:w="2326" w:type="dxa"/>
          </w:tcPr>
          <w:p w14:paraId="795C0668" w14:textId="77777777" w:rsidR="00C36C5D" w:rsidRPr="00E44F28" w:rsidRDefault="00C36C5D" w:rsidP="00525373">
            <w:pPr>
              <w:pStyle w:val="Tabletext"/>
              <w:keepLines w:val="0"/>
              <w:suppressAutoHyphens/>
            </w:pPr>
          </w:p>
        </w:tc>
      </w:tr>
      <w:tr w:rsidR="002108B2" w:rsidRPr="00E44F28" w14:paraId="7EB89EB5" w14:textId="77777777" w:rsidTr="00525373">
        <w:tc>
          <w:tcPr>
            <w:tcW w:w="1893" w:type="dxa"/>
          </w:tcPr>
          <w:p w14:paraId="65F71C8A" w14:textId="77777777" w:rsidR="00C36C5D" w:rsidRPr="00E44F28" w:rsidRDefault="00DA3174" w:rsidP="00525373">
            <w:pPr>
              <w:pStyle w:val="Tabletext"/>
              <w:keepLines w:val="0"/>
              <w:suppressAutoHyphens/>
              <w:rPr>
                <w:szCs w:val="24"/>
              </w:rPr>
            </w:pPr>
            <w:r w:rsidRPr="00E44F28">
              <w:rPr>
                <w:szCs w:val="24"/>
              </w:rPr>
              <w:t>Routine Urinalysis</w:t>
            </w:r>
          </w:p>
        </w:tc>
        <w:tc>
          <w:tcPr>
            <w:tcW w:w="7464" w:type="dxa"/>
            <w:gridSpan w:val="4"/>
          </w:tcPr>
          <w:p w14:paraId="540ED7DD" w14:textId="77777777" w:rsidR="00170E87" w:rsidRPr="00E44F28" w:rsidRDefault="00DA3174" w:rsidP="00170E87">
            <w:pPr>
              <w:pStyle w:val="Tablelist"/>
            </w:pPr>
            <w:r w:rsidRPr="00E44F28">
              <w:t>Specific gravity</w:t>
            </w:r>
          </w:p>
          <w:p w14:paraId="587C0B2E" w14:textId="77777777" w:rsidR="00170E87" w:rsidRPr="00E44F28" w:rsidRDefault="00DA3174" w:rsidP="00170E87">
            <w:pPr>
              <w:pStyle w:val="Tablelist"/>
              <w:suppressAutoHyphens/>
            </w:pPr>
            <w:r w:rsidRPr="00E44F28">
              <w:t xml:space="preserve">Physical appearance (color, transparency), </w:t>
            </w:r>
            <w:r w:rsidR="00435945" w:rsidRPr="00E44F28">
              <w:t>pH, glucose, protein, blood/hemoglobin, ketones, bilirubin, urobilinogen, nitrite, leukocytes by dipstick</w:t>
            </w:r>
          </w:p>
          <w:p w14:paraId="29C5D202" w14:textId="77777777" w:rsidR="00C36C5D" w:rsidRPr="00E44F28" w:rsidRDefault="00DA3174" w:rsidP="00C36C5D">
            <w:pPr>
              <w:pStyle w:val="Tablelist"/>
              <w:suppressAutoHyphens/>
            </w:pPr>
            <w:r w:rsidRPr="00E44F28">
              <w:t>Extensive analysis (If indicated according to findings of routine analysis) one or both of the following</w:t>
            </w:r>
            <w:r w:rsidR="00F620EB" w:rsidRPr="00E44F28">
              <w:t>:</w:t>
            </w:r>
          </w:p>
          <w:p w14:paraId="25165897" w14:textId="77777777" w:rsidR="00F620EB" w:rsidRPr="00E44F28" w:rsidRDefault="00DA3174" w:rsidP="00F620EB">
            <w:pPr>
              <w:pStyle w:val="Tablelist"/>
              <w:suppressAutoHyphens/>
            </w:pPr>
            <w:r w:rsidRPr="00E44F28">
              <w:t>Microscopic examination (if blood or protein is abnormal).</w:t>
            </w:r>
          </w:p>
          <w:p w14:paraId="655165BB" w14:textId="77777777" w:rsidR="00C36C5D" w:rsidRPr="00E44F28" w:rsidRDefault="00DA3174" w:rsidP="00C36C5D">
            <w:pPr>
              <w:pStyle w:val="Tablelist"/>
              <w:suppressAutoHyphens/>
            </w:pPr>
            <w:r w:rsidRPr="00E44F28">
              <w:t>Culture / Antibiogram</w:t>
            </w:r>
          </w:p>
        </w:tc>
      </w:tr>
      <w:tr w:rsidR="002108B2" w:rsidRPr="00E44F28" w14:paraId="57DE079B" w14:textId="77777777" w:rsidTr="00525373">
        <w:trPr>
          <w:trHeight w:val="1556"/>
        </w:trPr>
        <w:tc>
          <w:tcPr>
            <w:tcW w:w="1893" w:type="dxa"/>
          </w:tcPr>
          <w:p w14:paraId="0BAD758D" w14:textId="77777777" w:rsidR="00C36C5D" w:rsidRPr="00E44F28" w:rsidRDefault="00DA3174" w:rsidP="00525373">
            <w:pPr>
              <w:pStyle w:val="Tabletext"/>
              <w:keepLines w:val="0"/>
              <w:suppressAutoHyphens/>
            </w:pPr>
            <w:r w:rsidRPr="00E44F28">
              <w:rPr>
                <w:szCs w:val="24"/>
              </w:rPr>
              <w:t xml:space="preserve">Other </w:t>
            </w:r>
            <w:r w:rsidR="007F5AC6" w:rsidRPr="00E44F28">
              <w:rPr>
                <w:szCs w:val="24"/>
              </w:rPr>
              <w:t xml:space="preserve">Screening </w:t>
            </w:r>
            <w:r w:rsidRPr="00E44F28">
              <w:rPr>
                <w:szCs w:val="24"/>
              </w:rPr>
              <w:t>Tests</w:t>
            </w:r>
          </w:p>
        </w:tc>
        <w:tc>
          <w:tcPr>
            <w:tcW w:w="7464" w:type="dxa"/>
            <w:gridSpan w:val="4"/>
          </w:tcPr>
          <w:p w14:paraId="18835600" w14:textId="77777777" w:rsidR="00C36C5D" w:rsidRPr="00E44F28" w:rsidRDefault="00DA3174" w:rsidP="00525373">
            <w:pPr>
              <w:pStyle w:val="Tablelist"/>
              <w:keepLines w:val="0"/>
              <w:suppressAutoHyphens/>
            </w:pPr>
            <w:r w:rsidRPr="00E44F28">
              <w:t xml:space="preserve">FSH and estradiol (as needed if </w:t>
            </w:r>
            <w:r w:rsidRPr="00E44F28">
              <w:rPr>
                <w:b/>
              </w:rPr>
              <w:t>not</w:t>
            </w:r>
            <w:r w:rsidRPr="00E44F28">
              <w:t xml:space="preserve"> a </w:t>
            </w:r>
            <w:r w:rsidR="00AE455A" w:rsidRPr="00E44F28">
              <w:t>woman of childbearing potential</w:t>
            </w:r>
            <w:r w:rsidRPr="00E44F28">
              <w:t xml:space="preserve"> only)</w:t>
            </w:r>
          </w:p>
          <w:p w14:paraId="01870530" w14:textId="77777777" w:rsidR="00C36C5D" w:rsidRPr="00E44F28" w:rsidRDefault="00DA3174" w:rsidP="00525373">
            <w:pPr>
              <w:pStyle w:val="Tablelist"/>
              <w:keepLines w:val="0"/>
              <w:suppressAutoHyphens/>
            </w:pPr>
            <w:r w:rsidRPr="00E44F28">
              <w:t xml:space="preserve">Serum or highly sensitive urine </w:t>
            </w:r>
            <w:r w:rsidR="00832318" w:rsidRPr="00E44F28">
              <w:rPr>
                <w:rFonts w:cs="Arial"/>
              </w:rPr>
              <w:t>β</w:t>
            </w:r>
            <w:r w:rsidR="00832318" w:rsidRPr="00E44F28">
              <w:t>-</w:t>
            </w:r>
            <w:r w:rsidRPr="00E44F28">
              <w:t>hCG pregnancy test</w:t>
            </w:r>
          </w:p>
          <w:p w14:paraId="33DEA4FB" w14:textId="77777777" w:rsidR="00C36C5D" w:rsidRPr="00E44F28" w:rsidRDefault="00DA3174" w:rsidP="00525373">
            <w:pPr>
              <w:pStyle w:val="Tablelist"/>
              <w:keepLines w:val="0"/>
              <w:suppressAutoHyphens/>
            </w:pPr>
            <w:r w:rsidRPr="00E44F28">
              <w:t>Free T4 and TSH</w:t>
            </w:r>
          </w:p>
          <w:p w14:paraId="7F6C00E8" w14:textId="77777777" w:rsidR="00C36C5D" w:rsidRPr="00E44F28" w:rsidRDefault="00DA3174" w:rsidP="00525373">
            <w:pPr>
              <w:pStyle w:val="Tablelist"/>
              <w:keepLines w:val="0"/>
              <w:suppressAutoHyphens/>
            </w:pPr>
            <w:r w:rsidRPr="00E44F28">
              <w:t>Hepatitis Screening</w:t>
            </w:r>
            <w:r w:rsidRPr="00E44F28">
              <w:rPr>
                <w:vertAlign w:val="superscript"/>
              </w:rPr>
              <w:t>b</w:t>
            </w:r>
            <w:r w:rsidRPr="00E44F28">
              <w:t>: Hepatitis B surface antigen; Hepatitis B core antibody and Hepatitis C antibody</w:t>
            </w:r>
          </w:p>
          <w:p w14:paraId="6D6BB3CF" w14:textId="77777777" w:rsidR="00C36C5D" w:rsidRPr="00E44F28" w:rsidRDefault="00DA3174" w:rsidP="00525373">
            <w:pPr>
              <w:pStyle w:val="Tablelist"/>
              <w:keepLines w:val="0"/>
              <w:suppressAutoHyphens/>
            </w:pPr>
            <w:r w:rsidRPr="00E44F28">
              <w:rPr>
                <w:rFonts w:cs="Arial"/>
                <w:szCs w:val="18"/>
              </w:rPr>
              <w:t>HIV; HIV virus RNA, quantitative; and CD4 lymphocyte count</w:t>
            </w:r>
            <w:r w:rsidRPr="00E44F28">
              <w:rPr>
                <w:rFonts w:cs="Arial"/>
                <w:szCs w:val="18"/>
                <w:vertAlign w:val="superscript"/>
              </w:rPr>
              <w:t>c</w:t>
            </w:r>
          </w:p>
        </w:tc>
      </w:tr>
      <w:tr w:rsidR="002108B2" w:rsidRPr="00E44F28" w14:paraId="25AAE55F" w14:textId="77777777" w:rsidTr="00525373">
        <w:trPr>
          <w:trHeight w:val="1142"/>
        </w:trPr>
        <w:tc>
          <w:tcPr>
            <w:tcW w:w="9357" w:type="dxa"/>
            <w:gridSpan w:val="5"/>
          </w:tcPr>
          <w:p w14:paraId="7BD6A570" w14:textId="15956374" w:rsidR="00C36C5D" w:rsidRPr="00E44F28" w:rsidRDefault="00DA3174" w:rsidP="00525373">
            <w:pPr>
              <w:pStyle w:val="Tablefootnote"/>
              <w:keepLines w:val="0"/>
              <w:suppressAutoHyphens/>
            </w:pPr>
            <w:r w:rsidRPr="00E44F28">
              <w:rPr>
                <w:vertAlign w:val="superscript"/>
              </w:rPr>
              <w:lastRenderedPageBreak/>
              <w:t>a</w:t>
            </w:r>
            <w:r w:rsidRPr="00E44F28">
              <w:t xml:space="preserve"> Coagulation parameters collected at Baseline and as clinically indicated, thereafter (See</w:t>
            </w:r>
            <w:r w:rsidR="00767201" w:rsidRPr="00E44F28">
              <w:t xml:space="preserve"> </w:t>
            </w:r>
            <w:r w:rsidR="00664B84" w:rsidRPr="00E44F28">
              <w:t xml:space="preserve">Section </w:t>
            </w:r>
            <w:r w:rsidR="00664B84" w:rsidRPr="00E44F28">
              <w:fldChar w:fldCharType="begin"/>
            </w:r>
            <w:r w:rsidR="00664B84" w:rsidRPr="00E44F28">
              <w:instrText xml:space="preserve"> REF _Ref33108756 \w \h  \* MERGEFORMAT </w:instrText>
            </w:r>
            <w:r w:rsidR="00664B84" w:rsidRPr="00E44F28">
              <w:fldChar w:fldCharType="separate"/>
            </w:r>
            <w:r w:rsidR="00C548C3" w:rsidRPr="00E44F28">
              <w:t>1.3</w:t>
            </w:r>
            <w:r w:rsidR="00664B84" w:rsidRPr="00E44F28">
              <w:fldChar w:fldCharType="end"/>
            </w:r>
            <w:r w:rsidRPr="00E44F28">
              <w:t>).</w:t>
            </w:r>
          </w:p>
          <w:p w14:paraId="7495BB9C" w14:textId="77777777" w:rsidR="00C36C5D" w:rsidRPr="00E44F28" w:rsidRDefault="00DA3174" w:rsidP="00525373">
            <w:pPr>
              <w:pStyle w:val="Tablefootnote"/>
              <w:keepLines w:val="0"/>
              <w:suppressAutoHyphens/>
            </w:pPr>
            <w:r w:rsidRPr="00E44F28">
              <w:rPr>
                <w:vertAlign w:val="superscript"/>
              </w:rPr>
              <w:t>b</w:t>
            </w:r>
            <w:r w:rsidRPr="00E44F28">
              <w:t xml:space="preserve"> If hepatitis B surface antigen positive and hepatitis B core antibody positive, then reflex to quantitative HBV DNA (PCR); if hepatitis B core antibody positive alone, then reflex to quantitative hepatitis B DNA (PCR); if hepatitis C antibody positive, then reflex to quantitative hepatitis C RNA (PCR).</w:t>
            </w:r>
          </w:p>
          <w:p w14:paraId="2F4B4EAD" w14:textId="77777777" w:rsidR="00C36C5D" w:rsidRPr="00E44F28" w:rsidRDefault="00DA3174" w:rsidP="00525373">
            <w:pPr>
              <w:pStyle w:val="Tablefootnote"/>
              <w:keepLines w:val="0"/>
              <w:suppressAutoHyphens/>
            </w:pPr>
            <w:r w:rsidRPr="00E44F28">
              <w:rPr>
                <w:vertAlign w:val="superscript"/>
              </w:rPr>
              <w:t>c</w:t>
            </w:r>
            <w:r w:rsidRPr="00E44F28">
              <w:t xml:space="preserve"> Not required for all patients. Testing required for patients with known history of HIV. </w:t>
            </w:r>
            <w:r w:rsidR="00863B27" w:rsidRPr="00E44F28">
              <w:t>Participants must be adequately consented per local regulations for any HIV-related testing.</w:t>
            </w:r>
          </w:p>
          <w:p w14:paraId="77161830" w14:textId="77777777" w:rsidR="00C36C5D" w:rsidRPr="00E44F28" w:rsidRDefault="00DA3174" w:rsidP="00525373">
            <w:pPr>
              <w:pStyle w:val="Tablefootnote"/>
              <w:keepLines w:val="0"/>
              <w:suppressAutoHyphens/>
            </w:pPr>
            <w:r w:rsidRPr="00E44F28">
              <w:rPr>
                <w:vertAlign w:val="superscript"/>
              </w:rPr>
              <w:t xml:space="preserve">d </w:t>
            </w:r>
            <w:r w:rsidRPr="00E44F28">
              <w:t xml:space="preserve">Results must be reviewed by the Investigator within 3 days prior to dosing. </w:t>
            </w:r>
          </w:p>
        </w:tc>
      </w:tr>
    </w:tbl>
    <w:p w14:paraId="282E31C6" w14:textId="77777777" w:rsidR="00C36C5D" w:rsidRPr="00AF1814" w:rsidRDefault="00C36C5D" w:rsidP="00C36C5D">
      <w:pPr>
        <w:pStyle w:val="BodyText"/>
      </w:pPr>
    </w:p>
    <w:p w14:paraId="0F383E9E" w14:textId="77777777" w:rsidR="00DB137F" w:rsidRPr="00AF1814" w:rsidRDefault="00DA3174" w:rsidP="007F5AC6">
      <w:pPr>
        <w:pStyle w:val="Heading1"/>
        <w:pageBreakBefore/>
        <w:numPr>
          <w:ilvl w:val="0"/>
          <w:numId w:val="0"/>
        </w:numPr>
        <w:tabs>
          <w:tab w:val="left" w:pos="1985"/>
        </w:tabs>
        <w:ind w:left="1985" w:hanging="1985"/>
      </w:pPr>
      <w:bookmarkStart w:id="431" w:name="_Appendix_7_Pharmacogenetics"/>
      <w:bookmarkStart w:id="432" w:name="_Appendix_6_Pharmacogenetics"/>
      <w:bookmarkStart w:id="433" w:name="_Toc44601739"/>
      <w:bookmarkEnd w:id="431"/>
      <w:bookmarkEnd w:id="432"/>
      <w:r w:rsidRPr="00AF1814">
        <w:lastRenderedPageBreak/>
        <w:t xml:space="preserve">Appendix </w:t>
      </w:r>
      <w:r w:rsidR="00E50719" w:rsidRPr="00AF1814">
        <w:t>6</w:t>
      </w:r>
      <w:r w:rsidRPr="00AF1814">
        <w:tab/>
        <w:t>Pharmacogenetics</w:t>
      </w:r>
      <w:bookmarkEnd w:id="433"/>
    </w:p>
    <w:p w14:paraId="7BC6E406" w14:textId="77777777" w:rsidR="007F5AC6" w:rsidRPr="00AF1814" w:rsidRDefault="00DA3174" w:rsidP="007F5AC6">
      <w:pPr>
        <w:tabs>
          <w:tab w:val="left" w:pos="284"/>
        </w:tabs>
        <w:spacing w:before="120"/>
        <w:ind w:left="284"/>
        <w:rPr>
          <w:b/>
        </w:rPr>
      </w:pPr>
      <w:r w:rsidRPr="00AF1814">
        <w:rPr>
          <w:b/>
        </w:rPr>
        <w:t>Use/Analysis of DNA</w:t>
      </w:r>
    </w:p>
    <w:p w14:paraId="1826B5F7" w14:textId="77777777" w:rsidR="007F5AC6" w:rsidRPr="00AF1814" w:rsidRDefault="00DA3174" w:rsidP="007F5AC6">
      <w:pPr>
        <w:numPr>
          <w:ilvl w:val="0"/>
          <w:numId w:val="3"/>
        </w:numPr>
        <w:spacing w:before="120"/>
      </w:pPr>
      <w:r w:rsidRPr="00AF1814">
        <w:t xml:space="preserve">Genetic variation may impact a participant’s response to therapy, susceptibility to, and severity and progression of disease. Variable response to therapy may be due to genetic determinants that impact </w:t>
      </w:r>
      <w:r w:rsidRPr="00AF1814">
        <w:rPr>
          <w:lang w:val="en-GB"/>
        </w:rPr>
        <w:t>study intervention</w:t>
      </w:r>
      <w:r w:rsidRPr="00AF1814">
        <w:t xml:space="preserve"> absorption, distribution, metabolism, and excretion; mechanism of action of the </w:t>
      </w:r>
      <w:r w:rsidRPr="00AF1814">
        <w:rPr>
          <w:lang w:val="en-GB"/>
        </w:rPr>
        <w:t>study intervention</w:t>
      </w:r>
      <w:r w:rsidRPr="00AF1814">
        <w:t>; disease etiology; and/or molecular subtype of the disease being treated.</w:t>
      </w:r>
    </w:p>
    <w:p w14:paraId="201F7AE8" w14:textId="77777777" w:rsidR="007F5AC6" w:rsidRPr="00AF1814" w:rsidRDefault="00DA3174" w:rsidP="007F5AC6">
      <w:pPr>
        <w:tabs>
          <w:tab w:val="left" w:pos="576"/>
        </w:tabs>
        <w:spacing w:before="120"/>
        <w:ind w:left="576"/>
      </w:pPr>
      <w:r w:rsidRPr="00AF1814">
        <w:t>DNA samples will be analyzed for</w:t>
      </w:r>
      <w:r w:rsidR="0058678A" w:rsidRPr="00AF1814">
        <w:t xml:space="preserve"> genetic research</w:t>
      </w:r>
      <w:r w:rsidRPr="00AF1814">
        <w:t>. Additional analyses may be conducted if it is hypothesized that this may help further understand the clinical data.</w:t>
      </w:r>
    </w:p>
    <w:p w14:paraId="72BAD644" w14:textId="77777777" w:rsidR="007F5AC6" w:rsidRPr="00AF1814" w:rsidRDefault="00DA3174" w:rsidP="007558AE">
      <w:pPr>
        <w:pStyle w:val="List2withbullet"/>
      </w:pPr>
      <w:r w:rsidRPr="00AF1814">
        <w:t xml:space="preserve">In addition, DNA samples will be used for research related to </w:t>
      </w:r>
      <w:r w:rsidR="009207C1" w:rsidRPr="00AF1814">
        <w:t>bintrafusp alfa or cervical cancer and related diseases</w:t>
      </w:r>
      <w:r w:rsidRPr="00AF1814">
        <w:t xml:space="preserve">. They may also be used to develop tests or assays, including diagnostic tests related to </w:t>
      </w:r>
      <w:r w:rsidR="009207C1" w:rsidRPr="00AF1814">
        <w:t>bintrafusp alfa and/or treatments of this drug class and cervical cancer</w:t>
      </w:r>
      <w:r w:rsidRPr="00AF1814">
        <w:t>. Pharmacogenetic research may consist of the analysis of one or more candidate genes or the analysis of genetic markers throughout the genome (as appropriate).</w:t>
      </w:r>
    </w:p>
    <w:p w14:paraId="04BAF38E" w14:textId="77777777" w:rsidR="007F5AC6" w:rsidRPr="00AF1814" w:rsidRDefault="00DA3174" w:rsidP="007F5AC6">
      <w:pPr>
        <w:numPr>
          <w:ilvl w:val="0"/>
          <w:numId w:val="3"/>
        </w:numPr>
        <w:spacing w:before="120"/>
      </w:pPr>
      <w:r w:rsidRPr="00AF1814">
        <w:t>The results of pharmacogenetic analyses may be reported in the CSR or in a separate study summary.</w:t>
      </w:r>
    </w:p>
    <w:p w14:paraId="131E4403" w14:textId="77777777" w:rsidR="007F5AC6" w:rsidRPr="00AF1814" w:rsidRDefault="00DA3174" w:rsidP="007F5AC6">
      <w:pPr>
        <w:numPr>
          <w:ilvl w:val="0"/>
          <w:numId w:val="3"/>
        </w:numPr>
        <w:spacing w:before="120"/>
      </w:pPr>
      <w:r w:rsidRPr="00AF1814">
        <w:t>Details on processes for collection and shipment of these samples can be found in</w:t>
      </w:r>
      <w:r w:rsidR="009207C1" w:rsidRPr="00AF1814">
        <w:t xml:space="preserve"> the</w:t>
      </w:r>
      <w:r w:rsidRPr="00AF1814">
        <w:t xml:space="preserve"> </w:t>
      </w:r>
      <w:r w:rsidR="009207C1" w:rsidRPr="00AF1814">
        <w:t>Laboratory Manual</w:t>
      </w:r>
      <w:r w:rsidRPr="00AF1814">
        <w:t>. The Sponsor will store the DNA samples in a secure storage space with adequate measures to protect confidentiality.</w:t>
      </w:r>
    </w:p>
    <w:p w14:paraId="0B23EE20" w14:textId="77777777" w:rsidR="00264CEC" w:rsidRPr="00AF1814" w:rsidRDefault="00DA3174" w:rsidP="007F5AC6">
      <w:pPr>
        <w:pStyle w:val="List2withbullet"/>
      </w:pPr>
      <w:r w:rsidRPr="00AF1814">
        <w:t>Retention time and possible analysis of DNA sample after the study ends are specified in the respective ICF.</w:t>
      </w:r>
      <w:r w:rsidR="00C1122B" w:rsidRPr="00AF1814">
        <w:br w:type="page"/>
      </w:r>
    </w:p>
    <w:p w14:paraId="7C72FC97" w14:textId="77777777" w:rsidR="001A5310" w:rsidRPr="00AF1814" w:rsidRDefault="00DA3174" w:rsidP="001A5310">
      <w:pPr>
        <w:pStyle w:val="Heading1"/>
        <w:pageBreakBefore/>
        <w:numPr>
          <w:ilvl w:val="0"/>
          <w:numId w:val="0"/>
        </w:numPr>
        <w:tabs>
          <w:tab w:val="left" w:pos="1985"/>
        </w:tabs>
      </w:pPr>
      <w:bookmarkStart w:id="434" w:name="_Appendix_7_Response"/>
      <w:bookmarkStart w:id="435" w:name="_Toc44601740"/>
      <w:bookmarkEnd w:id="434"/>
      <w:r w:rsidRPr="00AF1814">
        <w:lastRenderedPageBreak/>
        <w:t>Appendix 7</w:t>
      </w:r>
      <w:r w:rsidRPr="00AF1814">
        <w:tab/>
        <w:t>Response Evaluation Criteria in Solid Tumors (RECIST) Version 1.1</w:t>
      </w:r>
      <w:bookmarkEnd w:id="435"/>
    </w:p>
    <w:p w14:paraId="62512B2F" w14:textId="24DE410A" w:rsidR="001A5310" w:rsidRPr="00AF1814" w:rsidRDefault="00DA3174" w:rsidP="001A5310">
      <w:pPr>
        <w:pStyle w:val="BodyText"/>
      </w:pPr>
      <w:r w:rsidRPr="00AF1814">
        <w:t xml:space="preserve">The text below was obtained from the following reference: </w:t>
      </w:r>
      <w:hyperlink w:anchor="_Eisenhauer_EA,_Therasse" w:history="1">
        <w:r w:rsidRPr="00AF1814">
          <w:rPr>
            <w:rStyle w:val="Hyperlink"/>
          </w:rPr>
          <w:t xml:space="preserve">Eisenhauer </w:t>
        </w:r>
        <w:r w:rsidR="005317D3" w:rsidRPr="00AF1814">
          <w:rPr>
            <w:rStyle w:val="Hyperlink"/>
          </w:rPr>
          <w:t>2009</w:t>
        </w:r>
      </w:hyperlink>
      <w:r w:rsidRPr="00AF1814">
        <w:t>.</w:t>
      </w:r>
    </w:p>
    <w:p w14:paraId="5EF28D81" w14:textId="77777777" w:rsidR="001A5310" w:rsidRPr="00AF1814" w:rsidRDefault="00DA3174" w:rsidP="001A5310">
      <w:pPr>
        <w:pStyle w:val="Bodytext-keepwithnext"/>
        <w:rPr>
          <w:b/>
        </w:rPr>
      </w:pPr>
      <w:r w:rsidRPr="00AF1814">
        <w:rPr>
          <w:b/>
        </w:rPr>
        <w:t>Definitions</w:t>
      </w:r>
    </w:p>
    <w:p w14:paraId="1A2B6921" w14:textId="77777777" w:rsidR="001A5310" w:rsidRPr="00AF1814" w:rsidRDefault="00DA3174" w:rsidP="001A5310">
      <w:pPr>
        <w:pStyle w:val="BodyText"/>
      </w:pPr>
      <w:r w:rsidRPr="00AF1814">
        <w:t>Response and progression will be evaluated in this study using the international criteria proposed by the RECIST Committee (Version 1.1). Changes in only the largest diameter (unidimensional measurement) of the tumor lesions are used in the RECIST criteria. Note: Lesions are either measurable or non-measurable using the criteria provided below. The term “evaluable” in reference to measurability will not be used because it does not provide additional meaning or accuracy.</w:t>
      </w:r>
    </w:p>
    <w:p w14:paraId="0E6CD39C" w14:textId="77777777" w:rsidR="001A5310" w:rsidRPr="00AF1814" w:rsidRDefault="00DA3174" w:rsidP="001A5310">
      <w:pPr>
        <w:pStyle w:val="Bodytext-keepwithnext"/>
        <w:rPr>
          <w:u w:val="single"/>
        </w:rPr>
      </w:pPr>
      <w:r w:rsidRPr="00AF1814">
        <w:rPr>
          <w:u w:val="single"/>
        </w:rPr>
        <w:t>Measurable Disease</w:t>
      </w:r>
    </w:p>
    <w:p w14:paraId="7FFEB91F" w14:textId="77777777" w:rsidR="001A5310" w:rsidRPr="00AF1814" w:rsidRDefault="00DA3174" w:rsidP="001A5310">
      <w:pPr>
        <w:pStyle w:val="BodyText"/>
      </w:pPr>
      <w:r w:rsidRPr="00AF1814">
        <w:t xml:space="preserve">Tumor lesions: Must be accurately measured in at least 1 dimension (longest diameter in the plane of measurement is to be recorded) with a minimum size of: </w:t>
      </w:r>
    </w:p>
    <w:p w14:paraId="6A10D5F7" w14:textId="77777777" w:rsidR="001A5310" w:rsidRPr="00AF1814" w:rsidRDefault="00DA3174" w:rsidP="00F15279">
      <w:pPr>
        <w:pStyle w:val="List1withbullet"/>
      </w:pPr>
      <w:r w:rsidRPr="00AF1814">
        <w:t>10 mm by CT scan (irrespective of scanner type) and MRI (no less than double the slice thickness and a minimum of 10 mm)</w:t>
      </w:r>
    </w:p>
    <w:p w14:paraId="22ED60BD" w14:textId="77777777" w:rsidR="001A5310" w:rsidRPr="00AF1814" w:rsidRDefault="00DA3174" w:rsidP="00F15279">
      <w:pPr>
        <w:pStyle w:val="List1withbullet"/>
      </w:pPr>
      <w:r w:rsidRPr="00AF1814">
        <w:t>10 mm caliper measurement by clinical exam (when superficial)</w:t>
      </w:r>
    </w:p>
    <w:p w14:paraId="07A4FDBE" w14:textId="77777777" w:rsidR="001A5310" w:rsidRPr="00AF1814" w:rsidRDefault="00DA3174" w:rsidP="00F15279">
      <w:pPr>
        <w:pStyle w:val="List1withbullet"/>
      </w:pPr>
      <w:r w:rsidRPr="00AF1814">
        <w:t>20 mm by chest X-ray (if clearly defined and surrounded by aerated lung).</w:t>
      </w:r>
    </w:p>
    <w:p w14:paraId="5FA715A6" w14:textId="77777777" w:rsidR="001A5310" w:rsidRPr="00AF1814" w:rsidRDefault="00DA3174" w:rsidP="001A5310">
      <w:pPr>
        <w:pStyle w:val="BodyText"/>
      </w:pPr>
      <w:r w:rsidRPr="00AF1814">
        <w:rPr>
          <w:i/>
        </w:rPr>
        <w:t>Malignant lymph nodes</w:t>
      </w:r>
      <w:r w:rsidRPr="00AF1814">
        <w:t>: To be considered pathologically enlarged and measurable, a lymph node must be ≥ 15 mm in short axis when assessed by CT scan (CT scan slice thickness recommended to be no greater than 5 mm). At Baseline and in Follow-up, only the short axis will be measured and followed.</w:t>
      </w:r>
    </w:p>
    <w:p w14:paraId="27F660EA" w14:textId="77777777" w:rsidR="001A5310" w:rsidRPr="00AF1814" w:rsidRDefault="00DA3174" w:rsidP="001A5310">
      <w:pPr>
        <w:pStyle w:val="Bodytext-keepwithnext"/>
        <w:rPr>
          <w:u w:val="single"/>
        </w:rPr>
      </w:pPr>
      <w:r w:rsidRPr="00AF1814">
        <w:rPr>
          <w:u w:val="single"/>
        </w:rPr>
        <w:t>Non-measurable Disease</w:t>
      </w:r>
    </w:p>
    <w:p w14:paraId="31F0C228" w14:textId="77777777" w:rsidR="001A5310" w:rsidRPr="00AF1814" w:rsidRDefault="00DA3174" w:rsidP="001A5310">
      <w:pPr>
        <w:pStyle w:val="BodyText"/>
      </w:pPr>
      <w:r w:rsidRPr="00AF1814">
        <w:t>All other lesions (or sites of disease), including small lesions (longest diameter ≥ 10 to &lt; 15 mm with conventional techniques or &lt; 10 mm using spiral CT scan), are considered non-measurable disease. Leptomeningeal disease, ascites, pleural or pericardial effusion, inflammatory breast disease, lymphangitic involvement of skin or lung, abdominal masses/abdominal organomegaly identified by physical examination that is not measurable by reproducible imaging techniques are all non-measurable.</w:t>
      </w:r>
    </w:p>
    <w:p w14:paraId="7C554781" w14:textId="77777777" w:rsidR="001A5310" w:rsidRPr="00AF1814" w:rsidRDefault="00DA3174" w:rsidP="001A5310">
      <w:pPr>
        <w:pStyle w:val="Bodytext-keepwithnext"/>
        <w:rPr>
          <w:i/>
        </w:rPr>
      </w:pPr>
      <w:r w:rsidRPr="00AF1814">
        <w:rPr>
          <w:i/>
        </w:rPr>
        <w:t>Bone lesions:</w:t>
      </w:r>
    </w:p>
    <w:p w14:paraId="6EA50AEF" w14:textId="77777777" w:rsidR="001A5310" w:rsidRPr="00AF1814" w:rsidRDefault="00DA3174" w:rsidP="00F15279">
      <w:pPr>
        <w:pStyle w:val="List1withbullet"/>
      </w:pPr>
      <w:r w:rsidRPr="00AF1814">
        <w:t>Bone scan, PET scan, or plain films are not considered adequate imaging techniques to measure bone lesions. However, these techniques can be used to confirm the presence or disappearance of bone lesions.</w:t>
      </w:r>
    </w:p>
    <w:p w14:paraId="4CA16264" w14:textId="77777777" w:rsidR="001A5310" w:rsidRPr="00AF1814" w:rsidRDefault="00DA3174" w:rsidP="00F15279">
      <w:pPr>
        <w:pStyle w:val="List1withbullet"/>
      </w:pPr>
      <w:r w:rsidRPr="00AF1814">
        <w:t xml:space="preserve">Lytic bone lesions or mixed lytic-blastic lesions, with identifiable soft tissue components, that can be evaluated by cross-sectional imaging techniques such as CT or MRI can be </w:t>
      </w:r>
      <w:r w:rsidRPr="00AF1814">
        <w:lastRenderedPageBreak/>
        <w:t>considered as measurable lesions if the soft tissue component meets the definition of measurability described above.</w:t>
      </w:r>
    </w:p>
    <w:p w14:paraId="66488200" w14:textId="77777777" w:rsidR="001A5310" w:rsidRPr="00AF1814" w:rsidRDefault="00DA3174" w:rsidP="00F15279">
      <w:pPr>
        <w:pStyle w:val="List1withbullet"/>
      </w:pPr>
      <w:r w:rsidRPr="00AF1814">
        <w:t>Blastic bone lesions are non-measurable.</w:t>
      </w:r>
    </w:p>
    <w:p w14:paraId="06B01484" w14:textId="77777777" w:rsidR="001A5310" w:rsidRPr="00AF1814" w:rsidRDefault="00DA3174" w:rsidP="001A5310">
      <w:pPr>
        <w:pStyle w:val="Bodytext-keepwithnext"/>
        <w:rPr>
          <w:i/>
        </w:rPr>
      </w:pPr>
      <w:r w:rsidRPr="00AF1814">
        <w:rPr>
          <w:i/>
        </w:rPr>
        <w:t>Cystic lesions:</w:t>
      </w:r>
    </w:p>
    <w:p w14:paraId="2C0FCF9D" w14:textId="77777777" w:rsidR="001A5310" w:rsidRPr="00AF1814" w:rsidRDefault="00DA3174" w:rsidP="00F15279">
      <w:pPr>
        <w:pStyle w:val="List1withbullet"/>
      </w:pPr>
      <w:r w:rsidRPr="00AF1814">
        <w:t>Lesions that meet the criteria for radiographically defined simple cysts should not be considered as malignant lesions (neither measurable nor non-measurable) since they are, by definition, simple cysts.</w:t>
      </w:r>
    </w:p>
    <w:p w14:paraId="759C94B2" w14:textId="77777777" w:rsidR="001A5310" w:rsidRPr="00AF1814" w:rsidRDefault="00DA3174" w:rsidP="00F15279">
      <w:pPr>
        <w:pStyle w:val="List1withbullet"/>
      </w:pPr>
      <w:r w:rsidRPr="00AF1814">
        <w:t>Cystic lesions thought to represent cystic metastases can be considered as measurable lesions, if they meet the definition of measurability described above. However, if non</w:t>
      </w:r>
      <w:r w:rsidRPr="00AF1814">
        <w:noBreakHyphen/>
        <w:t>cystic lesions are present in the same participant, these are preferred for selection as target lesions.</w:t>
      </w:r>
    </w:p>
    <w:p w14:paraId="130168A1" w14:textId="77777777" w:rsidR="001A5310" w:rsidRPr="00AF1814" w:rsidRDefault="00DA3174" w:rsidP="001A5310">
      <w:pPr>
        <w:pStyle w:val="Bodytext-keepwithnext"/>
        <w:rPr>
          <w:i/>
        </w:rPr>
      </w:pPr>
      <w:r w:rsidRPr="00AF1814">
        <w:rPr>
          <w:i/>
        </w:rPr>
        <w:t>Lesions with prior local treatment:</w:t>
      </w:r>
    </w:p>
    <w:p w14:paraId="3817949F" w14:textId="77777777" w:rsidR="001A5310" w:rsidRPr="00AF1814" w:rsidRDefault="00DA3174" w:rsidP="00F15279">
      <w:pPr>
        <w:pStyle w:val="List1withbullet"/>
      </w:pPr>
      <w:r w:rsidRPr="00AF1814">
        <w:t>Tumor lesions situated in a previously irradiated area, or in an area subjected to other local regional therapy, are usually not considered measurable unless there has been demonstrated progression in the lesion. Study protocols should detail the conditions under which such lesions would be considered measurable.</w:t>
      </w:r>
    </w:p>
    <w:p w14:paraId="7BAD7113" w14:textId="77777777" w:rsidR="001A5310" w:rsidRPr="00AF1814" w:rsidRDefault="00DA3174" w:rsidP="001A5310">
      <w:pPr>
        <w:pStyle w:val="Bodytext-keepwithnext"/>
        <w:rPr>
          <w:u w:val="single"/>
        </w:rPr>
      </w:pPr>
      <w:r w:rsidRPr="00AF1814">
        <w:rPr>
          <w:u w:val="single"/>
        </w:rPr>
        <w:t>Target Lesions</w:t>
      </w:r>
    </w:p>
    <w:p w14:paraId="47D7D386" w14:textId="77777777" w:rsidR="001A5310" w:rsidRPr="00AF1814" w:rsidRDefault="00DA3174" w:rsidP="001A5310">
      <w:pPr>
        <w:pStyle w:val="BodyText"/>
      </w:pPr>
      <w:r w:rsidRPr="00AF1814">
        <w:t xml:space="preserve">All measurable lesions up to a maximum of 2 lesions per organ and 5 lesions in total, should be identified as </w:t>
      </w:r>
      <w:r w:rsidRPr="00AF1814">
        <w:rPr>
          <w:b/>
        </w:rPr>
        <w:t>target lesions</w:t>
      </w:r>
      <w:r w:rsidRPr="00AF1814">
        <w:t xml:space="preserve"> and recorded and measured at Baseline. Target lesions should be selected on the basis of their size (lesions with the longest diameter), be representative of all involved organs, but in addition should be those that lend themselves to reproducible repeated measurements.</w:t>
      </w:r>
    </w:p>
    <w:p w14:paraId="3DDA8BA1" w14:textId="77777777" w:rsidR="001A5310" w:rsidRPr="00AF1814" w:rsidRDefault="00DA3174" w:rsidP="001A5310">
      <w:pPr>
        <w:pStyle w:val="BodyText"/>
      </w:pPr>
      <w:r w:rsidRPr="00AF1814">
        <w:t>Lymph nodes merit special mention since they are normal anatomical structures which may be visible by imaging even if not involved by tumor. Pathological nodes which are defined as measurable and may be identified as target lesions must meet the criterion of a short axis of ≥ 15 mm by CT scan. Only the short axis of these nodes will contribute to the baseline sum. The short axis of the node is the diameter normally used by radiologists to judge if a node is involved by solid tumor. Nodal size is normally reported as 2 dimensions in the plane in which the image is obtained (for CT scan this is almost always the axial plane; for MRI the plane of acquisition may be axial, sagittal, or coronal). The smaller of these measures is the short axis. For example, an abdominal node which is reported as being 20 mm x 30 mm has a short axis of 20 mm and qualifies as a malignant, measurable node. In this example, 20 mm should be recorded as the node measurement. All other pathological nodes (those with short axis ≥ 10 mm but &lt; 15 mm) should be considered non-target lesions. Nodes that have a short axis &lt; 10 mm are considered non-pathological and should not be recorded or followed.</w:t>
      </w:r>
    </w:p>
    <w:p w14:paraId="042B7210" w14:textId="77777777" w:rsidR="001A5310" w:rsidRPr="00AF1814" w:rsidRDefault="00DA3174" w:rsidP="001A5310">
      <w:pPr>
        <w:pStyle w:val="BodyText"/>
      </w:pPr>
      <w:r w:rsidRPr="00AF1814">
        <w:t xml:space="preserve">A sum of the diameters (longest for non-nodal lesions, short axis for nodal lesions) for all target lesions will be calculated and reported as the baseline sum diameters. If lymph nodes are to be included in the sum, then as noted above, only the short axis is added into the sum. The baseline </w:t>
      </w:r>
      <w:r w:rsidRPr="00AF1814">
        <w:lastRenderedPageBreak/>
        <w:t xml:space="preserve">sum diameters will be used as reference to further characterize any objective tumor regression in the measurable dimension of the disease. </w:t>
      </w:r>
    </w:p>
    <w:p w14:paraId="11C389BC" w14:textId="77777777" w:rsidR="001A5310" w:rsidRPr="00AF1814" w:rsidRDefault="00DA3174" w:rsidP="001A5310">
      <w:pPr>
        <w:pStyle w:val="Bodytext-keepwithnext"/>
        <w:rPr>
          <w:u w:val="single"/>
        </w:rPr>
      </w:pPr>
      <w:r w:rsidRPr="00AF1814">
        <w:rPr>
          <w:u w:val="single"/>
        </w:rPr>
        <w:t>Non-target Lesions</w:t>
      </w:r>
    </w:p>
    <w:p w14:paraId="1587B46F" w14:textId="77777777" w:rsidR="001A5310" w:rsidRPr="00AF1814" w:rsidRDefault="00DA3174" w:rsidP="001A5310">
      <w:pPr>
        <w:pStyle w:val="BodyText"/>
      </w:pPr>
      <w:r w:rsidRPr="00AF1814">
        <w:t>All other lesions (or sites of disease) including pathological lymph nodes should be identified as non-target lesions and should also be recorded at Baseline. Measurements are not required, and these lesions should be followed as ‘present’, ‘absent’, or in rare cases ‘unequivocal progression’ (more details to follow). In addition, it is possible to record multiple non-target lesions involving the same organ as a single item on the case record form (e</w:t>
      </w:r>
      <w:r w:rsidR="005317D3" w:rsidRPr="00AF1814">
        <w:t>.</w:t>
      </w:r>
      <w:r w:rsidRPr="00AF1814">
        <w:t>g</w:t>
      </w:r>
      <w:r w:rsidR="005317D3" w:rsidRPr="00AF1814">
        <w:t>.</w:t>
      </w:r>
      <w:r w:rsidRPr="00AF1814">
        <w:t xml:space="preserve">, ‘multiple enlarged pelvic lymph nodes’ or ‘multiple liver metastases’). </w:t>
      </w:r>
    </w:p>
    <w:p w14:paraId="1221D693" w14:textId="77777777" w:rsidR="001A5310" w:rsidRPr="00AF1814" w:rsidRDefault="00DA3174" w:rsidP="001A5310">
      <w:pPr>
        <w:pStyle w:val="Bodytext-keepwithnext"/>
        <w:rPr>
          <w:b/>
        </w:rPr>
      </w:pPr>
      <w:r w:rsidRPr="00AF1814">
        <w:rPr>
          <w:b/>
        </w:rPr>
        <w:t>GUIDELINES FOR EVALUATION OF MEASURABLE DISEASE</w:t>
      </w:r>
    </w:p>
    <w:p w14:paraId="37318D7C" w14:textId="77777777" w:rsidR="001A5310" w:rsidRPr="00AF1814" w:rsidRDefault="00DA3174" w:rsidP="001A5310">
      <w:pPr>
        <w:pStyle w:val="BodyText"/>
      </w:pPr>
      <w:r w:rsidRPr="00AF1814">
        <w:t>All measurements should be recorded in metric notation, using calipers if clinically assessed. All Baseline evaluations should be performed as close as possible to the treatment start and never more than 4 weeks before the beginning of the treatment.</w:t>
      </w:r>
    </w:p>
    <w:p w14:paraId="030D9DD9" w14:textId="77777777" w:rsidR="001A5310" w:rsidRPr="00AF1814" w:rsidRDefault="00DA3174" w:rsidP="001A5310">
      <w:pPr>
        <w:pStyle w:val="BodyText"/>
      </w:pPr>
      <w:r w:rsidRPr="00AF1814">
        <w:t>The same method of assessment and the same technique should be used to characterize each identified and reported lesion at Baseline and during follow-up. Imaging based evaluation should always be done rather than clinical examination unless the lesion(s) being followed cannot be imaged but are assessable by clinical examination.</w:t>
      </w:r>
    </w:p>
    <w:p w14:paraId="3C6D5278" w14:textId="77777777" w:rsidR="001A5310" w:rsidRPr="00AF1814" w:rsidRDefault="00DA3174" w:rsidP="001A5310">
      <w:pPr>
        <w:pStyle w:val="BodyText"/>
      </w:pPr>
      <w:r w:rsidRPr="00AF1814">
        <w:t>No photographs, no skin lesion measurement by calipers and no measurements on chest X</w:t>
      </w:r>
      <w:r w:rsidRPr="00AF1814">
        <w:noBreakHyphen/>
        <w:t>ray will be done in this study.</w:t>
      </w:r>
    </w:p>
    <w:p w14:paraId="490187C2" w14:textId="77777777" w:rsidR="001A5310" w:rsidRPr="00AF1814" w:rsidRDefault="00DA3174" w:rsidP="001A5310">
      <w:pPr>
        <w:pStyle w:val="BodyText"/>
      </w:pPr>
      <w:r w:rsidRPr="00AF1814">
        <w:rPr>
          <w:b/>
        </w:rPr>
        <w:t>CT, MRI:</w:t>
      </w:r>
      <w:r w:rsidRPr="00AF1814">
        <w:t xml:space="preserve"> CT is the best currently available and reproducible method to measure lesions selected for response assessment. This guideline has defined measurability of lesions on CT scan based on the assumption that CT slice thickness is 5 mm or less. As is described in Appendix II of the original source article cited above, when CT scans have slice thickness greater than 5 mm, the minimum size for a measurable lesion should be twice the slice thickness. MRI is also acceptable in certain situations (e</w:t>
      </w:r>
      <w:r w:rsidR="005317D3" w:rsidRPr="00AF1814">
        <w:t>.</w:t>
      </w:r>
      <w:r w:rsidRPr="00AF1814">
        <w:t>g</w:t>
      </w:r>
      <w:r w:rsidR="005317D3" w:rsidRPr="00AF1814">
        <w:t>.</w:t>
      </w:r>
      <w:r w:rsidRPr="00AF1814">
        <w:t xml:space="preserve">, for body scans). </w:t>
      </w:r>
    </w:p>
    <w:p w14:paraId="5AC1F6DD" w14:textId="77777777" w:rsidR="001A5310" w:rsidRPr="00AF1814" w:rsidRDefault="00DA3174" w:rsidP="001A5310">
      <w:pPr>
        <w:pStyle w:val="BodyText"/>
      </w:pPr>
      <w:r w:rsidRPr="00AF1814">
        <w:rPr>
          <w:b/>
        </w:rPr>
        <w:t>Ultrasound:</w:t>
      </w:r>
      <w:r w:rsidRPr="00AF1814">
        <w:t xml:space="preserve"> Ultrasound is not useful in assessment of lesion size and should not be used as a method of measurement. Ultrasound examinations cannot be reproduced in their entirety for independent review at a later date and, because they are operator dependent, it cannot be guaranteed that the same technique and measurements will be taken from 1 assessment to the next. If new lesions are identified by ultrasound in the course of the study, confirmation by CT or MRI is advised. If there is concern about radiation exposure at CT, MRI may be used instead of CT in selected instances.</w:t>
      </w:r>
    </w:p>
    <w:p w14:paraId="5E2870DF" w14:textId="77777777" w:rsidR="001A5310" w:rsidRPr="00AF1814" w:rsidRDefault="00DA3174" w:rsidP="001A5310">
      <w:pPr>
        <w:pStyle w:val="BodyText"/>
      </w:pPr>
      <w:r w:rsidRPr="00AF1814">
        <w:rPr>
          <w:b/>
        </w:rPr>
        <w:t>Endoscopy, laparoscopy:</w:t>
      </w:r>
      <w:r w:rsidRPr="00AF1814">
        <w:t xml:space="preserve"> The utilization of these techniques for objective tumor evaluation is not advised. However, they can be useful to confirm complete pathological response when biopsies are obtained or to determine relapse in studies where recurrence following </w:t>
      </w:r>
      <w:r w:rsidR="005317D3" w:rsidRPr="00AF1814">
        <w:t>CR</w:t>
      </w:r>
      <w:r w:rsidRPr="00AF1814">
        <w:t xml:space="preserve"> or surgical resection is an endpoint.</w:t>
      </w:r>
    </w:p>
    <w:p w14:paraId="507F0D20" w14:textId="77777777" w:rsidR="001A5310" w:rsidRPr="00AF1814" w:rsidRDefault="00DA3174" w:rsidP="001A5310">
      <w:pPr>
        <w:pStyle w:val="BodyText"/>
      </w:pPr>
      <w:r w:rsidRPr="00AF1814">
        <w:rPr>
          <w:b/>
        </w:rPr>
        <w:lastRenderedPageBreak/>
        <w:t>Tumor markers:</w:t>
      </w:r>
      <w:r w:rsidRPr="00AF1814">
        <w:t xml:space="preserve"> Tumor markers alone cannot be used to assess objective tumor response. If markers are initially above the upper normal limit; however, they must normalize for a participant to be considered in </w:t>
      </w:r>
      <w:r w:rsidR="005317D3" w:rsidRPr="00AF1814">
        <w:t>CR</w:t>
      </w:r>
      <w:r w:rsidRPr="00AF1814">
        <w:t>. Because tumor markers are disease specific, instructions for their measurement should be incorporated into protocols on a disease specific basis. Specific guidelines for both CA-125 response (in recurrent ovarian cancer) and prostate-specific antigen response (in recurrent prostate cancer), have been published. In addition, the Gynecologic Cancer Intergroup has developed CA-125 progression criteria which are to be integrated with objective tumor assessment for use in first-line studies in ovarian cancer.</w:t>
      </w:r>
    </w:p>
    <w:p w14:paraId="352776F7" w14:textId="77777777" w:rsidR="001A5310" w:rsidRPr="00AF1814" w:rsidRDefault="00DA3174" w:rsidP="001A5310">
      <w:pPr>
        <w:pStyle w:val="BodyText"/>
      </w:pPr>
      <w:r w:rsidRPr="00AF1814">
        <w:rPr>
          <w:b/>
        </w:rPr>
        <w:t>Cytology, histology:</w:t>
      </w:r>
      <w:r w:rsidRPr="00AF1814">
        <w:t xml:space="preserve"> These techniques can be used to differentiate between </w:t>
      </w:r>
      <w:r w:rsidR="005317D3" w:rsidRPr="00AF1814">
        <w:t>PR</w:t>
      </w:r>
      <w:r w:rsidRPr="00AF1814">
        <w:t xml:space="preserve"> and CR in rare cases if required by protocol (e</w:t>
      </w:r>
      <w:r w:rsidR="005317D3" w:rsidRPr="00AF1814">
        <w:t>.</w:t>
      </w:r>
      <w:r w:rsidRPr="00AF1814">
        <w:t>g</w:t>
      </w:r>
      <w:r w:rsidR="005317D3" w:rsidRPr="00AF1814">
        <w:t>.</w:t>
      </w:r>
      <w:r w:rsidRPr="00AF1814">
        <w:t>, residual lesions in tumor types such as germ cell tumors, where known residual benign tumors can remain). When effusions are known to be a potential adverse event (AE) of treatment (e</w:t>
      </w:r>
      <w:r w:rsidR="005317D3" w:rsidRPr="00AF1814">
        <w:t>.</w:t>
      </w:r>
      <w:r w:rsidRPr="00AF1814">
        <w:t>g</w:t>
      </w:r>
      <w:r w:rsidR="005317D3" w:rsidRPr="00AF1814">
        <w:t>.</w:t>
      </w:r>
      <w:r w:rsidRPr="00AF1814">
        <w:t>, with certain taxane compounds or angiogenesis inhibitors), the cytological confirmation of the neoplastic origin of any effusion that appears or worsens during treatment can be considered if the measurable tumor has met criteria for response or SD in order to differentiate between response (or SD) and PD.</w:t>
      </w:r>
    </w:p>
    <w:p w14:paraId="460BC29D" w14:textId="77777777" w:rsidR="001A5310" w:rsidRPr="00AF1814" w:rsidRDefault="00DA3174" w:rsidP="001A5310">
      <w:pPr>
        <w:pStyle w:val="Bodytext-keepwithnext"/>
        <w:rPr>
          <w:b/>
        </w:rPr>
      </w:pPr>
      <w:r w:rsidRPr="00AF1814">
        <w:rPr>
          <w:b/>
        </w:rPr>
        <w:t>RESPONSE CRITERIA</w:t>
      </w:r>
    </w:p>
    <w:p w14:paraId="4C35D58E" w14:textId="77777777" w:rsidR="001A5310" w:rsidRPr="00AF1814" w:rsidRDefault="00DA3174" w:rsidP="001A5310">
      <w:pPr>
        <w:pStyle w:val="Bodytext-keepwithnext"/>
        <w:rPr>
          <w:u w:val="single"/>
        </w:rPr>
      </w:pPr>
      <w:r w:rsidRPr="00AF1814">
        <w:rPr>
          <w:u w:val="single"/>
        </w:rPr>
        <w:t>Evaluation of Target Lesions</w:t>
      </w:r>
    </w:p>
    <w:p w14:paraId="484E7E3B" w14:textId="77777777" w:rsidR="001A5310" w:rsidRPr="00AF1814" w:rsidRDefault="00DA3174" w:rsidP="001A5310">
      <w:pPr>
        <w:pStyle w:val="BodyText"/>
      </w:pPr>
      <w:r w:rsidRPr="00AF1814">
        <w:t>CR: Disappearance of all target lesions. Any pathological lymph nodes (whether target or non-target) must have reduction in short axis to &lt; 10 mm.</w:t>
      </w:r>
    </w:p>
    <w:p w14:paraId="064D6884" w14:textId="77777777" w:rsidR="001A5310" w:rsidRPr="00AF1814" w:rsidRDefault="00DA3174" w:rsidP="001A5310">
      <w:pPr>
        <w:pStyle w:val="BodyText"/>
      </w:pPr>
      <w:r w:rsidRPr="00AF1814">
        <w:t>PR</w:t>
      </w:r>
      <w:r w:rsidR="007644DC" w:rsidRPr="00AF1814">
        <w:t xml:space="preserve">: At least a 30% decrease in the sum of diameters of target lesions, taking as reference the baseline sum diameters. </w:t>
      </w:r>
    </w:p>
    <w:p w14:paraId="62AF4394" w14:textId="77777777" w:rsidR="001A5310" w:rsidRPr="00AF1814" w:rsidRDefault="00DA3174" w:rsidP="001A5310">
      <w:pPr>
        <w:pStyle w:val="BodyText"/>
      </w:pPr>
      <w:r w:rsidRPr="00AF1814">
        <w:t xml:space="preserve">PD: At least a 20% increase in the sum of diameters of target lesions, taking as reference the smallest sum on study (this includes the baseline sum if that is the smallest on study). In addition to the relative increase of 20%, the sum must also demonstrate an absolute increase of at least 5 mm. (Note: the appearance of 1 or more new lesions is also considered progression). </w:t>
      </w:r>
    </w:p>
    <w:p w14:paraId="78C0645F" w14:textId="77777777" w:rsidR="001A5310" w:rsidRPr="00AF1814" w:rsidRDefault="00DA3174" w:rsidP="001A5310">
      <w:pPr>
        <w:pStyle w:val="BodyText"/>
      </w:pPr>
      <w:r w:rsidRPr="00AF1814">
        <w:t xml:space="preserve">SD: Neither sufficient shrinkage to qualify for </w:t>
      </w:r>
      <w:r w:rsidR="005317D3" w:rsidRPr="00AF1814">
        <w:t>PR</w:t>
      </w:r>
      <w:r w:rsidRPr="00AF1814">
        <w:t xml:space="preserve"> nor sufficient increase to qualify for PD, taking as reference the smallest sum diameters while on study. </w:t>
      </w:r>
    </w:p>
    <w:p w14:paraId="07D78807" w14:textId="77777777" w:rsidR="001A5310" w:rsidRPr="00AF1814" w:rsidRDefault="00DA3174" w:rsidP="001A5310">
      <w:pPr>
        <w:pStyle w:val="BodyText"/>
      </w:pPr>
      <w:r w:rsidRPr="00AF1814">
        <w:rPr>
          <w:i/>
        </w:rPr>
        <w:t>Lymph nodes.</w:t>
      </w:r>
      <w:r w:rsidRPr="00AF1814">
        <w:t xml:space="preserve"> Lymph nodes identified as target lesions should always have the actual short axis measurement recorded (measured in the same anatomical plane as the Baseline examination), even if the nodes regress to below 10 mm on study. This means that when lymph nodes are included as target lesions, the ‘sum’ of lesions may not be zero even if </w:t>
      </w:r>
      <w:r w:rsidR="005317D3" w:rsidRPr="00AF1814">
        <w:t>CR</w:t>
      </w:r>
      <w:r w:rsidRPr="00AF1814">
        <w:t xml:space="preserve"> criteria are met, since a normal lymph node is defined as having a short axis of &lt; 10 mm. Case report forms (CRFs) or other data collection methods may therefore be designed to have target nodal lesions recorded in a separate section where, in order to qualify for CR, each node must achieve a short axis &lt; 10 mm. For </w:t>
      </w:r>
      <w:r w:rsidR="005317D3" w:rsidRPr="00AF1814">
        <w:t>PR</w:t>
      </w:r>
      <w:r w:rsidRPr="00AF1814">
        <w:t>, SD, and PD, the actual short axis measurement of the nodes is to be included in the sum of target lesions.</w:t>
      </w:r>
    </w:p>
    <w:p w14:paraId="728A1D3A" w14:textId="45E27F90" w:rsidR="001A5310" w:rsidRPr="00AF1814" w:rsidRDefault="00DA3174" w:rsidP="001A5310">
      <w:pPr>
        <w:pStyle w:val="BodyText"/>
      </w:pPr>
      <w:r w:rsidRPr="00AF1814">
        <w:rPr>
          <w:i/>
        </w:rPr>
        <w:t>Target lesions that become ‘too small to measure’.</w:t>
      </w:r>
      <w:r w:rsidRPr="00AF1814">
        <w:t xml:space="preserve"> While on study, all lesions (nodal and non</w:t>
      </w:r>
      <w:r w:rsidRPr="00AF1814">
        <w:noBreakHyphen/>
        <w:t xml:space="preserve">nodal) recorded at Baseline should have their actual measurements recorded at each </w:t>
      </w:r>
      <w:r w:rsidRPr="00AF1814">
        <w:lastRenderedPageBreak/>
        <w:t>subsequent evaluation, even when very small (e</w:t>
      </w:r>
      <w:r w:rsidR="005317D3" w:rsidRPr="00AF1814">
        <w:t>.</w:t>
      </w:r>
      <w:r w:rsidRPr="00AF1814">
        <w:t>g</w:t>
      </w:r>
      <w:r w:rsidR="005317D3" w:rsidRPr="00AF1814">
        <w:t>.</w:t>
      </w:r>
      <w:r w:rsidRPr="00AF1814">
        <w:t>, 2 mm). However, sometimes lesions or lymph nodes which are recorded as target lesions at Baseline become so faint on CT scan that the radiologist may not feel comfortable assigning an exact measure and may report them as being ‘too small to measure’. When this occurs</w:t>
      </w:r>
      <w:r w:rsidR="00EF7A58">
        <w:t>,</w:t>
      </w:r>
      <w:r w:rsidRPr="00AF1814">
        <w:t xml:space="preserve"> it is important that a value be recorded on the eCRF. If it is the opinion of the radiologist that the lesion has likely disappeared, the measurement should be recorded as 0 mm. If the lesion is believed to be present and is faintly seen but too small to measure, a default value of 5 mm should be assigned. (Note: It is less likely that this rule will be used for lymph nodes since they usually have a definable size when normal and are frequently surrounded by fat, such as in the retroperitoneum; however, if a lymph node is believed to be present and is faintly seen but too small to measure, a default value of 5 mm should be assigned in this circumstance as well). This default value is derived from the 5 mm CT slice thickness (but should not be changed with varying CT slice thickness). The measurement of these lesions is potentially non-reproducible; therefore, providing this default value will prevent false responses or progressions based upon measurement error. To reiterate, however, if the radiologist is able to provide an actual measure, that should be recorded, even if it is below 5 mm.</w:t>
      </w:r>
    </w:p>
    <w:p w14:paraId="37902C1D" w14:textId="77777777" w:rsidR="001A5310" w:rsidRPr="00AF1814" w:rsidRDefault="00DA3174" w:rsidP="001A5310">
      <w:pPr>
        <w:pStyle w:val="BodyText"/>
      </w:pPr>
      <w:r w:rsidRPr="00AF1814">
        <w:rPr>
          <w:i/>
        </w:rPr>
        <w:t>Lesions that split or coalesce on treatment.</w:t>
      </w:r>
      <w:r w:rsidRPr="00AF1814">
        <w:t xml:space="preserve"> When non-nodal lesions ‘fragment’, the longest diameters of the fragmented portions should be added together to calculate the target lesion sum. Similarly, as lesions coalesce, a plane between them may be maintained that would aid in obtaining maximal diameter measurements of each individual lesion. If the lesions have truly coalesced such that they are no longer separable, the vector of the longest diameter in this instance should be the maximal longest diameter for the ‘coalesced lesion’.</w:t>
      </w:r>
    </w:p>
    <w:p w14:paraId="30F919B2" w14:textId="77777777" w:rsidR="001A5310" w:rsidRPr="00AF1814" w:rsidRDefault="00DA3174" w:rsidP="001A5310">
      <w:pPr>
        <w:pStyle w:val="Bodytext-keepwithnext"/>
        <w:rPr>
          <w:u w:val="single"/>
        </w:rPr>
      </w:pPr>
      <w:r w:rsidRPr="00AF1814">
        <w:rPr>
          <w:u w:val="single"/>
        </w:rPr>
        <w:t>Evaluation of Non-target Lesions</w:t>
      </w:r>
    </w:p>
    <w:p w14:paraId="5F5B8E3D" w14:textId="77777777" w:rsidR="001A5310" w:rsidRPr="00AF1814" w:rsidRDefault="00DA3174" w:rsidP="001A5310">
      <w:pPr>
        <w:pStyle w:val="BodyText"/>
      </w:pPr>
      <w:r w:rsidRPr="00AF1814">
        <w:t xml:space="preserve">While some non-target lesions may actually be measurable, they need not be measured and instead should be assessed only qualitatively at the time points specified in the protocol. </w:t>
      </w:r>
    </w:p>
    <w:p w14:paraId="566CAC6D" w14:textId="77777777" w:rsidR="001A5310" w:rsidRPr="00AF1814" w:rsidRDefault="00DA3174" w:rsidP="001A5310">
      <w:pPr>
        <w:pStyle w:val="BodyText"/>
      </w:pPr>
      <w:r w:rsidRPr="00AF1814">
        <w:t xml:space="preserve">CR: Disappearance of all non-target lesions and normalization of tumor marker level. All lymph nodes must be non-pathological in size (&lt; 10 mm short axis). </w:t>
      </w:r>
    </w:p>
    <w:p w14:paraId="221FAB84" w14:textId="77777777" w:rsidR="001A5310" w:rsidRPr="00AF1814" w:rsidRDefault="00DA3174" w:rsidP="001A5310">
      <w:pPr>
        <w:pStyle w:val="BodyText"/>
      </w:pPr>
      <w:r w:rsidRPr="00AF1814">
        <w:t>Non-CR/Non-PD: Persistence of 1 or more non-target lesion(s) and/or maintenance of tumor marker level above the normal limits.</w:t>
      </w:r>
    </w:p>
    <w:p w14:paraId="3403993B" w14:textId="77777777" w:rsidR="001A5310" w:rsidRPr="00AF1814" w:rsidRDefault="00DA3174" w:rsidP="001A5310">
      <w:pPr>
        <w:pStyle w:val="BodyText"/>
      </w:pPr>
      <w:r w:rsidRPr="00AF1814">
        <w:t xml:space="preserve">PD: Unequivocal progression (see comments below) of existing non-target lesions. (Note: the appearance of 1 or more new lesions is also considered progression). </w:t>
      </w:r>
    </w:p>
    <w:p w14:paraId="091A41B5" w14:textId="77777777" w:rsidR="001A5310" w:rsidRPr="00AF1814" w:rsidRDefault="00DA3174" w:rsidP="001A5310">
      <w:pPr>
        <w:pStyle w:val="BodyText"/>
      </w:pPr>
      <w:r w:rsidRPr="00AF1814">
        <w:rPr>
          <w:i/>
        </w:rPr>
        <w:t>When the participant also has measurable disease.</w:t>
      </w:r>
      <w:r w:rsidRPr="00AF1814">
        <w:t xml:space="preserve"> In this setting, to achieve ‘unequivocal progression’ on the basis of the non-target disease, there must be an overall level of substantial worsening in non-target disease such that, even in the presence of SD or partial response in target disease, the overall tumor burden has increased sufficiently to merit discontinuation of therapy. A modest ‘increase’ in the size of 1 or more non-target lesions is usually not sufficient to quality for unequivocal progression status. The designation of overall progression solely on the basis of change in non-target disease in the face of SD or </w:t>
      </w:r>
      <w:r w:rsidR="005317D3" w:rsidRPr="00AF1814">
        <w:t>PR</w:t>
      </w:r>
      <w:r w:rsidRPr="00AF1814">
        <w:t xml:space="preserve"> of target disease will therefore be extremely rare.</w:t>
      </w:r>
    </w:p>
    <w:p w14:paraId="4F5764FD" w14:textId="77777777" w:rsidR="001A5310" w:rsidRPr="00AF1814" w:rsidRDefault="00DA3174" w:rsidP="001A5310">
      <w:pPr>
        <w:pStyle w:val="BodyText"/>
      </w:pPr>
      <w:r w:rsidRPr="00AF1814">
        <w:rPr>
          <w:i/>
        </w:rPr>
        <w:lastRenderedPageBreak/>
        <w:t>When the participant has only non-measurable disease.</w:t>
      </w:r>
      <w:r w:rsidRPr="00AF1814">
        <w:t xml:space="preserve"> This circumstance arises in some Phase III studies when it is not a criterion of study entry to have measurable disease. The same general concept applies here as noted above; however, in this instance there is no measurable disease assessment to factor into the interpretation of an increase in non-measurable disease burden. Because worsening in non-target disease cannot be easily quantified (by definition: if all lesions are truly non-measurable), a useful test that can be applied when assessing participants for unequivocal progression is to consider if the increase in overall disease burden based on the change in non-measurable disease is comparable in magnitude to the increase that would be required to declare PD for measurable disease: i</w:t>
      </w:r>
      <w:r w:rsidR="005317D3" w:rsidRPr="00AF1814">
        <w:t>.</w:t>
      </w:r>
      <w:r w:rsidRPr="00AF1814">
        <w:t>e</w:t>
      </w:r>
      <w:r w:rsidR="005317D3" w:rsidRPr="00AF1814">
        <w:t>.</w:t>
      </w:r>
      <w:r w:rsidRPr="00AF1814">
        <w:t>, an increase in tumor burden representing an additional 73% increase in ‘volume’ (which is equivalent to a 20% increase diameter in a measurable lesion). Examples include an increase in a pleural effusion from ‘trace’ to ‘large’, an increase in lymphangitic disease from localized to widespread, or may be described in protocols as ‘sufficient to require a change in therapy’. If ‘unequivocal progression’ is seen, the participant should be considered to have had overall PD at that point. While it would be ideal to have objective criteria to apply to non-measurable disease, the very nature of that disease makes it impossible to do so; therefore, the increase must be substantial.</w:t>
      </w:r>
    </w:p>
    <w:p w14:paraId="66CA2C81" w14:textId="77777777" w:rsidR="001A5310" w:rsidRPr="00AF1814" w:rsidRDefault="00DA3174" w:rsidP="001A5310">
      <w:pPr>
        <w:pStyle w:val="Bodytext-keepwithnext"/>
        <w:rPr>
          <w:u w:val="single"/>
        </w:rPr>
      </w:pPr>
      <w:r w:rsidRPr="00AF1814">
        <w:rPr>
          <w:u w:val="single"/>
        </w:rPr>
        <w:t>New Lesions</w:t>
      </w:r>
    </w:p>
    <w:p w14:paraId="751A2E98" w14:textId="77777777" w:rsidR="001A5310" w:rsidRPr="00AF1814" w:rsidRDefault="00DA3174" w:rsidP="001A5310">
      <w:pPr>
        <w:pStyle w:val="BodyText"/>
      </w:pPr>
      <w:r w:rsidRPr="00AF1814">
        <w:t>The appearance of new malignant lesions denotes disease progression; therefore, some comments on detection of new lesions are important. There are no specific criteria for the identification of new radiographic lesions; however, the finding of a new lesion should be unequivocal: i</w:t>
      </w:r>
      <w:r w:rsidR="005317D3" w:rsidRPr="00AF1814">
        <w:t>.</w:t>
      </w:r>
      <w:r w:rsidRPr="00AF1814">
        <w:t>e</w:t>
      </w:r>
      <w:r w:rsidR="005317D3" w:rsidRPr="00AF1814">
        <w:t>.</w:t>
      </w:r>
      <w:r w:rsidRPr="00AF1814">
        <w:t>, not attributable to differences in scanning technique, change in imaging modality, or findings thought to represent something other than tumor (e</w:t>
      </w:r>
      <w:r w:rsidR="005317D3" w:rsidRPr="00AF1814">
        <w:t>.</w:t>
      </w:r>
      <w:r w:rsidRPr="00AF1814">
        <w:t>g</w:t>
      </w:r>
      <w:r w:rsidR="005317D3" w:rsidRPr="00AF1814">
        <w:t>.</w:t>
      </w:r>
      <w:r w:rsidRPr="00AF1814">
        <w:t xml:space="preserve">, some ‘new’ bone lesions may be simply healing or flare of pre-existing lesions). This is particularly important when the participant’s Baseline lesions show partial or </w:t>
      </w:r>
      <w:r w:rsidR="005317D3" w:rsidRPr="00AF1814">
        <w:t>CR</w:t>
      </w:r>
      <w:r w:rsidRPr="00AF1814">
        <w:t xml:space="preserve">. For example, necrosis of a liver lesion may be reported on a CT scan report as a ‘new’ cystic lesion, which it is not. </w:t>
      </w:r>
    </w:p>
    <w:p w14:paraId="087A8657" w14:textId="77777777" w:rsidR="001A5310" w:rsidRPr="00AF1814" w:rsidRDefault="00DA3174" w:rsidP="001A5310">
      <w:pPr>
        <w:pStyle w:val="BodyText"/>
      </w:pPr>
      <w:r w:rsidRPr="00AF1814">
        <w:t>A lesion identified on a follow-up study in an anatomical location that was not scanned at Baseline is considered a new lesion and will indicate PD. An example of this is the participant who has visceral disease at Baseline and while on study has a brain CT or MRI ordered which reveals metastases. The participant’s brain metastases are considered to be evidence of PD even if he/she did not have brain imaging at Baseline.</w:t>
      </w:r>
    </w:p>
    <w:p w14:paraId="5F807AAA" w14:textId="77777777" w:rsidR="001A5310" w:rsidRPr="00AF1814" w:rsidRDefault="00DA3174" w:rsidP="001A5310">
      <w:pPr>
        <w:pStyle w:val="BodyText"/>
      </w:pPr>
      <w:r w:rsidRPr="00AF1814">
        <w:t>If a new lesion is equivocal, e</w:t>
      </w:r>
      <w:r w:rsidR="005317D3" w:rsidRPr="00AF1814">
        <w:t>.</w:t>
      </w:r>
      <w:r w:rsidRPr="00AF1814">
        <w:t>g</w:t>
      </w:r>
      <w:r w:rsidR="005317D3" w:rsidRPr="00AF1814">
        <w:t>.</w:t>
      </w:r>
      <w:r w:rsidRPr="00AF1814">
        <w:t>, because of its small size, continued therapy and follow</w:t>
      </w:r>
      <w:r w:rsidRPr="00AF1814">
        <w:noBreakHyphen/>
        <w:t>up evaluation will clarify if it represents truly new disease. If repeat scans confirm there is definitely a new lesion, then progression should be declared using the date of the initial scan.</w:t>
      </w:r>
    </w:p>
    <w:p w14:paraId="5EEEBB66" w14:textId="77777777" w:rsidR="001A5310" w:rsidRPr="00AF1814" w:rsidRDefault="00DA3174" w:rsidP="001A5310">
      <w:pPr>
        <w:pStyle w:val="BodyText"/>
      </w:pPr>
      <w:r w:rsidRPr="00AF1814">
        <w:t>While fludeoxyglucose positron emission tomography (FDG-PET) response assessments need additional studies, it is sometimes reasonable to incorporate the use of FDG-PET scanning to complement CT scanning in assessment of progression (particularly possible ‘new’ disease). New lesions on the basis of FDG-PET imaging can be identified according to the following algorithm:</w:t>
      </w:r>
    </w:p>
    <w:p w14:paraId="07982AA0" w14:textId="77777777" w:rsidR="001A5310" w:rsidRPr="00AF1814" w:rsidRDefault="00DA3174" w:rsidP="001A5310">
      <w:pPr>
        <w:pStyle w:val="BodyText"/>
        <w:tabs>
          <w:tab w:val="left" w:pos="360"/>
        </w:tabs>
        <w:ind w:left="360" w:hanging="360"/>
      </w:pPr>
      <w:r w:rsidRPr="00AF1814">
        <w:t>a.</w:t>
      </w:r>
      <w:r w:rsidRPr="00AF1814">
        <w:tab/>
        <w:t>Negative FDG-PET at Baseline, with a positive FDG-PET at follow-up is a sign of PD based on a new lesion.</w:t>
      </w:r>
    </w:p>
    <w:p w14:paraId="73A7E52F" w14:textId="77777777" w:rsidR="001A5310" w:rsidRPr="00AF1814" w:rsidRDefault="00DA3174" w:rsidP="001A5310">
      <w:pPr>
        <w:pStyle w:val="BodyText"/>
        <w:tabs>
          <w:tab w:val="left" w:pos="360"/>
        </w:tabs>
        <w:ind w:left="360" w:hanging="360"/>
      </w:pPr>
      <w:r w:rsidRPr="00AF1814">
        <w:lastRenderedPageBreak/>
        <w:t>b.</w:t>
      </w:r>
      <w:r w:rsidRPr="00AF1814">
        <w:tab/>
        <w:t>No FDG-PET at Baseline and a positive FDG-PET at follow-up: If the positive FDG-PET at follow-up corresponds to a new site of disease confirmed by CT, this is PD. If the positive FDG-PET at follow-up is not confirmed as a new site of disease on CT, additional follow-up CT scans are needed to determine if there is truly progression occurring at that site (if so, the date of PD will be the date of the initial abnormal FDG-PET scan). If the positive FDG-PET at follow-up corresponds to a pre-existing site of disease on CT that is not progressing on the basis of the anatomic images, this is not PD.</w:t>
      </w:r>
    </w:p>
    <w:p w14:paraId="0B102A99" w14:textId="77777777" w:rsidR="001A5310" w:rsidRPr="00AF1814" w:rsidRDefault="00DA3174" w:rsidP="001A5310">
      <w:pPr>
        <w:pStyle w:val="Bodytext-keepwithnext"/>
        <w:rPr>
          <w:u w:val="single"/>
        </w:rPr>
      </w:pPr>
      <w:r w:rsidRPr="00AF1814">
        <w:rPr>
          <w:u w:val="single"/>
        </w:rPr>
        <w:t>Evaluation of Best Overall Response</w:t>
      </w:r>
    </w:p>
    <w:p w14:paraId="063EE011" w14:textId="77777777" w:rsidR="001A5310" w:rsidRPr="00AF1814" w:rsidRDefault="00DA3174" w:rsidP="001A5310">
      <w:pPr>
        <w:pStyle w:val="BodyText"/>
      </w:pPr>
      <w:r w:rsidRPr="00AF1814">
        <w:t xml:space="preserve">The best overall response (BOR) is the best response recorded from the start of the study intervention until the end of treatment taking into account any requirement for confirmation. On occasion, a response may not be documented until after the end of therapy, so protocols should be clear if post treatment assessments are to be considered in determination of BOR. Protocols must specify how any new therapy introduced before progression will affect best response designation. The participant’s BOR assignment will depend on the findings of both target and non-target disease and will also take into consideration the appearance of new lesions. Furthermore, depending on the nature of the study and the protocol requirements, it may also require confirmatory measurement. Specifically, in non-randomized studies where response is the primary endpoint, confirmation of </w:t>
      </w:r>
      <w:r w:rsidR="005317D3" w:rsidRPr="00AF1814">
        <w:t>PR</w:t>
      </w:r>
      <w:r w:rsidRPr="00AF1814">
        <w:t xml:space="preserve"> or CR is needed to deem either 1 the ‘BOR’. </w:t>
      </w:r>
    </w:p>
    <w:p w14:paraId="35268D4C" w14:textId="77777777" w:rsidR="001A5310" w:rsidRPr="00AF1814" w:rsidRDefault="00DA3174" w:rsidP="001A5310">
      <w:pPr>
        <w:pStyle w:val="BodyText"/>
      </w:pPr>
      <w:r w:rsidRPr="00AF1814">
        <w:t xml:space="preserve">The BOR is determined once all the data for the participant is known. Best response determination in studies where confirmation of complete or </w:t>
      </w:r>
      <w:r w:rsidR="005317D3" w:rsidRPr="00AF1814">
        <w:t>PR</w:t>
      </w:r>
      <w:r w:rsidRPr="00AF1814">
        <w:t xml:space="preserve"> IS NOT required: Best response in these studies is defined as the best response across all time points (for example, a participant who has SD at first assessment, </w:t>
      </w:r>
      <w:r w:rsidR="005317D3" w:rsidRPr="00AF1814">
        <w:t>PR</w:t>
      </w:r>
      <w:r w:rsidRPr="00AF1814">
        <w:t xml:space="preserve"> at second assessment, and PD on last assessment has a BOR of </w:t>
      </w:r>
      <w:r w:rsidR="005317D3" w:rsidRPr="00AF1814">
        <w:t>PR</w:t>
      </w:r>
      <w:r w:rsidRPr="00AF1814">
        <w:t>). When SD is believed to be best response, it must also meet the protocol</w:t>
      </w:r>
      <w:r w:rsidRPr="00AF1814">
        <w:noBreakHyphen/>
        <w:t>specified minimum time from baseline. If the minimum time is not met when SD is otherwise the best time point response, the participant’s best response depends on the subsequent assessments. For example, a participant who has SD at first assessment, PD at second and does not meet minimum duration for SD, will have a best response of PD. The same participant lost to follow-up after the first SD assessment would be considered inevaluable.</w:t>
      </w:r>
    </w:p>
    <w:p w14:paraId="23075B07" w14:textId="77777777" w:rsidR="001A5310" w:rsidRPr="00AF1814" w:rsidRDefault="001A5310" w:rsidP="001A5310">
      <w:pPr>
        <w:pStyle w:val="BodyText"/>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94"/>
        <w:gridCol w:w="2666"/>
        <w:gridCol w:w="1548"/>
        <w:gridCol w:w="2023"/>
      </w:tblGrid>
      <w:tr w:rsidR="002108B2" w:rsidRPr="00AF1814" w14:paraId="677DD39A" w14:textId="77777777" w:rsidTr="00C125F8">
        <w:trPr>
          <w:jc w:val="center"/>
        </w:trPr>
        <w:tc>
          <w:tcPr>
            <w:tcW w:w="2194" w:type="dxa"/>
            <w:tcBorders>
              <w:top w:val="single" w:sz="4" w:space="0" w:color="auto"/>
              <w:bottom w:val="single" w:sz="4" w:space="0" w:color="auto"/>
            </w:tcBorders>
          </w:tcPr>
          <w:p w14:paraId="6C3BDAC8" w14:textId="77777777" w:rsidR="001A5310" w:rsidRPr="00AF1814" w:rsidRDefault="00DA3174" w:rsidP="00C125F8">
            <w:pPr>
              <w:pStyle w:val="Tableheading"/>
              <w:keepNext w:val="0"/>
              <w:keepLines w:val="0"/>
              <w:rPr>
                <w:u w:val="single"/>
              </w:rPr>
            </w:pPr>
            <w:r w:rsidRPr="00AF1814">
              <w:t>Target Lesions</w:t>
            </w:r>
          </w:p>
        </w:tc>
        <w:tc>
          <w:tcPr>
            <w:tcW w:w="2666" w:type="dxa"/>
            <w:tcBorders>
              <w:top w:val="single" w:sz="4" w:space="0" w:color="auto"/>
              <w:bottom w:val="single" w:sz="4" w:space="0" w:color="auto"/>
            </w:tcBorders>
          </w:tcPr>
          <w:p w14:paraId="4F45102F" w14:textId="77777777" w:rsidR="001A5310" w:rsidRPr="00AF1814" w:rsidRDefault="00DA3174" w:rsidP="00C125F8">
            <w:pPr>
              <w:pStyle w:val="Tableheading"/>
              <w:keepNext w:val="0"/>
              <w:keepLines w:val="0"/>
              <w:rPr>
                <w:u w:val="single"/>
              </w:rPr>
            </w:pPr>
            <w:r w:rsidRPr="00AF1814">
              <w:t>Non-target Lesions</w:t>
            </w:r>
          </w:p>
        </w:tc>
        <w:tc>
          <w:tcPr>
            <w:tcW w:w="1548" w:type="dxa"/>
            <w:tcBorders>
              <w:top w:val="single" w:sz="4" w:space="0" w:color="auto"/>
              <w:bottom w:val="single" w:sz="4" w:space="0" w:color="auto"/>
            </w:tcBorders>
          </w:tcPr>
          <w:p w14:paraId="278AB9B6" w14:textId="77777777" w:rsidR="001A5310" w:rsidRPr="00AF1814" w:rsidRDefault="00DA3174" w:rsidP="00C125F8">
            <w:pPr>
              <w:pStyle w:val="Tableheading"/>
              <w:keepNext w:val="0"/>
              <w:keepLines w:val="0"/>
              <w:rPr>
                <w:u w:val="single"/>
              </w:rPr>
            </w:pPr>
            <w:r w:rsidRPr="00AF1814">
              <w:t>New Lesions</w:t>
            </w:r>
          </w:p>
        </w:tc>
        <w:tc>
          <w:tcPr>
            <w:tcW w:w="2023" w:type="dxa"/>
            <w:tcBorders>
              <w:top w:val="single" w:sz="4" w:space="0" w:color="auto"/>
              <w:bottom w:val="single" w:sz="4" w:space="0" w:color="auto"/>
            </w:tcBorders>
          </w:tcPr>
          <w:p w14:paraId="10033E68" w14:textId="77777777" w:rsidR="001A5310" w:rsidRPr="00AF1814" w:rsidRDefault="00DA3174" w:rsidP="00C125F8">
            <w:pPr>
              <w:pStyle w:val="Tableheading"/>
              <w:keepNext w:val="0"/>
              <w:keepLines w:val="0"/>
              <w:rPr>
                <w:u w:val="single"/>
              </w:rPr>
            </w:pPr>
            <w:r w:rsidRPr="00AF1814">
              <w:t>Overall Response</w:t>
            </w:r>
          </w:p>
        </w:tc>
      </w:tr>
      <w:tr w:rsidR="002108B2" w:rsidRPr="00AF1814" w14:paraId="191075AF" w14:textId="77777777" w:rsidTr="00C125F8">
        <w:trPr>
          <w:jc w:val="center"/>
        </w:trPr>
        <w:tc>
          <w:tcPr>
            <w:tcW w:w="2194" w:type="dxa"/>
            <w:tcBorders>
              <w:top w:val="nil"/>
              <w:bottom w:val="nil"/>
            </w:tcBorders>
          </w:tcPr>
          <w:p w14:paraId="612BA125" w14:textId="77777777" w:rsidR="001A5310" w:rsidRPr="00AF1814" w:rsidRDefault="00DA3174" w:rsidP="00C125F8">
            <w:pPr>
              <w:pStyle w:val="Tabletext"/>
              <w:keepLines w:val="0"/>
              <w:jc w:val="center"/>
              <w:rPr>
                <w:u w:val="single"/>
              </w:rPr>
            </w:pPr>
            <w:r w:rsidRPr="00AF1814">
              <w:t>CR</w:t>
            </w:r>
          </w:p>
        </w:tc>
        <w:tc>
          <w:tcPr>
            <w:tcW w:w="2666" w:type="dxa"/>
            <w:tcBorders>
              <w:top w:val="nil"/>
              <w:bottom w:val="nil"/>
            </w:tcBorders>
          </w:tcPr>
          <w:p w14:paraId="61D1FF5A" w14:textId="77777777" w:rsidR="001A5310" w:rsidRPr="00AF1814" w:rsidRDefault="00DA3174" w:rsidP="00C125F8">
            <w:pPr>
              <w:pStyle w:val="Tabletext"/>
              <w:keepLines w:val="0"/>
              <w:jc w:val="center"/>
              <w:rPr>
                <w:u w:val="single"/>
              </w:rPr>
            </w:pPr>
            <w:r w:rsidRPr="00AF1814">
              <w:t>CR</w:t>
            </w:r>
          </w:p>
        </w:tc>
        <w:tc>
          <w:tcPr>
            <w:tcW w:w="1548" w:type="dxa"/>
            <w:tcBorders>
              <w:top w:val="nil"/>
              <w:bottom w:val="nil"/>
            </w:tcBorders>
          </w:tcPr>
          <w:p w14:paraId="503E03A6" w14:textId="77777777" w:rsidR="001A5310" w:rsidRPr="00AF1814" w:rsidRDefault="00DA3174" w:rsidP="00C125F8">
            <w:pPr>
              <w:pStyle w:val="Tabletext"/>
              <w:keepLines w:val="0"/>
              <w:jc w:val="center"/>
              <w:rPr>
                <w:u w:val="single"/>
              </w:rPr>
            </w:pPr>
            <w:r w:rsidRPr="00AF1814">
              <w:t>No</w:t>
            </w:r>
          </w:p>
        </w:tc>
        <w:tc>
          <w:tcPr>
            <w:tcW w:w="2023" w:type="dxa"/>
            <w:tcBorders>
              <w:top w:val="nil"/>
              <w:bottom w:val="nil"/>
            </w:tcBorders>
          </w:tcPr>
          <w:p w14:paraId="761EDCFB" w14:textId="77777777" w:rsidR="001A5310" w:rsidRPr="00AF1814" w:rsidRDefault="00DA3174" w:rsidP="00C125F8">
            <w:pPr>
              <w:pStyle w:val="Tabletext"/>
              <w:keepLines w:val="0"/>
              <w:jc w:val="center"/>
              <w:rPr>
                <w:u w:val="single"/>
              </w:rPr>
            </w:pPr>
            <w:r w:rsidRPr="00AF1814">
              <w:t>CR</w:t>
            </w:r>
          </w:p>
        </w:tc>
      </w:tr>
      <w:tr w:rsidR="002108B2" w:rsidRPr="00AF1814" w14:paraId="627620FB" w14:textId="77777777" w:rsidTr="00C125F8">
        <w:trPr>
          <w:jc w:val="center"/>
        </w:trPr>
        <w:tc>
          <w:tcPr>
            <w:tcW w:w="2194" w:type="dxa"/>
            <w:tcBorders>
              <w:top w:val="nil"/>
              <w:bottom w:val="nil"/>
            </w:tcBorders>
          </w:tcPr>
          <w:p w14:paraId="277F6EA7" w14:textId="77777777" w:rsidR="001A5310" w:rsidRPr="00AF1814" w:rsidRDefault="00DA3174" w:rsidP="00C125F8">
            <w:pPr>
              <w:pStyle w:val="Tabletext"/>
              <w:keepLines w:val="0"/>
              <w:jc w:val="center"/>
            </w:pPr>
            <w:r w:rsidRPr="00AF1814">
              <w:t>CR</w:t>
            </w:r>
          </w:p>
          <w:p w14:paraId="5EC4B95C" w14:textId="77777777" w:rsidR="001A5310" w:rsidRPr="00AF1814" w:rsidRDefault="00DA3174" w:rsidP="00C125F8">
            <w:pPr>
              <w:pStyle w:val="Tabletext"/>
              <w:keepLines w:val="0"/>
              <w:jc w:val="center"/>
            </w:pPr>
            <w:r w:rsidRPr="00AF1814">
              <w:t>CR</w:t>
            </w:r>
          </w:p>
        </w:tc>
        <w:tc>
          <w:tcPr>
            <w:tcW w:w="2666" w:type="dxa"/>
            <w:tcBorders>
              <w:top w:val="nil"/>
              <w:bottom w:val="nil"/>
            </w:tcBorders>
          </w:tcPr>
          <w:p w14:paraId="3C07DD35" w14:textId="77777777" w:rsidR="001A5310" w:rsidRPr="00AF1814" w:rsidRDefault="00DA3174" w:rsidP="00C125F8">
            <w:pPr>
              <w:pStyle w:val="Tabletext"/>
              <w:keepLines w:val="0"/>
              <w:jc w:val="center"/>
            </w:pPr>
            <w:r w:rsidRPr="00AF1814">
              <w:t>Non-CR/non-PD</w:t>
            </w:r>
          </w:p>
          <w:p w14:paraId="14BE0B7B" w14:textId="77777777" w:rsidR="001A5310" w:rsidRPr="00AF1814" w:rsidRDefault="00DA3174" w:rsidP="00C125F8">
            <w:pPr>
              <w:pStyle w:val="Tabletext"/>
              <w:keepLines w:val="0"/>
              <w:jc w:val="center"/>
            </w:pPr>
            <w:r w:rsidRPr="00AF1814">
              <w:t>Not Evaluated</w:t>
            </w:r>
          </w:p>
        </w:tc>
        <w:tc>
          <w:tcPr>
            <w:tcW w:w="1548" w:type="dxa"/>
            <w:tcBorders>
              <w:top w:val="nil"/>
              <w:bottom w:val="nil"/>
            </w:tcBorders>
          </w:tcPr>
          <w:p w14:paraId="59CB1D43" w14:textId="77777777" w:rsidR="001A5310" w:rsidRPr="00AF1814" w:rsidRDefault="00DA3174" w:rsidP="00C125F8">
            <w:pPr>
              <w:pStyle w:val="Tabletext"/>
              <w:keepLines w:val="0"/>
              <w:jc w:val="center"/>
            </w:pPr>
            <w:r w:rsidRPr="00AF1814">
              <w:t>No</w:t>
            </w:r>
          </w:p>
          <w:p w14:paraId="602E7A4A" w14:textId="77777777" w:rsidR="001A5310" w:rsidRPr="00AF1814" w:rsidRDefault="00DA3174" w:rsidP="00C125F8">
            <w:pPr>
              <w:pStyle w:val="Tabletext"/>
              <w:keepLines w:val="0"/>
              <w:jc w:val="center"/>
            </w:pPr>
            <w:r w:rsidRPr="00AF1814">
              <w:t>No</w:t>
            </w:r>
          </w:p>
        </w:tc>
        <w:tc>
          <w:tcPr>
            <w:tcW w:w="2023" w:type="dxa"/>
            <w:tcBorders>
              <w:top w:val="nil"/>
              <w:bottom w:val="nil"/>
            </w:tcBorders>
          </w:tcPr>
          <w:p w14:paraId="721658BF" w14:textId="77777777" w:rsidR="001A5310" w:rsidRPr="00AF1814" w:rsidRDefault="00DA3174" w:rsidP="00C125F8">
            <w:pPr>
              <w:pStyle w:val="Tabletext"/>
              <w:keepLines w:val="0"/>
              <w:jc w:val="center"/>
            </w:pPr>
            <w:r w:rsidRPr="00AF1814">
              <w:t>Partial response</w:t>
            </w:r>
          </w:p>
          <w:p w14:paraId="5E579EDB" w14:textId="77777777" w:rsidR="001A5310" w:rsidRPr="00AF1814" w:rsidRDefault="00DA3174" w:rsidP="00C125F8">
            <w:pPr>
              <w:pStyle w:val="Tabletext"/>
              <w:keepLines w:val="0"/>
              <w:jc w:val="center"/>
            </w:pPr>
            <w:r w:rsidRPr="00AF1814">
              <w:t>Partial response</w:t>
            </w:r>
          </w:p>
        </w:tc>
      </w:tr>
      <w:tr w:rsidR="002108B2" w:rsidRPr="00AF1814" w14:paraId="45DB54F9" w14:textId="77777777" w:rsidTr="00C125F8">
        <w:trPr>
          <w:jc w:val="center"/>
        </w:trPr>
        <w:tc>
          <w:tcPr>
            <w:tcW w:w="2194" w:type="dxa"/>
            <w:tcBorders>
              <w:top w:val="nil"/>
              <w:bottom w:val="nil"/>
            </w:tcBorders>
          </w:tcPr>
          <w:p w14:paraId="68DC2CD3" w14:textId="77777777" w:rsidR="001A5310" w:rsidRPr="00AF1814" w:rsidRDefault="00DA3174" w:rsidP="00C125F8">
            <w:pPr>
              <w:pStyle w:val="Tabletext"/>
              <w:keepLines w:val="0"/>
              <w:jc w:val="center"/>
            </w:pPr>
            <w:r w:rsidRPr="00AF1814">
              <w:t>Partial response</w:t>
            </w:r>
          </w:p>
        </w:tc>
        <w:tc>
          <w:tcPr>
            <w:tcW w:w="2666" w:type="dxa"/>
            <w:tcBorders>
              <w:top w:val="nil"/>
              <w:bottom w:val="nil"/>
            </w:tcBorders>
          </w:tcPr>
          <w:p w14:paraId="61B08D37" w14:textId="77777777" w:rsidR="001A5310" w:rsidRPr="00AF1814" w:rsidRDefault="00DA3174" w:rsidP="00C125F8">
            <w:pPr>
              <w:pStyle w:val="Tabletext"/>
              <w:keepLines w:val="0"/>
              <w:jc w:val="center"/>
            </w:pPr>
            <w:r w:rsidRPr="00AF1814">
              <w:t>Non</w:t>
            </w:r>
            <w:r w:rsidRPr="00AF1814">
              <w:noBreakHyphen/>
              <w:t>PD or not all evaluated</w:t>
            </w:r>
          </w:p>
        </w:tc>
        <w:tc>
          <w:tcPr>
            <w:tcW w:w="1548" w:type="dxa"/>
            <w:tcBorders>
              <w:top w:val="nil"/>
              <w:bottom w:val="nil"/>
            </w:tcBorders>
          </w:tcPr>
          <w:p w14:paraId="4D266CC4" w14:textId="77777777" w:rsidR="001A5310" w:rsidRPr="00AF1814" w:rsidRDefault="00DA3174" w:rsidP="00C125F8">
            <w:pPr>
              <w:pStyle w:val="Tabletext"/>
              <w:keepLines w:val="0"/>
              <w:jc w:val="center"/>
            </w:pPr>
            <w:r w:rsidRPr="00AF1814">
              <w:t>No</w:t>
            </w:r>
          </w:p>
        </w:tc>
        <w:tc>
          <w:tcPr>
            <w:tcW w:w="2023" w:type="dxa"/>
            <w:tcBorders>
              <w:top w:val="nil"/>
              <w:bottom w:val="nil"/>
            </w:tcBorders>
          </w:tcPr>
          <w:p w14:paraId="562789B9" w14:textId="77777777" w:rsidR="001A5310" w:rsidRPr="00AF1814" w:rsidRDefault="00DA3174" w:rsidP="00C125F8">
            <w:pPr>
              <w:pStyle w:val="Tabletext"/>
              <w:keepLines w:val="0"/>
              <w:jc w:val="center"/>
            </w:pPr>
            <w:r w:rsidRPr="00AF1814">
              <w:t>Partial response</w:t>
            </w:r>
          </w:p>
        </w:tc>
      </w:tr>
      <w:tr w:rsidR="002108B2" w:rsidRPr="00AF1814" w14:paraId="61C0AA39" w14:textId="77777777" w:rsidTr="00C125F8">
        <w:trPr>
          <w:jc w:val="center"/>
        </w:trPr>
        <w:tc>
          <w:tcPr>
            <w:tcW w:w="2194" w:type="dxa"/>
            <w:tcBorders>
              <w:top w:val="nil"/>
              <w:bottom w:val="nil"/>
            </w:tcBorders>
          </w:tcPr>
          <w:p w14:paraId="0A57BB56" w14:textId="77777777" w:rsidR="001A5310" w:rsidRPr="00AF1814" w:rsidRDefault="00DA3174" w:rsidP="00C125F8">
            <w:pPr>
              <w:pStyle w:val="Tabletext"/>
              <w:keepLines w:val="0"/>
              <w:jc w:val="center"/>
            </w:pPr>
            <w:r w:rsidRPr="00AF1814">
              <w:t>SD</w:t>
            </w:r>
          </w:p>
          <w:p w14:paraId="62BA94C7" w14:textId="77777777" w:rsidR="001A5310" w:rsidRPr="00AF1814" w:rsidRDefault="001A5310" w:rsidP="00C125F8">
            <w:pPr>
              <w:pStyle w:val="Tabletext"/>
              <w:keepLines w:val="0"/>
              <w:jc w:val="center"/>
            </w:pPr>
          </w:p>
          <w:p w14:paraId="2AEA7B86" w14:textId="77777777" w:rsidR="001A5310" w:rsidRPr="00AF1814" w:rsidRDefault="00DA3174" w:rsidP="00C125F8">
            <w:pPr>
              <w:pStyle w:val="Tabletext"/>
              <w:keepLines w:val="0"/>
              <w:jc w:val="center"/>
            </w:pPr>
            <w:r w:rsidRPr="00AF1814">
              <w:t>Not all evaluated</w:t>
            </w:r>
          </w:p>
        </w:tc>
        <w:tc>
          <w:tcPr>
            <w:tcW w:w="2666" w:type="dxa"/>
            <w:tcBorders>
              <w:top w:val="nil"/>
              <w:bottom w:val="nil"/>
            </w:tcBorders>
          </w:tcPr>
          <w:p w14:paraId="0091865F" w14:textId="77777777" w:rsidR="001A5310" w:rsidRPr="00AF1814" w:rsidRDefault="00DA3174" w:rsidP="00C125F8">
            <w:pPr>
              <w:pStyle w:val="Tabletext"/>
              <w:keepLines w:val="0"/>
              <w:jc w:val="center"/>
            </w:pPr>
            <w:r w:rsidRPr="00AF1814">
              <w:t>Non</w:t>
            </w:r>
            <w:r w:rsidRPr="00AF1814">
              <w:noBreakHyphen/>
              <w:t>PD or not all evaluated</w:t>
            </w:r>
          </w:p>
          <w:p w14:paraId="69DC90F3" w14:textId="77777777" w:rsidR="001A5310" w:rsidRPr="00AF1814" w:rsidRDefault="00DA3174" w:rsidP="00C125F8">
            <w:pPr>
              <w:pStyle w:val="Tabletext"/>
              <w:keepLines w:val="0"/>
              <w:jc w:val="center"/>
            </w:pPr>
            <w:r w:rsidRPr="00AF1814">
              <w:t>Non-PD</w:t>
            </w:r>
          </w:p>
        </w:tc>
        <w:tc>
          <w:tcPr>
            <w:tcW w:w="1548" w:type="dxa"/>
            <w:tcBorders>
              <w:top w:val="nil"/>
              <w:bottom w:val="nil"/>
            </w:tcBorders>
          </w:tcPr>
          <w:p w14:paraId="4DB19B16" w14:textId="77777777" w:rsidR="001A5310" w:rsidRPr="00AF1814" w:rsidRDefault="00DA3174" w:rsidP="00C125F8">
            <w:pPr>
              <w:pStyle w:val="Tabletext"/>
              <w:keepLines w:val="0"/>
              <w:jc w:val="center"/>
            </w:pPr>
            <w:r w:rsidRPr="00AF1814">
              <w:t>No</w:t>
            </w:r>
          </w:p>
          <w:p w14:paraId="31977402" w14:textId="77777777" w:rsidR="001A5310" w:rsidRPr="00AF1814" w:rsidRDefault="001A5310" w:rsidP="00C125F8">
            <w:pPr>
              <w:pStyle w:val="Tabletext"/>
              <w:keepLines w:val="0"/>
              <w:jc w:val="center"/>
            </w:pPr>
          </w:p>
          <w:p w14:paraId="1A4A427A" w14:textId="77777777" w:rsidR="001A5310" w:rsidRPr="00AF1814" w:rsidRDefault="00DA3174" w:rsidP="00C125F8">
            <w:pPr>
              <w:pStyle w:val="Tabletext"/>
              <w:keepLines w:val="0"/>
              <w:jc w:val="center"/>
            </w:pPr>
            <w:r w:rsidRPr="00AF1814">
              <w:t>No</w:t>
            </w:r>
          </w:p>
        </w:tc>
        <w:tc>
          <w:tcPr>
            <w:tcW w:w="2023" w:type="dxa"/>
            <w:tcBorders>
              <w:top w:val="nil"/>
              <w:bottom w:val="nil"/>
            </w:tcBorders>
          </w:tcPr>
          <w:p w14:paraId="2DE4FC51" w14:textId="77777777" w:rsidR="001A5310" w:rsidRPr="00AF1814" w:rsidRDefault="00DA3174" w:rsidP="00C125F8">
            <w:pPr>
              <w:pStyle w:val="Tabletext"/>
              <w:keepLines w:val="0"/>
              <w:jc w:val="center"/>
            </w:pPr>
            <w:r w:rsidRPr="00AF1814">
              <w:t>SD</w:t>
            </w:r>
          </w:p>
          <w:p w14:paraId="44B07988" w14:textId="77777777" w:rsidR="001A5310" w:rsidRPr="00AF1814" w:rsidRDefault="001A5310" w:rsidP="00C125F8">
            <w:pPr>
              <w:pStyle w:val="Tabletext"/>
              <w:keepLines w:val="0"/>
              <w:jc w:val="center"/>
            </w:pPr>
          </w:p>
          <w:p w14:paraId="41332289" w14:textId="77777777" w:rsidR="001A5310" w:rsidRPr="00AF1814" w:rsidRDefault="00DA3174" w:rsidP="00C125F8">
            <w:pPr>
              <w:pStyle w:val="Tabletext"/>
              <w:keepLines w:val="0"/>
              <w:jc w:val="center"/>
            </w:pPr>
            <w:r w:rsidRPr="00AF1814">
              <w:t>NE</w:t>
            </w:r>
          </w:p>
        </w:tc>
      </w:tr>
      <w:tr w:rsidR="002108B2" w:rsidRPr="00AF1814" w14:paraId="69EB9221" w14:textId="77777777" w:rsidTr="00C125F8">
        <w:trPr>
          <w:jc w:val="center"/>
        </w:trPr>
        <w:tc>
          <w:tcPr>
            <w:tcW w:w="2194" w:type="dxa"/>
            <w:tcBorders>
              <w:top w:val="nil"/>
              <w:bottom w:val="nil"/>
            </w:tcBorders>
          </w:tcPr>
          <w:p w14:paraId="374F3F59" w14:textId="77777777" w:rsidR="001A5310" w:rsidRPr="00AF1814" w:rsidRDefault="00DA3174" w:rsidP="00C125F8">
            <w:pPr>
              <w:pStyle w:val="Tabletext"/>
              <w:keepLines w:val="0"/>
              <w:jc w:val="center"/>
            </w:pPr>
            <w:r w:rsidRPr="00AF1814">
              <w:t>PD</w:t>
            </w:r>
          </w:p>
        </w:tc>
        <w:tc>
          <w:tcPr>
            <w:tcW w:w="2666" w:type="dxa"/>
            <w:tcBorders>
              <w:top w:val="nil"/>
              <w:bottom w:val="nil"/>
            </w:tcBorders>
          </w:tcPr>
          <w:p w14:paraId="763E0FB9" w14:textId="77777777" w:rsidR="001A5310" w:rsidRPr="00AF1814" w:rsidRDefault="00DA3174" w:rsidP="00C125F8">
            <w:pPr>
              <w:pStyle w:val="Tabletext"/>
              <w:keepLines w:val="0"/>
              <w:jc w:val="center"/>
            </w:pPr>
            <w:r w:rsidRPr="00AF1814">
              <w:t>Any</w:t>
            </w:r>
          </w:p>
        </w:tc>
        <w:tc>
          <w:tcPr>
            <w:tcW w:w="1548" w:type="dxa"/>
            <w:tcBorders>
              <w:top w:val="nil"/>
              <w:bottom w:val="nil"/>
            </w:tcBorders>
          </w:tcPr>
          <w:p w14:paraId="45EE169B" w14:textId="77777777" w:rsidR="001A5310" w:rsidRPr="00AF1814" w:rsidRDefault="00DA3174" w:rsidP="00C125F8">
            <w:pPr>
              <w:pStyle w:val="Tabletext"/>
              <w:keepLines w:val="0"/>
              <w:jc w:val="center"/>
            </w:pPr>
            <w:r w:rsidRPr="00AF1814">
              <w:t>Yes or No</w:t>
            </w:r>
          </w:p>
        </w:tc>
        <w:tc>
          <w:tcPr>
            <w:tcW w:w="2023" w:type="dxa"/>
            <w:tcBorders>
              <w:top w:val="nil"/>
              <w:bottom w:val="nil"/>
            </w:tcBorders>
          </w:tcPr>
          <w:p w14:paraId="59E60F73" w14:textId="77777777" w:rsidR="001A5310" w:rsidRPr="00AF1814" w:rsidRDefault="00DA3174" w:rsidP="00C125F8">
            <w:pPr>
              <w:pStyle w:val="Tabletext"/>
              <w:keepLines w:val="0"/>
              <w:jc w:val="center"/>
            </w:pPr>
            <w:r w:rsidRPr="00AF1814">
              <w:t>PD</w:t>
            </w:r>
          </w:p>
        </w:tc>
      </w:tr>
      <w:tr w:rsidR="002108B2" w:rsidRPr="00AF1814" w14:paraId="48DCA865" w14:textId="77777777" w:rsidTr="00C125F8">
        <w:trPr>
          <w:jc w:val="center"/>
        </w:trPr>
        <w:tc>
          <w:tcPr>
            <w:tcW w:w="2194" w:type="dxa"/>
            <w:tcBorders>
              <w:top w:val="nil"/>
              <w:bottom w:val="nil"/>
            </w:tcBorders>
          </w:tcPr>
          <w:p w14:paraId="0D51F6A6" w14:textId="77777777" w:rsidR="001A5310" w:rsidRPr="00AF1814" w:rsidRDefault="00DA3174" w:rsidP="00C125F8">
            <w:pPr>
              <w:pStyle w:val="Tabletext"/>
              <w:keepLines w:val="0"/>
              <w:jc w:val="center"/>
            </w:pPr>
            <w:r w:rsidRPr="00AF1814">
              <w:t>Any</w:t>
            </w:r>
          </w:p>
        </w:tc>
        <w:tc>
          <w:tcPr>
            <w:tcW w:w="2666" w:type="dxa"/>
            <w:tcBorders>
              <w:top w:val="nil"/>
              <w:bottom w:val="nil"/>
            </w:tcBorders>
          </w:tcPr>
          <w:p w14:paraId="1C6FFF0C" w14:textId="77777777" w:rsidR="001A5310" w:rsidRPr="00AF1814" w:rsidRDefault="00DA3174" w:rsidP="00C125F8">
            <w:pPr>
              <w:pStyle w:val="Tabletext"/>
              <w:keepLines w:val="0"/>
              <w:jc w:val="center"/>
            </w:pPr>
            <w:r w:rsidRPr="00AF1814">
              <w:t>PD</w:t>
            </w:r>
          </w:p>
        </w:tc>
        <w:tc>
          <w:tcPr>
            <w:tcW w:w="1548" w:type="dxa"/>
            <w:tcBorders>
              <w:top w:val="nil"/>
              <w:bottom w:val="nil"/>
            </w:tcBorders>
          </w:tcPr>
          <w:p w14:paraId="0F982071" w14:textId="77777777" w:rsidR="001A5310" w:rsidRPr="00AF1814" w:rsidRDefault="00DA3174" w:rsidP="00C125F8">
            <w:pPr>
              <w:pStyle w:val="Tabletext"/>
              <w:keepLines w:val="0"/>
              <w:jc w:val="center"/>
            </w:pPr>
            <w:r w:rsidRPr="00AF1814">
              <w:t>Yes or No</w:t>
            </w:r>
          </w:p>
        </w:tc>
        <w:tc>
          <w:tcPr>
            <w:tcW w:w="2023" w:type="dxa"/>
            <w:tcBorders>
              <w:top w:val="nil"/>
              <w:bottom w:val="nil"/>
            </w:tcBorders>
          </w:tcPr>
          <w:p w14:paraId="5A21418D" w14:textId="77777777" w:rsidR="001A5310" w:rsidRPr="00AF1814" w:rsidRDefault="00DA3174" w:rsidP="00C125F8">
            <w:pPr>
              <w:pStyle w:val="Tabletext"/>
              <w:keepLines w:val="0"/>
              <w:jc w:val="center"/>
            </w:pPr>
            <w:r w:rsidRPr="00AF1814">
              <w:t>PD</w:t>
            </w:r>
          </w:p>
        </w:tc>
      </w:tr>
      <w:tr w:rsidR="002108B2" w:rsidRPr="00AF1814" w14:paraId="6335757F" w14:textId="77777777" w:rsidTr="00C125F8">
        <w:trPr>
          <w:jc w:val="center"/>
        </w:trPr>
        <w:tc>
          <w:tcPr>
            <w:tcW w:w="2194" w:type="dxa"/>
            <w:tcBorders>
              <w:top w:val="nil"/>
              <w:bottom w:val="nil"/>
            </w:tcBorders>
          </w:tcPr>
          <w:p w14:paraId="5435134A" w14:textId="77777777" w:rsidR="001A5310" w:rsidRPr="00AF1814" w:rsidRDefault="00DA3174" w:rsidP="00C125F8">
            <w:pPr>
              <w:pStyle w:val="Tabletext"/>
              <w:keepLines w:val="0"/>
              <w:jc w:val="center"/>
            </w:pPr>
            <w:r w:rsidRPr="00AF1814">
              <w:t>Any</w:t>
            </w:r>
          </w:p>
        </w:tc>
        <w:tc>
          <w:tcPr>
            <w:tcW w:w="2666" w:type="dxa"/>
            <w:tcBorders>
              <w:top w:val="nil"/>
              <w:bottom w:val="nil"/>
            </w:tcBorders>
          </w:tcPr>
          <w:p w14:paraId="1331ED9B" w14:textId="77777777" w:rsidR="001A5310" w:rsidRPr="00AF1814" w:rsidRDefault="00DA3174" w:rsidP="00C125F8">
            <w:pPr>
              <w:pStyle w:val="Tabletext"/>
              <w:keepLines w:val="0"/>
              <w:jc w:val="center"/>
            </w:pPr>
            <w:r w:rsidRPr="00AF1814">
              <w:t>Any</w:t>
            </w:r>
          </w:p>
        </w:tc>
        <w:tc>
          <w:tcPr>
            <w:tcW w:w="1548" w:type="dxa"/>
            <w:tcBorders>
              <w:top w:val="nil"/>
              <w:bottom w:val="nil"/>
            </w:tcBorders>
          </w:tcPr>
          <w:p w14:paraId="7D75001D" w14:textId="77777777" w:rsidR="001A5310" w:rsidRPr="00AF1814" w:rsidRDefault="00DA3174" w:rsidP="00C125F8">
            <w:pPr>
              <w:pStyle w:val="Tabletext"/>
              <w:keepLines w:val="0"/>
              <w:jc w:val="center"/>
            </w:pPr>
            <w:r w:rsidRPr="00AF1814">
              <w:t>Yes</w:t>
            </w:r>
          </w:p>
        </w:tc>
        <w:tc>
          <w:tcPr>
            <w:tcW w:w="2023" w:type="dxa"/>
            <w:tcBorders>
              <w:top w:val="nil"/>
              <w:bottom w:val="nil"/>
            </w:tcBorders>
          </w:tcPr>
          <w:p w14:paraId="0C924A34" w14:textId="77777777" w:rsidR="001A5310" w:rsidRPr="00AF1814" w:rsidRDefault="00DA3174" w:rsidP="00C125F8">
            <w:pPr>
              <w:pStyle w:val="Tabletext"/>
              <w:keepLines w:val="0"/>
              <w:jc w:val="center"/>
            </w:pPr>
            <w:r w:rsidRPr="00AF1814">
              <w:t>PD</w:t>
            </w:r>
          </w:p>
        </w:tc>
      </w:tr>
      <w:tr w:rsidR="002108B2" w:rsidRPr="00AF1814" w14:paraId="710BE69D" w14:textId="77777777" w:rsidTr="00C125F8">
        <w:trPr>
          <w:cantSplit/>
          <w:jc w:val="center"/>
        </w:trPr>
        <w:tc>
          <w:tcPr>
            <w:tcW w:w="8431" w:type="dxa"/>
            <w:gridSpan w:val="4"/>
            <w:tcBorders>
              <w:top w:val="single" w:sz="4" w:space="0" w:color="auto"/>
              <w:left w:val="nil"/>
              <w:bottom w:val="nil"/>
              <w:right w:val="nil"/>
            </w:tcBorders>
          </w:tcPr>
          <w:p w14:paraId="14E9635A" w14:textId="77777777" w:rsidR="001A5310" w:rsidRPr="00AF1814" w:rsidRDefault="00DA3174" w:rsidP="00C125F8">
            <w:pPr>
              <w:pStyle w:val="Tablefootnote"/>
            </w:pPr>
            <w:r w:rsidRPr="00AF1814">
              <w:t>CR</w:t>
            </w:r>
            <w:r w:rsidR="00784B78" w:rsidRPr="00AF1814">
              <w:t>=</w:t>
            </w:r>
            <w:r w:rsidRPr="00AF1814">
              <w:t>complete response</w:t>
            </w:r>
            <w:r w:rsidR="00784B78" w:rsidRPr="00AF1814">
              <w:t xml:space="preserve">, NE=not evaluable, </w:t>
            </w:r>
            <w:r w:rsidRPr="00AF1814">
              <w:t>SD</w:t>
            </w:r>
            <w:r w:rsidR="00784B78" w:rsidRPr="00AF1814">
              <w:t>=</w:t>
            </w:r>
            <w:r w:rsidRPr="00AF1814">
              <w:t>stable disease</w:t>
            </w:r>
            <w:r w:rsidR="00784B78" w:rsidRPr="00AF1814">
              <w:t xml:space="preserve">, </w:t>
            </w:r>
            <w:r w:rsidRPr="00AF1814">
              <w:t>PD</w:t>
            </w:r>
            <w:r w:rsidR="00784B78" w:rsidRPr="00AF1814">
              <w:t>=</w:t>
            </w:r>
            <w:r w:rsidRPr="00AF1814">
              <w:t>progressive disease.</w:t>
            </w:r>
          </w:p>
          <w:p w14:paraId="589541D8" w14:textId="77777777" w:rsidR="001A5310" w:rsidRPr="00AF1814" w:rsidRDefault="00DA3174" w:rsidP="00C125F8">
            <w:pPr>
              <w:pStyle w:val="Tablefootnote"/>
            </w:pPr>
            <w:r w:rsidRPr="00AF1814">
              <w:t>See text for more details.</w:t>
            </w:r>
          </w:p>
        </w:tc>
      </w:tr>
    </w:tbl>
    <w:p w14:paraId="709B0B7F" w14:textId="77777777" w:rsidR="001A5310" w:rsidRPr="00AF1814" w:rsidRDefault="00DA3174" w:rsidP="001A5310">
      <w:pPr>
        <w:pStyle w:val="Bodytext-keepwithnext"/>
      </w:pPr>
      <w:r w:rsidRPr="00AF1814">
        <w:lastRenderedPageBreak/>
        <w:t>Note:</w:t>
      </w:r>
    </w:p>
    <w:p w14:paraId="0714E7B9" w14:textId="77777777" w:rsidR="001A5310" w:rsidRPr="00AF1814" w:rsidRDefault="00DA3174" w:rsidP="001A5310">
      <w:pPr>
        <w:pStyle w:val="BodyText"/>
      </w:pPr>
      <w:r w:rsidRPr="00AF1814">
        <w:t xml:space="preserve">When nodal disease is included in the sum of target lesions and the nodes decrease to ‘normal’ size (&lt; 10 mm), they may still have a measurement reported on scans. This measurement should be recorded even though the nodes are normal in order not to overstate progression should it be based on increase in size of the nodes. As noted earlier, this means that participants with CR may not have a total sum of ‘zero’ on the eCRF. </w:t>
      </w:r>
    </w:p>
    <w:p w14:paraId="480A5CED" w14:textId="1488F17C" w:rsidR="001A5310" w:rsidRPr="00AF1814" w:rsidRDefault="00DA3174" w:rsidP="001A5310">
      <w:pPr>
        <w:pStyle w:val="BodyText"/>
      </w:pPr>
      <w:r w:rsidRPr="00AF1814">
        <w:t xml:space="preserve">In studies where confirmation of response is required, repeated ‘NE’ time point assessments may complicate best response determination. The analysis plan for the study must address how missing data/assessments will be addressed in determination of response and progression. For example, in most studies, it is reasonable to consider a participant with time point responses of </w:t>
      </w:r>
      <w:r w:rsidR="00227FC5" w:rsidRPr="00AF1814">
        <w:t>PR</w:t>
      </w:r>
      <w:r w:rsidRPr="00AF1814">
        <w:noBreakHyphen/>
        <w:t>NE-</w:t>
      </w:r>
      <w:r w:rsidR="00227FC5" w:rsidRPr="00AF1814">
        <w:t>PR</w:t>
      </w:r>
      <w:r w:rsidRPr="00AF1814">
        <w:t xml:space="preserve"> as a confirmed response.</w:t>
      </w:r>
    </w:p>
    <w:p w14:paraId="509BDD31" w14:textId="77777777" w:rsidR="001A5310" w:rsidRPr="00AF1814" w:rsidRDefault="00DA3174" w:rsidP="001A5310">
      <w:pPr>
        <w:pStyle w:val="BodyText"/>
      </w:pPr>
      <w:r w:rsidRPr="00AF1814">
        <w:t xml:space="preserve">Participants with a global deterioration of health status requiring discontinuation of treatment without objective evidence of PD at that time should be reported as ‘symptomatic deterioration’. Every effort should be made to document objective progression even after discontinuation of treatment. Symptomatic deterioration is not a descriptor of an objective response; it is a reason for stopping study therapy. </w:t>
      </w:r>
    </w:p>
    <w:p w14:paraId="06818CA0" w14:textId="77777777" w:rsidR="001A5310" w:rsidRPr="00AF1814" w:rsidRDefault="00DA3174" w:rsidP="001A5310">
      <w:pPr>
        <w:pStyle w:val="BodyText"/>
      </w:pPr>
      <w:r w:rsidRPr="00AF1814">
        <w:t>Conditions that define ‘early progression, early death, and inevaluability’ are study</w:t>
      </w:r>
      <w:r w:rsidRPr="00AF1814">
        <w:noBreakHyphen/>
        <w:t>specific and should be clearly described in each protocol (depending on treatment duration, and treatment periodicity).</w:t>
      </w:r>
    </w:p>
    <w:p w14:paraId="32FC9836" w14:textId="77777777" w:rsidR="001A5310" w:rsidRPr="00AF1814" w:rsidRDefault="00DA3174" w:rsidP="001A5310">
      <w:pPr>
        <w:pStyle w:val="BodyText"/>
      </w:pPr>
      <w:r w:rsidRPr="00AF1814">
        <w:t>In some circumstances it may be difficult to distinguish residual disease from normal tissue. When the evaluation of CR depends upon this determination, it is recommended that the residual lesion be investigated (fine needle aspirate/biopsy) before assigning a status of CR. The use of FDG-PET may be used to upgrade a response to a CR in a manner similar to a biopsy in cases where a residual radiographic abnormality is thought to represent fibrosis or scarring. The use of FDG-PET in this circumstance should be prospectively described in the protocol and supported by disease specific medical literature for the indication. However, it must be acknowledged that both approaches may lead to false positive CR due to limitations of FDG-PET and biopsy resolution/sensitivity.</w:t>
      </w:r>
    </w:p>
    <w:p w14:paraId="1F683167" w14:textId="77777777" w:rsidR="001A5310" w:rsidRPr="00AF1814" w:rsidRDefault="00DA3174" w:rsidP="001A5310">
      <w:pPr>
        <w:pStyle w:val="BodyText"/>
      </w:pPr>
      <w:r w:rsidRPr="00AF1814">
        <w:t>For equivocal findings of progression (e</w:t>
      </w:r>
      <w:r w:rsidR="00227FC5" w:rsidRPr="00AF1814">
        <w:t>.</w:t>
      </w:r>
      <w:r w:rsidRPr="00AF1814">
        <w:t>g</w:t>
      </w:r>
      <w:r w:rsidR="00227FC5" w:rsidRPr="00AF1814">
        <w:t>.</w:t>
      </w:r>
      <w:r w:rsidRPr="00AF1814">
        <w:t>, very small and uncertain new lesions; cystic changes or necrosis in existing lesions), treatment may continue until the next scheduled assessment. If at the next scheduled assessment, progression is confirmed, the date of progression should be the earlier date when progression was suspected.</w:t>
      </w:r>
    </w:p>
    <w:p w14:paraId="7B3BF177" w14:textId="77777777" w:rsidR="001A5310" w:rsidRPr="00AF1814" w:rsidRDefault="00DA3174" w:rsidP="001A5310">
      <w:pPr>
        <w:pStyle w:val="Bodytext-keepwithnext"/>
        <w:rPr>
          <w:b/>
        </w:rPr>
      </w:pPr>
      <w:r w:rsidRPr="00AF1814">
        <w:rPr>
          <w:b/>
        </w:rPr>
        <w:t>CONFIRMATORY MEASUREMENT/DURATION OF RESPONSE</w:t>
      </w:r>
    </w:p>
    <w:p w14:paraId="45AB5326" w14:textId="77777777" w:rsidR="001A5310" w:rsidRPr="00AF1814" w:rsidRDefault="00DA3174" w:rsidP="001A5310">
      <w:pPr>
        <w:pStyle w:val="Bodytext-keepwithnext"/>
        <w:rPr>
          <w:u w:val="single"/>
        </w:rPr>
      </w:pPr>
      <w:r w:rsidRPr="00AF1814">
        <w:rPr>
          <w:u w:val="single"/>
        </w:rPr>
        <w:t>Confirmation</w:t>
      </w:r>
    </w:p>
    <w:p w14:paraId="58A1A874" w14:textId="77777777" w:rsidR="001A5310" w:rsidRPr="00AF1814" w:rsidRDefault="00DA3174" w:rsidP="001A5310">
      <w:pPr>
        <w:pStyle w:val="BodyText"/>
      </w:pPr>
      <w:r w:rsidRPr="00AF1814">
        <w:t xml:space="preserve">In non-randomized studies where response is the primary endpoint, confirmation of </w:t>
      </w:r>
      <w:r w:rsidR="00227FC5" w:rsidRPr="00AF1814">
        <w:t>PR</w:t>
      </w:r>
      <w:r w:rsidRPr="00AF1814">
        <w:t xml:space="preserve"> and CR is required to ensure the responses identified are not the result of measurement error. This will also permit appropriate interpretation of results in the context of historical data where response has traditionally required confirmation in such studies. However, in all other circumstances, i</w:t>
      </w:r>
      <w:r w:rsidR="00227FC5" w:rsidRPr="00AF1814">
        <w:t>.</w:t>
      </w:r>
      <w:r w:rsidRPr="00AF1814">
        <w:t>e</w:t>
      </w:r>
      <w:r w:rsidR="00227FC5" w:rsidRPr="00AF1814">
        <w:t>.</w:t>
      </w:r>
      <w:r w:rsidRPr="00AF1814">
        <w:t xml:space="preserve">, in randomized studies (Phase II or III) or studies where SD or progression are the primary endpoints, </w:t>
      </w:r>
      <w:r w:rsidRPr="00AF1814">
        <w:lastRenderedPageBreak/>
        <w:t>confirmation of response is not required since it will not add value to the interpretation of the study results. However, elimination of the requirement for response confirmation may increase the importance of central review to protect against bias, in particular in studies which are not blinded.</w:t>
      </w:r>
    </w:p>
    <w:p w14:paraId="4CC84733" w14:textId="77777777" w:rsidR="001A5310" w:rsidRPr="00AF1814" w:rsidRDefault="00DA3174" w:rsidP="001A5310">
      <w:pPr>
        <w:pStyle w:val="BodyText"/>
      </w:pPr>
      <w:r w:rsidRPr="00AF1814">
        <w:t>In the case of SD, measurements must have met the SD criteria at least once after study entry at a minimum interval (in general not less than 6 to 8 weeks) that is defined in the study protocol.</w:t>
      </w:r>
    </w:p>
    <w:p w14:paraId="3A60604C" w14:textId="77777777" w:rsidR="001A5310" w:rsidRPr="00AF1814" w:rsidRDefault="00DA3174" w:rsidP="001A5310">
      <w:pPr>
        <w:pStyle w:val="Bodytext-keepwithnext"/>
        <w:rPr>
          <w:u w:val="single"/>
        </w:rPr>
      </w:pPr>
      <w:r w:rsidRPr="00AF1814">
        <w:rPr>
          <w:u w:val="single"/>
        </w:rPr>
        <w:t>Duration of Overall Response</w:t>
      </w:r>
    </w:p>
    <w:p w14:paraId="1E5B0540" w14:textId="77777777" w:rsidR="001A5310" w:rsidRPr="00AF1814" w:rsidRDefault="00DA3174" w:rsidP="001A5310">
      <w:pPr>
        <w:pStyle w:val="BodyText"/>
      </w:pPr>
      <w:r w:rsidRPr="00AF1814">
        <w:t>The duration of overall response is measured from the time measurement criteria are first met for CR/</w:t>
      </w:r>
      <w:r w:rsidR="00227FC5" w:rsidRPr="00AF1814">
        <w:t xml:space="preserve">PR </w:t>
      </w:r>
      <w:r w:rsidRPr="00AF1814">
        <w:t>(whichever is first recorded) until the first date that recurrent or PD is objectively documented (taking as reference for PD the smallest measurements recorded on study).</w:t>
      </w:r>
    </w:p>
    <w:p w14:paraId="24E52039" w14:textId="77777777" w:rsidR="001A5310" w:rsidRPr="00AF1814" w:rsidRDefault="00DA3174" w:rsidP="001A5310">
      <w:pPr>
        <w:pStyle w:val="BodyText"/>
      </w:pPr>
      <w:r w:rsidRPr="00AF1814">
        <w:t xml:space="preserve">The duration of overall CR is measured from the time measurement criteria are first met for CR until the first date that recurrent disease is objectively documented. </w:t>
      </w:r>
    </w:p>
    <w:p w14:paraId="0511F87D" w14:textId="77777777" w:rsidR="001A5310" w:rsidRPr="00AF1814" w:rsidRDefault="00DA3174" w:rsidP="001A5310">
      <w:pPr>
        <w:pStyle w:val="Bodytext-keepwithnext"/>
        <w:rPr>
          <w:u w:val="single"/>
        </w:rPr>
      </w:pPr>
      <w:r w:rsidRPr="00AF1814">
        <w:rPr>
          <w:u w:val="single"/>
        </w:rPr>
        <w:t>Duration of Stable Disease</w:t>
      </w:r>
    </w:p>
    <w:p w14:paraId="1D76755B" w14:textId="77777777" w:rsidR="001A5310" w:rsidRPr="00AF1814" w:rsidRDefault="00DA3174" w:rsidP="001A5310">
      <w:pPr>
        <w:pStyle w:val="BodyText"/>
      </w:pPr>
      <w:r w:rsidRPr="00AF1814">
        <w:t>Stable disease is measured from the start of the treatment (in randomized studies, from date of randomization) until the criteria for progression are met, taking as reference the smallest sum on study (if the baseline sum is the smallest, this is the reference for calculation of PD).</w:t>
      </w:r>
    </w:p>
    <w:p w14:paraId="6480E266" w14:textId="77777777" w:rsidR="001A5310" w:rsidRPr="00AF1814" w:rsidRDefault="00DA3174" w:rsidP="001A5310">
      <w:pPr>
        <w:pStyle w:val="BodyText"/>
      </w:pPr>
      <w:r w:rsidRPr="00AF1814">
        <w:t>The clinical relevance of the duration of SD varies in different studies and diseases. If the proportion of participants achieving SD for a minimum period of time is an endpoint of importance in a particular study, the protocol should specify the minimal time interval required between 2 measurements for determination of SD.</w:t>
      </w:r>
    </w:p>
    <w:p w14:paraId="3F7A41B1" w14:textId="77777777" w:rsidR="001A5310" w:rsidRPr="00AF1814" w:rsidRDefault="00DA3174" w:rsidP="001A5310">
      <w:pPr>
        <w:pStyle w:val="BodyText"/>
      </w:pPr>
      <w:r w:rsidRPr="00AF1814">
        <w:t xml:space="preserve">Note: The </w:t>
      </w:r>
      <w:r w:rsidR="00227FC5" w:rsidRPr="00AF1814">
        <w:t>DoR</w:t>
      </w:r>
      <w:r w:rsidRPr="00AF1814">
        <w:t xml:space="preserve"> and SD as well as the progression</w:t>
      </w:r>
      <w:r w:rsidRPr="00AF1814">
        <w:noBreakHyphen/>
        <w:t>free survival are influenced by the frequency of follow-up after baseline evaluation. It is not in the scope of this guideline to define a standard follow-up frequency. The frequency should take into account many parameters including disease types and stages, treatment periodicity, and standard practice. However, these limitations of the precision of the measured endpoint should be taken into account if comparisons between studies are to be made.</w:t>
      </w:r>
    </w:p>
    <w:p w14:paraId="5036E696" w14:textId="77777777" w:rsidR="00EE35C8" w:rsidRPr="00AF1814" w:rsidRDefault="00DA3174" w:rsidP="009207C1">
      <w:pPr>
        <w:pStyle w:val="Heading1"/>
        <w:pageBreakBefore/>
        <w:numPr>
          <w:ilvl w:val="0"/>
          <w:numId w:val="0"/>
        </w:numPr>
        <w:tabs>
          <w:tab w:val="left" w:pos="1985"/>
        </w:tabs>
      </w:pPr>
      <w:bookmarkStart w:id="436" w:name="_Toc44601741"/>
      <w:r w:rsidRPr="00AF1814">
        <w:lastRenderedPageBreak/>
        <w:t xml:space="preserve">Appendix </w:t>
      </w:r>
      <w:r w:rsidR="001A5310" w:rsidRPr="00AF1814">
        <w:t>8</w:t>
      </w:r>
      <w:r w:rsidRPr="00AF1814">
        <w:tab/>
        <w:t>Protocol Amendment History</w:t>
      </w:r>
      <w:bookmarkEnd w:id="436"/>
    </w:p>
    <w:p w14:paraId="6538E6AD" w14:textId="77777777" w:rsidR="007F5AC6" w:rsidRPr="00AF1814" w:rsidRDefault="00DA3174" w:rsidP="007F5AC6">
      <w:pPr>
        <w:pStyle w:val="BodyText"/>
      </w:pPr>
      <w:r w:rsidRPr="00AF1814">
        <w:t>Not applicable.</w:t>
      </w:r>
    </w:p>
    <w:p w14:paraId="52F6610D" w14:textId="77777777" w:rsidR="00EE35C8" w:rsidRPr="00AF1814" w:rsidRDefault="00DA3174" w:rsidP="007F5AC6">
      <w:pPr>
        <w:pStyle w:val="Heading1"/>
        <w:pageBreakBefore/>
        <w:numPr>
          <w:ilvl w:val="0"/>
          <w:numId w:val="0"/>
        </w:numPr>
        <w:tabs>
          <w:tab w:val="left" w:pos="1985"/>
        </w:tabs>
      </w:pPr>
      <w:bookmarkStart w:id="437" w:name="_Toc44601742"/>
      <w:r w:rsidRPr="00AF1814">
        <w:lastRenderedPageBreak/>
        <w:t xml:space="preserve">Appendix </w:t>
      </w:r>
      <w:r w:rsidR="001A5310" w:rsidRPr="00AF1814">
        <w:t>9</w:t>
      </w:r>
      <w:r w:rsidRPr="00AF1814">
        <w:tab/>
        <w:t>Sponsor Signature Page</w:t>
      </w:r>
      <w:bookmarkEnd w:id="437"/>
    </w:p>
    <w:p w14:paraId="50F60045" w14:textId="77777777" w:rsidR="007F5AC6" w:rsidRPr="00AF1814" w:rsidRDefault="007F5AC6" w:rsidP="007F5AC6">
      <w:pPr>
        <w:pStyle w:val="BodyText"/>
      </w:pPr>
    </w:p>
    <w:tbl>
      <w:tblPr>
        <w:tblW w:w="0" w:type="auto"/>
        <w:tblLook w:val="04A0" w:firstRow="1" w:lastRow="0" w:firstColumn="1" w:lastColumn="0" w:noHBand="0" w:noVBand="1"/>
      </w:tblPr>
      <w:tblGrid>
        <w:gridCol w:w="3617"/>
        <w:gridCol w:w="5745"/>
      </w:tblGrid>
      <w:tr w:rsidR="002108B2" w:rsidRPr="00EF7A58" w14:paraId="2B2D1245" w14:textId="77777777" w:rsidTr="007F7F16">
        <w:tc>
          <w:tcPr>
            <w:tcW w:w="3652" w:type="dxa"/>
          </w:tcPr>
          <w:p w14:paraId="08753B06" w14:textId="77777777" w:rsidR="007F5AC6" w:rsidRPr="00EF7A58" w:rsidRDefault="00DA3174" w:rsidP="007F7F16">
            <w:pPr>
              <w:pStyle w:val="BodyText"/>
              <w:spacing w:before="120"/>
              <w:rPr>
                <w:b/>
              </w:rPr>
            </w:pPr>
            <w:r w:rsidRPr="00EF7A58">
              <w:rPr>
                <w:b/>
              </w:rPr>
              <w:t>Study Title:</w:t>
            </w:r>
          </w:p>
        </w:tc>
        <w:tc>
          <w:tcPr>
            <w:tcW w:w="5812" w:type="dxa"/>
          </w:tcPr>
          <w:p w14:paraId="1466147F" w14:textId="5A1EB764" w:rsidR="007F5AC6" w:rsidRPr="00EF7A58" w:rsidRDefault="00DA3174" w:rsidP="007F7F16">
            <w:pPr>
              <w:pStyle w:val="BodyText"/>
              <w:spacing w:before="120"/>
            </w:pPr>
            <w:r w:rsidRPr="00EF7A58">
              <w:t xml:space="preserve">Safety Study of Bintrafusp alfa in Combination with </w:t>
            </w:r>
            <w:r w:rsidR="00C420E0" w:rsidRPr="00EF7A58">
              <w:t>Other Anti-cancer Therap</w:t>
            </w:r>
            <w:r w:rsidR="0048637B" w:rsidRPr="00EF7A58">
              <w:t>ies</w:t>
            </w:r>
            <w:r w:rsidRPr="00EF7A58">
              <w:t xml:space="preserve"> in Participants with </w:t>
            </w:r>
            <w:r w:rsidR="00C420E0" w:rsidRPr="00EF7A58">
              <w:t xml:space="preserve">Locally Advanced or </w:t>
            </w:r>
            <w:r w:rsidRPr="00EF7A58">
              <w:t>Advanced Cervical Cancer</w:t>
            </w:r>
          </w:p>
        </w:tc>
      </w:tr>
      <w:tr w:rsidR="002108B2" w:rsidRPr="00EF7A58" w14:paraId="1561E44F" w14:textId="77777777" w:rsidTr="007F7F16">
        <w:tc>
          <w:tcPr>
            <w:tcW w:w="3652" w:type="dxa"/>
          </w:tcPr>
          <w:p w14:paraId="7B22BB80" w14:textId="77777777" w:rsidR="007F5AC6" w:rsidRPr="00EF7A58" w:rsidRDefault="00DA3174" w:rsidP="007F7F16">
            <w:pPr>
              <w:pStyle w:val="BodyText"/>
              <w:spacing w:before="120"/>
              <w:rPr>
                <w:b/>
              </w:rPr>
            </w:pPr>
            <w:r w:rsidRPr="00EF7A58">
              <w:rPr>
                <w:b/>
              </w:rPr>
              <w:t>Regulatory Agency Identifying Numbers:</w:t>
            </w:r>
          </w:p>
        </w:tc>
        <w:tc>
          <w:tcPr>
            <w:tcW w:w="5812" w:type="dxa"/>
          </w:tcPr>
          <w:p w14:paraId="7E8026EA" w14:textId="77777777" w:rsidR="007F5AC6" w:rsidRPr="00EF7A58" w:rsidRDefault="00DA3174" w:rsidP="007F7F16">
            <w:pPr>
              <w:pStyle w:val="BodyText"/>
              <w:spacing w:before="120"/>
            </w:pPr>
            <w:r w:rsidRPr="00EF7A58">
              <w:t xml:space="preserve">IND: 145485, EudraCT: </w:t>
            </w:r>
            <w:r w:rsidR="00C7581F" w:rsidRPr="00EF7A58">
              <w:t>2020-001561-36</w:t>
            </w:r>
          </w:p>
        </w:tc>
      </w:tr>
      <w:tr w:rsidR="002108B2" w:rsidRPr="00EF7A58" w14:paraId="07867F56" w14:textId="77777777" w:rsidTr="007F7F16">
        <w:tc>
          <w:tcPr>
            <w:tcW w:w="3652" w:type="dxa"/>
          </w:tcPr>
          <w:p w14:paraId="67806391" w14:textId="77777777" w:rsidR="007F5AC6" w:rsidRPr="00EF7A58" w:rsidRDefault="00DA3174" w:rsidP="007F7F16">
            <w:pPr>
              <w:pStyle w:val="BodyText"/>
              <w:spacing w:before="120"/>
              <w:rPr>
                <w:b/>
              </w:rPr>
            </w:pPr>
            <w:r w:rsidRPr="00EF7A58">
              <w:rPr>
                <w:b/>
              </w:rPr>
              <w:t>Clinical Study Protocol Version:</w:t>
            </w:r>
          </w:p>
        </w:tc>
        <w:tc>
          <w:tcPr>
            <w:tcW w:w="5812" w:type="dxa"/>
          </w:tcPr>
          <w:p w14:paraId="4378ACB5" w14:textId="70CE01E5" w:rsidR="007F5AC6" w:rsidRPr="00EF7A58" w:rsidRDefault="001D0059" w:rsidP="007F7F16">
            <w:pPr>
              <w:pStyle w:val="BodyText"/>
              <w:spacing w:before="120"/>
            </w:pPr>
            <w:r w:rsidRPr="00EF7A58">
              <w:rPr>
                <w:rFonts w:eastAsia="SimSun"/>
              </w:rPr>
              <w:t>02</w:t>
            </w:r>
            <w:r w:rsidR="004E5748" w:rsidRPr="00EF7A58">
              <w:rPr>
                <w:rFonts w:eastAsia="SimSun"/>
              </w:rPr>
              <w:t xml:space="preserve"> Ju</w:t>
            </w:r>
            <w:r w:rsidR="00496131" w:rsidRPr="00EF7A58">
              <w:rPr>
                <w:rFonts w:eastAsia="SimSun"/>
              </w:rPr>
              <w:t>ly</w:t>
            </w:r>
            <w:r w:rsidR="00DB3458" w:rsidRPr="00EF7A58">
              <w:t xml:space="preserve"> 2020/Version 1.0</w:t>
            </w:r>
          </w:p>
        </w:tc>
      </w:tr>
    </w:tbl>
    <w:p w14:paraId="4DCFC914" w14:textId="77777777" w:rsidR="007F5AC6" w:rsidRPr="00EF7A58" w:rsidRDefault="00DA3174" w:rsidP="007F5AC6">
      <w:pPr>
        <w:pStyle w:val="BodyText"/>
      </w:pPr>
      <w:r w:rsidRPr="00EF7A58">
        <w:t>I approve the design of the clinical study:</w:t>
      </w:r>
    </w:p>
    <w:p w14:paraId="3761DF01" w14:textId="77777777" w:rsidR="007F5AC6" w:rsidRPr="00AF1814" w:rsidRDefault="007F5AC6" w:rsidP="007F5AC6">
      <w:pPr>
        <w:pStyle w:val="BodyText"/>
      </w:pPr>
    </w:p>
    <w:p w14:paraId="40B501EE" w14:textId="77777777" w:rsidR="007F5AC6" w:rsidRPr="00AF1814" w:rsidRDefault="00DA3174" w:rsidP="007F5AC6">
      <w:pPr>
        <w:pStyle w:val="BodyText"/>
        <w:tabs>
          <w:tab w:val="left" w:pos="5387"/>
        </w:tabs>
      </w:pPr>
      <w:r w:rsidRPr="00AF1814">
        <w:t>____________________________________</w:t>
      </w:r>
      <w:r w:rsidRPr="00AF1814">
        <w:tab/>
        <w:t>____________________________</w:t>
      </w:r>
    </w:p>
    <w:p w14:paraId="7B17D5C2" w14:textId="77777777" w:rsidR="007F5AC6" w:rsidRPr="00AF1814" w:rsidRDefault="00DA3174" w:rsidP="007F5AC6">
      <w:pPr>
        <w:pStyle w:val="BodyText"/>
        <w:tabs>
          <w:tab w:val="left" w:pos="5670"/>
        </w:tabs>
        <w:spacing w:before="120"/>
      </w:pPr>
      <w:r w:rsidRPr="00AF1814">
        <w:t>Signature</w:t>
      </w:r>
      <w:r w:rsidRPr="00AF1814">
        <w:tab/>
        <w:t>Date of Signature</w:t>
      </w:r>
    </w:p>
    <w:p w14:paraId="5C706C8F" w14:textId="77777777" w:rsidR="007F5AC6" w:rsidRPr="00AF1814" w:rsidRDefault="007F5AC6" w:rsidP="007F5AC6">
      <w:pPr>
        <w:pStyle w:val="BodyText"/>
        <w:tabs>
          <w:tab w:val="left" w:pos="5670"/>
        </w:tabs>
      </w:pPr>
    </w:p>
    <w:tbl>
      <w:tblPr>
        <w:tblW w:w="0" w:type="auto"/>
        <w:tblLook w:val="04A0" w:firstRow="1" w:lastRow="0" w:firstColumn="1" w:lastColumn="0" w:noHBand="0" w:noVBand="1"/>
      </w:tblPr>
      <w:tblGrid>
        <w:gridCol w:w="3054"/>
        <w:gridCol w:w="6308"/>
      </w:tblGrid>
      <w:tr w:rsidR="002108B2" w:rsidRPr="00AF1814" w14:paraId="45D7AABC" w14:textId="77777777" w:rsidTr="007F7F16">
        <w:tc>
          <w:tcPr>
            <w:tcW w:w="3085" w:type="dxa"/>
          </w:tcPr>
          <w:p w14:paraId="6001982B" w14:textId="77777777" w:rsidR="007F5AC6" w:rsidRPr="00AF1814" w:rsidRDefault="00DA3174" w:rsidP="007F7F16">
            <w:pPr>
              <w:pStyle w:val="BodyText"/>
              <w:spacing w:before="120"/>
              <w:rPr>
                <w:b/>
              </w:rPr>
            </w:pPr>
            <w:r w:rsidRPr="00AF1814">
              <w:rPr>
                <w:b/>
              </w:rPr>
              <w:t>Name, academic degree:</w:t>
            </w:r>
          </w:p>
        </w:tc>
        <w:tc>
          <w:tcPr>
            <w:tcW w:w="6379" w:type="dxa"/>
          </w:tcPr>
          <w:p w14:paraId="38378AE1" w14:textId="77777777" w:rsidR="007F5AC6" w:rsidRPr="00AF1814" w:rsidRDefault="00DA3174" w:rsidP="007F7F16">
            <w:pPr>
              <w:pStyle w:val="BodyText"/>
              <w:spacing w:before="120"/>
            </w:pPr>
            <w:r w:rsidRPr="00AF1814">
              <w:t>Laureen Ojalvo, MD, PhD</w:t>
            </w:r>
          </w:p>
        </w:tc>
      </w:tr>
      <w:tr w:rsidR="002108B2" w:rsidRPr="00AF1814" w14:paraId="257E65A4" w14:textId="77777777" w:rsidTr="007F7F16">
        <w:tc>
          <w:tcPr>
            <w:tcW w:w="3085" w:type="dxa"/>
          </w:tcPr>
          <w:p w14:paraId="7DBDD5B2" w14:textId="77777777" w:rsidR="007F5AC6" w:rsidRPr="00AF1814" w:rsidRDefault="00DA3174" w:rsidP="007F7F16">
            <w:pPr>
              <w:pStyle w:val="BodyText"/>
              <w:spacing w:before="120"/>
              <w:rPr>
                <w:b/>
              </w:rPr>
            </w:pPr>
            <w:r w:rsidRPr="00AF1814">
              <w:rPr>
                <w:b/>
              </w:rPr>
              <w:t>Function/Title:</w:t>
            </w:r>
          </w:p>
        </w:tc>
        <w:tc>
          <w:tcPr>
            <w:tcW w:w="6379" w:type="dxa"/>
          </w:tcPr>
          <w:p w14:paraId="76BC00FA" w14:textId="77777777" w:rsidR="007F5AC6" w:rsidRPr="00AF1814" w:rsidRDefault="00DA3174" w:rsidP="007F7F16">
            <w:pPr>
              <w:pStyle w:val="BodyText"/>
              <w:spacing w:before="120"/>
            </w:pPr>
            <w:r w:rsidRPr="00AF1814">
              <w:t>Protocol Lead</w:t>
            </w:r>
          </w:p>
        </w:tc>
      </w:tr>
      <w:tr w:rsidR="002108B2" w:rsidRPr="00AF1814" w14:paraId="13C5C6F0" w14:textId="77777777" w:rsidTr="007F7F16">
        <w:tc>
          <w:tcPr>
            <w:tcW w:w="3085" w:type="dxa"/>
          </w:tcPr>
          <w:p w14:paraId="7D0E10ED" w14:textId="77777777" w:rsidR="007F5AC6" w:rsidRPr="00AF1814" w:rsidRDefault="00DA3174" w:rsidP="007F7F16">
            <w:pPr>
              <w:pStyle w:val="BodyText"/>
              <w:spacing w:before="120"/>
              <w:rPr>
                <w:b/>
              </w:rPr>
            </w:pPr>
            <w:r w:rsidRPr="00AF1814">
              <w:rPr>
                <w:b/>
              </w:rPr>
              <w:t>Institution:</w:t>
            </w:r>
          </w:p>
        </w:tc>
        <w:tc>
          <w:tcPr>
            <w:tcW w:w="6379" w:type="dxa"/>
          </w:tcPr>
          <w:p w14:paraId="1FAC57D3" w14:textId="77777777" w:rsidR="00F43F26" w:rsidRPr="00AF1814" w:rsidRDefault="00DA3174" w:rsidP="007F7F16">
            <w:pPr>
              <w:pStyle w:val="BodyText"/>
              <w:spacing w:before="120"/>
            </w:pPr>
            <w:r w:rsidRPr="00AF1814">
              <w:t xml:space="preserve">EMD Serono Research &amp; Development Institute, Inc. </w:t>
            </w:r>
          </w:p>
          <w:p w14:paraId="31B1F9B8" w14:textId="77777777" w:rsidR="007F5AC6" w:rsidRPr="00AF1814" w:rsidRDefault="00DA3174" w:rsidP="00F43F26">
            <w:pPr>
              <w:pStyle w:val="BodyText"/>
              <w:spacing w:before="0"/>
            </w:pPr>
            <w:r w:rsidRPr="00AF1814">
              <w:t>an affiliate of Merck KGaA, Darmstadt, Germany</w:t>
            </w:r>
          </w:p>
        </w:tc>
      </w:tr>
      <w:tr w:rsidR="002108B2" w:rsidRPr="00AF1814" w14:paraId="19C2A0EA" w14:textId="77777777" w:rsidTr="007F7F16">
        <w:tc>
          <w:tcPr>
            <w:tcW w:w="3085" w:type="dxa"/>
          </w:tcPr>
          <w:p w14:paraId="256D966B" w14:textId="77777777" w:rsidR="007F5AC6" w:rsidRPr="00AF1814" w:rsidRDefault="00DA3174" w:rsidP="007F7F16">
            <w:pPr>
              <w:pStyle w:val="BodyText"/>
              <w:spacing w:before="120"/>
              <w:rPr>
                <w:b/>
              </w:rPr>
            </w:pPr>
            <w:r w:rsidRPr="00AF1814">
              <w:rPr>
                <w:b/>
              </w:rPr>
              <w:t>Address:</w:t>
            </w:r>
          </w:p>
        </w:tc>
        <w:tc>
          <w:tcPr>
            <w:tcW w:w="6379" w:type="dxa"/>
          </w:tcPr>
          <w:p w14:paraId="7830474E" w14:textId="77777777" w:rsidR="006A0EAD" w:rsidRPr="00AF1814" w:rsidRDefault="00DA3174" w:rsidP="006A0EAD">
            <w:pPr>
              <w:pStyle w:val="BodyText"/>
              <w:spacing w:before="120"/>
            </w:pPr>
            <w:r w:rsidRPr="00AF1814">
              <w:t>45A Middlesex Turnpike</w:t>
            </w:r>
          </w:p>
          <w:p w14:paraId="6F2C83A1" w14:textId="77777777" w:rsidR="007F5AC6" w:rsidRPr="00AF1814" w:rsidRDefault="00DA3174" w:rsidP="006A0EAD">
            <w:pPr>
              <w:pStyle w:val="BodyText"/>
              <w:spacing w:before="120"/>
            </w:pPr>
            <w:r w:rsidRPr="00AF1814">
              <w:t>Billerica, MA 01821, USA</w:t>
            </w:r>
          </w:p>
        </w:tc>
      </w:tr>
      <w:tr w:rsidR="002108B2" w:rsidRPr="00AF1814" w14:paraId="2D07464F" w14:textId="77777777" w:rsidTr="007F7F16">
        <w:tc>
          <w:tcPr>
            <w:tcW w:w="3085" w:type="dxa"/>
          </w:tcPr>
          <w:p w14:paraId="5AA3FA5C" w14:textId="77777777" w:rsidR="007F5AC6" w:rsidRPr="00AF1814" w:rsidRDefault="00DA3174" w:rsidP="007F7F16">
            <w:pPr>
              <w:pStyle w:val="BodyText"/>
              <w:spacing w:before="120"/>
              <w:rPr>
                <w:b/>
              </w:rPr>
            </w:pPr>
            <w:r w:rsidRPr="00AF1814">
              <w:rPr>
                <w:b/>
              </w:rPr>
              <w:t>Telephone number:</w:t>
            </w:r>
          </w:p>
        </w:tc>
        <w:tc>
          <w:tcPr>
            <w:tcW w:w="6379" w:type="dxa"/>
          </w:tcPr>
          <w:p w14:paraId="5FC894F4" w14:textId="77777777" w:rsidR="007F5AC6" w:rsidRPr="00AF1814" w:rsidRDefault="00DA3174" w:rsidP="007F7F16">
            <w:pPr>
              <w:pStyle w:val="BodyText"/>
              <w:spacing w:before="120"/>
            </w:pPr>
            <w:r w:rsidRPr="00AF1814">
              <w:t>+1 978 821 6144</w:t>
            </w:r>
          </w:p>
        </w:tc>
      </w:tr>
      <w:tr w:rsidR="002108B2" w:rsidRPr="00AF1814" w14:paraId="7FCDDC7B" w14:textId="77777777" w:rsidTr="007F7F16">
        <w:tc>
          <w:tcPr>
            <w:tcW w:w="3085" w:type="dxa"/>
          </w:tcPr>
          <w:p w14:paraId="0B210D3C" w14:textId="77777777" w:rsidR="007F5AC6" w:rsidRPr="00AF1814" w:rsidRDefault="00DA3174" w:rsidP="007F7F16">
            <w:pPr>
              <w:pStyle w:val="BodyText"/>
              <w:spacing w:before="120"/>
              <w:rPr>
                <w:b/>
              </w:rPr>
            </w:pPr>
            <w:r w:rsidRPr="00AF1814">
              <w:rPr>
                <w:b/>
              </w:rPr>
              <w:t>Fax number:</w:t>
            </w:r>
          </w:p>
        </w:tc>
        <w:tc>
          <w:tcPr>
            <w:tcW w:w="6379" w:type="dxa"/>
          </w:tcPr>
          <w:p w14:paraId="0E0563AF" w14:textId="77777777" w:rsidR="007F5AC6" w:rsidRPr="00AF1814" w:rsidRDefault="00DA3174" w:rsidP="007F7F16">
            <w:pPr>
              <w:pStyle w:val="BodyText"/>
              <w:spacing w:before="120"/>
            </w:pPr>
            <w:r w:rsidRPr="00AF1814">
              <w:t>+1 978 294 1200</w:t>
            </w:r>
          </w:p>
        </w:tc>
      </w:tr>
      <w:tr w:rsidR="002108B2" w:rsidRPr="00AF1814" w14:paraId="74FB133E" w14:textId="77777777" w:rsidTr="007F7F16">
        <w:tc>
          <w:tcPr>
            <w:tcW w:w="3085" w:type="dxa"/>
          </w:tcPr>
          <w:p w14:paraId="17904576" w14:textId="77777777" w:rsidR="007F5AC6" w:rsidRPr="00AF1814" w:rsidRDefault="00DA3174" w:rsidP="007F7F16">
            <w:pPr>
              <w:pStyle w:val="BodyText"/>
              <w:spacing w:before="120"/>
              <w:rPr>
                <w:b/>
              </w:rPr>
            </w:pPr>
            <w:r w:rsidRPr="00AF1814">
              <w:rPr>
                <w:b/>
              </w:rPr>
              <w:t>E-mail address:</w:t>
            </w:r>
          </w:p>
        </w:tc>
        <w:tc>
          <w:tcPr>
            <w:tcW w:w="6379" w:type="dxa"/>
          </w:tcPr>
          <w:p w14:paraId="14C56D34" w14:textId="77777777" w:rsidR="007F5AC6" w:rsidRPr="00AF1814" w:rsidRDefault="00DA3174" w:rsidP="007F7F16">
            <w:pPr>
              <w:pStyle w:val="BodyText"/>
              <w:spacing w:before="120"/>
            </w:pPr>
            <w:r w:rsidRPr="00AF1814">
              <w:t>laureen.ojalvo@emdserono.com</w:t>
            </w:r>
          </w:p>
        </w:tc>
      </w:tr>
    </w:tbl>
    <w:p w14:paraId="5F1E29EE" w14:textId="77777777" w:rsidR="008C585D" w:rsidRPr="00AF1814" w:rsidRDefault="008C585D" w:rsidP="00FD729D">
      <w:pPr>
        <w:pStyle w:val="BodyText"/>
        <w:tabs>
          <w:tab w:val="left" w:pos="5670"/>
        </w:tabs>
      </w:pPr>
    </w:p>
    <w:p w14:paraId="233B8BC5" w14:textId="77777777" w:rsidR="009C6176" w:rsidRPr="00AF1814" w:rsidRDefault="00DA3174" w:rsidP="007F5AC6">
      <w:pPr>
        <w:pStyle w:val="Heading1"/>
        <w:pageBreakBefore/>
        <w:numPr>
          <w:ilvl w:val="0"/>
          <w:numId w:val="0"/>
        </w:numPr>
        <w:tabs>
          <w:tab w:val="left" w:pos="1985"/>
        </w:tabs>
      </w:pPr>
      <w:bookmarkStart w:id="438" w:name="_Toc44601743"/>
      <w:r w:rsidRPr="00AF1814">
        <w:lastRenderedPageBreak/>
        <w:t xml:space="preserve">Appendix </w:t>
      </w:r>
      <w:r w:rsidR="001A5310" w:rsidRPr="00AF1814">
        <w:t>10</w:t>
      </w:r>
      <w:r w:rsidRPr="00AF1814">
        <w:tab/>
        <w:t>Coordinating Investigator Signature Page</w:t>
      </w:r>
      <w:bookmarkEnd w:id="438"/>
    </w:p>
    <w:p w14:paraId="3E6DC528" w14:textId="77777777" w:rsidR="007F5AC6" w:rsidRPr="00AF1814" w:rsidRDefault="007F5AC6" w:rsidP="007F5AC6">
      <w:pPr>
        <w:pStyle w:val="BodyText"/>
        <w:tabs>
          <w:tab w:val="left" w:pos="5670"/>
        </w:tabs>
      </w:pPr>
    </w:p>
    <w:tbl>
      <w:tblPr>
        <w:tblW w:w="0" w:type="auto"/>
        <w:tblLook w:val="04A0" w:firstRow="1" w:lastRow="0" w:firstColumn="1" w:lastColumn="0" w:noHBand="0" w:noVBand="1"/>
      </w:tblPr>
      <w:tblGrid>
        <w:gridCol w:w="3617"/>
        <w:gridCol w:w="5745"/>
      </w:tblGrid>
      <w:tr w:rsidR="002108B2" w:rsidRPr="00EF7A58" w14:paraId="3C563F4D" w14:textId="77777777" w:rsidTr="007F7F16">
        <w:tc>
          <w:tcPr>
            <w:tcW w:w="3652" w:type="dxa"/>
          </w:tcPr>
          <w:p w14:paraId="1431590A" w14:textId="77777777" w:rsidR="007F5AC6" w:rsidRPr="00EF7A58" w:rsidRDefault="00DA3174" w:rsidP="007F7F16">
            <w:pPr>
              <w:pStyle w:val="BodyText"/>
              <w:spacing w:before="120"/>
              <w:rPr>
                <w:b/>
              </w:rPr>
            </w:pPr>
            <w:r w:rsidRPr="00EF7A58">
              <w:rPr>
                <w:b/>
              </w:rPr>
              <w:t>Study Title:</w:t>
            </w:r>
          </w:p>
        </w:tc>
        <w:tc>
          <w:tcPr>
            <w:tcW w:w="5812" w:type="dxa"/>
          </w:tcPr>
          <w:p w14:paraId="44318F60" w14:textId="10EB0133" w:rsidR="007F5AC6" w:rsidRPr="00EF7A58" w:rsidRDefault="00DA3174" w:rsidP="007F7F16">
            <w:pPr>
              <w:pStyle w:val="BodyText"/>
              <w:spacing w:before="120"/>
            </w:pPr>
            <w:r w:rsidRPr="00EF7A58">
              <w:t xml:space="preserve">Safety Study of Bintrafusp alfa in Combination with </w:t>
            </w:r>
            <w:r w:rsidR="00C420E0" w:rsidRPr="00EF7A58">
              <w:t>Other Anti-cancer Therap</w:t>
            </w:r>
            <w:r w:rsidR="0048637B" w:rsidRPr="00EF7A58">
              <w:t>ies</w:t>
            </w:r>
            <w:r w:rsidR="00C420E0" w:rsidRPr="00EF7A58">
              <w:t xml:space="preserve"> </w:t>
            </w:r>
            <w:r w:rsidRPr="00EF7A58">
              <w:t xml:space="preserve">in Participants with </w:t>
            </w:r>
            <w:r w:rsidR="00C420E0" w:rsidRPr="00EF7A58">
              <w:t xml:space="preserve">Locally Advanced or </w:t>
            </w:r>
            <w:r w:rsidRPr="00EF7A58">
              <w:t>Advanced Cervical Cancer</w:t>
            </w:r>
          </w:p>
        </w:tc>
      </w:tr>
      <w:tr w:rsidR="002108B2" w:rsidRPr="00EF7A58" w14:paraId="6EF94C59" w14:textId="77777777" w:rsidTr="007F7F16">
        <w:tc>
          <w:tcPr>
            <w:tcW w:w="3652" w:type="dxa"/>
          </w:tcPr>
          <w:p w14:paraId="53C73640" w14:textId="77777777" w:rsidR="007F5AC6" w:rsidRPr="00EF7A58" w:rsidRDefault="00DA3174" w:rsidP="007F7F16">
            <w:pPr>
              <w:pStyle w:val="BodyText"/>
              <w:spacing w:before="120"/>
              <w:rPr>
                <w:b/>
              </w:rPr>
            </w:pPr>
            <w:r w:rsidRPr="00EF7A58">
              <w:rPr>
                <w:b/>
              </w:rPr>
              <w:t>Regulatory Agency Identifying Numbers:</w:t>
            </w:r>
          </w:p>
        </w:tc>
        <w:tc>
          <w:tcPr>
            <w:tcW w:w="5812" w:type="dxa"/>
          </w:tcPr>
          <w:p w14:paraId="1C7927D1" w14:textId="77777777" w:rsidR="007F5AC6" w:rsidRPr="00EF7A58" w:rsidRDefault="00DA3174" w:rsidP="007F7F16">
            <w:pPr>
              <w:pStyle w:val="BodyText"/>
              <w:spacing w:before="120"/>
            </w:pPr>
            <w:r w:rsidRPr="00EF7A58">
              <w:t xml:space="preserve">IND: 145485, EudraCT: </w:t>
            </w:r>
            <w:r w:rsidR="00C7581F" w:rsidRPr="00EF7A58">
              <w:t>2020-001561-36</w:t>
            </w:r>
          </w:p>
        </w:tc>
      </w:tr>
      <w:tr w:rsidR="002108B2" w:rsidRPr="00EF7A58" w14:paraId="35F46131" w14:textId="77777777" w:rsidTr="007F7F16">
        <w:tc>
          <w:tcPr>
            <w:tcW w:w="3652" w:type="dxa"/>
          </w:tcPr>
          <w:p w14:paraId="6CF2E0D9" w14:textId="77777777" w:rsidR="007F5AC6" w:rsidRPr="00EF7A58" w:rsidRDefault="00DA3174" w:rsidP="007F7F16">
            <w:pPr>
              <w:pStyle w:val="BodyText"/>
              <w:spacing w:before="120"/>
              <w:rPr>
                <w:b/>
              </w:rPr>
            </w:pPr>
            <w:r w:rsidRPr="00EF7A58">
              <w:rPr>
                <w:b/>
              </w:rPr>
              <w:t>Clinical Study Protocol Version:</w:t>
            </w:r>
          </w:p>
        </w:tc>
        <w:tc>
          <w:tcPr>
            <w:tcW w:w="5812" w:type="dxa"/>
          </w:tcPr>
          <w:p w14:paraId="3CA8E20A" w14:textId="09636BB2" w:rsidR="007F5AC6" w:rsidRPr="00EF7A58" w:rsidRDefault="001D0059" w:rsidP="007F7F16">
            <w:pPr>
              <w:pStyle w:val="BodyText"/>
              <w:spacing w:before="120"/>
            </w:pPr>
            <w:r w:rsidRPr="00EF7A58">
              <w:rPr>
                <w:rFonts w:eastAsia="SimSun"/>
              </w:rPr>
              <w:t>02</w:t>
            </w:r>
            <w:r w:rsidR="004E5748" w:rsidRPr="00EF7A58">
              <w:rPr>
                <w:rFonts w:eastAsia="SimSun"/>
              </w:rPr>
              <w:t xml:space="preserve"> Ju</w:t>
            </w:r>
            <w:r w:rsidR="00496131" w:rsidRPr="00EF7A58">
              <w:rPr>
                <w:rFonts w:eastAsia="SimSun"/>
              </w:rPr>
              <w:t>ly</w:t>
            </w:r>
            <w:r w:rsidR="00DB3458" w:rsidRPr="00EF7A58">
              <w:t xml:space="preserve"> 2020/Version 1.0</w:t>
            </w:r>
          </w:p>
        </w:tc>
      </w:tr>
      <w:tr w:rsidR="002108B2" w:rsidRPr="00EF7A58" w14:paraId="12289391" w14:textId="77777777" w:rsidTr="007F7F16">
        <w:tc>
          <w:tcPr>
            <w:tcW w:w="3652" w:type="dxa"/>
          </w:tcPr>
          <w:p w14:paraId="7B415A2E" w14:textId="77777777" w:rsidR="007F5AC6" w:rsidRPr="00EF7A58" w:rsidRDefault="00DA3174" w:rsidP="007F7F16">
            <w:pPr>
              <w:pStyle w:val="BodyText"/>
              <w:spacing w:before="120"/>
              <w:rPr>
                <w:b/>
              </w:rPr>
            </w:pPr>
            <w:r w:rsidRPr="00EF7A58">
              <w:rPr>
                <w:b/>
              </w:rPr>
              <w:t>Site Number:</w:t>
            </w:r>
          </w:p>
        </w:tc>
        <w:tc>
          <w:tcPr>
            <w:tcW w:w="5812" w:type="dxa"/>
          </w:tcPr>
          <w:p w14:paraId="152D9E8F" w14:textId="77777777" w:rsidR="007F5AC6" w:rsidRPr="00EF7A58" w:rsidRDefault="007F5AC6" w:rsidP="007F7F16">
            <w:pPr>
              <w:pStyle w:val="BodyText"/>
              <w:spacing w:before="120"/>
            </w:pPr>
          </w:p>
        </w:tc>
      </w:tr>
    </w:tbl>
    <w:p w14:paraId="39B1DD52" w14:textId="77777777" w:rsidR="007F5AC6" w:rsidRPr="00AF1814" w:rsidRDefault="00DA3174" w:rsidP="007F5AC6">
      <w:pPr>
        <w:pStyle w:val="BodyText"/>
        <w:tabs>
          <w:tab w:val="left" w:pos="5670"/>
        </w:tabs>
      </w:pPr>
      <w:r w:rsidRPr="00EF7A58">
        <w:t>I approve the design of the clinical study</w:t>
      </w:r>
      <w:r w:rsidRPr="00AF1814">
        <w:t xml:space="preserve">, am responsible for the conduct of the study at this site and understand and will conduct it per the clinical study protocol, any approved protocol amendments, International Council </w:t>
      </w:r>
      <w:r w:rsidR="00204564" w:rsidRPr="00AF1814">
        <w:t>for</w:t>
      </w:r>
      <w:r w:rsidRPr="00AF1814">
        <w:t xml:space="preserve"> Harmonisation Good Clinical Practice (Topic E6) and all applicable Health Authority requirements and national laws.</w:t>
      </w:r>
    </w:p>
    <w:p w14:paraId="77845CBD" w14:textId="77777777" w:rsidR="007F5AC6" w:rsidRPr="00AF1814" w:rsidRDefault="007F5AC6" w:rsidP="007F5AC6">
      <w:pPr>
        <w:pStyle w:val="BodyText"/>
      </w:pPr>
    </w:p>
    <w:p w14:paraId="2BE6C994" w14:textId="77777777" w:rsidR="007F5AC6" w:rsidRPr="00AF1814" w:rsidRDefault="00DA3174" w:rsidP="007F5AC6">
      <w:pPr>
        <w:pStyle w:val="BodyText"/>
        <w:tabs>
          <w:tab w:val="left" w:pos="5387"/>
        </w:tabs>
      </w:pPr>
      <w:r w:rsidRPr="00AF1814">
        <w:t>____________________________________</w:t>
      </w:r>
      <w:r w:rsidRPr="00AF1814">
        <w:tab/>
        <w:t>____________________________</w:t>
      </w:r>
    </w:p>
    <w:p w14:paraId="4FD0039D" w14:textId="77777777" w:rsidR="007F5AC6" w:rsidRPr="00AF1814" w:rsidRDefault="00DA3174" w:rsidP="007F5AC6">
      <w:pPr>
        <w:pStyle w:val="BodyText"/>
        <w:tabs>
          <w:tab w:val="left" w:pos="5670"/>
        </w:tabs>
        <w:spacing w:before="120"/>
      </w:pPr>
      <w:r w:rsidRPr="00AF1814">
        <w:t>Signature</w:t>
      </w:r>
      <w:r w:rsidRPr="00AF1814">
        <w:tab/>
        <w:t>Date of Signature</w:t>
      </w:r>
    </w:p>
    <w:p w14:paraId="7A27777F" w14:textId="77777777" w:rsidR="007F5AC6" w:rsidRPr="00AF1814" w:rsidRDefault="007F5AC6" w:rsidP="007F5AC6">
      <w:pPr>
        <w:pStyle w:val="BodyText"/>
        <w:tabs>
          <w:tab w:val="left" w:pos="5670"/>
        </w:tabs>
      </w:pPr>
    </w:p>
    <w:tbl>
      <w:tblPr>
        <w:tblW w:w="0" w:type="auto"/>
        <w:tblLook w:val="04A0" w:firstRow="1" w:lastRow="0" w:firstColumn="1" w:lastColumn="0" w:noHBand="0" w:noVBand="1"/>
      </w:tblPr>
      <w:tblGrid>
        <w:gridCol w:w="3061"/>
        <w:gridCol w:w="6301"/>
      </w:tblGrid>
      <w:tr w:rsidR="002108B2" w:rsidRPr="00AF1814" w14:paraId="4BBEE1D5" w14:textId="77777777" w:rsidTr="007F7F16">
        <w:tc>
          <w:tcPr>
            <w:tcW w:w="3085" w:type="dxa"/>
          </w:tcPr>
          <w:p w14:paraId="57203EB1" w14:textId="77777777" w:rsidR="007F5AC6" w:rsidRPr="00AF1814" w:rsidRDefault="00DA3174" w:rsidP="007F7F16">
            <w:pPr>
              <w:pStyle w:val="BodyText"/>
              <w:spacing w:before="120"/>
              <w:rPr>
                <w:b/>
              </w:rPr>
            </w:pPr>
            <w:r w:rsidRPr="00AF1814">
              <w:rPr>
                <w:b/>
              </w:rPr>
              <w:t>Name, academic degree:</w:t>
            </w:r>
          </w:p>
        </w:tc>
        <w:tc>
          <w:tcPr>
            <w:tcW w:w="6379" w:type="dxa"/>
          </w:tcPr>
          <w:p w14:paraId="0B11FA60" w14:textId="731DC8EF" w:rsidR="007F5AC6" w:rsidRPr="00AF1814" w:rsidRDefault="007847D4" w:rsidP="0095087C">
            <w:pPr>
              <w:pStyle w:val="BodyText"/>
              <w:spacing w:before="120"/>
              <w:rPr>
                <w:lang w:val="pt-BR"/>
              </w:rPr>
            </w:pPr>
            <w:r w:rsidRPr="007847D4">
              <w:rPr>
                <w:szCs w:val="24"/>
                <w:lang w:val="pt-BR"/>
              </w:rPr>
              <w:t>Ana Oaknin</w:t>
            </w:r>
            <w:r w:rsidR="0099084E">
              <w:rPr>
                <w:szCs w:val="24"/>
                <w:lang w:val="pt-BR"/>
              </w:rPr>
              <w:t>,</w:t>
            </w:r>
            <w:r w:rsidRPr="007847D4">
              <w:rPr>
                <w:szCs w:val="24"/>
                <w:lang w:val="pt-BR"/>
              </w:rPr>
              <w:t xml:space="preserve"> MD</w:t>
            </w:r>
            <w:r w:rsidR="0099084E">
              <w:rPr>
                <w:szCs w:val="24"/>
                <w:lang w:val="pt-BR"/>
              </w:rPr>
              <w:t>,</w:t>
            </w:r>
            <w:r w:rsidRPr="007847D4">
              <w:rPr>
                <w:szCs w:val="24"/>
                <w:lang w:val="pt-BR"/>
              </w:rPr>
              <w:t xml:space="preserve"> PhD</w:t>
            </w:r>
            <w:r w:rsidR="00766273">
              <w:rPr>
                <w:szCs w:val="24"/>
                <w:lang w:val="pt-BR"/>
              </w:rPr>
              <w:t xml:space="preserve"> </w:t>
            </w:r>
          </w:p>
        </w:tc>
      </w:tr>
      <w:tr w:rsidR="002108B2" w:rsidRPr="00AF1814" w14:paraId="11ACD3DF" w14:textId="77777777" w:rsidTr="007F7F16">
        <w:tc>
          <w:tcPr>
            <w:tcW w:w="3085" w:type="dxa"/>
          </w:tcPr>
          <w:p w14:paraId="74EA819E" w14:textId="77777777" w:rsidR="007F5AC6" w:rsidRPr="00AF1814" w:rsidRDefault="00DA3174" w:rsidP="007F7F16">
            <w:pPr>
              <w:pStyle w:val="BodyText"/>
              <w:spacing w:before="120"/>
              <w:rPr>
                <w:b/>
              </w:rPr>
            </w:pPr>
            <w:r w:rsidRPr="00AF1814">
              <w:rPr>
                <w:b/>
              </w:rPr>
              <w:t>Function/Title:</w:t>
            </w:r>
          </w:p>
        </w:tc>
        <w:tc>
          <w:tcPr>
            <w:tcW w:w="6379" w:type="dxa"/>
          </w:tcPr>
          <w:p w14:paraId="637B710C" w14:textId="6657CDCA" w:rsidR="007F5AC6" w:rsidRPr="00AF1814" w:rsidRDefault="007847D4" w:rsidP="007F7F16">
            <w:pPr>
              <w:pStyle w:val="BodyText"/>
              <w:spacing w:before="120"/>
            </w:pPr>
            <w:r w:rsidRPr="007847D4">
              <w:t>Head of Gynaecological Cancer Program</w:t>
            </w:r>
          </w:p>
        </w:tc>
      </w:tr>
      <w:tr w:rsidR="002108B2" w:rsidRPr="00AF1814" w14:paraId="4F8E2C00" w14:textId="77777777" w:rsidTr="007F7F16">
        <w:tc>
          <w:tcPr>
            <w:tcW w:w="3085" w:type="dxa"/>
          </w:tcPr>
          <w:p w14:paraId="2E48C4D1" w14:textId="77777777" w:rsidR="007F5AC6" w:rsidRPr="00AF1814" w:rsidRDefault="00DA3174" w:rsidP="007F7F16">
            <w:pPr>
              <w:pStyle w:val="BodyText"/>
              <w:spacing w:before="120"/>
              <w:rPr>
                <w:b/>
              </w:rPr>
            </w:pPr>
            <w:r w:rsidRPr="00AF1814">
              <w:rPr>
                <w:b/>
              </w:rPr>
              <w:t>Institution:</w:t>
            </w:r>
          </w:p>
        </w:tc>
        <w:tc>
          <w:tcPr>
            <w:tcW w:w="6379" w:type="dxa"/>
          </w:tcPr>
          <w:p w14:paraId="212A5DB8" w14:textId="58B25D9A" w:rsidR="00970B9A" w:rsidRDefault="007847D4" w:rsidP="007F7F16">
            <w:pPr>
              <w:pStyle w:val="BodyText"/>
              <w:spacing w:before="120"/>
            </w:pPr>
            <w:r w:rsidRPr="007847D4">
              <w:t>Vall d´Hebron University Hospital</w:t>
            </w:r>
          </w:p>
          <w:p w14:paraId="38B33F3F" w14:textId="4DBDC29F" w:rsidR="007F5AC6" w:rsidRPr="00AF1814" w:rsidRDefault="0099084E" w:rsidP="007F7F16">
            <w:pPr>
              <w:pStyle w:val="BodyText"/>
              <w:spacing w:before="120"/>
            </w:pPr>
            <w:r w:rsidRPr="00810E85">
              <w:t>Vall d’Hebron Institute of Oncology</w:t>
            </w:r>
            <w:r w:rsidRPr="007847D4" w:rsidDel="0099084E">
              <w:t xml:space="preserve"> </w:t>
            </w:r>
            <w:r w:rsidR="00970B9A">
              <w:t>(VHIO)</w:t>
            </w:r>
          </w:p>
        </w:tc>
      </w:tr>
      <w:tr w:rsidR="002108B2" w:rsidRPr="00AF1814" w14:paraId="14203B93" w14:textId="77777777" w:rsidTr="007F7F16">
        <w:tc>
          <w:tcPr>
            <w:tcW w:w="3085" w:type="dxa"/>
          </w:tcPr>
          <w:p w14:paraId="1C3AED38" w14:textId="77777777" w:rsidR="007F5AC6" w:rsidRPr="00AF1814" w:rsidRDefault="00DA3174" w:rsidP="007F7F16">
            <w:pPr>
              <w:pStyle w:val="BodyText"/>
              <w:spacing w:before="120"/>
              <w:rPr>
                <w:b/>
              </w:rPr>
            </w:pPr>
            <w:r w:rsidRPr="00AF1814">
              <w:rPr>
                <w:b/>
              </w:rPr>
              <w:t>Address:</w:t>
            </w:r>
          </w:p>
        </w:tc>
        <w:tc>
          <w:tcPr>
            <w:tcW w:w="6379" w:type="dxa"/>
          </w:tcPr>
          <w:p w14:paraId="09CDDE26" w14:textId="2C9C868A" w:rsidR="007847D4" w:rsidRPr="007847D4" w:rsidRDefault="007847D4" w:rsidP="007847D4">
            <w:pPr>
              <w:pStyle w:val="BodyText"/>
              <w:spacing w:before="120"/>
              <w:rPr>
                <w:lang w:val="fr-FR"/>
              </w:rPr>
            </w:pPr>
            <w:r w:rsidRPr="007847D4">
              <w:rPr>
                <w:lang w:val="fr-FR"/>
              </w:rPr>
              <w:t>C</w:t>
            </w:r>
            <w:r>
              <w:rPr>
                <w:lang w:val="fr-FR"/>
              </w:rPr>
              <w:t>ellex</w:t>
            </w:r>
            <w:r w:rsidRPr="007847D4">
              <w:rPr>
                <w:lang w:val="fr-FR"/>
              </w:rPr>
              <w:t xml:space="preserve"> C</w:t>
            </w:r>
            <w:r>
              <w:rPr>
                <w:lang w:val="fr-FR"/>
              </w:rPr>
              <w:t>enter</w:t>
            </w:r>
          </w:p>
          <w:p w14:paraId="39D00C1B" w14:textId="77777777" w:rsidR="007847D4" w:rsidRPr="007847D4" w:rsidRDefault="007847D4" w:rsidP="007847D4">
            <w:pPr>
              <w:pStyle w:val="BodyText"/>
              <w:spacing w:before="120"/>
              <w:rPr>
                <w:lang w:val="fr-FR"/>
              </w:rPr>
            </w:pPr>
            <w:r w:rsidRPr="007847D4">
              <w:rPr>
                <w:lang w:val="fr-FR"/>
              </w:rPr>
              <w:t>C/ Natzaret, 115-117</w:t>
            </w:r>
          </w:p>
          <w:p w14:paraId="1BAB426E" w14:textId="54C36ABF" w:rsidR="007F5AC6" w:rsidRPr="00AF1814" w:rsidRDefault="007847D4" w:rsidP="007847D4">
            <w:pPr>
              <w:pStyle w:val="BodyText"/>
              <w:spacing w:before="120"/>
              <w:rPr>
                <w:lang w:val="fr-FR"/>
              </w:rPr>
            </w:pPr>
            <w:r w:rsidRPr="007847D4">
              <w:rPr>
                <w:lang w:val="fr-FR"/>
              </w:rPr>
              <w:t>08035</w:t>
            </w:r>
            <w:r>
              <w:rPr>
                <w:lang w:val="fr-FR"/>
              </w:rPr>
              <w:t xml:space="preserve">, </w:t>
            </w:r>
            <w:r w:rsidRPr="007847D4">
              <w:rPr>
                <w:lang w:val="fr-FR"/>
              </w:rPr>
              <w:t>B</w:t>
            </w:r>
            <w:r>
              <w:rPr>
                <w:lang w:val="fr-FR"/>
              </w:rPr>
              <w:t xml:space="preserve">arcelona, </w:t>
            </w:r>
            <w:r w:rsidRPr="007847D4">
              <w:rPr>
                <w:lang w:val="fr-FR"/>
              </w:rPr>
              <w:t>Spain</w:t>
            </w:r>
          </w:p>
        </w:tc>
      </w:tr>
      <w:tr w:rsidR="002108B2" w:rsidRPr="00AF1814" w14:paraId="60A15BDB" w14:textId="77777777" w:rsidTr="007F7F16">
        <w:tc>
          <w:tcPr>
            <w:tcW w:w="3085" w:type="dxa"/>
          </w:tcPr>
          <w:p w14:paraId="339A2010" w14:textId="77777777" w:rsidR="007F5AC6" w:rsidRPr="00AF1814" w:rsidRDefault="00DA3174" w:rsidP="007F7F16">
            <w:pPr>
              <w:pStyle w:val="BodyText"/>
              <w:spacing w:before="120"/>
              <w:rPr>
                <w:b/>
              </w:rPr>
            </w:pPr>
            <w:r w:rsidRPr="00AF1814">
              <w:rPr>
                <w:b/>
              </w:rPr>
              <w:t>Telephone number:</w:t>
            </w:r>
          </w:p>
        </w:tc>
        <w:tc>
          <w:tcPr>
            <w:tcW w:w="6379" w:type="dxa"/>
          </w:tcPr>
          <w:p w14:paraId="3ACCDF5A" w14:textId="3BEC7E05" w:rsidR="007F5AC6" w:rsidRPr="00AF1814" w:rsidRDefault="00AC2447" w:rsidP="007F7F16">
            <w:pPr>
              <w:pStyle w:val="BodyText"/>
              <w:spacing w:before="120"/>
            </w:pPr>
            <w:r>
              <w:t xml:space="preserve"> </w:t>
            </w:r>
            <w:r w:rsidRPr="00AC2447">
              <w:t>+</w:t>
            </w:r>
            <w:r w:rsidR="005C72C6">
              <w:t xml:space="preserve"> </w:t>
            </w:r>
            <w:r w:rsidRPr="00AC2447">
              <w:t>34</w:t>
            </w:r>
            <w:r>
              <w:t xml:space="preserve"> </w:t>
            </w:r>
            <w:r w:rsidRPr="00AC2447">
              <w:t>93</w:t>
            </w:r>
            <w:r>
              <w:t xml:space="preserve"> </w:t>
            </w:r>
            <w:r w:rsidRPr="00AC2447">
              <w:t>489</w:t>
            </w:r>
            <w:r>
              <w:t xml:space="preserve"> </w:t>
            </w:r>
            <w:r w:rsidRPr="00AC2447">
              <w:t>3000</w:t>
            </w:r>
            <w:r>
              <w:t xml:space="preserve"> </w:t>
            </w:r>
            <w:r w:rsidRPr="00AC2447">
              <w:t>(Ext.</w:t>
            </w:r>
            <w:r>
              <w:t xml:space="preserve"> </w:t>
            </w:r>
            <w:r w:rsidRPr="00AC2447">
              <w:t>2658)</w:t>
            </w:r>
          </w:p>
        </w:tc>
      </w:tr>
      <w:tr w:rsidR="002108B2" w:rsidRPr="00AF1814" w14:paraId="656FB98F" w14:textId="77777777" w:rsidTr="007F7F16">
        <w:tc>
          <w:tcPr>
            <w:tcW w:w="3085" w:type="dxa"/>
          </w:tcPr>
          <w:p w14:paraId="294DCA6F" w14:textId="77777777" w:rsidR="007F5AC6" w:rsidRPr="00AF1814" w:rsidRDefault="00DA3174" w:rsidP="007F7F16">
            <w:pPr>
              <w:pStyle w:val="BodyText"/>
              <w:spacing w:before="120"/>
              <w:rPr>
                <w:b/>
              </w:rPr>
            </w:pPr>
            <w:r w:rsidRPr="00AF1814">
              <w:rPr>
                <w:b/>
              </w:rPr>
              <w:t>Fax number:</w:t>
            </w:r>
          </w:p>
        </w:tc>
        <w:tc>
          <w:tcPr>
            <w:tcW w:w="6379" w:type="dxa"/>
          </w:tcPr>
          <w:p w14:paraId="285BD10D" w14:textId="20FB71CD" w:rsidR="007F5AC6" w:rsidRPr="00AF1814" w:rsidRDefault="00AC2447" w:rsidP="007F7F16">
            <w:pPr>
              <w:pStyle w:val="BodyText"/>
              <w:spacing w:before="120"/>
            </w:pPr>
            <w:r>
              <w:t xml:space="preserve"> </w:t>
            </w:r>
            <w:r w:rsidRPr="00AC2447">
              <w:t>+</w:t>
            </w:r>
            <w:r w:rsidR="005C72C6">
              <w:t xml:space="preserve"> </w:t>
            </w:r>
            <w:r w:rsidRPr="00AC2447">
              <w:t>34</w:t>
            </w:r>
            <w:r>
              <w:t xml:space="preserve"> </w:t>
            </w:r>
            <w:r w:rsidRPr="00AC2447">
              <w:t>93</w:t>
            </w:r>
            <w:r>
              <w:t xml:space="preserve"> </w:t>
            </w:r>
            <w:r w:rsidRPr="00AC2447">
              <w:t>274</w:t>
            </w:r>
            <w:r>
              <w:t xml:space="preserve"> </w:t>
            </w:r>
            <w:r w:rsidRPr="00AC2447">
              <w:t>6789</w:t>
            </w:r>
          </w:p>
        </w:tc>
      </w:tr>
      <w:tr w:rsidR="002108B2" w:rsidRPr="00AF1814" w14:paraId="4C045B6A" w14:textId="77777777" w:rsidTr="007F7F16">
        <w:tc>
          <w:tcPr>
            <w:tcW w:w="3085" w:type="dxa"/>
          </w:tcPr>
          <w:p w14:paraId="0A2E9AFD" w14:textId="77777777" w:rsidR="007F5AC6" w:rsidRPr="00AF1814" w:rsidRDefault="00DA3174" w:rsidP="007F7F16">
            <w:pPr>
              <w:pStyle w:val="BodyText"/>
              <w:spacing w:before="120"/>
              <w:rPr>
                <w:b/>
              </w:rPr>
            </w:pPr>
            <w:r w:rsidRPr="00AF1814">
              <w:rPr>
                <w:b/>
              </w:rPr>
              <w:t>E-mail address:</w:t>
            </w:r>
          </w:p>
        </w:tc>
        <w:tc>
          <w:tcPr>
            <w:tcW w:w="6379" w:type="dxa"/>
          </w:tcPr>
          <w:p w14:paraId="38FC8EF0" w14:textId="7B63BA3C" w:rsidR="007F5AC6" w:rsidRPr="00AF1814" w:rsidRDefault="00AC2447" w:rsidP="007F7F16">
            <w:pPr>
              <w:pStyle w:val="BodyText"/>
              <w:spacing w:before="120"/>
            </w:pPr>
            <w:r w:rsidRPr="00AC2447">
              <w:t>aoaknin@vhio.net</w:t>
            </w:r>
          </w:p>
        </w:tc>
      </w:tr>
    </w:tbl>
    <w:p w14:paraId="5E33BD42" w14:textId="77777777" w:rsidR="009C6176" w:rsidRPr="00AF1814" w:rsidRDefault="009C6176" w:rsidP="009C6176">
      <w:pPr>
        <w:pStyle w:val="BodyText"/>
        <w:tabs>
          <w:tab w:val="left" w:pos="5670"/>
        </w:tabs>
      </w:pPr>
    </w:p>
    <w:p w14:paraId="01F07F52" w14:textId="77777777" w:rsidR="00E574DD" w:rsidRPr="00AF1814" w:rsidRDefault="00DA3174" w:rsidP="007F5AC6">
      <w:pPr>
        <w:pStyle w:val="Heading1"/>
        <w:pageBreakBefore/>
        <w:numPr>
          <w:ilvl w:val="0"/>
          <w:numId w:val="0"/>
        </w:numPr>
        <w:tabs>
          <w:tab w:val="left" w:pos="1985"/>
        </w:tabs>
      </w:pPr>
      <w:bookmarkStart w:id="439" w:name="_Toc44601744"/>
      <w:r w:rsidRPr="00AF1814">
        <w:lastRenderedPageBreak/>
        <w:t xml:space="preserve">Appendix </w:t>
      </w:r>
      <w:r w:rsidR="00E50719" w:rsidRPr="00AF1814">
        <w:t>1</w:t>
      </w:r>
      <w:r w:rsidR="00765AF4" w:rsidRPr="00AF1814">
        <w:t>1</w:t>
      </w:r>
      <w:r w:rsidRPr="00AF1814">
        <w:tab/>
        <w:t>Principal Investigator Signature Page</w:t>
      </w:r>
      <w:bookmarkEnd w:id="439"/>
    </w:p>
    <w:p w14:paraId="02512750" w14:textId="77777777" w:rsidR="007F5AC6" w:rsidRPr="00AF1814" w:rsidRDefault="007F5AC6" w:rsidP="007F5AC6">
      <w:pPr>
        <w:pStyle w:val="BodyText"/>
        <w:tabs>
          <w:tab w:val="left" w:pos="5670"/>
        </w:tabs>
      </w:pPr>
    </w:p>
    <w:tbl>
      <w:tblPr>
        <w:tblW w:w="0" w:type="auto"/>
        <w:tblLook w:val="04A0" w:firstRow="1" w:lastRow="0" w:firstColumn="1" w:lastColumn="0" w:noHBand="0" w:noVBand="1"/>
      </w:tblPr>
      <w:tblGrid>
        <w:gridCol w:w="3617"/>
        <w:gridCol w:w="5745"/>
      </w:tblGrid>
      <w:tr w:rsidR="002108B2" w:rsidRPr="00AF1814" w14:paraId="447BBA6E" w14:textId="77777777" w:rsidTr="007F7F16">
        <w:tc>
          <w:tcPr>
            <w:tcW w:w="3652" w:type="dxa"/>
          </w:tcPr>
          <w:p w14:paraId="7E5DD638" w14:textId="77777777" w:rsidR="007F5AC6" w:rsidRPr="00AF1814" w:rsidRDefault="00DA3174" w:rsidP="007F7F16">
            <w:pPr>
              <w:pStyle w:val="BodyText"/>
              <w:spacing w:before="120"/>
              <w:rPr>
                <w:b/>
              </w:rPr>
            </w:pPr>
            <w:r w:rsidRPr="00AF1814">
              <w:rPr>
                <w:b/>
              </w:rPr>
              <w:t>Study Title:</w:t>
            </w:r>
          </w:p>
        </w:tc>
        <w:tc>
          <w:tcPr>
            <w:tcW w:w="5812" w:type="dxa"/>
          </w:tcPr>
          <w:p w14:paraId="70F00EFC" w14:textId="621FA4CC" w:rsidR="007F5AC6" w:rsidRPr="004910B1" w:rsidRDefault="00DA3174" w:rsidP="007F7F16">
            <w:pPr>
              <w:pStyle w:val="BodyText"/>
              <w:spacing w:before="120"/>
            </w:pPr>
            <w:r w:rsidRPr="004910B1">
              <w:t xml:space="preserve">Safety Study of Bintrafusp alfa in Combination with </w:t>
            </w:r>
            <w:r w:rsidR="00C420E0" w:rsidRPr="004910B1">
              <w:t>Other Anti-cancer Therap</w:t>
            </w:r>
            <w:r w:rsidR="0048637B" w:rsidRPr="004910B1">
              <w:t>ies</w:t>
            </w:r>
            <w:r w:rsidRPr="004910B1">
              <w:t xml:space="preserve"> in Participants with </w:t>
            </w:r>
            <w:r w:rsidR="00C420E0" w:rsidRPr="004910B1">
              <w:t xml:space="preserve">Locally Advanced or </w:t>
            </w:r>
            <w:r w:rsidRPr="004910B1">
              <w:t>Advanced Cervical Cancer</w:t>
            </w:r>
          </w:p>
        </w:tc>
      </w:tr>
      <w:tr w:rsidR="002108B2" w:rsidRPr="00AF1814" w14:paraId="73A1F17B" w14:textId="77777777" w:rsidTr="007F7F16">
        <w:tc>
          <w:tcPr>
            <w:tcW w:w="3652" w:type="dxa"/>
          </w:tcPr>
          <w:p w14:paraId="59ABE28E" w14:textId="77777777" w:rsidR="007F5AC6" w:rsidRPr="00AF1814" w:rsidRDefault="00DA3174" w:rsidP="007F7F16">
            <w:pPr>
              <w:pStyle w:val="BodyText"/>
              <w:spacing w:before="120"/>
              <w:rPr>
                <w:b/>
              </w:rPr>
            </w:pPr>
            <w:r w:rsidRPr="00AF1814">
              <w:rPr>
                <w:b/>
              </w:rPr>
              <w:t>Regulatory Agency Identifying Numbers:</w:t>
            </w:r>
          </w:p>
        </w:tc>
        <w:tc>
          <w:tcPr>
            <w:tcW w:w="5812" w:type="dxa"/>
          </w:tcPr>
          <w:p w14:paraId="321F3E33" w14:textId="77777777" w:rsidR="007F5AC6" w:rsidRPr="004910B1" w:rsidRDefault="00DA3174" w:rsidP="007F7F16">
            <w:pPr>
              <w:pStyle w:val="BodyText"/>
              <w:spacing w:before="120"/>
            </w:pPr>
            <w:r w:rsidRPr="004910B1">
              <w:t xml:space="preserve">IND: 145485, EudraCT: </w:t>
            </w:r>
            <w:r w:rsidR="00C7581F" w:rsidRPr="004910B1">
              <w:t>2020-001561-36</w:t>
            </w:r>
          </w:p>
        </w:tc>
      </w:tr>
      <w:tr w:rsidR="002108B2" w:rsidRPr="00AF1814" w14:paraId="6E218E14" w14:textId="77777777" w:rsidTr="007F7F16">
        <w:tc>
          <w:tcPr>
            <w:tcW w:w="3652" w:type="dxa"/>
          </w:tcPr>
          <w:p w14:paraId="26B9FC6A" w14:textId="77777777" w:rsidR="007F5AC6" w:rsidRPr="00AF1814" w:rsidRDefault="00DA3174" w:rsidP="007F7F16">
            <w:pPr>
              <w:pStyle w:val="BodyText"/>
              <w:spacing w:before="120"/>
              <w:rPr>
                <w:b/>
              </w:rPr>
            </w:pPr>
            <w:r w:rsidRPr="00AF1814">
              <w:rPr>
                <w:b/>
              </w:rPr>
              <w:t>Clinical Study Protocol Version:</w:t>
            </w:r>
          </w:p>
        </w:tc>
        <w:tc>
          <w:tcPr>
            <w:tcW w:w="5812" w:type="dxa"/>
          </w:tcPr>
          <w:p w14:paraId="48152462" w14:textId="3E4E40B0" w:rsidR="007F5AC6" w:rsidRPr="004910B1" w:rsidRDefault="001D0059" w:rsidP="007F7F16">
            <w:pPr>
              <w:pStyle w:val="BodyText"/>
              <w:spacing w:before="120"/>
            </w:pPr>
            <w:r w:rsidRPr="004910B1">
              <w:rPr>
                <w:rFonts w:eastAsia="SimSun"/>
              </w:rPr>
              <w:t>02</w:t>
            </w:r>
            <w:r w:rsidR="004E5748" w:rsidRPr="004910B1">
              <w:rPr>
                <w:rFonts w:eastAsia="SimSun"/>
              </w:rPr>
              <w:t xml:space="preserve"> Ju</w:t>
            </w:r>
            <w:r w:rsidR="00496131" w:rsidRPr="004910B1">
              <w:rPr>
                <w:rFonts w:eastAsia="SimSun"/>
              </w:rPr>
              <w:t>ly</w:t>
            </w:r>
            <w:r w:rsidR="00DB3458" w:rsidRPr="004910B1">
              <w:t xml:space="preserve"> 2020/Version 1.0</w:t>
            </w:r>
          </w:p>
        </w:tc>
      </w:tr>
      <w:tr w:rsidR="002108B2" w:rsidRPr="00EF7A58" w14:paraId="2BDF3D1D" w14:textId="77777777" w:rsidTr="007F7F16">
        <w:tc>
          <w:tcPr>
            <w:tcW w:w="3652" w:type="dxa"/>
          </w:tcPr>
          <w:p w14:paraId="1854843D" w14:textId="77777777" w:rsidR="007F5AC6" w:rsidRPr="00EF7A58" w:rsidRDefault="00DA3174" w:rsidP="007F7F16">
            <w:pPr>
              <w:pStyle w:val="BodyText"/>
              <w:spacing w:before="120"/>
              <w:rPr>
                <w:b/>
              </w:rPr>
            </w:pPr>
            <w:r w:rsidRPr="00EF7A58">
              <w:rPr>
                <w:b/>
              </w:rPr>
              <w:t>Site Number:</w:t>
            </w:r>
          </w:p>
        </w:tc>
        <w:tc>
          <w:tcPr>
            <w:tcW w:w="5812" w:type="dxa"/>
          </w:tcPr>
          <w:p w14:paraId="7D61CC15" w14:textId="77777777" w:rsidR="007F5AC6" w:rsidRPr="00EF7A58" w:rsidRDefault="007F5AC6" w:rsidP="007F7F16">
            <w:pPr>
              <w:pStyle w:val="BodyText"/>
              <w:spacing w:before="120"/>
            </w:pPr>
          </w:p>
        </w:tc>
      </w:tr>
    </w:tbl>
    <w:p w14:paraId="2E384233" w14:textId="77777777" w:rsidR="007F5AC6" w:rsidRPr="00AF1814" w:rsidRDefault="00DA3174" w:rsidP="007F5AC6">
      <w:pPr>
        <w:pStyle w:val="BodyText"/>
        <w:tabs>
          <w:tab w:val="left" w:pos="5670"/>
        </w:tabs>
      </w:pPr>
      <w:r w:rsidRPr="00AF1814">
        <w:t xml:space="preserve">I am responsible for the conduct of the study at this site and understand and will conduct it per the clinical study protocol, any approved protocol amendments, International Council </w:t>
      </w:r>
      <w:r w:rsidR="00227FC5" w:rsidRPr="00AF1814">
        <w:t>for</w:t>
      </w:r>
      <w:r w:rsidRPr="00AF1814">
        <w:t xml:space="preserve"> Harmonisation Good Clinical Practice (Topic E6) and all applicable Health Authority requirements and national laws.</w:t>
      </w:r>
    </w:p>
    <w:p w14:paraId="3F506F00" w14:textId="77777777" w:rsidR="007F5AC6" w:rsidRPr="00AF1814" w:rsidRDefault="00DA3174" w:rsidP="007F5AC6">
      <w:pPr>
        <w:pStyle w:val="BodyText"/>
        <w:tabs>
          <w:tab w:val="left" w:pos="5670"/>
        </w:tabs>
      </w:pPr>
      <w:r w:rsidRPr="00AF1814">
        <w:t>I also understand that Health Authorities may require the Sponsors of clinical studies to obtain and supply details about ownership interests in the Sponsor or Investigational Medicinal Product and any other financial ties with the Sponsor. The Sponsor will use any such information solely for complying with the regulatory requirements. Therefore, I agree to supply the Sponsor with any necessary information regarding ownership interest and financial ties including those of my spouse and dependent children, and to provide updates as necessary to meet Health Authority requirements.</w:t>
      </w:r>
    </w:p>
    <w:p w14:paraId="0BBF2FFD" w14:textId="77777777" w:rsidR="007F5AC6" w:rsidRPr="00AF1814" w:rsidRDefault="007F5AC6" w:rsidP="007F5AC6">
      <w:pPr>
        <w:pStyle w:val="BodyText"/>
      </w:pPr>
    </w:p>
    <w:p w14:paraId="40A0C059" w14:textId="77777777" w:rsidR="007F5AC6" w:rsidRPr="00AF1814" w:rsidRDefault="00DA3174" w:rsidP="007F5AC6">
      <w:pPr>
        <w:pStyle w:val="BodyText"/>
        <w:tabs>
          <w:tab w:val="left" w:pos="5387"/>
        </w:tabs>
      </w:pPr>
      <w:r w:rsidRPr="00AF1814">
        <w:t>____________________________________</w:t>
      </w:r>
      <w:r w:rsidRPr="00AF1814">
        <w:tab/>
        <w:t>____________________________</w:t>
      </w:r>
    </w:p>
    <w:p w14:paraId="71FFDC16" w14:textId="77777777" w:rsidR="007F5AC6" w:rsidRPr="00AF1814" w:rsidRDefault="00DA3174" w:rsidP="007F5AC6">
      <w:pPr>
        <w:pStyle w:val="BodyText"/>
        <w:tabs>
          <w:tab w:val="left" w:pos="5670"/>
        </w:tabs>
        <w:spacing w:before="120"/>
      </w:pPr>
      <w:r w:rsidRPr="00AF1814">
        <w:t>Signature</w:t>
      </w:r>
      <w:r w:rsidRPr="00AF1814">
        <w:tab/>
        <w:t>Date of Signature</w:t>
      </w:r>
    </w:p>
    <w:p w14:paraId="7FAB3C50" w14:textId="77777777" w:rsidR="007F5AC6" w:rsidRPr="00AF1814" w:rsidRDefault="007F5AC6" w:rsidP="007F5AC6">
      <w:pPr>
        <w:pStyle w:val="BodyText"/>
        <w:tabs>
          <w:tab w:val="left" w:pos="5670"/>
        </w:tabs>
      </w:pPr>
    </w:p>
    <w:tbl>
      <w:tblPr>
        <w:tblW w:w="0" w:type="auto"/>
        <w:tblLook w:val="04A0" w:firstRow="1" w:lastRow="0" w:firstColumn="1" w:lastColumn="0" w:noHBand="0" w:noVBand="1"/>
      </w:tblPr>
      <w:tblGrid>
        <w:gridCol w:w="3061"/>
        <w:gridCol w:w="6291"/>
      </w:tblGrid>
      <w:tr w:rsidR="002108B2" w:rsidRPr="00AF1814" w14:paraId="53975361" w14:textId="77777777" w:rsidTr="007F7F16">
        <w:tc>
          <w:tcPr>
            <w:tcW w:w="3061" w:type="dxa"/>
          </w:tcPr>
          <w:p w14:paraId="6735C0DF" w14:textId="77777777" w:rsidR="007F5AC6" w:rsidRPr="00AF1814" w:rsidRDefault="00DA3174" w:rsidP="007F7F16">
            <w:pPr>
              <w:pStyle w:val="BodyText"/>
              <w:spacing w:before="120"/>
              <w:rPr>
                <w:b/>
              </w:rPr>
            </w:pPr>
            <w:r w:rsidRPr="00AF1814">
              <w:rPr>
                <w:b/>
              </w:rPr>
              <w:t>Name, academic degree:</w:t>
            </w:r>
          </w:p>
        </w:tc>
        <w:tc>
          <w:tcPr>
            <w:tcW w:w="6291" w:type="dxa"/>
          </w:tcPr>
          <w:p w14:paraId="143515F0" w14:textId="77777777" w:rsidR="007F5AC6" w:rsidRPr="00AF1814" w:rsidRDefault="007F5AC6" w:rsidP="007F7F16">
            <w:pPr>
              <w:pStyle w:val="BodyText"/>
              <w:spacing w:before="120"/>
              <w:rPr>
                <w:color w:val="0070C0"/>
              </w:rPr>
            </w:pPr>
          </w:p>
        </w:tc>
      </w:tr>
      <w:tr w:rsidR="002108B2" w:rsidRPr="00AF1814" w14:paraId="5410CACE" w14:textId="77777777" w:rsidTr="007F7F16">
        <w:tc>
          <w:tcPr>
            <w:tcW w:w="3061" w:type="dxa"/>
          </w:tcPr>
          <w:p w14:paraId="6F669D1B" w14:textId="77777777" w:rsidR="007F5AC6" w:rsidRPr="00AF1814" w:rsidRDefault="00DA3174" w:rsidP="007F7F16">
            <w:pPr>
              <w:pStyle w:val="BodyText"/>
              <w:spacing w:before="120"/>
              <w:rPr>
                <w:b/>
              </w:rPr>
            </w:pPr>
            <w:r w:rsidRPr="00AF1814">
              <w:rPr>
                <w:b/>
              </w:rPr>
              <w:t>Function/Title:</w:t>
            </w:r>
          </w:p>
        </w:tc>
        <w:tc>
          <w:tcPr>
            <w:tcW w:w="6291" w:type="dxa"/>
          </w:tcPr>
          <w:p w14:paraId="4EA61217" w14:textId="77777777" w:rsidR="007F5AC6" w:rsidRPr="00AF1814" w:rsidRDefault="007F5AC6" w:rsidP="007F7F16">
            <w:pPr>
              <w:pStyle w:val="BodyText"/>
              <w:spacing w:before="120"/>
            </w:pPr>
          </w:p>
        </w:tc>
      </w:tr>
      <w:tr w:rsidR="002108B2" w:rsidRPr="00AF1814" w14:paraId="0FBEDBC2" w14:textId="77777777" w:rsidTr="007F7F16">
        <w:tc>
          <w:tcPr>
            <w:tcW w:w="3061" w:type="dxa"/>
          </w:tcPr>
          <w:p w14:paraId="2341217F" w14:textId="77777777" w:rsidR="007F5AC6" w:rsidRPr="00AF1814" w:rsidRDefault="00DA3174" w:rsidP="007F7F16">
            <w:pPr>
              <w:pStyle w:val="BodyText"/>
              <w:spacing w:before="120"/>
              <w:rPr>
                <w:b/>
              </w:rPr>
            </w:pPr>
            <w:r w:rsidRPr="00AF1814">
              <w:rPr>
                <w:b/>
              </w:rPr>
              <w:t>Institution:</w:t>
            </w:r>
          </w:p>
        </w:tc>
        <w:tc>
          <w:tcPr>
            <w:tcW w:w="6291" w:type="dxa"/>
          </w:tcPr>
          <w:p w14:paraId="14AEC4C1" w14:textId="77777777" w:rsidR="007F5AC6" w:rsidRPr="00AF1814" w:rsidRDefault="007F5AC6" w:rsidP="007F7F16">
            <w:pPr>
              <w:pStyle w:val="BodyText"/>
              <w:spacing w:before="120"/>
              <w:rPr>
                <w:color w:val="0070C0"/>
              </w:rPr>
            </w:pPr>
          </w:p>
        </w:tc>
      </w:tr>
      <w:tr w:rsidR="002108B2" w:rsidRPr="00AF1814" w14:paraId="1B287BA7" w14:textId="77777777" w:rsidTr="007F7F16">
        <w:tc>
          <w:tcPr>
            <w:tcW w:w="3061" w:type="dxa"/>
          </w:tcPr>
          <w:p w14:paraId="28016B6F" w14:textId="77777777" w:rsidR="007F5AC6" w:rsidRPr="00AF1814" w:rsidRDefault="00DA3174" w:rsidP="007F7F16">
            <w:pPr>
              <w:pStyle w:val="BodyText"/>
              <w:spacing w:before="120"/>
              <w:rPr>
                <w:b/>
              </w:rPr>
            </w:pPr>
            <w:r w:rsidRPr="00AF1814">
              <w:rPr>
                <w:b/>
              </w:rPr>
              <w:t>Address:</w:t>
            </w:r>
          </w:p>
        </w:tc>
        <w:tc>
          <w:tcPr>
            <w:tcW w:w="6291" w:type="dxa"/>
          </w:tcPr>
          <w:p w14:paraId="59833F83" w14:textId="77777777" w:rsidR="007F5AC6" w:rsidRPr="00AF1814" w:rsidRDefault="007F5AC6" w:rsidP="007F7F16">
            <w:pPr>
              <w:pStyle w:val="BodyText"/>
              <w:spacing w:before="120"/>
              <w:rPr>
                <w:color w:val="0070C0"/>
              </w:rPr>
            </w:pPr>
          </w:p>
        </w:tc>
      </w:tr>
      <w:tr w:rsidR="002108B2" w:rsidRPr="00AF1814" w14:paraId="6AA932E6" w14:textId="77777777" w:rsidTr="007F7F16">
        <w:tc>
          <w:tcPr>
            <w:tcW w:w="3061" w:type="dxa"/>
          </w:tcPr>
          <w:p w14:paraId="7B1C8131" w14:textId="77777777" w:rsidR="007F5AC6" w:rsidRPr="00AF1814" w:rsidRDefault="00DA3174" w:rsidP="007F7F16">
            <w:pPr>
              <w:pStyle w:val="BodyText"/>
              <w:spacing w:before="120"/>
              <w:rPr>
                <w:b/>
              </w:rPr>
            </w:pPr>
            <w:r w:rsidRPr="00AF1814">
              <w:rPr>
                <w:b/>
              </w:rPr>
              <w:t>Telephone number:</w:t>
            </w:r>
          </w:p>
        </w:tc>
        <w:tc>
          <w:tcPr>
            <w:tcW w:w="6291" w:type="dxa"/>
          </w:tcPr>
          <w:p w14:paraId="0F95389A" w14:textId="77777777" w:rsidR="007F5AC6" w:rsidRPr="00AF1814" w:rsidRDefault="007F5AC6" w:rsidP="007F7F16">
            <w:pPr>
              <w:pStyle w:val="BodyText"/>
              <w:spacing w:before="120"/>
              <w:rPr>
                <w:color w:val="0070C0"/>
              </w:rPr>
            </w:pPr>
          </w:p>
        </w:tc>
      </w:tr>
      <w:tr w:rsidR="002108B2" w:rsidRPr="00AF1814" w14:paraId="5B8CAD81" w14:textId="77777777" w:rsidTr="007F7F16">
        <w:tc>
          <w:tcPr>
            <w:tcW w:w="3061" w:type="dxa"/>
          </w:tcPr>
          <w:p w14:paraId="7812A247" w14:textId="77777777" w:rsidR="007F5AC6" w:rsidRPr="00AF1814" w:rsidRDefault="00DA3174" w:rsidP="007F7F16">
            <w:pPr>
              <w:pStyle w:val="BodyText"/>
              <w:spacing w:before="120"/>
              <w:rPr>
                <w:b/>
              </w:rPr>
            </w:pPr>
            <w:r w:rsidRPr="00AF1814">
              <w:rPr>
                <w:b/>
              </w:rPr>
              <w:t>Fax number:</w:t>
            </w:r>
          </w:p>
        </w:tc>
        <w:tc>
          <w:tcPr>
            <w:tcW w:w="6291" w:type="dxa"/>
          </w:tcPr>
          <w:p w14:paraId="7DE8803D" w14:textId="77777777" w:rsidR="007F5AC6" w:rsidRPr="00AF1814" w:rsidRDefault="007F5AC6" w:rsidP="007F7F16">
            <w:pPr>
              <w:pStyle w:val="BodyText"/>
              <w:spacing w:before="120"/>
              <w:rPr>
                <w:color w:val="0070C0"/>
              </w:rPr>
            </w:pPr>
          </w:p>
        </w:tc>
      </w:tr>
      <w:tr w:rsidR="002108B2" w:rsidRPr="00587FD9" w14:paraId="55A0BC0B" w14:textId="77777777" w:rsidTr="007F7F16">
        <w:tc>
          <w:tcPr>
            <w:tcW w:w="3061" w:type="dxa"/>
          </w:tcPr>
          <w:p w14:paraId="3EE905C1" w14:textId="77777777" w:rsidR="007F5AC6" w:rsidRPr="00587FD9" w:rsidRDefault="00DA3174" w:rsidP="007F7F16">
            <w:pPr>
              <w:pStyle w:val="BodyText"/>
              <w:spacing w:before="120"/>
              <w:rPr>
                <w:b/>
              </w:rPr>
            </w:pPr>
            <w:r w:rsidRPr="00AF1814">
              <w:rPr>
                <w:b/>
              </w:rPr>
              <w:t>E-mail address:</w:t>
            </w:r>
          </w:p>
        </w:tc>
        <w:tc>
          <w:tcPr>
            <w:tcW w:w="6291" w:type="dxa"/>
          </w:tcPr>
          <w:p w14:paraId="0C8E996E" w14:textId="77777777" w:rsidR="007F5AC6" w:rsidRPr="00587FD9" w:rsidRDefault="007F5AC6" w:rsidP="007F7F16">
            <w:pPr>
              <w:pStyle w:val="BodyText"/>
              <w:spacing w:before="120"/>
              <w:rPr>
                <w:color w:val="0070C0"/>
              </w:rPr>
            </w:pPr>
          </w:p>
        </w:tc>
      </w:tr>
    </w:tbl>
    <w:p w14:paraId="125ADCD9" w14:textId="77777777" w:rsidR="007F5AC6" w:rsidRPr="007F5AC6" w:rsidRDefault="007F5AC6" w:rsidP="007F5AC6">
      <w:pPr>
        <w:pStyle w:val="BodyText"/>
      </w:pPr>
    </w:p>
    <w:sectPr w:rsidR="007F5AC6" w:rsidRPr="007F5AC6" w:rsidSect="000C0454">
      <w:headerReference w:type="default" r:id="rId16"/>
      <w:footerReference w:type="default" r:id="rId17"/>
      <w:endnotePr>
        <w:numFmt w:val="decimal"/>
      </w:endnotePr>
      <w:pgSz w:w="12242" w:h="15842"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551A9" w14:textId="77777777" w:rsidR="00942EE9" w:rsidRDefault="00942EE9">
      <w:pPr>
        <w:spacing w:before="0"/>
      </w:pPr>
      <w:r>
        <w:separator/>
      </w:r>
    </w:p>
  </w:endnote>
  <w:endnote w:type="continuationSeparator" w:id="0">
    <w:p w14:paraId="39D504B8" w14:textId="77777777" w:rsidR="00942EE9" w:rsidRDefault="00942EE9">
      <w:pPr>
        <w:spacing w:before="0"/>
      </w:pPr>
      <w:r>
        <w:continuationSeparator/>
      </w:r>
    </w:p>
  </w:endnote>
  <w:endnote w:type="continuationNotice" w:id="1">
    <w:p w14:paraId="20323556" w14:textId="77777777" w:rsidR="00942EE9" w:rsidRDefault="00942EE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MS Mincho"/>
    <w:panose1 w:val="00000000000000000000"/>
    <w:charset w:val="00"/>
    <w:family w:val="roman"/>
    <w:notTrueType/>
    <w:pitch w:val="default"/>
    <w:sig w:usb0="00000083" w:usb1="08070000" w:usb2="00000010" w:usb3="00000000" w:csb0="00020009" w:csb1="00000000"/>
  </w:font>
  <w:font w:name="TimesNewRoman,Bold">
    <w:altName w:val="Calibri"/>
    <w:panose1 w:val="00000000000000000000"/>
    <w:charset w:val="A1"/>
    <w:family w:val="auto"/>
    <w:notTrueType/>
    <w:pitch w:val="default"/>
    <w:sig w:usb0="00000081" w:usb1="00000000" w:usb2="00000000" w:usb3="00000000" w:csb0="00000008"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3524"/>
      <w:gridCol w:w="2341"/>
      <w:gridCol w:w="1945"/>
      <w:gridCol w:w="1552"/>
    </w:tblGrid>
    <w:tr w:rsidR="003776AB" w14:paraId="626FBD33" w14:textId="77777777" w:rsidTr="00B43BA6">
      <w:trPr>
        <w:trHeight w:val="500"/>
      </w:trPr>
      <w:tc>
        <w:tcPr>
          <w:tcW w:w="1882" w:type="pct"/>
          <w:shd w:val="clear" w:color="auto" w:fill="auto"/>
          <w:vAlign w:val="center"/>
        </w:tcPr>
        <w:p w14:paraId="6586E27A" w14:textId="77777777" w:rsidR="003776AB" w:rsidRPr="003B1894" w:rsidRDefault="003776AB" w:rsidP="003B1894">
          <w:pPr>
            <w:pStyle w:val="Footer"/>
            <w:jc w:val="left"/>
          </w:pPr>
        </w:p>
      </w:tc>
      <w:tc>
        <w:tcPr>
          <w:tcW w:w="1250" w:type="pct"/>
          <w:shd w:val="clear" w:color="auto" w:fill="auto"/>
          <w:vAlign w:val="center"/>
        </w:tcPr>
        <w:p w14:paraId="02AB429B" w14:textId="77777777" w:rsidR="003776AB" w:rsidRPr="00C06825" w:rsidRDefault="003776AB" w:rsidP="00407947">
          <w:pPr>
            <w:pStyle w:val="Footer"/>
            <w:jc w:val="center"/>
            <w:rPr>
              <w:lang w:val="pt-BR"/>
            </w:rPr>
          </w:pPr>
          <w:r w:rsidRPr="00C06825">
            <w:rPr>
              <w:lang w:val="pt-BR"/>
            </w:rPr>
            <w:t>C O N F I D E N T I A L</w:t>
          </w:r>
        </w:p>
        <w:p w14:paraId="7F26F771" w14:textId="77777777" w:rsidR="003776AB" w:rsidRPr="00C06825" w:rsidRDefault="003776AB" w:rsidP="00407947">
          <w:pPr>
            <w:pStyle w:val="Footer"/>
            <w:jc w:val="center"/>
            <w:rPr>
              <w:lang w:val="pt-BR"/>
            </w:rPr>
          </w:pPr>
          <w:r w:rsidRPr="00C06825">
            <w:rPr>
              <w:lang w:val="pt-BR"/>
            </w:rPr>
            <w:t>I N F O R M A T I O N</w:t>
          </w:r>
        </w:p>
      </w:tc>
      <w:tc>
        <w:tcPr>
          <w:tcW w:w="1039" w:type="pct"/>
          <w:shd w:val="clear" w:color="auto" w:fill="auto"/>
          <w:vAlign w:val="center"/>
        </w:tcPr>
        <w:p w14:paraId="14EFA0AB" w14:textId="77777777" w:rsidR="003776AB" w:rsidRPr="003B1894" w:rsidRDefault="003776AB" w:rsidP="003B1894">
          <w:pPr>
            <w:pStyle w:val="Footer"/>
            <w:jc w:val="right"/>
          </w:pPr>
          <w:r>
            <w:fldChar w:fldCharType="begin"/>
          </w:r>
          <w:r>
            <w:instrText xml:space="preserve"> PAGE  \* MERGEFORMAT </w:instrText>
          </w:r>
          <w:r>
            <w:fldChar w:fldCharType="separate"/>
          </w:r>
          <w:r>
            <w:rPr>
              <w:noProof/>
            </w:rPr>
            <w:t>20</w:t>
          </w:r>
          <w:r>
            <w:rPr>
              <w:noProof/>
            </w:rPr>
            <w:fldChar w:fldCharType="end"/>
          </w:r>
          <w:r>
            <w:t>/</w:t>
          </w:r>
          <w:r>
            <w:rPr>
              <w:noProof/>
            </w:rPr>
            <w:fldChar w:fldCharType="begin"/>
          </w:r>
          <w:r>
            <w:rPr>
              <w:noProof/>
            </w:rPr>
            <w:instrText xml:space="preserve"> NUMPAGES  \* MERGEFORMAT </w:instrText>
          </w:r>
          <w:r>
            <w:rPr>
              <w:noProof/>
            </w:rPr>
            <w:fldChar w:fldCharType="separate"/>
          </w:r>
          <w:r>
            <w:rPr>
              <w:noProof/>
            </w:rPr>
            <w:t>44</w:t>
          </w:r>
          <w:r>
            <w:rPr>
              <w:noProof/>
            </w:rPr>
            <w:fldChar w:fldCharType="end"/>
          </w:r>
        </w:p>
      </w:tc>
      <w:tc>
        <w:tcPr>
          <w:tcW w:w="829" w:type="pct"/>
          <w:shd w:val="clear" w:color="auto" w:fill="auto"/>
          <w:vAlign w:val="bottom"/>
        </w:tcPr>
        <w:p w14:paraId="47F378D7" w14:textId="77777777" w:rsidR="003776AB" w:rsidRPr="003B1894" w:rsidRDefault="003776AB" w:rsidP="003B1894">
          <w:pPr>
            <w:pStyle w:val="Footer"/>
            <w:jc w:val="right"/>
          </w:pPr>
        </w:p>
      </w:tc>
    </w:tr>
  </w:tbl>
  <w:p w14:paraId="73BA3959" w14:textId="77777777" w:rsidR="003776AB" w:rsidRPr="003B1894" w:rsidRDefault="003776AB" w:rsidP="003B1894">
    <w:pPr>
      <w:pStyle w:val="Footer"/>
      <w:spacing w:line="2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3730"/>
      <w:gridCol w:w="5620"/>
      <w:gridCol w:w="3215"/>
      <w:gridCol w:w="397"/>
    </w:tblGrid>
    <w:tr w:rsidR="003776AB" w14:paraId="561F7617" w14:textId="77777777" w:rsidTr="008A2238">
      <w:trPr>
        <w:trHeight w:val="500"/>
      </w:trPr>
      <w:tc>
        <w:tcPr>
          <w:tcW w:w="1439" w:type="pct"/>
          <w:shd w:val="clear" w:color="auto" w:fill="auto"/>
          <w:vAlign w:val="center"/>
        </w:tcPr>
        <w:p w14:paraId="058BF42F" w14:textId="77777777" w:rsidR="003776AB" w:rsidRPr="003B1894" w:rsidRDefault="003776AB" w:rsidP="003B1894">
          <w:pPr>
            <w:pStyle w:val="Footer"/>
            <w:jc w:val="left"/>
          </w:pPr>
        </w:p>
      </w:tc>
      <w:tc>
        <w:tcPr>
          <w:tcW w:w="2168" w:type="pct"/>
          <w:shd w:val="clear" w:color="auto" w:fill="auto"/>
          <w:vAlign w:val="center"/>
        </w:tcPr>
        <w:p w14:paraId="6523573C" w14:textId="77777777" w:rsidR="003776AB" w:rsidRPr="00C06825" w:rsidRDefault="003776AB" w:rsidP="00407947">
          <w:pPr>
            <w:pStyle w:val="Footer"/>
            <w:jc w:val="center"/>
            <w:rPr>
              <w:lang w:val="pt-BR"/>
            </w:rPr>
          </w:pPr>
          <w:r w:rsidRPr="00C06825">
            <w:rPr>
              <w:lang w:val="pt-BR"/>
            </w:rPr>
            <w:t>C O N F I D E N T I A L</w:t>
          </w:r>
        </w:p>
        <w:p w14:paraId="17D6806D" w14:textId="77777777" w:rsidR="003776AB" w:rsidRPr="00C06825" w:rsidRDefault="003776AB" w:rsidP="00407947">
          <w:pPr>
            <w:pStyle w:val="Footer"/>
            <w:jc w:val="center"/>
            <w:rPr>
              <w:lang w:val="pt-BR"/>
            </w:rPr>
          </w:pPr>
          <w:r w:rsidRPr="00C06825">
            <w:rPr>
              <w:lang w:val="pt-BR"/>
            </w:rPr>
            <w:t>I N F O R M A T I O N</w:t>
          </w:r>
        </w:p>
      </w:tc>
      <w:tc>
        <w:tcPr>
          <w:tcW w:w="1240" w:type="pct"/>
          <w:shd w:val="clear" w:color="auto" w:fill="auto"/>
          <w:vAlign w:val="center"/>
        </w:tcPr>
        <w:p w14:paraId="1B099118" w14:textId="77777777" w:rsidR="003776AB" w:rsidRPr="003B1894" w:rsidRDefault="003776AB" w:rsidP="003B1894">
          <w:pPr>
            <w:pStyle w:val="Footer"/>
            <w:jc w:val="right"/>
          </w:pPr>
          <w:r>
            <w:fldChar w:fldCharType="begin"/>
          </w:r>
          <w:r>
            <w:instrText xml:space="preserve"> PAGE  \* MERGEFORMAT </w:instrText>
          </w:r>
          <w:r>
            <w:fldChar w:fldCharType="separate"/>
          </w:r>
          <w:r>
            <w:rPr>
              <w:noProof/>
            </w:rPr>
            <w:t>20</w:t>
          </w:r>
          <w:r>
            <w:rPr>
              <w:noProof/>
            </w:rPr>
            <w:fldChar w:fldCharType="end"/>
          </w:r>
          <w:r>
            <w:t>/</w:t>
          </w:r>
          <w:r>
            <w:rPr>
              <w:noProof/>
            </w:rPr>
            <w:fldChar w:fldCharType="begin"/>
          </w:r>
          <w:r>
            <w:rPr>
              <w:noProof/>
            </w:rPr>
            <w:instrText xml:space="preserve"> NUMPAGES  \* MERGEFORMAT </w:instrText>
          </w:r>
          <w:r>
            <w:rPr>
              <w:noProof/>
            </w:rPr>
            <w:fldChar w:fldCharType="separate"/>
          </w:r>
          <w:r>
            <w:rPr>
              <w:noProof/>
            </w:rPr>
            <w:t>44</w:t>
          </w:r>
          <w:r>
            <w:rPr>
              <w:noProof/>
            </w:rPr>
            <w:fldChar w:fldCharType="end"/>
          </w:r>
        </w:p>
      </w:tc>
      <w:tc>
        <w:tcPr>
          <w:tcW w:w="153" w:type="pct"/>
          <w:shd w:val="clear" w:color="auto" w:fill="auto"/>
          <w:vAlign w:val="bottom"/>
        </w:tcPr>
        <w:p w14:paraId="591001BC" w14:textId="77777777" w:rsidR="003776AB" w:rsidRPr="003B1894" w:rsidRDefault="003776AB" w:rsidP="003B1894">
          <w:pPr>
            <w:pStyle w:val="Footer"/>
            <w:jc w:val="right"/>
          </w:pPr>
        </w:p>
      </w:tc>
    </w:tr>
  </w:tbl>
  <w:p w14:paraId="100246AC" w14:textId="77777777" w:rsidR="003776AB" w:rsidRPr="003B1894" w:rsidRDefault="003776AB" w:rsidP="003B1894">
    <w:pPr>
      <w:pStyle w:val="Footer"/>
      <w:spacing w:line="2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3524"/>
      <w:gridCol w:w="2341"/>
      <w:gridCol w:w="1945"/>
      <w:gridCol w:w="1552"/>
    </w:tblGrid>
    <w:tr w:rsidR="003776AB" w14:paraId="09565D5C" w14:textId="77777777" w:rsidTr="00FD2FED">
      <w:trPr>
        <w:trHeight w:val="500"/>
      </w:trPr>
      <w:tc>
        <w:tcPr>
          <w:tcW w:w="1882" w:type="pct"/>
          <w:tcBorders>
            <w:top w:val="single" w:sz="4" w:space="0" w:color="auto"/>
          </w:tcBorders>
          <w:vAlign w:val="center"/>
        </w:tcPr>
        <w:p w14:paraId="751901F8" w14:textId="77777777" w:rsidR="003776AB" w:rsidRPr="00153A6D" w:rsidRDefault="003776AB" w:rsidP="00153A6D">
          <w:pPr>
            <w:keepLines/>
            <w:spacing w:before="0"/>
            <w:jc w:val="left"/>
            <w:rPr>
              <w:sz w:val="18"/>
            </w:rPr>
          </w:pPr>
        </w:p>
      </w:tc>
      <w:tc>
        <w:tcPr>
          <w:tcW w:w="1250" w:type="pct"/>
          <w:tcBorders>
            <w:top w:val="single" w:sz="4" w:space="0" w:color="auto"/>
          </w:tcBorders>
          <w:vAlign w:val="center"/>
        </w:tcPr>
        <w:p w14:paraId="5B6D8007" w14:textId="77777777" w:rsidR="003776AB" w:rsidRPr="00153A6D" w:rsidRDefault="003776AB" w:rsidP="00153A6D">
          <w:pPr>
            <w:keepLines/>
            <w:spacing w:before="0"/>
            <w:jc w:val="center"/>
            <w:rPr>
              <w:sz w:val="18"/>
              <w:lang w:val="pt-BR"/>
            </w:rPr>
          </w:pPr>
          <w:r w:rsidRPr="00153A6D">
            <w:rPr>
              <w:sz w:val="18"/>
              <w:lang w:val="pt-BR"/>
            </w:rPr>
            <w:t>C O N F I D E N T I A L</w:t>
          </w:r>
        </w:p>
        <w:p w14:paraId="12D56CFB" w14:textId="77777777" w:rsidR="003776AB" w:rsidRPr="00153A6D" w:rsidRDefault="003776AB" w:rsidP="00153A6D">
          <w:pPr>
            <w:keepLines/>
            <w:spacing w:before="0"/>
            <w:jc w:val="center"/>
            <w:rPr>
              <w:sz w:val="18"/>
              <w:lang w:val="pt-BR"/>
            </w:rPr>
          </w:pPr>
          <w:r w:rsidRPr="00153A6D">
            <w:rPr>
              <w:sz w:val="18"/>
              <w:lang w:val="pt-BR"/>
            </w:rPr>
            <w:t>I N F O R M A T I O N</w:t>
          </w:r>
        </w:p>
      </w:tc>
      <w:tc>
        <w:tcPr>
          <w:tcW w:w="1039" w:type="pct"/>
          <w:tcBorders>
            <w:top w:val="single" w:sz="4" w:space="0" w:color="auto"/>
          </w:tcBorders>
          <w:vAlign w:val="center"/>
        </w:tcPr>
        <w:p w14:paraId="20C283E5" w14:textId="77777777" w:rsidR="003776AB" w:rsidRPr="00153A6D" w:rsidRDefault="003776AB" w:rsidP="00153A6D">
          <w:pPr>
            <w:keepLines/>
            <w:spacing w:before="0"/>
            <w:jc w:val="right"/>
            <w:rPr>
              <w:sz w:val="18"/>
            </w:rPr>
          </w:pPr>
          <w:r w:rsidRPr="00153A6D">
            <w:rPr>
              <w:sz w:val="18"/>
            </w:rPr>
            <w:fldChar w:fldCharType="begin"/>
          </w:r>
          <w:r w:rsidRPr="00153A6D">
            <w:rPr>
              <w:sz w:val="18"/>
            </w:rPr>
            <w:instrText xml:space="preserve"> PAGE  \* MERGEFORMAT </w:instrText>
          </w:r>
          <w:r w:rsidRPr="00153A6D">
            <w:rPr>
              <w:sz w:val="18"/>
            </w:rPr>
            <w:fldChar w:fldCharType="separate"/>
          </w:r>
          <w:r w:rsidRPr="00153A6D">
            <w:rPr>
              <w:noProof/>
              <w:sz w:val="18"/>
            </w:rPr>
            <w:t>20</w:t>
          </w:r>
          <w:r w:rsidRPr="00153A6D">
            <w:rPr>
              <w:sz w:val="18"/>
            </w:rPr>
            <w:fldChar w:fldCharType="end"/>
          </w:r>
          <w:r w:rsidRPr="00153A6D">
            <w:rPr>
              <w:sz w:val="18"/>
            </w:rPr>
            <w:t>/</w:t>
          </w:r>
          <w:r w:rsidRPr="00153A6D">
            <w:rPr>
              <w:noProof/>
              <w:sz w:val="18"/>
            </w:rPr>
            <w:fldChar w:fldCharType="begin"/>
          </w:r>
          <w:r w:rsidRPr="00153A6D">
            <w:rPr>
              <w:noProof/>
              <w:sz w:val="18"/>
            </w:rPr>
            <w:instrText xml:space="preserve"> NUMPAGES  \* MERGEFORMAT </w:instrText>
          </w:r>
          <w:r w:rsidRPr="00153A6D">
            <w:rPr>
              <w:noProof/>
              <w:sz w:val="18"/>
            </w:rPr>
            <w:fldChar w:fldCharType="separate"/>
          </w:r>
          <w:r w:rsidRPr="00153A6D">
            <w:rPr>
              <w:noProof/>
              <w:sz w:val="18"/>
            </w:rPr>
            <w:t>44</w:t>
          </w:r>
          <w:r w:rsidRPr="00153A6D">
            <w:rPr>
              <w:noProof/>
              <w:sz w:val="18"/>
            </w:rPr>
            <w:fldChar w:fldCharType="end"/>
          </w:r>
        </w:p>
      </w:tc>
      <w:tc>
        <w:tcPr>
          <w:tcW w:w="829" w:type="pct"/>
          <w:tcBorders>
            <w:top w:val="single" w:sz="4" w:space="0" w:color="auto"/>
          </w:tcBorders>
          <w:vAlign w:val="bottom"/>
        </w:tcPr>
        <w:p w14:paraId="614AB032" w14:textId="77777777" w:rsidR="003776AB" w:rsidRPr="00153A6D" w:rsidRDefault="003776AB" w:rsidP="00153A6D">
          <w:pPr>
            <w:keepLines/>
            <w:spacing w:before="0"/>
            <w:jc w:val="right"/>
            <w:rPr>
              <w:sz w:val="18"/>
            </w:rPr>
          </w:pPr>
        </w:p>
      </w:tc>
    </w:tr>
  </w:tbl>
  <w:p w14:paraId="51485B2D" w14:textId="77777777" w:rsidR="003776AB" w:rsidRPr="003B1894" w:rsidRDefault="003776AB" w:rsidP="003B1894">
    <w:pPr>
      <w:pStyle w:val="Footer"/>
      <w:spacing w:line="2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40D0F" w14:textId="77777777" w:rsidR="00942EE9" w:rsidRDefault="00942EE9">
      <w:pPr>
        <w:spacing w:before="0"/>
      </w:pPr>
      <w:r>
        <w:separator/>
      </w:r>
    </w:p>
  </w:footnote>
  <w:footnote w:type="continuationSeparator" w:id="0">
    <w:p w14:paraId="5D19BB76" w14:textId="77777777" w:rsidR="00942EE9" w:rsidRDefault="00942EE9">
      <w:pPr>
        <w:spacing w:before="0"/>
      </w:pPr>
      <w:r>
        <w:continuationSeparator/>
      </w:r>
    </w:p>
  </w:footnote>
  <w:footnote w:type="continuationNotice" w:id="1">
    <w:p w14:paraId="1BFF9D6D" w14:textId="77777777" w:rsidR="00942EE9" w:rsidRDefault="00942EE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E8191" w14:textId="77777777" w:rsidR="003776AB" w:rsidRDefault="003776AB" w:rsidP="008C3B92">
    <w:pPr>
      <w:pStyle w:val="Header"/>
      <w:pBdr>
        <w:bottom w:val="single" w:sz="4" w:space="6" w:color="auto"/>
      </w:pBdr>
    </w:pPr>
    <w:r w:rsidRPr="004A0AC1">
      <w:t>Bintrafusp alfa</w:t>
    </w:r>
    <w:r>
      <w:t xml:space="preserve"> (M7824)</w:t>
    </w:r>
    <w:r>
      <w:tab/>
    </w:r>
    <w:r>
      <w:tab/>
    </w:r>
    <w:r w:rsidRPr="00836E45">
      <w:t>Ph</w:t>
    </w:r>
    <w:r>
      <w:t>ase I</w:t>
    </w:r>
    <w:r w:rsidRPr="00836E45">
      <w:t>b</w:t>
    </w:r>
    <w:r>
      <w:t xml:space="preserve"> </w:t>
    </w:r>
    <w:r w:rsidRPr="00F751BE">
      <w:t>Bintrafusp alfa</w:t>
    </w:r>
    <w:r>
      <w:t xml:space="preserve"> Combination Therapy in </w:t>
    </w:r>
    <w:r w:rsidRPr="00836E45">
      <w:t>Cervical</w:t>
    </w:r>
    <w:r>
      <w:t xml:space="preserve"> Cancer</w:t>
    </w:r>
  </w:p>
  <w:p w14:paraId="164D53B2" w14:textId="77777777" w:rsidR="003776AB" w:rsidRDefault="003776AB" w:rsidP="008C3B92">
    <w:pPr>
      <w:pStyle w:val="Header"/>
      <w:pBdr>
        <w:bottom w:val="single" w:sz="4" w:space="6" w:color="auto"/>
      </w:pBdr>
    </w:pPr>
    <w:r>
      <w:t>MS200647_0046</w:t>
    </w:r>
  </w:p>
  <w:p w14:paraId="2F909A19" w14:textId="77777777" w:rsidR="003776AB" w:rsidRDefault="003776AB" w:rsidP="008B74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32197" w14:textId="77777777" w:rsidR="003776AB" w:rsidRDefault="003776AB" w:rsidP="008C3B92">
    <w:pPr>
      <w:pStyle w:val="Header"/>
      <w:pBdr>
        <w:bottom w:val="single" w:sz="4" w:space="6" w:color="auto"/>
      </w:pBdr>
    </w:pPr>
    <w:r w:rsidRPr="004A0AC1">
      <w:t>Bintrafusp alfa</w:t>
    </w:r>
    <w:r>
      <w:t xml:space="preserve"> (M7824)</w:t>
    </w:r>
    <w:r>
      <w:tab/>
    </w:r>
    <w:r>
      <w:tab/>
    </w:r>
    <w:r w:rsidRPr="00836E45">
      <w:t>Ph</w:t>
    </w:r>
    <w:r>
      <w:t>ase I</w:t>
    </w:r>
    <w:r w:rsidRPr="00836E45">
      <w:t>b</w:t>
    </w:r>
    <w:r>
      <w:t xml:space="preserve"> </w:t>
    </w:r>
    <w:r w:rsidRPr="00F751BE">
      <w:t>Bintrafusp alfa</w:t>
    </w:r>
    <w:r>
      <w:t xml:space="preserve"> Combination Therapy in </w:t>
    </w:r>
    <w:r w:rsidRPr="00836E45">
      <w:t>Cervical</w:t>
    </w:r>
    <w:r>
      <w:t xml:space="preserve"> Cancer</w:t>
    </w:r>
  </w:p>
  <w:p w14:paraId="799C60D7" w14:textId="77777777" w:rsidR="003776AB" w:rsidRDefault="003776AB" w:rsidP="008C3B92">
    <w:pPr>
      <w:pStyle w:val="Header"/>
      <w:pBdr>
        <w:bottom w:val="single" w:sz="4" w:space="6" w:color="auto"/>
      </w:pBdr>
    </w:pPr>
    <w:r>
      <w:t>MS200647_0046</w:t>
    </w:r>
  </w:p>
  <w:p w14:paraId="7F3C00C7" w14:textId="77777777" w:rsidR="003776AB" w:rsidRDefault="003776AB" w:rsidP="008B74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1C696" w14:textId="77777777" w:rsidR="003776AB" w:rsidRDefault="003776AB" w:rsidP="008C3B92">
    <w:pPr>
      <w:pStyle w:val="Header"/>
      <w:pBdr>
        <w:bottom w:val="single" w:sz="4" w:space="6" w:color="auto"/>
      </w:pBdr>
    </w:pPr>
    <w:r w:rsidRPr="004A0AC1">
      <w:t>Bintrafusp alfa</w:t>
    </w:r>
    <w:r>
      <w:t xml:space="preserve"> (M7824)</w:t>
    </w:r>
    <w:r>
      <w:tab/>
    </w:r>
    <w:r>
      <w:tab/>
    </w:r>
    <w:r w:rsidRPr="00836E45">
      <w:t>Ph</w:t>
    </w:r>
    <w:r>
      <w:t>ase I</w:t>
    </w:r>
    <w:r w:rsidRPr="00836E45">
      <w:t>b</w:t>
    </w:r>
    <w:r>
      <w:t xml:space="preserve"> </w:t>
    </w:r>
    <w:r w:rsidRPr="00F751BE">
      <w:t>Bintrafusp alfa</w:t>
    </w:r>
    <w:r>
      <w:t xml:space="preserve"> Combination Therapy in </w:t>
    </w:r>
    <w:r w:rsidRPr="00836E45">
      <w:t>Cervical</w:t>
    </w:r>
    <w:r>
      <w:t xml:space="preserve"> Cancer</w:t>
    </w:r>
  </w:p>
  <w:p w14:paraId="5BAC2BA0" w14:textId="77777777" w:rsidR="003776AB" w:rsidRDefault="003776AB" w:rsidP="008C3B92">
    <w:pPr>
      <w:pStyle w:val="Header"/>
      <w:pBdr>
        <w:bottom w:val="single" w:sz="4" w:space="6" w:color="auto"/>
      </w:pBdr>
    </w:pPr>
    <w:r>
      <w:t>MS200647_0046</w:t>
    </w:r>
  </w:p>
  <w:p w14:paraId="77128FBC" w14:textId="77777777" w:rsidR="003776AB" w:rsidRDefault="003776AB" w:rsidP="008B7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3CBC"/>
    <w:multiLevelType w:val="hybridMultilevel"/>
    <w:tmpl w:val="F37EDB4C"/>
    <w:lvl w:ilvl="0" w:tplc="FADC533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F9058B"/>
    <w:multiLevelType w:val="hybridMultilevel"/>
    <w:tmpl w:val="A1CED6AA"/>
    <w:lvl w:ilvl="0" w:tplc="08064B0E">
      <w:start w:val="1"/>
      <w:numFmt w:val="bullet"/>
      <w:lvlText w:val=""/>
      <w:lvlJc w:val="left"/>
      <w:pPr>
        <w:ind w:left="720" w:hanging="360"/>
      </w:pPr>
      <w:rPr>
        <w:rFonts w:ascii="Symbol" w:hAnsi="Symbol" w:hint="default"/>
      </w:rPr>
    </w:lvl>
    <w:lvl w:ilvl="1" w:tplc="E1286AD4" w:tentative="1">
      <w:start w:val="1"/>
      <w:numFmt w:val="bullet"/>
      <w:lvlText w:val="o"/>
      <w:lvlJc w:val="left"/>
      <w:pPr>
        <w:ind w:left="1440" w:hanging="360"/>
      </w:pPr>
      <w:rPr>
        <w:rFonts w:ascii="Courier New" w:hAnsi="Courier New" w:hint="default"/>
      </w:rPr>
    </w:lvl>
    <w:lvl w:ilvl="2" w:tplc="A88CB730" w:tentative="1">
      <w:start w:val="1"/>
      <w:numFmt w:val="bullet"/>
      <w:lvlText w:val=""/>
      <w:lvlJc w:val="left"/>
      <w:pPr>
        <w:ind w:left="2160" w:hanging="360"/>
      </w:pPr>
      <w:rPr>
        <w:rFonts w:ascii="Wingdings" w:hAnsi="Wingdings" w:hint="default"/>
      </w:rPr>
    </w:lvl>
    <w:lvl w:ilvl="3" w:tplc="52F2A7F6" w:tentative="1">
      <w:start w:val="1"/>
      <w:numFmt w:val="bullet"/>
      <w:lvlText w:val=""/>
      <w:lvlJc w:val="left"/>
      <w:pPr>
        <w:ind w:left="2880" w:hanging="360"/>
      </w:pPr>
      <w:rPr>
        <w:rFonts w:ascii="Symbol" w:hAnsi="Symbol" w:hint="default"/>
      </w:rPr>
    </w:lvl>
    <w:lvl w:ilvl="4" w:tplc="0AB873BA" w:tentative="1">
      <w:start w:val="1"/>
      <w:numFmt w:val="bullet"/>
      <w:lvlText w:val="o"/>
      <w:lvlJc w:val="left"/>
      <w:pPr>
        <w:ind w:left="3600" w:hanging="360"/>
      </w:pPr>
      <w:rPr>
        <w:rFonts w:ascii="Courier New" w:hAnsi="Courier New" w:hint="default"/>
      </w:rPr>
    </w:lvl>
    <w:lvl w:ilvl="5" w:tplc="127222F4" w:tentative="1">
      <w:start w:val="1"/>
      <w:numFmt w:val="bullet"/>
      <w:lvlText w:val=""/>
      <w:lvlJc w:val="left"/>
      <w:pPr>
        <w:ind w:left="4320" w:hanging="360"/>
      </w:pPr>
      <w:rPr>
        <w:rFonts w:ascii="Wingdings" w:hAnsi="Wingdings" w:hint="default"/>
      </w:rPr>
    </w:lvl>
    <w:lvl w:ilvl="6" w:tplc="4E64CD1C" w:tentative="1">
      <w:start w:val="1"/>
      <w:numFmt w:val="bullet"/>
      <w:lvlText w:val=""/>
      <w:lvlJc w:val="left"/>
      <w:pPr>
        <w:ind w:left="5040" w:hanging="360"/>
      </w:pPr>
      <w:rPr>
        <w:rFonts w:ascii="Symbol" w:hAnsi="Symbol" w:hint="default"/>
      </w:rPr>
    </w:lvl>
    <w:lvl w:ilvl="7" w:tplc="5A445580" w:tentative="1">
      <w:start w:val="1"/>
      <w:numFmt w:val="bullet"/>
      <w:lvlText w:val="o"/>
      <w:lvlJc w:val="left"/>
      <w:pPr>
        <w:ind w:left="5760" w:hanging="360"/>
      </w:pPr>
      <w:rPr>
        <w:rFonts w:ascii="Courier New" w:hAnsi="Courier New" w:hint="default"/>
      </w:rPr>
    </w:lvl>
    <w:lvl w:ilvl="8" w:tplc="92EC1034" w:tentative="1">
      <w:start w:val="1"/>
      <w:numFmt w:val="bullet"/>
      <w:lvlText w:val=""/>
      <w:lvlJc w:val="left"/>
      <w:pPr>
        <w:ind w:left="6480" w:hanging="360"/>
      </w:pPr>
      <w:rPr>
        <w:rFonts w:ascii="Wingdings" w:hAnsi="Wingdings" w:hint="default"/>
      </w:rPr>
    </w:lvl>
  </w:abstractNum>
  <w:abstractNum w:abstractNumId="2" w15:restartNumberingAfterBreak="0">
    <w:nsid w:val="0A8E1EFB"/>
    <w:multiLevelType w:val="hybridMultilevel"/>
    <w:tmpl w:val="980CA696"/>
    <w:lvl w:ilvl="0" w:tplc="4C7ECC4A">
      <w:start w:val="1"/>
      <w:numFmt w:val="bullet"/>
      <w:pStyle w:val="List1withbullet"/>
      <w:lvlText w:val=""/>
      <w:lvlJc w:val="left"/>
      <w:pPr>
        <w:ind w:left="720" w:hanging="360"/>
      </w:pPr>
      <w:rPr>
        <w:rFonts w:ascii="Symbol" w:hAnsi="Symbol" w:hint="default"/>
        <w:sz w:val="24"/>
        <w:szCs w:val="24"/>
      </w:rPr>
    </w:lvl>
    <w:lvl w:ilvl="1" w:tplc="C03C43A8">
      <w:start w:val="1"/>
      <w:numFmt w:val="bullet"/>
      <w:lvlText w:val="o"/>
      <w:lvlJc w:val="left"/>
      <w:pPr>
        <w:ind w:left="1440" w:hanging="360"/>
      </w:pPr>
      <w:rPr>
        <w:rFonts w:ascii="Courier New" w:hAnsi="Courier New" w:cs="Courier New" w:hint="default"/>
      </w:rPr>
    </w:lvl>
    <w:lvl w:ilvl="2" w:tplc="12942C2A" w:tentative="1">
      <w:start w:val="1"/>
      <w:numFmt w:val="bullet"/>
      <w:lvlText w:val=""/>
      <w:lvlJc w:val="left"/>
      <w:pPr>
        <w:ind w:left="2160" w:hanging="360"/>
      </w:pPr>
      <w:rPr>
        <w:rFonts w:ascii="Wingdings" w:hAnsi="Wingdings" w:hint="default"/>
      </w:rPr>
    </w:lvl>
    <w:lvl w:ilvl="3" w:tplc="8E1E8664" w:tentative="1">
      <w:start w:val="1"/>
      <w:numFmt w:val="bullet"/>
      <w:lvlText w:val=""/>
      <w:lvlJc w:val="left"/>
      <w:pPr>
        <w:ind w:left="2880" w:hanging="360"/>
      </w:pPr>
      <w:rPr>
        <w:rFonts w:ascii="Symbol" w:hAnsi="Symbol" w:hint="default"/>
      </w:rPr>
    </w:lvl>
    <w:lvl w:ilvl="4" w:tplc="1B421ACC" w:tentative="1">
      <w:start w:val="1"/>
      <w:numFmt w:val="bullet"/>
      <w:lvlText w:val="o"/>
      <w:lvlJc w:val="left"/>
      <w:pPr>
        <w:ind w:left="3600" w:hanging="360"/>
      </w:pPr>
      <w:rPr>
        <w:rFonts w:ascii="Courier New" w:hAnsi="Courier New" w:cs="Courier New" w:hint="default"/>
      </w:rPr>
    </w:lvl>
    <w:lvl w:ilvl="5" w:tplc="4D5C4AD4" w:tentative="1">
      <w:start w:val="1"/>
      <w:numFmt w:val="bullet"/>
      <w:lvlText w:val=""/>
      <w:lvlJc w:val="left"/>
      <w:pPr>
        <w:ind w:left="4320" w:hanging="360"/>
      </w:pPr>
      <w:rPr>
        <w:rFonts w:ascii="Wingdings" w:hAnsi="Wingdings" w:hint="default"/>
      </w:rPr>
    </w:lvl>
    <w:lvl w:ilvl="6" w:tplc="0AE8A3D4" w:tentative="1">
      <w:start w:val="1"/>
      <w:numFmt w:val="bullet"/>
      <w:lvlText w:val=""/>
      <w:lvlJc w:val="left"/>
      <w:pPr>
        <w:ind w:left="5040" w:hanging="360"/>
      </w:pPr>
      <w:rPr>
        <w:rFonts w:ascii="Symbol" w:hAnsi="Symbol" w:hint="default"/>
      </w:rPr>
    </w:lvl>
    <w:lvl w:ilvl="7" w:tplc="9C805B1A" w:tentative="1">
      <w:start w:val="1"/>
      <w:numFmt w:val="bullet"/>
      <w:lvlText w:val="o"/>
      <w:lvlJc w:val="left"/>
      <w:pPr>
        <w:ind w:left="5760" w:hanging="360"/>
      </w:pPr>
      <w:rPr>
        <w:rFonts w:ascii="Courier New" w:hAnsi="Courier New" w:cs="Courier New" w:hint="default"/>
      </w:rPr>
    </w:lvl>
    <w:lvl w:ilvl="8" w:tplc="68969F04" w:tentative="1">
      <w:start w:val="1"/>
      <w:numFmt w:val="bullet"/>
      <w:lvlText w:val=""/>
      <w:lvlJc w:val="left"/>
      <w:pPr>
        <w:ind w:left="6480" w:hanging="360"/>
      </w:pPr>
      <w:rPr>
        <w:rFonts w:ascii="Wingdings" w:hAnsi="Wingdings" w:hint="default"/>
      </w:rPr>
    </w:lvl>
  </w:abstractNum>
  <w:abstractNum w:abstractNumId="3" w15:restartNumberingAfterBreak="0">
    <w:nsid w:val="0BBF4E0E"/>
    <w:multiLevelType w:val="hybridMultilevel"/>
    <w:tmpl w:val="50E24CFA"/>
    <w:lvl w:ilvl="0" w:tplc="23667920">
      <w:start w:val="1"/>
      <w:numFmt w:val="decimal"/>
      <w:lvlText w:val="%1."/>
      <w:lvlJc w:val="left"/>
      <w:pPr>
        <w:ind w:left="720" w:hanging="360"/>
      </w:pPr>
      <w:rPr>
        <w:rFonts w:hint="default"/>
        <w:color w:val="auto"/>
      </w:rPr>
    </w:lvl>
    <w:lvl w:ilvl="1" w:tplc="543E4040">
      <w:start w:val="1"/>
      <w:numFmt w:val="lowerLetter"/>
      <w:lvlText w:val="%2."/>
      <w:lvlJc w:val="left"/>
      <w:pPr>
        <w:ind w:left="1440" w:hanging="360"/>
      </w:pPr>
    </w:lvl>
    <w:lvl w:ilvl="2" w:tplc="6BE82176" w:tentative="1">
      <w:start w:val="1"/>
      <w:numFmt w:val="lowerRoman"/>
      <w:lvlText w:val="%3."/>
      <w:lvlJc w:val="right"/>
      <w:pPr>
        <w:ind w:left="2160" w:hanging="180"/>
      </w:pPr>
    </w:lvl>
    <w:lvl w:ilvl="3" w:tplc="ED184DD4" w:tentative="1">
      <w:start w:val="1"/>
      <w:numFmt w:val="decimal"/>
      <w:lvlText w:val="%4."/>
      <w:lvlJc w:val="left"/>
      <w:pPr>
        <w:ind w:left="2880" w:hanging="360"/>
      </w:pPr>
    </w:lvl>
    <w:lvl w:ilvl="4" w:tplc="4A7AB4C6" w:tentative="1">
      <w:start w:val="1"/>
      <w:numFmt w:val="lowerLetter"/>
      <w:lvlText w:val="%5."/>
      <w:lvlJc w:val="left"/>
      <w:pPr>
        <w:ind w:left="3600" w:hanging="360"/>
      </w:pPr>
    </w:lvl>
    <w:lvl w:ilvl="5" w:tplc="8466E740" w:tentative="1">
      <w:start w:val="1"/>
      <w:numFmt w:val="lowerRoman"/>
      <w:lvlText w:val="%6."/>
      <w:lvlJc w:val="right"/>
      <w:pPr>
        <w:ind w:left="4320" w:hanging="180"/>
      </w:pPr>
    </w:lvl>
    <w:lvl w:ilvl="6" w:tplc="2244EC22" w:tentative="1">
      <w:start w:val="1"/>
      <w:numFmt w:val="decimal"/>
      <w:lvlText w:val="%7."/>
      <w:lvlJc w:val="left"/>
      <w:pPr>
        <w:ind w:left="5040" w:hanging="360"/>
      </w:pPr>
    </w:lvl>
    <w:lvl w:ilvl="7" w:tplc="5C883518" w:tentative="1">
      <w:start w:val="1"/>
      <w:numFmt w:val="lowerLetter"/>
      <w:lvlText w:val="%8."/>
      <w:lvlJc w:val="left"/>
      <w:pPr>
        <w:ind w:left="5760" w:hanging="360"/>
      </w:pPr>
    </w:lvl>
    <w:lvl w:ilvl="8" w:tplc="61904B0E" w:tentative="1">
      <w:start w:val="1"/>
      <w:numFmt w:val="lowerRoman"/>
      <w:lvlText w:val="%9."/>
      <w:lvlJc w:val="right"/>
      <w:pPr>
        <w:ind w:left="6480" w:hanging="180"/>
      </w:pPr>
    </w:lvl>
  </w:abstractNum>
  <w:abstractNum w:abstractNumId="4" w15:restartNumberingAfterBreak="0">
    <w:nsid w:val="106A649E"/>
    <w:multiLevelType w:val="hybridMultilevel"/>
    <w:tmpl w:val="E43C7448"/>
    <w:lvl w:ilvl="0" w:tplc="DC3A41BE">
      <w:numFmt w:val="bullet"/>
      <w:lvlText w:val="-"/>
      <w:lvlJc w:val="left"/>
      <w:pPr>
        <w:ind w:left="720" w:hanging="360"/>
      </w:pPr>
      <w:rPr>
        <w:rFonts w:ascii="Times New Roman" w:eastAsia="Calibri" w:hAnsi="Times New Roman" w:cs="Times New Roman" w:hint="default"/>
      </w:rPr>
    </w:lvl>
    <w:lvl w:ilvl="1" w:tplc="A7EC7B2A" w:tentative="1">
      <w:start w:val="1"/>
      <w:numFmt w:val="bullet"/>
      <w:lvlText w:val="o"/>
      <w:lvlJc w:val="left"/>
      <w:pPr>
        <w:ind w:left="1440" w:hanging="360"/>
      </w:pPr>
      <w:rPr>
        <w:rFonts w:ascii="Courier New" w:hAnsi="Courier New" w:cs="Courier New" w:hint="default"/>
      </w:rPr>
    </w:lvl>
    <w:lvl w:ilvl="2" w:tplc="5B60EBD0" w:tentative="1">
      <w:start w:val="1"/>
      <w:numFmt w:val="bullet"/>
      <w:lvlText w:val=""/>
      <w:lvlJc w:val="left"/>
      <w:pPr>
        <w:ind w:left="2160" w:hanging="360"/>
      </w:pPr>
      <w:rPr>
        <w:rFonts w:ascii="Wingdings" w:hAnsi="Wingdings" w:hint="default"/>
      </w:rPr>
    </w:lvl>
    <w:lvl w:ilvl="3" w:tplc="2110D298" w:tentative="1">
      <w:start w:val="1"/>
      <w:numFmt w:val="bullet"/>
      <w:lvlText w:val=""/>
      <w:lvlJc w:val="left"/>
      <w:pPr>
        <w:ind w:left="2880" w:hanging="360"/>
      </w:pPr>
      <w:rPr>
        <w:rFonts w:ascii="Symbol" w:hAnsi="Symbol" w:hint="default"/>
      </w:rPr>
    </w:lvl>
    <w:lvl w:ilvl="4" w:tplc="BB1C8FA2" w:tentative="1">
      <w:start w:val="1"/>
      <w:numFmt w:val="bullet"/>
      <w:lvlText w:val="o"/>
      <w:lvlJc w:val="left"/>
      <w:pPr>
        <w:ind w:left="3600" w:hanging="360"/>
      </w:pPr>
      <w:rPr>
        <w:rFonts w:ascii="Courier New" w:hAnsi="Courier New" w:cs="Courier New" w:hint="default"/>
      </w:rPr>
    </w:lvl>
    <w:lvl w:ilvl="5" w:tplc="A8FA27FA" w:tentative="1">
      <w:start w:val="1"/>
      <w:numFmt w:val="bullet"/>
      <w:lvlText w:val=""/>
      <w:lvlJc w:val="left"/>
      <w:pPr>
        <w:ind w:left="4320" w:hanging="360"/>
      </w:pPr>
      <w:rPr>
        <w:rFonts w:ascii="Wingdings" w:hAnsi="Wingdings" w:hint="default"/>
      </w:rPr>
    </w:lvl>
    <w:lvl w:ilvl="6" w:tplc="2D100560" w:tentative="1">
      <w:start w:val="1"/>
      <w:numFmt w:val="bullet"/>
      <w:lvlText w:val=""/>
      <w:lvlJc w:val="left"/>
      <w:pPr>
        <w:ind w:left="5040" w:hanging="360"/>
      </w:pPr>
      <w:rPr>
        <w:rFonts w:ascii="Symbol" w:hAnsi="Symbol" w:hint="default"/>
      </w:rPr>
    </w:lvl>
    <w:lvl w:ilvl="7" w:tplc="7AE62A9E" w:tentative="1">
      <w:start w:val="1"/>
      <w:numFmt w:val="bullet"/>
      <w:lvlText w:val="o"/>
      <w:lvlJc w:val="left"/>
      <w:pPr>
        <w:ind w:left="5760" w:hanging="360"/>
      </w:pPr>
      <w:rPr>
        <w:rFonts w:ascii="Courier New" w:hAnsi="Courier New" w:cs="Courier New" w:hint="default"/>
      </w:rPr>
    </w:lvl>
    <w:lvl w:ilvl="8" w:tplc="603A0AF0" w:tentative="1">
      <w:start w:val="1"/>
      <w:numFmt w:val="bullet"/>
      <w:lvlText w:val=""/>
      <w:lvlJc w:val="left"/>
      <w:pPr>
        <w:ind w:left="6480" w:hanging="360"/>
      </w:pPr>
      <w:rPr>
        <w:rFonts w:ascii="Wingdings" w:hAnsi="Wingdings" w:hint="default"/>
      </w:rPr>
    </w:lvl>
  </w:abstractNum>
  <w:abstractNum w:abstractNumId="5" w15:restartNumberingAfterBreak="0">
    <w:nsid w:val="156F78AE"/>
    <w:multiLevelType w:val="hybridMultilevel"/>
    <w:tmpl w:val="50E24CFA"/>
    <w:lvl w:ilvl="0" w:tplc="4AF4F322">
      <w:start w:val="1"/>
      <w:numFmt w:val="decimal"/>
      <w:lvlText w:val="%1."/>
      <w:lvlJc w:val="left"/>
      <w:pPr>
        <w:ind w:left="720" w:hanging="360"/>
      </w:pPr>
      <w:rPr>
        <w:rFonts w:hint="default"/>
        <w:color w:val="auto"/>
      </w:rPr>
    </w:lvl>
    <w:lvl w:ilvl="1" w:tplc="F528AB32">
      <w:start w:val="1"/>
      <w:numFmt w:val="lowerLetter"/>
      <w:lvlText w:val="%2."/>
      <w:lvlJc w:val="left"/>
      <w:pPr>
        <w:ind w:left="1440" w:hanging="360"/>
      </w:pPr>
    </w:lvl>
    <w:lvl w:ilvl="2" w:tplc="2B941DA4" w:tentative="1">
      <w:start w:val="1"/>
      <w:numFmt w:val="lowerRoman"/>
      <w:lvlText w:val="%3."/>
      <w:lvlJc w:val="right"/>
      <w:pPr>
        <w:ind w:left="2160" w:hanging="180"/>
      </w:pPr>
    </w:lvl>
    <w:lvl w:ilvl="3" w:tplc="6E424086" w:tentative="1">
      <w:start w:val="1"/>
      <w:numFmt w:val="decimal"/>
      <w:lvlText w:val="%4."/>
      <w:lvlJc w:val="left"/>
      <w:pPr>
        <w:ind w:left="2880" w:hanging="360"/>
      </w:pPr>
    </w:lvl>
    <w:lvl w:ilvl="4" w:tplc="B1DE24B2" w:tentative="1">
      <w:start w:val="1"/>
      <w:numFmt w:val="lowerLetter"/>
      <w:lvlText w:val="%5."/>
      <w:lvlJc w:val="left"/>
      <w:pPr>
        <w:ind w:left="3600" w:hanging="360"/>
      </w:pPr>
    </w:lvl>
    <w:lvl w:ilvl="5" w:tplc="394EEDE0" w:tentative="1">
      <w:start w:val="1"/>
      <w:numFmt w:val="lowerRoman"/>
      <w:lvlText w:val="%6."/>
      <w:lvlJc w:val="right"/>
      <w:pPr>
        <w:ind w:left="4320" w:hanging="180"/>
      </w:pPr>
    </w:lvl>
    <w:lvl w:ilvl="6" w:tplc="635E83C0" w:tentative="1">
      <w:start w:val="1"/>
      <w:numFmt w:val="decimal"/>
      <w:lvlText w:val="%7."/>
      <w:lvlJc w:val="left"/>
      <w:pPr>
        <w:ind w:left="5040" w:hanging="360"/>
      </w:pPr>
    </w:lvl>
    <w:lvl w:ilvl="7" w:tplc="D3085158" w:tentative="1">
      <w:start w:val="1"/>
      <w:numFmt w:val="lowerLetter"/>
      <w:lvlText w:val="%8."/>
      <w:lvlJc w:val="left"/>
      <w:pPr>
        <w:ind w:left="5760" w:hanging="360"/>
      </w:pPr>
    </w:lvl>
    <w:lvl w:ilvl="8" w:tplc="30660374" w:tentative="1">
      <w:start w:val="1"/>
      <w:numFmt w:val="lowerRoman"/>
      <w:lvlText w:val="%9."/>
      <w:lvlJc w:val="right"/>
      <w:pPr>
        <w:ind w:left="6480" w:hanging="180"/>
      </w:pPr>
    </w:lvl>
  </w:abstractNum>
  <w:abstractNum w:abstractNumId="6" w15:restartNumberingAfterBreak="0">
    <w:nsid w:val="17B65278"/>
    <w:multiLevelType w:val="hybridMultilevel"/>
    <w:tmpl w:val="FCDC454C"/>
    <w:lvl w:ilvl="0" w:tplc="5AFE34EA">
      <w:start w:val="1"/>
      <w:numFmt w:val="decimal"/>
      <w:lvlText w:val="%1."/>
      <w:lvlJc w:val="left"/>
      <w:pPr>
        <w:ind w:left="720" w:hanging="360"/>
      </w:pPr>
    </w:lvl>
    <w:lvl w:ilvl="1" w:tplc="3EE68496" w:tentative="1">
      <w:start w:val="1"/>
      <w:numFmt w:val="lowerLetter"/>
      <w:lvlText w:val="%2."/>
      <w:lvlJc w:val="left"/>
      <w:pPr>
        <w:ind w:left="1440" w:hanging="360"/>
      </w:pPr>
    </w:lvl>
    <w:lvl w:ilvl="2" w:tplc="D2523346" w:tentative="1">
      <w:start w:val="1"/>
      <w:numFmt w:val="lowerRoman"/>
      <w:lvlText w:val="%3."/>
      <w:lvlJc w:val="right"/>
      <w:pPr>
        <w:ind w:left="2160" w:hanging="180"/>
      </w:pPr>
    </w:lvl>
    <w:lvl w:ilvl="3" w:tplc="603EA8A2" w:tentative="1">
      <w:start w:val="1"/>
      <w:numFmt w:val="decimal"/>
      <w:lvlText w:val="%4."/>
      <w:lvlJc w:val="left"/>
      <w:pPr>
        <w:ind w:left="2880" w:hanging="360"/>
      </w:pPr>
    </w:lvl>
    <w:lvl w:ilvl="4" w:tplc="C732723E" w:tentative="1">
      <w:start w:val="1"/>
      <w:numFmt w:val="lowerLetter"/>
      <w:lvlText w:val="%5."/>
      <w:lvlJc w:val="left"/>
      <w:pPr>
        <w:ind w:left="3600" w:hanging="360"/>
      </w:pPr>
    </w:lvl>
    <w:lvl w:ilvl="5" w:tplc="4F48D9A4" w:tentative="1">
      <w:start w:val="1"/>
      <w:numFmt w:val="lowerRoman"/>
      <w:lvlText w:val="%6."/>
      <w:lvlJc w:val="right"/>
      <w:pPr>
        <w:ind w:left="4320" w:hanging="180"/>
      </w:pPr>
    </w:lvl>
    <w:lvl w:ilvl="6" w:tplc="26E6D0B0" w:tentative="1">
      <w:start w:val="1"/>
      <w:numFmt w:val="decimal"/>
      <w:lvlText w:val="%7."/>
      <w:lvlJc w:val="left"/>
      <w:pPr>
        <w:ind w:left="5040" w:hanging="360"/>
      </w:pPr>
    </w:lvl>
    <w:lvl w:ilvl="7" w:tplc="ABFA0E6C" w:tentative="1">
      <w:start w:val="1"/>
      <w:numFmt w:val="lowerLetter"/>
      <w:lvlText w:val="%8."/>
      <w:lvlJc w:val="left"/>
      <w:pPr>
        <w:ind w:left="5760" w:hanging="360"/>
      </w:pPr>
    </w:lvl>
    <w:lvl w:ilvl="8" w:tplc="90ACA976" w:tentative="1">
      <w:start w:val="1"/>
      <w:numFmt w:val="lowerRoman"/>
      <w:lvlText w:val="%9."/>
      <w:lvlJc w:val="right"/>
      <w:pPr>
        <w:ind w:left="6480" w:hanging="180"/>
      </w:pPr>
    </w:lvl>
  </w:abstractNum>
  <w:abstractNum w:abstractNumId="7" w15:restartNumberingAfterBreak="0">
    <w:nsid w:val="19DD7517"/>
    <w:multiLevelType w:val="hybridMultilevel"/>
    <w:tmpl w:val="67DA6ED6"/>
    <w:lvl w:ilvl="0" w:tplc="9D148832">
      <w:start w:val="1"/>
      <w:numFmt w:val="bullet"/>
      <w:lvlText w:val=""/>
      <w:lvlJc w:val="left"/>
      <w:pPr>
        <w:ind w:left="720" w:hanging="360"/>
      </w:pPr>
      <w:rPr>
        <w:rFonts w:ascii="Symbol" w:hAnsi="Symbol" w:hint="default"/>
      </w:rPr>
    </w:lvl>
    <w:lvl w:ilvl="1" w:tplc="692E9DEE" w:tentative="1">
      <w:start w:val="1"/>
      <w:numFmt w:val="bullet"/>
      <w:lvlText w:val="o"/>
      <w:lvlJc w:val="left"/>
      <w:pPr>
        <w:ind w:left="1440" w:hanging="360"/>
      </w:pPr>
      <w:rPr>
        <w:rFonts w:ascii="Courier New" w:hAnsi="Courier New" w:cs="Courier New" w:hint="default"/>
      </w:rPr>
    </w:lvl>
    <w:lvl w:ilvl="2" w:tplc="1F0219D4" w:tentative="1">
      <w:start w:val="1"/>
      <w:numFmt w:val="bullet"/>
      <w:lvlText w:val=""/>
      <w:lvlJc w:val="left"/>
      <w:pPr>
        <w:ind w:left="2160" w:hanging="360"/>
      </w:pPr>
      <w:rPr>
        <w:rFonts w:ascii="Wingdings" w:hAnsi="Wingdings" w:hint="default"/>
      </w:rPr>
    </w:lvl>
    <w:lvl w:ilvl="3" w:tplc="3B684D18" w:tentative="1">
      <w:start w:val="1"/>
      <w:numFmt w:val="bullet"/>
      <w:lvlText w:val=""/>
      <w:lvlJc w:val="left"/>
      <w:pPr>
        <w:ind w:left="2880" w:hanging="360"/>
      </w:pPr>
      <w:rPr>
        <w:rFonts w:ascii="Symbol" w:hAnsi="Symbol" w:hint="default"/>
      </w:rPr>
    </w:lvl>
    <w:lvl w:ilvl="4" w:tplc="F4EEFBB0" w:tentative="1">
      <w:start w:val="1"/>
      <w:numFmt w:val="bullet"/>
      <w:lvlText w:val="o"/>
      <w:lvlJc w:val="left"/>
      <w:pPr>
        <w:ind w:left="3600" w:hanging="360"/>
      </w:pPr>
      <w:rPr>
        <w:rFonts w:ascii="Courier New" w:hAnsi="Courier New" w:cs="Courier New" w:hint="default"/>
      </w:rPr>
    </w:lvl>
    <w:lvl w:ilvl="5" w:tplc="57A4CB5E" w:tentative="1">
      <w:start w:val="1"/>
      <w:numFmt w:val="bullet"/>
      <w:lvlText w:val=""/>
      <w:lvlJc w:val="left"/>
      <w:pPr>
        <w:ind w:left="4320" w:hanging="360"/>
      </w:pPr>
      <w:rPr>
        <w:rFonts w:ascii="Wingdings" w:hAnsi="Wingdings" w:hint="default"/>
      </w:rPr>
    </w:lvl>
    <w:lvl w:ilvl="6" w:tplc="7E666E96" w:tentative="1">
      <w:start w:val="1"/>
      <w:numFmt w:val="bullet"/>
      <w:lvlText w:val=""/>
      <w:lvlJc w:val="left"/>
      <w:pPr>
        <w:ind w:left="5040" w:hanging="360"/>
      </w:pPr>
      <w:rPr>
        <w:rFonts w:ascii="Symbol" w:hAnsi="Symbol" w:hint="default"/>
      </w:rPr>
    </w:lvl>
    <w:lvl w:ilvl="7" w:tplc="E8A20BD8" w:tentative="1">
      <w:start w:val="1"/>
      <w:numFmt w:val="bullet"/>
      <w:lvlText w:val="o"/>
      <w:lvlJc w:val="left"/>
      <w:pPr>
        <w:ind w:left="5760" w:hanging="360"/>
      </w:pPr>
      <w:rPr>
        <w:rFonts w:ascii="Courier New" w:hAnsi="Courier New" w:cs="Courier New" w:hint="default"/>
      </w:rPr>
    </w:lvl>
    <w:lvl w:ilvl="8" w:tplc="BE1E2C1E" w:tentative="1">
      <w:start w:val="1"/>
      <w:numFmt w:val="bullet"/>
      <w:lvlText w:val=""/>
      <w:lvlJc w:val="left"/>
      <w:pPr>
        <w:ind w:left="6480" w:hanging="360"/>
      </w:pPr>
      <w:rPr>
        <w:rFonts w:ascii="Wingdings" w:hAnsi="Wingdings" w:hint="default"/>
      </w:rPr>
    </w:lvl>
  </w:abstractNum>
  <w:abstractNum w:abstractNumId="8" w15:restartNumberingAfterBreak="0">
    <w:nsid w:val="24323AEA"/>
    <w:multiLevelType w:val="hybridMultilevel"/>
    <w:tmpl w:val="6E0EACD8"/>
    <w:lvl w:ilvl="0" w:tplc="71147FF0">
      <w:start w:val="1"/>
      <w:numFmt w:val="bullet"/>
      <w:lvlText w:val=""/>
      <w:lvlJc w:val="left"/>
      <w:pPr>
        <w:tabs>
          <w:tab w:val="num" w:pos="4873"/>
        </w:tabs>
        <w:ind w:left="4873" w:hanging="283"/>
      </w:pPr>
      <w:rPr>
        <w:rFonts w:ascii="Symbol" w:hAnsi="Symbol" w:hint="default"/>
        <w:sz w:val="24"/>
      </w:rPr>
    </w:lvl>
    <w:lvl w:ilvl="1" w:tplc="90C412D2">
      <w:start w:val="1"/>
      <w:numFmt w:val="bullet"/>
      <w:lvlText w:val=""/>
      <w:lvlJc w:val="left"/>
      <w:pPr>
        <w:tabs>
          <w:tab w:val="num" w:pos="1440"/>
        </w:tabs>
        <w:ind w:left="1440" w:hanging="360"/>
      </w:pPr>
      <w:rPr>
        <w:rFonts w:ascii="Symbol" w:hAnsi="Symbol" w:hint="default"/>
      </w:rPr>
    </w:lvl>
    <w:lvl w:ilvl="2" w:tplc="6478BD1E">
      <w:start w:val="1"/>
      <w:numFmt w:val="bullet"/>
      <w:lvlText w:val=""/>
      <w:lvlJc w:val="left"/>
      <w:pPr>
        <w:tabs>
          <w:tab w:val="num" w:pos="2160"/>
        </w:tabs>
        <w:ind w:left="2160" w:hanging="360"/>
      </w:pPr>
      <w:rPr>
        <w:rFonts w:ascii="Wingdings" w:hAnsi="Wingdings" w:hint="default"/>
      </w:rPr>
    </w:lvl>
    <w:lvl w:ilvl="3" w:tplc="DE888B0A">
      <w:start w:val="1"/>
      <w:numFmt w:val="bullet"/>
      <w:lvlText w:val=""/>
      <w:lvlJc w:val="left"/>
      <w:pPr>
        <w:tabs>
          <w:tab w:val="num" w:pos="2880"/>
        </w:tabs>
        <w:ind w:left="2880" w:hanging="360"/>
      </w:pPr>
      <w:rPr>
        <w:rFonts w:ascii="Symbol" w:hAnsi="Symbol" w:hint="default"/>
      </w:rPr>
    </w:lvl>
    <w:lvl w:ilvl="4" w:tplc="7B386FCE" w:tentative="1">
      <w:start w:val="1"/>
      <w:numFmt w:val="bullet"/>
      <w:lvlText w:val="o"/>
      <w:lvlJc w:val="left"/>
      <w:pPr>
        <w:tabs>
          <w:tab w:val="num" w:pos="3600"/>
        </w:tabs>
        <w:ind w:left="3600" w:hanging="360"/>
      </w:pPr>
      <w:rPr>
        <w:rFonts w:ascii="Courier New" w:hAnsi="Courier New" w:hint="default"/>
      </w:rPr>
    </w:lvl>
    <w:lvl w:ilvl="5" w:tplc="93ACCC72" w:tentative="1">
      <w:start w:val="1"/>
      <w:numFmt w:val="bullet"/>
      <w:lvlText w:val=""/>
      <w:lvlJc w:val="left"/>
      <w:pPr>
        <w:tabs>
          <w:tab w:val="num" w:pos="4320"/>
        </w:tabs>
        <w:ind w:left="4320" w:hanging="360"/>
      </w:pPr>
      <w:rPr>
        <w:rFonts w:ascii="Wingdings" w:hAnsi="Wingdings" w:hint="default"/>
      </w:rPr>
    </w:lvl>
    <w:lvl w:ilvl="6" w:tplc="E4B818A0" w:tentative="1">
      <w:start w:val="1"/>
      <w:numFmt w:val="bullet"/>
      <w:lvlText w:val=""/>
      <w:lvlJc w:val="left"/>
      <w:pPr>
        <w:tabs>
          <w:tab w:val="num" w:pos="5040"/>
        </w:tabs>
        <w:ind w:left="5040" w:hanging="360"/>
      </w:pPr>
      <w:rPr>
        <w:rFonts w:ascii="Symbol" w:hAnsi="Symbol" w:hint="default"/>
      </w:rPr>
    </w:lvl>
    <w:lvl w:ilvl="7" w:tplc="FDAC6DA4" w:tentative="1">
      <w:start w:val="1"/>
      <w:numFmt w:val="bullet"/>
      <w:lvlText w:val="o"/>
      <w:lvlJc w:val="left"/>
      <w:pPr>
        <w:tabs>
          <w:tab w:val="num" w:pos="5760"/>
        </w:tabs>
        <w:ind w:left="5760" w:hanging="360"/>
      </w:pPr>
      <w:rPr>
        <w:rFonts w:ascii="Courier New" w:hAnsi="Courier New" w:hint="default"/>
      </w:rPr>
    </w:lvl>
    <w:lvl w:ilvl="8" w:tplc="9800ADD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3A2699"/>
    <w:multiLevelType w:val="hybridMultilevel"/>
    <w:tmpl w:val="27A8E042"/>
    <w:lvl w:ilvl="0" w:tplc="59F22976">
      <w:start w:val="1"/>
      <w:numFmt w:val="decimal"/>
      <w:lvlText w:val="%1."/>
      <w:lvlJc w:val="left"/>
      <w:pPr>
        <w:ind w:left="720" w:hanging="360"/>
      </w:pPr>
      <w:rPr>
        <w:rFonts w:hint="default"/>
      </w:rPr>
    </w:lvl>
    <w:lvl w:ilvl="1" w:tplc="05107192" w:tentative="1">
      <w:start w:val="1"/>
      <w:numFmt w:val="lowerLetter"/>
      <w:lvlText w:val="%2."/>
      <w:lvlJc w:val="left"/>
      <w:pPr>
        <w:ind w:left="1440" w:hanging="360"/>
      </w:pPr>
    </w:lvl>
    <w:lvl w:ilvl="2" w:tplc="63C61B40" w:tentative="1">
      <w:start w:val="1"/>
      <w:numFmt w:val="lowerRoman"/>
      <w:lvlText w:val="%3."/>
      <w:lvlJc w:val="right"/>
      <w:pPr>
        <w:ind w:left="2160" w:hanging="180"/>
      </w:pPr>
    </w:lvl>
    <w:lvl w:ilvl="3" w:tplc="C144D038" w:tentative="1">
      <w:start w:val="1"/>
      <w:numFmt w:val="decimal"/>
      <w:lvlText w:val="%4."/>
      <w:lvlJc w:val="left"/>
      <w:pPr>
        <w:ind w:left="2880" w:hanging="360"/>
      </w:pPr>
    </w:lvl>
    <w:lvl w:ilvl="4" w:tplc="72A20F84" w:tentative="1">
      <w:start w:val="1"/>
      <w:numFmt w:val="lowerLetter"/>
      <w:lvlText w:val="%5."/>
      <w:lvlJc w:val="left"/>
      <w:pPr>
        <w:ind w:left="3600" w:hanging="360"/>
      </w:pPr>
    </w:lvl>
    <w:lvl w:ilvl="5" w:tplc="A1469CBA" w:tentative="1">
      <w:start w:val="1"/>
      <w:numFmt w:val="lowerRoman"/>
      <w:lvlText w:val="%6."/>
      <w:lvlJc w:val="right"/>
      <w:pPr>
        <w:ind w:left="4320" w:hanging="180"/>
      </w:pPr>
    </w:lvl>
    <w:lvl w:ilvl="6" w:tplc="1E90C0D6" w:tentative="1">
      <w:start w:val="1"/>
      <w:numFmt w:val="decimal"/>
      <w:lvlText w:val="%7."/>
      <w:lvlJc w:val="left"/>
      <w:pPr>
        <w:ind w:left="5040" w:hanging="360"/>
      </w:pPr>
    </w:lvl>
    <w:lvl w:ilvl="7" w:tplc="43FEE798" w:tentative="1">
      <w:start w:val="1"/>
      <w:numFmt w:val="lowerLetter"/>
      <w:lvlText w:val="%8."/>
      <w:lvlJc w:val="left"/>
      <w:pPr>
        <w:ind w:left="5760" w:hanging="360"/>
      </w:pPr>
    </w:lvl>
    <w:lvl w:ilvl="8" w:tplc="7890A86A" w:tentative="1">
      <w:start w:val="1"/>
      <w:numFmt w:val="lowerRoman"/>
      <w:lvlText w:val="%9."/>
      <w:lvlJc w:val="right"/>
      <w:pPr>
        <w:ind w:left="6480" w:hanging="180"/>
      </w:pPr>
    </w:lvl>
  </w:abstractNum>
  <w:abstractNum w:abstractNumId="10" w15:restartNumberingAfterBreak="0">
    <w:nsid w:val="284A4635"/>
    <w:multiLevelType w:val="hybridMultilevel"/>
    <w:tmpl w:val="6022841E"/>
    <w:lvl w:ilvl="0" w:tplc="6F8E3AC4">
      <w:start w:val="1"/>
      <w:numFmt w:val="lowerLetter"/>
      <w:lvlText w:val="%1."/>
      <w:lvlJc w:val="left"/>
      <w:pPr>
        <w:ind w:left="922" w:hanging="360"/>
      </w:pPr>
      <w:rPr>
        <w:rFonts w:hint="default"/>
      </w:rPr>
    </w:lvl>
    <w:lvl w:ilvl="1" w:tplc="FF7CE62E" w:tentative="1">
      <w:start w:val="1"/>
      <w:numFmt w:val="bullet"/>
      <w:lvlText w:val="o"/>
      <w:lvlJc w:val="left"/>
      <w:pPr>
        <w:ind w:left="1642" w:hanging="360"/>
      </w:pPr>
      <w:rPr>
        <w:rFonts w:ascii="Courier New" w:hAnsi="Courier New" w:cs="Courier New" w:hint="default"/>
      </w:rPr>
    </w:lvl>
    <w:lvl w:ilvl="2" w:tplc="2D6AA666" w:tentative="1">
      <w:start w:val="1"/>
      <w:numFmt w:val="bullet"/>
      <w:lvlText w:val=""/>
      <w:lvlJc w:val="left"/>
      <w:pPr>
        <w:ind w:left="2362" w:hanging="360"/>
      </w:pPr>
      <w:rPr>
        <w:rFonts w:ascii="Wingdings" w:hAnsi="Wingdings" w:hint="default"/>
      </w:rPr>
    </w:lvl>
    <w:lvl w:ilvl="3" w:tplc="0EE85050" w:tentative="1">
      <w:start w:val="1"/>
      <w:numFmt w:val="bullet"/>
      <w:lvlText w:val=""/>
      <w:lvlJc w:val="left"/>
      <w:pPr>
        <w:ind w:left="3082" w:hanging="360"/>
      </w:pPr>
      <w:rPr>
        <w:rFonts w:ascii="Symbol" w:hAnsi="Symbol" w:hint="default"/>
      </w:rPr>
    </w:lvl>
    <w:lvl w:ilvl="4" w:tplc="957C345C" w:tentative="1">
      <w:start w:val="1"/>
      <w:numFmt w:val="bullet"/>
      <w:lvlText w:val="o"/>
      <w:lvlJc w:val="left"/>
      <w:pPr>
        <w:ind w:left="3802" w:hanging="360"/>
      </w:pPr>
      <w:rPr>
        <w:rFonts w:ascii="Courier New" w:hAnsi="Courier New" w:cs="Courier New" w:hint="default"/>
      </w:rPr>
    </w:lvl>
    <w:lvl w:ilvl="5" w:tplc="20F4953E" w:tentative="1">
      <w:start w:val="1"/>
      <w:numFmt w:val="bullet"/>
      <w:lvlText w:val=""/>
      <w:lvlJc w:val="left"/>
      <w:pPr>
        <w:ind w:left="4522" w:hanging="360"/>
      </w:pPr>
      <w:rPr>
        <w:rFonts w:ascii="Wingdings" w:hAnsi="Wingdings" w:hint="default"/>
      </w:rPr>
    </w:lvl>
    <w:lvl w:ilvl="6" w:tplc="102491BC" w:tentative="1">
      <w:start w:val="1"/>
      <w:numFmt w:val="bullet"/>
      <w:lvlText w:val=""/>
      <w:lvlJc w:val="left"/>
      <w:pPr>
        <w:ind w:left="5242" w:hanging="360"/>
      </w:pPr>
      <w:rPr>
        <w:rFonts w:ascii="Symbol" w:hAnsi="Symbol" w:hint="default"/>
      </w:rPr>
    </w:lvl>
    <w:lvl w:ilvl="7" w:tplc="5792D4D8" w:tentative="1">
      <w:start w:val="1"/>
      <w:numFmt w:val="bullet"/>
      <w:lvlText w:val="o"/>
      <w:lvlJc w:val="left"/>
      <w:pPr>
        <w:ind w:left="5962" w:hanging="360"/>
      </w:pPr>
      <w:rPr>
        <w:rFonts w:ascii="Courier New" w:hAnsi="Courier New" w:cs="Courier New" w:hint="default"/>
      </w:rPr>
    </w:lvl>
    <w:lvl w:ilvl="8" w:tplc="E266EC10" w:tentative="1">
      <w:start w:val="1"/>
      <w:numFmt w:val="bullet"/>
      <w:lvlText w:val=""/>
      <w:lvlJc w:val="left"/>
      <w:pPr>
        <w:ind w:left="6682" w:hanging="360"/>
      </w:pPr>
      <w:rPr>
        <w:rFonts w:ascii="Wingdings" w:hAnsi="Wingdings" w:hint="default"/>
      </w:rPr>
    </w:lvl>
  </w:abstractNum>
  <w:abstractNum w:abstractNumId="11" w15:restartNumberingAfterBreak="0">
    <w:nsid w:val="2AA81D41"/>
    <w:multiLevelType w:val="hybridMultilevel"/>
    <w:tmpl w:val="1424F5FE"/>
    <w:lvl w:ilvl="0" w:tplc="5A5CD604">
      <w:start w:val="1"/>
      <w:numFmt w:val="bullet"/>
      <w:lvlText w:val=""/>
      <w:lvlJc w:val="left"/>
      <w:pPr>
        <w:ind w:left="720" w:hanging="360"/>
      </w:pPr>
      <w:rPr>
        <w:rFonts w:ascii="Symbol" w:hAnsi="Symbol" w:hint="default"/>
      </w:rPr>
    </w:lvl>
    <w:lvl w:ilvl="1" w:tplc="09DC9E8C" w:tentative="1">
      <w:start w:val="1"/>
      <w:numFmt w:val="bullet"/>
      <w:lvlText w:val="o"/>
      <w:lvlJc w:val="left"/>
      <w:pPr>
        <w:ind w:left="1440" w:hanging="360"/>
      </w:pPr>
      <w:rPr>
        <w:rFonts w:ascii="Courier New" w:hAnsi="Courier New" w:hint="default"/>
      </w:rPr>
    </w:lvl>
    <w:lvl w:ilvl="2" w:tplc="FC6A0928" w:tentative="1">
      <w:start w:val="1"/>
      <w:numFmt w:val="bullet"/>
      <w:lvlText w:val=""/>
      <w:lvlJc w:val="left"/>
      <w:pPr>
        <w:ind w:left="2160" w:hanging="360"/>
      </w:pPr>
      <w:rPr>
        <w:rFonts w:ascii="Wingdings" w:hAnsi="Wingdings" w:hint="default"/>
      </w:rPr>
    </w:lvl>
    <w:lvl w:ilvl="3" w:tplc="AF64195C" w:tentative="1">
      <w:start w:val="1"/>
      <w:numFmt w:val="bullet"/>
      <w:lvlText w:val=""/>
      <w:lvlJc w:val="left"/>
      <w:pPr>
        <w:ind w:left="2880" w:hanging="360"/>
      </w:pPr>
      <w:rPr>
        <w:rFonts w:ascii="Symbol" w:hAnsi="Symbol" w:hint="default"/>
      </w:rPr>
    </w:lvl>
    <w:lvl w:ilvl="4" w:tplc="59A47066" w:tentative="1">
      <w:start w:val="1"/>
      <w:numFmt w:val="bullet"/>
      <w:lvlText w:val="o"/>
      <w:lvlJc w:val="left"/>
      <w:pPr>
        <w:ind w:left="3600" w:hanging="360"/>
      </w:pPr>
      <w:rPr>
        <w:rFonts w:ascii="Courier New" w:hAnsi="Courier New" w:hint="default"/>
      </w:rPr>
    </w:lvl>
    <w:lvl w:ilvl="5" w:tplc="9A16E120" w:tentative="1">
      <w:start w:val="1"/>
      <w:numFmt w:val="bullet"/>
      <w:lvlText w:val=""/>
      <w:lvlJc w:val="left"/>
      <w:pPr>
        <w:ind w:left="4320" w:hanging="360"/>
      </w:pPr>
      <w:rPr>
        <w:rFonts w:ascii="Wingdings" w:hAnsi="Wingdings" w:hint="default"/>
      </w:rPr>
    </w:lvl>
    <w:lvl w:ilvl="6" w:tplc="421458FA" w:tentative="1">
      <w:start w:val="1"/>
      <w:numFmt w:val="bullet"/>
      <w:lvlText w:val=""/>
      <w:lvlJc w:val="left"/>
      <w:pPr>
        <w:ind w:left="5040" w:hanging="360"/>
      </w:pPr>
      <w:rPr>
        <w:rFonts w:ascii="Symbol" w:hAnsi="Symbol" w:hint="default"/>
      </w:rPr>
    </w:lvl>
    <w:lvl w:ilvl="7" w:tplc="CCA45DFC" w:tentative="1">
      <w:start w:val="1"/>
      <w:numFmt w:val="bullet"/>
      <w:lvlText w:val="o"/>
      <w:lvlJc w:val="left"/>
      <w:pPr>
        <w:ind w:left="5760" w:hanging="360"/>
      </w:pPr>
      <w:rPr>
        <w:rFonts w:ascii="Courier New" w:hAnsi="Courier New" w:hint="default"/>
      </w:rPr>
    </w:lvl>
    <w:lvl w:ilvl="8" w:tplc="14D6AB74" w:tentative="1">
      <w:start w:val="1"/>
      <w:numFmt w:val="bullet"/>
      <w:lvlText w:val=""/>
      <w:lvlJc w:val="left"/>
      <w:pPr>
        <w:ind w:left="6480" w:hanging="360"/>
      </w:pPr>
      <w:rPr>
        <w:rFonts w:ascii="Wingdings" w:hAnsi="Wingdings" w:hint="default"/>
      </w:rPr>
    </w:lvl>
  </w:abstractNum>
  <w:abstractNum w:abstractNumId="12" w15:restartNumberingAfterBreak="0">
    <w:nsid w:val="3DC865DA"/>
    <w:multiLevelType w:val="hybridMultilevel"/>
    <w:tmpl w:val="6D92175C"/>
    <w:lvl w:ilvl="0" w:tplc="B83EA066">
      <w:start w:val="1"/>
      <w:numFmt w:val="bullet"/>
      <w:lvlText w:val=""/>
      <w:lvlJc w:val="left"/>
      <w:pPr>
        <w:ind w:left="720" w:hanging="360"/>
      </w:pPr>
      <w:rPr>
        <w:rFonts w:ascii="Symbol" w:hAnsi="Symbol" w:hint="default"/>
      </w:rPr>
    </w:lvl>
    <w:lvl w:ilvl="1" w:tplc="11AA1B9C" w:tentative="1">
      <w:start w:val="1"/>
      <w:numFmt w:val="lowerLetter"/>
      <w:lvlText w:val="%2."/>
      <w:lvlJc w:val="left"/>
      <w:pPr>
        <w:ind w:left="1440" w:hanging="360"/>
      </w:pPr>
    </w:lvl>
    <w:lvl w:ilvl="2" w:tplc="8572E5D8" w:tentative="1">
      <w:start w:val="1"/>
      <w:numFmt w:val="lowerRoman"/>
      <w:lvlText w:val="%3."/>
      <w:lvlJc w:val="right"/>
      <w:pPr>
        <w:ind w:left="2160" w:hanging="180"/>
      </w:pPr>
    </w:lvl>
    <w:lvl w:ilvl="3" w:tplc="44665EB6" w:tentative="1">
      <w:start w:val="1"/>
      <w:numFmt w:val="decimal"/>
      <w:lvlText w:val="%4."/>
      <w:lvlJc w:val="left"/>
      <w:pPr>
        <w:ind w:left="2880" w:hanging="360"/>
      </w:pPr>
    </w:lvl>
    <w:lvl w:ilvl="4" w:tplc="C4CAF562" w:tentative="1">
      <w:start w:val="1"/>
      <w:numFmt w:val="lowerLetter"/>
      <w:lvlText w:val="%5."/>
      <w:lvlJc w:val="left"/>
      <w:pPr>
        <w:ind w:left="3600" w:hanging="360"/>
      </w:pPr>
    </w:lvl>
    <w:lvl w:ilvl="5" w:tplc="64381958" w:tentative="1">
      <w:start w:val="1"/>
      <w:numFmt w:val="lowerRoman"/>
      <w:lvlText w:val="%6."/>
      <w:lvlJc w:val="right"/>
      <w:pPr>
        <w:ind w:left="4320" w:hanging="180"/>
      </w:pPr>
    </w:lvl>
    <w:lvl w:ilvl="6" w:tplc="AF6411CE" w:tentative="1">
      <w:start w:val="1"/>
      <w:numFmt w:val="decimal"/>
      <w:lvlText w:val="%7."/>
      <w:lvlJc w:val="left"/>
      <w:pPr>
        <w:ind w:left="5040" w:hanging="360"/>
      </w:pPr>
    </w:lvl>
    <w:lvl w:ilvl="7" w:tplc="6A8622AC" w:tentative="1">
      <w:start w:val="1"/>
      <w:numFmt w:val="lowerLetter"/>
      <w:lvlText w:val="%8."/>
      <w:lvlJc w:val="left"/>
      <w:pPr>
        <w:ind w:left="5760" w:hanging="360"/>
      </w:pPr>
    </w:lvl>
    <w:lvl w:ilvl="8" w:tplc="7DB61654" w:tentative="1">
      <w:start w:val="1"/>
      <w:numFmt w:val="lowerRoman"/>
      <w:lvlText w:val="%9."/>
      <w:lvlJc w:val="right"/>
      <w:pPr>
        <w:ind w:left="6480" w:hanging="180"/>
      </w:pPr>
    </w:lvl>
  </w:abstractNum>
  <w:abstractNum w:abstractNumId="13" w15:restartNumberingAfterBreak="0">
    <w:nsid w:val="3EAF7027"/>
    <w:multiLevelType w:val="hybridMultilevel"/>
    <w:tmpl w:val="0414BF80"/>
    <w:lvl w:ilvl="0" w:tplc="31C0E1DE">
      <w:start w:val="1"/>
      <w:numFmt w:val="lowerLetter"/>
      <w:lvlText w:val="%1."/>
      <w:lvlJc w:val="left"/>
      <w:pPr>
        <w:ind w:left="720" w:hanging="360"/>
      </w:pPr>
      <w:rPr>
        <w:rFonts w:hint="default"/>
      </w:rPr>
    </w:lvl>
    <w:lvl w:ilvl="1" w:tplc="A112CDB4" w:tentative="1">
      <w:start w:val="1"/>
      <w:numFmt w:val="bullet"/>
      <w:lvlText w:val="o"/>
      <w:lvlJc w:val="left"/>
      <w:pPr>
        <w:ind w:left="1440" w:hanging="360"/>
      </w:pPr>
      <w:rPr>
        <w:rFonts w:ascii="Courier New" w:hAnsi="Courier New" w:cs="Courier New" w:hint="default"/>
      </w:rPr>
    </w:lvl>
    <w:lvl w:ilvl="2" w:tplc="1BE0AA64" w:tentative="1">
      <w:start w:val="1"/>
      <w:numFmt w:val="bullet"/>
      <w:lvlText w:val=""/>
      <w:lvlJc w:val="left"/>
      <w:pPr>
        <w:ind w:left="2160" w:hanging="360"/>
      </w:pPr>
      <w:rPr>
        <w:rFonts w:ascii="Wingdings" w:hAnsi="Wingdings" w:hint="default"/>
      </w:rPr>
    </w:lvl>
    <w:lvl w:ilvl="3" w:tplc="4622DFF4" w:tentative="1">
      <w:start w:val="1"/>
      <w:numFmt w:val="bullet"/>
      <w:lvlText w:val=""/>
      <w:lvlJc w:val="left"/>
      <w:pPr>
        <w:ind w:left="2880" w:hanging="360"/>
      </w:pPr>
      <w:rPr>
        <w:rFonts w:ascii="Symbol" w:hAnsi="Symbol" w:hint="default"/>
      </w:rPr>
    </w:lvl>
    <w:lvl w:ilvl="4" w:tplc="281E6880" w:tentative="1">
      <w:start w:val="1"/>
      <w:numFmt w:val="bullet"/>
      <w:lvlText w:val="o"/>
      <w:lvlJc w:val="left"/>
      <w:pPr>
        <w:ind w:left="3600" w:hanging="360"/>
      </w:pPr>
      <w:rPr>
        <w:rFonts w:ascii="Courier New" w:hAnsi="Courier New" w:cs="Courier New" w:hint="default"/>
      </w:rPr>
    </w:lvl>
    <w:lvl w:ilvl="5" w:tplc="8B744820" w:tentative="1">
      <w:start w:val="1"/>
      <w:numFmt w:val="bullet"/>
      <w:lvlText w:val=""/>
      <w:lvlJc w:val="left"/>
      <w:pPr>
        <w:ind w:left="4320" w:hanging="360"/>
      </w:pPr>
      <w:rPr>
        <w:rFonts w:ascii="Wingdings" w:hAnsi="Wingdings" w:hint="default"/>
      </w:rPr>
    </w:lvl>
    <w:lvl w:ilvl="6" w:tplc="42F89322" w:tentative="1">
      <w:start w:val="1"/>
      <w:numFmt w:val="bullet"/>
      <w:lvlText w:val=""/>
      <w:lvlJc w:val="left"/>
      <w:pPr>
        <w:ind w:left="5040" w:hanging="360"/>
      </w:pPr>
      <w:rPr>
        <w:rFonts w:ascii="Symbol" w:hAnsi="Symbol" w:hint="default"/>
      </w:rPr>
    </w:lvl>
    <w:lvl w:ilvl="7" w:tplc="29C275E4" w:tentative="1">
      <w:start w:val="1"/>
      <w:numFmt w:val="bullet"/>
      <w:lvlText w:val="o"/>
      <w:lvlJc w:val="left"/>
      <w:pPr>
        <w:ind w:left="5760" w:hanging="360"/>
      </w:pPr>
      <w:rPr>
        <w:rFonts w:ascii="Courier New" w:hAnsi="Courier New" w:cs="Courier New" w:hint="default"/>
      </w:rPr>
    </w:lvl>
    <w:lvl w:ilvl="8" w:tplc="1914621E" w:tentative="1">
      <w:start w:val="1"/>
      <w:numFmt w:val="bullet"/>
      <w:lvlText w:val=""/>
      <w:lvlJc w:val="left"/>
      <w:pPr>
        <w:ind w:left="6480" w:hanging="360"/>
      </w:pPr>
      <w:rPr>
        <w:rFonts w:ascii="Wingdings" w:hAnsi="Wingdings" w:hint="default"/>
      </w:rPr>
    </w:lvl>
  </w:abstractNum>
  <w:abstractNum w:abstractNumId="14" w15:restartNumberingAfterBreak="0">
    <w:nsid w:val="413A7FC4"/>
    <w:multiLevelType w:val="hybridMultilevel"/>
    <w:tmpl w:val="C562CE74"/>
    <w:lvl w:ilvl="0" w:tplc="EF647BA8">
      <w:start w:val="1"/>
      <w:numFmt w:val="bullet"/>
      <w:lvlText w:val=""/>
      <w:lvlJc w:val="left"/>
      <w:pPr>
        <w:ind w:left="720" w:hanging="360"/>
      </w:pPr>
      <w:rPr>
        <w:rFonts w:ascii="Symbol" w:hAnsi="Symbol" w:hint="default"/>
      </w:rPr>
    </w:lvl>
    <w:lvl w:ilvl="1" w:tplc="3F86828A" w:tentative="1">
      <w:start w:val="1"/>
      <w:numFmt w:val="bullet"/>
      <w:lvlText w:val="o"/>
      <w:lvlJc w:val="left"/>
      <w:pPr>
        <w:ind w:left="1440" w:hanging="360"/>
      </w:pPr>
      <w:rPr>
        <w:rFonts w:ascii="Courier New" w:hAnsi="Courier New" w:cs="Courier New" w:hint="default"/>
      </w:rPr>
    </w:lvl>
    <w:lvl w:ilvl="2" w:tplc="783E833E" w:tentative="1">
      <w:start w:val="1"/>
      <w:numFmt w:val="bullet"/>
      <w:lvlText w:val=""/>
      <w:lvlJc w:val="left"/>
      <w:pPr>
        <w:ind w:left="2160" w:hanging="360"/>
      </w:pPr>
      <w:rPr>
        <w:rFonts w:ascii="Wingdings" w:hAnsi="Wingdings" w:hint="default"/>
      </w:rPr>
    </w:lvl>
    <w:lvl w:ilvl="3" w:tplc="793C5988" w:tentative="1">
      <w:start w:val="1"/>
      <w:numFmt w:val="bullet"/>
      <w:lvlText w:val=""/>
      <w:lvlJc w:val="left"/>
      <w:pPr>
        <w:ind w:left="2880" w:hanging="360"/>
      </w:pPr>
      <w:rPr>
        <w:rFonts w:ascii="Symbol" w:hAnsi="Symbol" w:hint="default"/>
      </w:rPr>
    </w:lvl>
    <w:lvl w:ilvl="4" w:tplc="341C63C4" w:tentative="1">
      <w:start w:val="1"/>
      <w:numFmt w:val="bullet"/>
      <w:lvlText w:val="o"/>
      <w:lvlJc w:val="left"/>
      <w:pPr>
        <w:ind w:left="3600" w:hanging="360"/>
      </w:pPr>
      <w:rPr>
        <w:rFonts w:ascii="Courier New" w:hAnsi="Courier New" w:cs="Courier New" w:hint="default"/>
      </w:rPr>
    </w:lvl>
    <w:lvl w:ilvl="5" w:tplc="DFB6CF46" w:tentative="1">
      <w:start w:val="1"/>
      <w:numFmt w:val="bullet"/>
      <w:lvlText w:val=""/>
      <w:lvlJc w:val="left"/>
      <w:pPr>
        <w:ind w:left="4320" w:hanging="360"/>
      </w:pPr>
      <w:rPr>
        <w:rFonts w:ascii="Wingdings" w:hAnsi="Wingdings" w:hint="default"/>
      </w:rPr>
    </w:lvl>
    <w:lvl w:ilvl="6" w:tplc="6032CC12" w:tentative="1">
      <w:start w:val="1"/>
      <w:numFmt w:val="bullet"/>
      <w:lvlText w:val=""/>
      <w:lvlJc w:val="left"/>
      <w:pPr>
        <w:ind w:left="5040" w:hanging="360"/>
      </w:pPr>
      <w:rPr>
        <w:rFonts w:ascii="Symbol" w:hAnsi="Symbol" w:hint="default"/>
      </w:rPr>
    </w:lvl>
    <w:lvl w:ilvl="7" w:tplc="72860012" w:tentative="1">
      <w:start w:val="1"/>
      <w:numFmt w:val="bullet"/>
      <w:lvlText w:val="o"/>
      <w:lvlJc w:val="left"/>
      <w:pPr>
        <w:ind w:left="5760" w:hanging="360"/>
      </w:pPr>
      <w:rPr>
        <w:rFonts w:ascii="Courier New" w:hAnsi="Courier New" w:cs="Courier New" w:hint="default"/>
      </w:rPr>
    </w:lvl>
    <w:lvl w:ilvl="8" w:tplc="1274529A" w:tentative="1">
      <w:start w:val="1"/>
      <w:numFmt w:val="bullet"/>
      <w:lvlText w:val=""/>
      <w:lvlJc w:val="left"/>
      <w:pPr>
        <w:ind w:left="6480" w:hanging="360"/>
      </w:pPr>
      <w:rPr>
        <w:rFonts w:ascii="Wingdings" w:hAnsi="Wingdings" w:hint="default"/>
      </w:rPr>
    </w:lvl>
  </w:abstractNum>
  <w:abstractNum w:abstractNumId="15" w15:restartNumberingAfterBreak="0">
    <w:nsid w:val="417C7A74"/>
    <w:multiLevelType w:val="hybridMultilevel"/>
    <w:tmpl w:val="053C196C"/>
    <w:lvl w:ilvl="0" w:tplc="053C306C">
      <w:start w:val="1"/>
      <w:numFmt w:val="decimal"/>
      <w:lvlText w:val="%1."/>
      <w:lvlJc w:val="left"/>
      <w:pPr>
        <w:ind w:left="720" w:hanging="360"/>
      </w:pPr>
      <w:rPr>
        <w:rFonts w:hint="default"/>
      </w:rPr>
    </w:lvl>
    <w:lvl w:ilvl="1" w:tplc="F1C24516" w:tentative="1">
      <w:start w:val="1"/>
      <w:numFmt w:val="bullet"/>
      <w:lvlText w:val="o"/>
      <w:lvlJc w:val="left"/>
      <w:pPr>
        <w:ind w:left="1440" w:hanging="360"/>
      </w:pPr>
      <w:rPr>
        <w:rFonts w:ascii="Courier New" w:hAnsi="Courier New" w:cs="Courier New" w:hint="default"/>
      </w:rPr>
    </w:lvl>
    <w:lvl w:ilvl="2" w:tplc="C4D267B8" w:tentative="1">
      <w:start w:val="1"/>
      <w:numFmt w:val="bullet"/>
      <w:lvlText w:val=""/>
      <w:lvlJc w:val="left"/>
      <w:pPr>
        <w:ind w:left="2160" w:hanging="360"/>
      </w:pPr>
      <w:rPr>
        <w:rFonts w:ascii="Wingdings" w:hAnsi="Wingdings" w:hint="default"/>
      </w:rPr>
    </w:lvl>
    <w:lvl w:ilvl="3" w:tplc="8C6C8740" w:tentative="1">
      <w:start w:val="1"/>
      <w:numFmt w:val="bullet"/>
      <w:lvlText w:val=""/>
      <w:lvlJc w:val="left"/>
      <w:pPr>
        <w:ind w:left="2880" w:hanging="360"/>
      </w:pPr>
      <w:rPr>
        <w:rFonts w:ascii="Symbol" w:hAnsi="Symbol" w:hint="default"/>
      </w:rPr>
    </w:lvl>
    <w:lvl w:ilvl="4" w:tplc="433849CC" w:tentative="1">
      <w:start w:val="1"/>
      <w:numFmt w:val="bullet"/>
      <w:lvlText w:val="o"/>
      <w:lvlJc w:val="left"/>
      <w:pPr>
        <w:ind w:left="3600" w:hanging="360"/>
      </w:pPr>
      <w:rPr>
        <w:rFonts w:ascii="Courier New" w:hAnsi="Courier New" w:cs="Courier New" w:hint="default"/>
      </w:rPr>
    </w:lvl>
    <w:lvl w:ilvl="5" w:tplc="85A0B5FC" w:tentative="1">
      <w:start w:val="1"/>
      <w:numFmt w:val="bullet"/>
      <w:lvlText w:val=""/>
      <w:lvlJc w:val="left"/>
      <w:pPr>
        <w:ind w:left="4320" w:hanging="360"/>
      </w:pPr>
      <w:rPr>
        <w:rFonts w:ascii="Wingdings" w:hAnsi="Wingdings" w:hint="default"/>
      </w:rPr>
    </w:lvl>
    <w:lvl w:ilvl="6" w:tplc="F53ED020" w:tentative="1">
      <w:start w:val="1"/>
      <w:numFmt w:val="bullet"/>
      <w:lvlText w:val=""/>
      <w:lvlJc w:val="left"/>
      <w:pPr>
        <w:ind w:left="5040" w:hanging="360"/>
      </w:pPr>
      <w:rPr>
        <w:rFonts w:ascii="Symbol" w:hAnsi="Symbol" w:hint="default"/>
      </w:rPr>
    </w:lvl>
    <w:lvl w:ilvl="7" w:tplc="FBBE553A" w:tentative="1">
      <w:start w:val="1"/>
      <w:numFmt w:val="bullet"/>
      <w:lvlText w:val="o"/>
      <w:lvlJc w:val="left"/>
      <w:pPr>
        <w:ind w:left="5760" w:hanging="360"/>
      </w:pPr>
      <w:rPr>
        <w:rFonts w:ascii="Courier New" w:hAnsi="Courier New" w:cs="Courier New" w:hint="default"/>
      </w:rPr>
    </w:lvl>
    <w:lvl w:ilvl="8" w:tplc="227AF7BE" w:tentative="1">
      <w:start w:val="1"/>
      <w:numFmt w:val="bullet"/>
      <w:lvlText w:val=""/>
      <w:lvlJc w:val="left"/>
      <w:pPr>
        <w:ind w:left="6480" w:hanging="360"/>
      </w:pPr>
      <w:rPr>
        <w:rFonts w:ascii="Wingdings" w:hAnsi="Wingdings" w:hint="default"/>
      </w:rPr>
    </w:lvl>
  </w:abstractNum>
  <w:abstractNum w:abstractNumId="16" w15:restartNumberingAfterBreak="0">
    <w:nsid w:val="45AB056C"/>
    <w:multiLevelType w:val="hybridMultilevel"/>
    <w:tmpl w:val="687CDA4E"/>
    <w:lvl w:ilvl="0" w:tplc="F9D868EE">
      <w:start w:val="1"/>
      <w:numFmt w:val="bullet"/>
      <w:lvlText w:val=""/>
      <w:lvlJc w:val="left"/>
      <w:pPr>
        <w:ind w:left="720" w:hanging="360"/>
      </w:pPr>
      <w:rPr>
        <w:rFonts w:ascii="Symbol" w:hAnsi="Symbol" w:hint="default"/>
      </w:rPr>
    </w:lvl>
    <w:lvl w:ilvl="1" w:tplc="E72898E8" w:tentative="1">
      <w:start w:val="1"/>
      <w:numFmt w:val="bullet"/>
      <w:lvlText w:val="o"/>
      <w:lvlJc w:val="left"/>
      <w:pPr>
        <w:ind w:left="1440" w:hanging="360"/>
      </w:pPr>
      <w:rPr>
        <w:rFonts w:ascii="Courier New" w:hAnsi="Courier New" w:hint="default"/>
      </w:rPr>
    </w:lvl>
    <w:lvl w:ilvl="2" w:tplc="8F38026A" w:tentative="1">
      <w:start w:val="1"/>
      <w:numFmt w:val="bullet"/>
      <w:lvlText w:val=""/>
      <w:lvlJc w:val="left"/>
      <w:pPr>
        <w:ind w:left="2160" w:hanging="360"/>
      </w:pPr>
      <w:rPr>
        <w:rFonts w:ascii="Wingdings" w:hAnsi="Wingdings" w:hint="default"/>
      </w:rPr>
    </w:lvl>
    <w:lvl w:ilvl="3" w:tplc="F75E6BAC" w:tentative="1">
      <w:start w:val="1"/>
      <w:numFmt w:val="bullet"/>
      <w:lvlText w:val=""/>
      <w:lvlJc w:val="left"/>
      <w:pPr>
        <w:ind w:left="2880" w:hanging="360"/>
      </w:pPr>
      <w:rPr>
        <w:rFonts w:ascii="Symbol" w:hAnsi="Symbol" w:hint="default"/>
      </w:rPr>
    </w:lvl>
    <w:lvl w:ilvl="4" w:tplc="18A49238" w:tentative="1">
      <w:start w:val="1"/>
      <w:numFmt w:val="bullet"/>
      <w:lvlText w:val="o"/>
      <w:lvlJc w:val="left"/>
      <w:pPr>
        <w:ind w:left="3600" w:hanging="360"/>
      </w:pPr>
      <w:rPr>
        <w:rFonts w:ascii="Courier New" w:hAnsi="Courier New" w:hint="default"/>
      </w:rPr>
    </w:lvl>
    <w:lvl w:ilvl="5" w:tplc="0B0AEE1A" w:tentative="1">
      <w:start w:val="1"/>
      <w:numFmt w:val="bullet"/>
      <w:lvlText w:val=""/>
      <w:lvlJc w:val="left"/>
      <w:pPr>
        <w:ind w:left="4320" w:hanging="360"/>
      </w:pPr>
      <w:rPr>
        <w:rFonts w:ascii="Wingdings" w:hAnsi="Wingdings" w:hint="default"/>
      </w:rPr>
    </w:lvl>
    <w:lvl w:ilvl="6" w:tplc="E23C95F0" w:tentative="1">
      <w:start w:val="1"/>
      <w:numFmt w:val="bullet"/>
      <w:lvlText w:val=""/>
      <w:lvlJc w:val="left"/>
      <w:pPr>
        <w:ind w:left="5040" w:hanging="360"/>
      </w:pPr>
      <w:rPr>
        <w:rFonts w:ascii="Symbol" w:hAnsi="Symbol" w:hint="default"/>
      </w:rPr>
    </w:lvl>
    <w:lvl w:ilvl="7" w:tplc="A78058BE" w:tentative="1">
      <w:start w:val="1"/>
      <w:numFmt w:val="bullet"/>
      <w:lvlText w:val="o"/>
      <w:lvlJc w:val="left"/>
      <w:pPr>
        <w:ind w:left="5760" w:hanging="360"/>
      </w:pPr>
      <w:rPr>
        <w:rFonts w:ascii="Courier New" w:hAnsi="Courier New" w:hint="default"/>
      </w:rPr>
    </w:lvl>
    <w:lvl w:ilvl="8" w:tplc="F9BC6630" w:tentative="1">
      <w:start w:val="1"/>
      <w:numFmt w:val="bullet"/>
      <w:lvlText w:val=""/>
      <w:lvlJc w:val="left"/>
      <w:pPr>
        <w:ind w:left="6480" w:hanging="360"/>
      </w:pPr>
      <w:rPr>
        <w:rFonts w:ascii="Wingdings" w:hAnsi="Wingdings" w:hint="default"/>
      </w:rPr>
    </w:lvl>
  </w:abstractNum>
  <w:abstractNum w:abstractNumId="17" w15:restartNumberingAfterBreak="0">
    <w:nsid w:val="4AC76D83"/>
    <w:multiLevelType w:val="hybridMultilevel"/>
    <w:tmpl w:val="90545E4A"/>
    <w:lvl w:ilvl="0" w:tplc="48D8F2EE">
      <w:start w:val="1"/>
      <w:numFmt w:val="bullet"/>
      <w:pStyle w:val="List2withbullet"/>
      <w:lvlText w:val=""/>
      <w:lvlJc w:val="left"/>
      <w:pPr>
        <w:tabs>
          <w:tab w:val="num" w:pos="576"/>
        </w:tabs>
        <w:ind w:left="576" w:hanging="292"/>
      </w:pPr>
      <w:rPr>
        <w:rFonts w:ascii="Symbol" w:hAnsi="Symbol" w:hint="default"/>
        <w:sz w:val="24"/>
      </w:rPr>
    </w:lvl>
    <w:lvl w:ilvl="1" w:tplc="4E243854">
      <w:start w:val="1"/>
      <w:numFmt w:val="bullet"/>
      <w:lvlText w:val="o"/>
      <w:lvlJc w:val="left"/>
      <w:pPr>
        <w:tabs>
          <w:tab w:val="num" w:pos="1440"/>
        </w:tabs>
        <w:ind w:left="1440" w:hanging="360"/>
      </w:pPr>
      <w:rPr>
        <w:rFonts w:ascii="Courier New" w:hAnsi="Courier New" w:hint="default"/>
      </w:rPr>
    </w:lvl>
    <w:lvl w:ilvl="2" w:tplc="7EB0CB10" w:tentative="1">
      <w:start w:val="1"/>
      <w:numFmt w:val="bullet"/>
      <w:lvlText w:val=""/>
      <w:lvlJc w:val="left"/>
      <w:pPr>
        <w:tabs>
          <w:tab w:val="num" w:pos="2160"/>
        </w:tabs>
        <w:ind w:left="2160" w:hanging="360"/>
      </w:pPr>
      <w:rPr>
        <w:rFonts w:ascii="Wingdings" w:hAnsi="Wingdings" w:hint="default"/>
      </w:rPr>
    </w:lvl>
    <w:lvl w:ilvl="3" w:tplc="BA0E5C2C" w:tentative="1">
      <w:start w:val="1"/>
      <w:numFmt w:val="bullet"/>
      <w:lvlText w:val=""/>
      <w:lvlJc w:val="left"/>
      <w:pPr>
        <w:tabs>
          <w:tab w:val="num" w:pos="2880"/>
        </w:tabs>
        <w:ind w:left="2880" w:hanging="360"/>
      </w:pPr>
      <w:rPr>
        <w:rFonts w:ascii="Symbol" w:hAnsi="Symbol" w:hint="default"/>
      </w:rPr>
    </w:lvl>
    <w:lvl w:ilvl="4" w:tplc="644C3DE0" w:tentative="1">
      <w:start w:val="1"/>
      <w:numFmt w:val="bullet"/>
      <w:lvlText w:val="o"/>
      <w:lvlJc w:val="left"/>
      <w:pPr>
        <w:tabs>
          <w:tab w:val="num" w:pos="3600"/>
        </w:tabs>
        <w:ind w:left="3600" w:hanging="360"/>
      </w:pPr>
      <w:rPr>
        <w:rFonts w:ascii="Courier New" w:hAnsi="Courier New" w:hint="default"/>
      </w:rPr>
    </w:lvl>
    <w:lvl w:ilvl="5" w:tplc="342004A6" w:tentative="1">
      <w:start w:val="1"/>
      <w:numFmt w:val="bullet"/>
      <w:lvlText w:val=""/>
      <w:lvlJc w:val="left"/>
      <w:pPr>
        <w:tabs>
          <w:tab w:val="num" w:pos="4320"/>
        </w:tabs>
        <w:ind w:left="4320" w:hanging="360"/>
      </w:pPr>
      <w:rPr>
        <w:rFonts w:ascii="Wingdings" w:hAnsi="Wingdings" w:hint="default"/>
      </w:rPr>
    </w:lvl>
    <w:lvl w:ilvl="6" w:tplc="CF5A3810" w:tentative="1">
      <w:start w:val="1"/>
      <w:numFmt w:val="bullet"/>
      <w:lvlText w:val=""/>
      <w:lvlJc w:val="left"/>
      <w:pPr>
        <w:tabs>
          <w:tab w:val="num" w:pos="5040"/>
        </w:tabs>
        <w:ind w:left="5040" w:hanging="360"/>
      </w:pPr>
      <w:rPr>
        <w:rFonts w:ascii="Symbol" w:hAnsi="Symbol" w:hint="default"/>
      </w:rPr>
    </w:lvl>
    <w:lvl w:ilvl="7" w:tplc="3EFCA88E" w:tentative="1">
      <w:start w:val="1"/>
      <w:numFmt w:val="bullet"/>
      <w:lvlText w:val="o"/>
      <w:lvlJc w:val="left"/>
      <w:pPr>
        <w:tabs>
          <w:tab w:val="num" w:pos="5760"/>
        </w:tabs>
        <w:ind w:left="5760" w:hanging="360"/>
      </w:pPr>
      <w:rPr>
        <w:rFonts w:ascii="Courier New" w:hAnsi="Courier New" w:hint="default"/>
      </w:rPr>
    </w:lvl>
    <w:lvl w:ilvl="8" w:tplc="DA580CD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C74E6E"/>
    <w:multiLevelType w:val="hybridMultilevel"/>
    <w:tmpl w:val="BE707800"/>
    <w:lvl w:ilvl="0" w:tplc="9852FFA0">
      <w:start w:val="1"/>
      <w:numFmt w:val="lowerLetter"/>
      <w:lvlText w:val="%1."/>
      <w:lvlJc w:val="left"/>
      <w:pPr>
        <w:ind w:left="720" w:hanging="360"/>
      </w:pPr>
    </w:lvl>
    <w:lvl w:ilvl="1" w:tplc="5956CEC4" w:tentative="1">
      <w:start w:val="1"/>
      <w:numFmt w:val="lowerLetter"/>
      <w:lvlText w:val="%2."/>
      <w:lvlJc w:val="left"/>
      <w:pPr>
        <w:ind w:left="1440" w:hanging="360"/>
      </w:pPr>
    </w:lvl>
    <w:lvl w:ilvl="2" w:tplc="D5689F52" w:tentative="1">
      <w:start w:val="1"/>
      <w:numFmt w:val="lowerRoman"/>
      <w:lvlText w:val="%3."/>
      <w:lvlJc w:val="right"/>
      <w:pPr>
        <w:ind w:left="2160" w:hanging="180"/>
      </w:pPr>
    </w:lvl>
    <w:lvl w:ilvl="3" w:tplc="AFE8DC7A" w:tentative="1">
      <w:start w:val="1"/>
      <w:numFmt w:val="decimal"/>
      <w:lvlText w:val="%4."/>
      <w:lvlJc w:val="left"/>
      <w:pPr>
        <w:ind w:left="2880" w:hanging="360"/>
      </w:pPr>
    </w:lvl>
    <w:lvl w:ilvl="4" w:tplc="C42A3170" w:tentative="1">
      <w:start w:val="1"/>
      <w:numFmt w:val="lowerLetter"/>
      <w:lvlText w:val="%5."/>
      <w:lvlJc w:val="left"/>
      <w:pPr>
        <w:ind w:left="3600" w:hanging="360"/>
      </w:pPr>
    </w:lvl>
    <w:lvl w:ilvl="5" w:tplc="13D4F41C" w:tentative="1">
      <w:start w:val="1"/>
      <w:numFmt w:val="lowerRoman"/>
      <w:lvlText w:val="%6."/>
      <w:lvlJc w:val="right"/>
      <w:pPr>
        <w:ind w:left="4320" w:hanging="180"/>
      </w:pPr>
    </w:lvl>
    <w:lvl w:ilvl="6" w:tplc="A058FE1A" w:tentative="1">
      <w:start w:val="1"/>
      <w:numFmt w:val="decimal"/>
      <w:lvlText w:val="%7."/>
      <w:lvlJc w:val="left"/>
      <w:pPr>
        <w:ind w:left="5040" w:hanging="360"/>
      </w:pPr>
    </w:lvl>
    <w:lvl w:ilvl="7" w:tplc="AE2406B6" w:tentative="1">
      <w:start w:val="1"/>
      <w:numFmt w:val="lowerLetter"/>
      <w:lvlText w:val="%8."/>
      <w:lvlJc w:val="left"/>
      <w:pPr>
        <w:ind w:left="5760" w:hanging="360"/>
      </w:pPr>
    </w:lvl>
    <w:lvl w:ilvl="8" w:tplc="C7127C0C" w:tentative="1">
      <w:start w:val="1"/>
      <w:numFmt w:val="lowerRoman"/>
      <w:lvlText w:val="%9."/>
      <w:lvlJc w:val="right"/>
      <w:pPr>
        <w:ind w:left="6480" w:hanging="180"/>
      </w:pPr>
    </w:lvl>
  </w:abstractNum>
  <w:abstractNum w:abstractNumId="19" w15:restartNumberingAfterBreak="0">
    <w:nsid w:val="4CDB2729"/>
    <w:multiLevelType w:val="hybridMultilevel"/>
    <w:tmpl w:val="36EEB200"/>
    <w:lvl w:ilvl="0" w:tplc="1E9800B6">
      <w:start w:val="1"/>
      <w:numFmt w:val="bullet"/>
      <w:lvlText w:val=""/>
      <w:lvlJc w:val="left"/>
      <w:pPr>
        <w:ind w:left="720" w:hanging="360"/>
      </w:pPr>
      <w:rPr>
        <w:rFonts w:ascii="Symbol" w:hAnsi="Symbol" w:hint="default"/>
      </w:rPr>
    </w:lvl>
    <w:lvl w:ilvl="1" w:tplc="940ADA34" w:tentative="1">
      <w:start w:val="1"/>
      <w:numFmt w:val="lowerLetter"/>
      <w:lvlText w:val="%2."/>
      <w:lvlJc w:val="left"/>
      <w:pPr>
        <w:ind w:left="1440" w:hanging="360"/>
      </w:pPr>
    </w:lvl>
    <w:lvl w:ilvl="2" w:tplc="9D16C9C8" w:tentative="1">
      <w:start w:val="1"/>
      <w:numFmt w:val="lowerRoman"/>
      <w:lvlText w:val="%3."/>
      <w:lvlJc w:val="right"/>
      <w:pPr>
        <w:ind w:left="2160" w:hanging="180"/>
      </w:pPr>
    </w:lvl>
    <w:lvl w:ilvl="3" w:tplc="A1F4B69E" w:tentative="1">
      <w:start w:val="1"/>
      <w:numFmt w:val="decimal"/>
      <w:lvlText w:val="%4."/>
      <w:lvlJc w:val="left"/>
      <w:pPr>
        <w:ind w:left="2880" w:hanging="360"/>
      </w:pPr>
    </w:lvl>
    <w:lvl w:ilvl="4" w:tplc="609A7208" w:tentative="1">
      <w:start w:val="1"/>
      <w:numFmt w:val="lowerLetter"/>
      <w:lvlText w:val="%5."/>
      <w:lvlJc w:val="left"/>
      <w:pPr>
        <w:ind w:left="3600" w:hanging="360"/>
      </w:pPr>
    </w:lvl>
    <w:lvl w:ilvl="5" w:tplc="FF4E0000" w:tentative="1">
      <w:start w:val="1"/>
      <w:numFmt w:val="lowerRoman"/>
      <w:lvlText w:val="%6."/>
      <w:lvlJc w:val="right"/>
      <w:pPr>
        <w:ind w:left="4320" w:hanging="180"/>
      </w:pPr>
    </w:lvl>
    <w:lvl w:ilvl="6" w:tplc="56E05F4E" w:tentative="1">
      <w:start w:val="1"/>
      <w:numFmt w:val="decimal"/>
      <w:lvlText w:val="%7."/>
      <w:lvlJc w:val="left"/>
      <w:pPr>
        <w:ind w:left="5040" w:hanging="360"/>
      </w:pPr>
    </w:lvl>
    <w:lvl w:ilvl="7" w:tplc="92FEB8EA" w:tentative="1">
      <w:start w:val="1"/>
      <w:numFmt w:val="lowerLetter"/>
      <w:lvlText w:val="%8."/>
      <w:lvlJc w:val="left"/>
      <w:pPr>
        <w:ind w:left="5760" w:hanging="360"/>
      </w:pPr>
    </w:lvl>
    <w:lvl w:ilvl="8" w:tplc="67606926" w:tentative="1">
      <w:start w:val="1"/>
      <w:numFmt w:val="lowerRoman"/>
      <w:lvlText w:val="%9."/>
      <w:lvlJc w:val="right"/>
      <w:pPr>
        <w:ind w:left="6480" w:hanging="180"/>
      </w:pPr>
    </w:lvl>
  </w:abstractNum>
  <w:abstractNum w:abstractNumId="20" w15:restartNumberingAfterBreak="0">
    <w:nsid w:val="58EA6194"/>
    <w:multiLevelType w:val="hybridMultilevel"/>
    <w:tmpl w:val="1D5CC4D6"/>
    <w:lvl w:ilvl="0" w:tplc="42E4B648">
      <w:start w:val="1"/>
      <w:numFmt w:val="lowerLetter"/>
      <w:lvlText w:val="%1."/>
      <w:lvlJc w:val="left"/>
      <w:pPr>
        <w:ind w:left="720" w:hanging="360"/>
      </w:pPr>
      <w:rPr>
        <w:rFonts w:hint="default"/>
      </w:rPr>
    </w:lvl>
    <w:lvl w:ilvl="1" w:tplc="96EEA834" w:tentative="1">
      <w:start w:val="1"/>
      <w:numFmt w:val="lowerLetter"/>
      <w:lvlText w:val="%2."/>
      <w:lvlJc w:val="left"/>
      <w:pPr>
        <w:ind w:left="1440" w:hanging="360"/>
      </w:pPr>
    </w:lvl>
    <w:lvl w:ilvl="2" w:tplc="7ABA9D2C" w:tentative="1">
      <w:start w:val="1"/>
      <w:numFmt w:val="lowerRoman"/>
      <w:lvlText w:val="%3."/>
      <w:lvlJc w:val="right"/>
      <w:pPr>
        <w:ind w:left="2160" w:hanging="180"/>
      </w:pPr>
    </w:lvl>
    <w:lvl w:ilvl="3" w:tplc="40263BBC" w:tentative="1">
      <w:start w:val="1"/>
      <w:numFmt w:val="decimal"/>
      <w:lvlText w:val="%4."/>
      <w:lvlJc w:val="left"/>
      <w:pPr>
        <w:ind w:left="2880" w:hanging="360"/>
      </w:pPr>
    </w:lvl>
    <w:lvl w:ilvl="4" w:tplc="098A34A6" w:tentative="1">
      <w:start w:val="1"/>
      <w:numFmt w:val="lowerLetter"/>
      <w:lvlText w:val="%5."/>
      <w:lvlJc w:val="left"/>
      <w:pPr>
        <w:ind w:left="3600" w:hanging="360"/>
      </w:pPr>
    </w:lvl>
    <w:lvl w:ilvl="5" w:tplc="3BE64990" w:tentative="1">
      <w:start w:val="1"/>
      <w:numFmt w:val="lowerRoman"/>
      <w:lvlText w:val="%6."/>
      <w:lvlJc w:val="right"/>
      <w:pPr>
        <w:ind w:left="4320" w:hanging="180"/>
      </w:pPr>
    </w:lvl>
    <w:lvl w:ilvl="6" w:tplc="8F62278C" w:tentative="1">
      <w:start w:val="1"/>
      <w:numFmt w:val="decimal"/>
      <w:lvlText w:val="%7."/>
      <w:lvlJc w:val="left"/>
      <w:pPr>
        <w:ind w:left="5040" w:hanging="360"/>
      </w:pPr>
    </w:lvl>
    <w:lvl w:ilvl="7" w:tplc="79D8C88A" w:tentative="1">
      <w:start w:val="1"/>
      <w:numFmt w:val="lowerLetter"/>
      <w:lvlText w:val="%8."/>
      <w:lvlJc w:val="left"/>
      <w:pPr>
        <w:ind w:left="5760" w:hanging="360"/>
      </w:pPr>
    </w:lvl>
    <w:lvl w:ilvl="8" w:tplc="DA081E9C" w:tentative="1">
      <w:start w:val="1"/>
      <w:numFmt w:val="lowerRoman"/>
      <w:lvlText w:val="%9."/>
      <w:lvlJc w:val="right"/>
      <w:pPr>
        <w:ind w:left="6480" w:hanging="180"/>
      </w:pPr>
    </w:lvl>
  </w:abstractNum>
  <w:abstractNum w:abstractNumId="21" w15:restartNumberingAfterBreak="0">
    <w:nsid w:val="596F4913"/>
    <w:multiLevelType w:val="hybridMultilevel"/>
    <w:tmpl w:val="25D83BD0"/>
    <w:lvl w:ilvl="0" w:tplc="EFB0C2E0">
      <w:start w:val="1"/>
      <w:numFmt w:val="decimal"/>
      <w:lvlText w:val="%1."/>
      <w:lvlJc w:val="left"/>
      <w:pPr>
        <w:ind w:left="720" w:hanging="360"/>
      </w:pPr>
      <w:rPr>
        <w:rFonts w:hint="default"/>
      </w:rPr>
    </w:lvl>
    <w:lvl w:ilvl="1" w:tplc="BF98A7B6">
      <w:start w:val="1"/>
      <w:numFmt w:val="bullet"/>
      <w:lvlText w:val="o"/>
      <w:lvlJc w:val="left"/>
      <w:pPr>
        <w:ind w:left="1440" w:hanging="360"/>
      </w:pPr>
      <w:rPr>
        <w:rFonts w:ascii="Courier New" w:hAnsi="Courier New" w:cs="Courier New" w:hint="default"/>
      </w:rPr>
    </w:lvl>
    <w:lvl w:ilvl="2" w:tplc="61DCCCB6" w:tentative="1">
      <w:start w:val="1"/>
      <w:numFmt w:val="bullet"/>
      <w:lvlText w:val=""/>
      <w:lvlJc w:val="left"/>
      <w:pPr>
        <w:ind w:left="2160" w:hanging="360"/>
      </w:pPr>
      <w:rPr>
        <w:rFonts w:ascii="Wingdings" w:hAnsi="Wingdings" w:hint="default"/>
      </w:rPr>
    </w:lvl>
    <w:lvl w:ilvl="3" w:tplc="FF5ABB3C" w:tentative="1">
      <w:start w:val="1"/>
      <w:numFmt w:val="bullet"/>
      <w:lvlText w:val=""/>
      <w:lvlJc w:val="left"/>
      <w:pPr>
        <w:ind w:left="2880" w:hanging="360"/>
      </w:pPr>
      <w:rPr>
        <w:rFonts w:ascii="Symbol" w:hAnsi="Symbol" w:hint="default"/>
      </w:rPr>
    </w:lvl>
    <w:lvl w:ilvl="4" w:tplc="936AE9CA" w:tentative="1">
      <w:start w:val="1"/>
      <w:numFmt w:val="bullet"/>
      <w:lvlText w:val="o"/>
      <w:lvlJc w:val="left"/>
      <w:pPr>
        <w:ind w:left="3600" w:hanging="360"/>
      </w:pPr>
      <w:rPr>
        <w:rFonts w:ascii="Courier New" w:hAnsi="Courier New" w:cs="Courier New" w:hint="default"/>
      </w:rPr>
    </w:lvl>
    <w:lvl w:ilvl="5" w:tplc="68923496" w:tentative="1">
      <w:start w:val="1"/>
      <w:numFmt w:val="bullet"/>
      <w:lvlText w:val=""/>
      <w:lvlJc w:val="left"/>
      <w:pPr>
        <w:ind w:left="4320" w:hanging="360"/>
      </w:pPr>
      <w:rPr>
        <w:rFonts w:ascii="Wingdings" w:hAnsi="Wingdings" w:hint="default"/>
      </w:rPr>
    </w:lvl>
    <w:lvl w:ilvl="6" w:tplc="EF482890" w:tentative="1">
      <w:start w:val="1"/>
      <w:numFmt w:val="bullet"/>
      <w:lvlText w:val=""/>
      <w:lvlJc w:val="left"/>
      <w:pPr>
        <w:ind w:left="5040" w:hanging="360"/>
      </w:pPr>
      <w:rPr>
        <w:rFonts w:ascii="Symbol" w:hAnsi="Symbol" w:hint="default"/>
      </w:rPr>
    </w:lvl>
    <w:lvl w:ilvl="7" w:tplc="8948FDB6" w:tentative="1">
      <w:start w:val="1"/>
      <w:numFmt w:val="bullet"/>
      <w:lvlText w:val="o"/>
      <w:lvlJc w:val="left"/>
      <w:pPr>
        <w:ind w:left="5760" w:hanging="360"/>
      </w:pPr>
      <w:rPr>
        <w:rFonts w:ascii="Courier New" w:hAnsi="Courier New" w:cs="Courier New" w:hint="default"/>
      </w:rPr>
    </w:lvl>
    <w:lvl w:ilvl="8" w:tplc="E5EC2898" w:tentative="1">
      <w:start w:val="1"/>
      <w:numFmt w:val="bullet"/>
      <w:lvlText w:val=""/>
      <w:lvlJc w:val="left"/>
      <w:pPr>
        <w:ind w:left="6480" w:hanging="360"/>
      </w:pPr>
      <w:rPr>
        <w:rFonts w:ascii="Wingdings" w:hAnsi="Wingdings" w:hint="default"/>
      </w:rPr>
    </w:lvl>
  </w:abstractNum>
  <w:abstractNum w:abstractNumId="22" w15:restartNumberingAfterBreak="0">
    <w:nsid w:val="5B3975CD"/>
    <w:multiLevelType w:val="hybridMultilevel"/>
    <w:tmpl w:val="0414BF80"/>
    <w:lvl w:ilvl="0" w:tplc="99468210">
      <w:start w:val="1"/>
      <w:numFmt w:val="lowerLetter"/>
      <w:lvlText w:val="%1."/>
      <w:lvlJc w:val="left"/>
      <w:pPr>
        <w:ind w:left="720" w:hanging="360"/>
      </w:pPr>
      <w:rPr>
        <w:rFonts w:hint="default"/>
      </w:rPr>
    </w:lvl>
    <w:lvl w:ilvl="1" w:tplc="15CA6EAC" w:tentative="1">
      <w:start w:val="1"/>
      <w:numFmt w:val="bullet"/>
      <w:lvlText w:val="o"/>
      <w:lvlJc w:val="left"/>
      <w:pPr>
        <w:ind w:left="1440" w:hanging="360"/>
      </w:pPr>
      <w:rPr>
        <w:rFonts w:ascii="Courier New" w:hAnsi="Courier New" w:cs="Courier New" w:hint="default"/>
      </w:rPr>
    </w:lvl>
    <w:lvl w:ilvl="2" w:tplc="547EDA5E" w:tentative="1">
      <w:start w:val="1"/>
      <w:numFmt w:val="bullet"/>
      <w:lvlText w:val=""/>
      <w:lvlJc w:val="left"/>
      <w:pPr>
        <w:ind w:left="2160" w:hanging="360"/>
      </w:pPr>
      <w:rPr>
        <w:rFonts w:ascii="Wingdings" w:hAnsi="Wingdings" w:hint="default"/>
      </w:rPr>
    </w:lvl>
    <w:lvl w:ilvl="3" w:tplc="CD8C075C" w:tentative="1">
      <w:start w:val="1"/>
      <w:numFmt w:val="bullet"/>
      <w:lvlText w:val=""/>
      <w:lvlJc w:val="left"/>
      <w:pPr>
        <w:ind w:left="2880" w:hanging="360"/>
      </w:pPr>
      <w:rPr>
        <w:rFonts w:ascii="Symbol" w:hAnsi="Symbol" w:hint="default"/>
      </w:rPr>
    </w:lvl>
    <w:lvl w:ilvl="4" w:tplc="A9F222AC" w:tentative="1">
      <w:start w:val="1"/>
      <w:numFmt w:val="bullet"/>
      <w:lvlText w:val="o"/>
      <w:lvlJc w:val="left"/>
      <w:pPr>
        <w:ind w:left="3600" w:hanging="360"/>
      </w:pPr>
      <w:rPr>
        <w:rFonts w:ascii="Courier New" w:hAnsi="Courier New" w:cs="Courier New" w:hint="default"/>
      </w:rPr>
    </w:lvl>
    <w:lvl w:ilvl="5" w:tplc="A44680BE" w:tentative="1">
      <w:start w:val="1"/>
      <w:numFmt w:val="bullet"/>
      <w:lvlText w:val=""/>
      <w:lvlJc w:val="left"/>
      <w:pPr>
        <w:ind w:left="4320" w:hanging="360"/>
      </w:pPr>
      <w:rPr>
        <w:rFonts w:ascii="Wingdings" w:hAnsi="Wingdings" w:hint="default"/>
      </w:rPr>
    </w:lvl>
    <w:lvl w:ilvl="6" w:tplc="6140458A" w:tentative="1">
      <w:start w:val="1"/>
      <w:numFmt w:val="bullet"/>
      <w:lvlText w:val=""/>
      <w:lvlJc w:val="left"/>
      <w:pPr>
        <w:ind w:left="5040" w:hanging="360"/>
      </w:pPr>
      <w:rPr>
        <w:rFonts w:ascii="Symbol" w:hAnsi="Symbol" w:hint="default"/>
      </w:rPr>
    </w:lvl>
    <w:lvl w:ilvl="7" w:tplc="28AA7668" w:tentative="1">
      <w:start w:val="1"/>
      <w:numFmt w:val="bullet"/>
      <w:lvlText w:val="o"/>
      <w:lvlJc w:val="left"/>
      <w:pPr>
        <w:ind w:left="5760" w:hanging="360"/>
      </w:pPr>
      <w:rPr>
        <w:rFonts w:ascii="Courier New" w:hAnsi="Courier New" w:cs="Courier New" w:hint="default"/>
      </w:rPr>
    </w:lvl>
    <w:lvl w:ilvl="8" w:tplc="FE8AA80A" w:tentative="1">
      <w:start w:val="1"/>
      <w:numFmt w:val="bullet"/>
      <w:lvlText w:val=""/>
      <w:lvlJc w:val="left"/>
      <w:pPr>
        <w:ind w:left="6480" w:hanging="360"/>
      </w:pPr>
      <w:rPr>
        <w:rFonts w:ascii="Wingdings" w:hAnsi="Wingdings" w:hint="default"/>
      </w:rPr>
    </w:lvl>
  </w:abstractNum>
  <w:abstractNum w:abstractNumId="23" w15:restartNumberingAfterBreak="0">
    <w:nsid w:val="5CF27E69"/>
    <w:multiLevelType w:val="hybridMultilevel"/>
    <w:tmpl w:val="6022841E"/>
    <w:lvl w:ilvl="0" w:tplc="845C339A">
      <w:start w:val="1"/>
      <w:numFmt w:val="lowerLetter"/>
      <w:lvlText w:val="%1."/>
      <w:lvlJc w:val="left"/>
      <w:pPr>
        <w:ind w:left="922" w:hanging="360"/>
      </w:pPr>
      <w:rPr>
        <w:rFonts w:hint="default"/>
      </w:rPr>
    </w:lvl>
    <w:lvl w:ilvl="1" w:tplc="06A40E34" w:tentative="1">
      <w:start w:val="1"/>
      <w:numFmt w:val="bullet"/>
      <w:lvlText w:val="o"/>
      <w:lvlJc w:val="left"/>
      <w:pPr>
        <w:ind w:left="1642" w:hanging="360"/>
      </w:pPr>
      <w:rPr>
        <w:rFonts w:ascii="Courier New" w:hAnsi="Courier New" w:cs="Courier New" w:hint="default"/>
      </w:rPr>
    </w:lvl>
    <w:lvl w:ilvl="2" w:tplc="5C48CCE2" w:tentative="1">
      <w:start w:val="1"/>
      <w:numFmt w:val="bullet"/>
      <w:lvlText w:val=""/>
      <w:lvlJc w:val="left"/>
      <w:pPr>
        <w:ind w:left="2362" w:hanging="360"/>
      </w:pPr>
      <w:rPr>
        <w:rFonts w:ascii="Wingdings" w:hAnsi="Wingdings" w:hint="default"/>
      </w:rPr>
    </w:lvl>
    <w:lvl w:ilvl="3" w:tplc="A73AE5DA" w:tentative="1">
      <w:start w:val="1"/>
      <w:numFmt w:val="bullet"/>
      <w:lvlText w:val=""/>
      <w:lvlJc w:val="left"/>
      <w:pPr>
        <w:ind w:left="3082" w:hanging="360"/>
      </w:pPr>
      <w:rPr>
        <w:rFonts w:ascii="Symbol" w:hAnsi="Symbol" w:hint="default"/>
      </w:rPr>
    </w:lvl>
    <w:lvl w:ilvl="4" w:tplc="A2728DCA" w:tentative="1">
      <w:start w:val="1"/>
      <w:numFmt w:val="bullet"/>
      <w:lvlText w:val="o"/>
      <w:lvlJc w:val="left"/>
      <w:pPr>
        <w:ind w:left="3802" w:hanging="360"/>
      </w:pPr>
      <w:rPr>
        <w:rFonts w:ascii="Courier New" w:hAnsi="Courier New" w:cs="Courier New" w:hint="default"/>
      </w:rPr>
    </w:lvl>
    <w:lvl w:ilvl="5" w:tplc="0ED8CEAC" w:tentative="1">
      <w:start w:val="1"/>
      <w:numFmt w:val="bullet"/>
      <w:lvlText w:val=""/>
      <w:lvlJc w:val="left"/>
      <w:pPr>
        <w:ind w:left="4522" w:hanging="360"/>
      </w:pPr>
      <w:rPr>
        <w:rFonts w:ascii="Wingdings" w:hAnsi="Wingdings" w:hint="default"/>
      </w:rPr>
    </w:lvl>
    <w:lvl w:ilvl="6" w:tplc="3760E250" w:tentative="1">
      <w:start w:val="1"/>
      <w:numFmt w:val="bullet"/>
      <w:lvlText w:val=""/>
      <w:lvlJc w:val="left"/>
      <w:pPr>
        <w:ind w:left="5242" w:hanging="360"/>
      </w:pPr>
      <w:rPr>
        <w:rFonts w:ascii="Symbol" w:hAnsi="Symbol" w:hint="default"/>
      </w:rPr>
    </w:lvl>
    <w:lvl w:ilvl="7" w:tplc="92FAEF7A" w:tentative="1">
      <w:start w:val="1"/>
      <w:numFmt w:val="bullet"/>
      <w:lvlText w:val="o"/>
      <w:lvlJc w:val="left"/>
      <w:pPr>
        <w:ind w:left="5962" w:hanging="360"/>
      </w:pPr>
      <w:rPr>
        <w:rFonts w:ascii="Courier New" w:hAnsi="Courier New" w:cs="Courier New" w:hint="default"/>
      </w:rPr>
    </w:lvl>
    <w:lvl w:ilvl="8" w:tplc="D57A3892" w:tentative="1">
      <w:start w:val="1"/>
      <w:numFmt w:val="bullet"/>
      <w:lvlText w:val=""/>
      <w:lvlJc w:val="left"/>
      <w:pPr>
        <w:ind w:left="6682" w:hanging="360"/>
      </w:pPr>
      <w:rPr>
        <w:rFonts w:ascii="Wingdings" w:hAnsi="Wingdings" w:hint="default"/>
      </w:rPr>
    </w:lvl>
  </w:abstractNum>
  <w:abstractNum w:abstractNumId="24" w15:restartNumberingAfterBreak="0">
    <w:nsid w:val="5EBB7F60"/>
    <w:multiLevelType w:val="hybridMultilevel"/>
    <w:tmpl w:val="AA3409BA"/>
    <w:lvl w:ilvl="0" w:tplc="396EA8F0">
      <w:start w:val="1"/>
      <w:numFmt w:val="bullet"/>
      <w:lvlText w:val=""/>
      <w:lvlJc w:val="left"/>
      <w:pPr>
        <w:ind w:left="360" w:hanging="360"/>
      </w:pPr>
      <w:rPr>
        <w:rFonts w:ascii="Symbol" w:hAnsi="Symbol" w:hint="default"/>
      </w:rPr>
    </w:lvl>
    <w:lvl w:ilvl="1" w:tplc="81EA8792" w:tentative="1">
      <w:start w:val="1"/>
      <w:numFmt w:val="bullet"/>
      <w:lvlText w:val="o"/>
      <w:lvlJc w:val="left"/>
      <w:pPr>
        <w:ind w:left="1080" w:hanging="360"/>
      </w:pPr>
      <w:rPr>
        <w:rFonts w:ascii="Courier New" w:hAnsi="Courier New" w:hint="default"/>
      </w:rPr>
    </w:lvl>
    <w:lvl w:ilvl="2" w:tplc="907A2D1E" w:tentative="1">
      <w:start w:val="1"/>
      <w:numFmt w:val="bullet"/>
      <w:lvlText w:val=""/>
      <w:lvlJc w:val="left"/>
      <w:pPr>
        <w:ind w:left="1800" w:hanging="360"/>
      </w:pPr>
      <w:rPr>
        <w:rFonts w:ascii="Wingdings" w:hAnsi="Wingdings" w:hint="default"/>
      </w:rPr>
    </w:lvl>
    <w:lvl w:ilvl="3" w:tplc="3E021B84" w:tentative="1">
      <w:start w:val="1"/>
      <w:numFmt w:val="bullet"/>
      <w:lvlText w:val=""/>
      <w:lvlJc w:val="left"/>
      <w:pPr>
        <w:ind w:left="2520" w:hanging="360"/>
      </w:pPr>
      <w:rPr>
        <w:rFonts w:ascii="Symbol" w:hAnsi="Symbol" w:hint="default"/>
      </w:rPr>
    </w:lvl>
    <w:lvl w:ilvl="4" w:tplc="1F9E4716" w:tentative="1">
      <w:start w:val="1"/>
      <w:numFmt w:val="bullet"/>
      <w:lvlText w:val="o"/>
      <w:lvlJc w:val="left"/>
      <w:pPr>
        <w:ind w:left="3240" w:hanging="360"/>
      </w:pPr>
      <w:rPr>
        <w:rFonts w:ascii="Courier New" w:hAnsi="Courier New" w:hint="default"/>
      </w:rPr>
    </w:lvl>
    <w:lvl w:ilvl="5" w:tplc="6E90F8AC" w:tentative="1">
      <w:start w:val="1"/>
      <w:numFmt w:val="bullet"/>
      <w:lvlText w:val=""/>
      <w:lvlJc w:val="left"/>
      <w:pPr>
        <w:ind w:left="3960" w:hanging="360"/>
      </w:pPr>
      <w:rPr>
        <w:rFonts w:ascii="Wingdings" w:hAnsi="Wingdings" w:hint="default"/>
      </w:rPr>
    </w:lvl>
    <w:lvl w:ilvl="6" w:tplc="9F4E1100" w:tentative="1">
      <w:start w:val="1"/>
      <w:numFmt w:val="bullet"/>
      <w:lvlText w:val=""/>
      <w:lvlJc w:val="left"/>
      <w:pPr>
        <w:ind w:left="4680" w:hanging="360"/>
      </w:pPr>
      <w:rPr>
        <w:rFonts w:ascii="Symbol" w:hAnsi="Symbol" w:hint="default"/>
      </w:rPr>
    </w:lvl>
    <w:lvl w:ilvl="7" w:tplc="A704B73E" w:tentative="1">
      <w:start w:val="1"/>
      <w:numFmt w:val="bullet"/>
      <w:lvlText w:val="o"/>
      <w:lvlJc w:val="left"/>
      <w:pPr>
        <w:ind w:left="5400" w:hanging="360"/>
      </w:pPr>
      <w:rPr>
        <w:rFonts w:ascii="Courier New" w:hAnsi="Courier New" w:hint="default"/>
      </w:rPr>
    </w:lvl>
    <w:lvl w:ilvl="8" w:tplc="5EFEC070" w:tentative="1">
      <w:start w:val="1"/>
      <w:numFmt w:val="bullet"/>
      <w:lvlText w:val=""/>
      <w:lvlJc w:val="left"/>
      <w:pPr>
        <w:ind w:left="6120" w:hanging="360"/>
      </w:pPr>
      <w:rPr>
        <w:rFonts w:ascii="Wingdings" w:hAnsi="Wingdings" w:hint="default"/>
      </w:rPr>
    </w:lvl>
  </w:abstractNum>
  <w:abstractNum w:abstractNumId="25" w15:restartNumberingAfterBreak="0">
    <w:nsid w:val="62800316"/>
    <w:multiLevelType w:val="hybridMultilevel"/>
    <w:tmpl w:val="0BF0562E"/>
    <w:lvl w:ilvl="0" w:tplc="81E0EB4A">
      <w:start w:val="1"/>
      <w:numFmt w:val="bullet"/>
      <w:lvlText w:val=""/>
      <w:lvlJc w:val="left"/>
      <w:pPr>
        <w:ind w:left="720" w:hanging="360"/>
      </w:pPr>
      <w:rPr>
        <w:rFonts w:ascii="Symbol" w:hAnsi="Symbol" w:hint="default"/>
      </w:rPr>
    </w:lvl>
    <w:lvl w:ilvl="1" w:tplc="18CA462E" w:tentative="1">
      <w:start w:val="1"/>
      <w:numFmt w:val="bullet"/>
      <w:lvlText w:val="o"/>
      <w:lvlJc w:val="left"/>
      <w:pPr>
        <w:ind w:left="1440" w:hanging="360"/>
      </w:pPr>
      <w:rPr>
        <w:rFonts w:ascii="Courier New" w:hAnsi="Courier New" w:cs="Courier New" w:hint="default"/>
      </w:rPr>
    </w:lvl>
    <w:lvl w:ilvl="2" w:tplc="A60A8232" w:tentative="1">
      <w:start w:val="1"/>
      <w:numFmt w:val="bullet"/>
      <w:lvlText w:val=""/>
      <w:lvlJc w:val="left"/>
      <w:pPr>
        <w:ind w:left="2160" w:hanging="360"/>
      </w:pPr>
      <w:rPr>
        <w:rFonts w:ascii="Wingdings" w:hAnsi="Wingdings" w:hint="default"/>
      </w:rPr>
    </w:lvl>
    <w:lvl w:ilvl="3" w:tplc="5D145930" w:tentative="1">
      <w:start w:val="1"/>
      <w:numFmt w:val="bullet"/>
      <w:lvlText w:val=""/>
      <w:lvlJc w:val="left"/>
      <w:pPr>
        <w:ind w:left="2880" w:hanging="360"/>
      </w:pPr>
      <w:rPr>
        <w:rFonts w:ascii="Symbol" w:hAnsi="Symbol" w:hint="default"/>
      </w:rPr>
    </w:lvl>
    <w:lvl w:ilvl="4" w:tplc="DD4EB054" w:tentative="1">
      <w:start w:val="1"/>
      <w:numFmt w:val="bullet"/>
      <w:lvlText w:val="o"/>
      <w:lvlJc w:val="left"/>
      <w:pPr>
        <w:ind w:left="3600" w:hanging="360"/>
      </w:pPr>
      <w:rPr>
        <w:rFonts w:ascii="Courier New" w:hAnsi="Courier New" w:cs="Courier New" w:hint="default"/>
      </w:rPr>
    </w:lvl>
    <w:lvl w:ilvl="5" w:tplc="0A689F2A" w:tentative="1">
      <w:start w:val="1"/>
      <w:numFmt w:val="bullet"/>
      <w:lvlText w:val=""/>
      <w:lvlJc w:val="left"/>
      <w:pPr>
        <w:ind w:left="4320" w:hanging="360"/>
      </w:pPr>
      <w:rPr>
        <w:rFonts w:ascii="Wingdings" w:hAnsi="Wingdings" w:hint="default"/>
      </w:rPr>
    </w:lvl>
    <w:lvl w:ilvl="6" w:tplc="B8E0DBF2" w:tentative="1">
      <w:start w:val="1"/>
      <w:numFmt w:val="bullet"/>
      <w:lvlText w:val=""/>
      <w:lvlJc w:val="left"/>
      <w:pPr>
        <w:ind w:left="5040" w:hanging="360"/>
      </w:pPr>
      <w:rPr>
        <w:rFonts w:ascii="Symbol" w:hAnsi="Symbol" w:hint="default"/>
      </w:rPr>
    </w:lvl>
    <w:lvl w:ilvl="7" w:tplc="698CBE7C" w:tentative="1">
      <w:start w:val="1"/>
      <w:numFmt w:val="bullet"/>
      <w:lvlText w:val="o"/>
      <w:lvlJc w:val="left"/>
      <w:pPr>
        <w:ind w:left="5760" w:hanging="360"/>
      </w:pPr>
      <w:rPr>
        <w:rFonts w:ascii="Courier New" w:hAnsi="Courier New" w:cs="Courier New" w:hint="default"/>
      </w:rPr>
    </w:lvl>
    <w:lvl w:ilvl="8" w:tplc="26969968" w:tentative="1">
      <w:start w:val="1"/>
      <w:numFmt w:val="bullet"/>
      <w:lvlText w:val=""/>
      <w:lvlJc w:val="left"/>
      <w:pPr>
        <w:ind w:left="6480" w:hanging="360"/>
      </w:pPr>
      <w:rPr>
        <w:rFonts w:ascii="Wingdings" w:hAnsi="Wingdings" w:hint="default"/>
      </w:rPr>
    </w:lvl>
  </w:abstractNum>
  <w:abstractNum w:abstractNumId="26" w15:restartNumberingAfterBreak="0">
    <w:nsid w:val="6D0B20F9"/>
    <w:multiLevelType w:val="hybridMultilevel"/>
    <w:tmpl w:val="4148B19C"/>
    <w:lvl w:ilvl="0" w:tplc="27EE3336">
      <w:start w:val="1"/>
      <w:numFmt w:val="bullet"/>
      <w:lvlText w:val="o"/>
      <w:lvlJc w:val="left"/>
      <w:pPr>
        <w:tabs>
          <w:tab w:val="num" w:pos="1012"/>
        </w:tabs>
        <w:ind w:left="1012" w:hanging="292"/>
      </w:pPr>
      <w:rPr>
        <w:rFonts w:ascii="Courier New" w:hAnsi="Courier New" w:cs="Courier New" w:hint="default"/>
        <w:sz w:val="24"/>
      </w:rPr>
    </w:lvl>
    <w:lvl w:ilvl="1" w:tplc="FF32B5B4">
      <w:start w:val="1"/>
      <w:numFmt w:val="bullet"/>
      <w:lvlText w:val="o"/>
      <w:lvlJc w:val="left"/>
      <w:pPr>
        <w:tabs>
          <w:tab w:val="num" w:pos="1876"/>
        </w:tabs>
        <w:ind w:left="1876" w:hanging="360"/>
      </w:pPr>
      <w:rPr>
        <w:rFonts w:ascii="Courier New" w:hAnsi="Courier New" w:hint="default"/>
      </w:rPr>
    </w:lvl>
    <w:lvl w:ilvl="2" w:tplc="33C21DB8" w:tentative="1">
      <w:start w:val="1"/>
      <w:numFmt w:val="bullet"/>
      <w:lvlText w:val=""/>
      <w:lvlJc w:val="left"/>
      <w:pPr>
        <w:tabs>
          <w:tab w:val="num" w:pos="2596"/>
        </w:tabs>
        <w:ind w:left="2596" w:hanging="360"/>
      </w:pPr>
      <w:rPr>
        <w:rFonts w:ascii="Wingdings" w:hAnsi="Wingdings" w:hint="default"/>
      </w:rPr>
    </w:lvl>
    <w:lvl w:ilvl="3" w:tplc="67D6E01E" w:tentative="1">
      <w:start w:val="1"/>
      <w:numFmt w:val="bullet"/>
      <w:lvlText w:val=""/>
      <w:lvlJc w:val="left"/>
      <w:pPr>
        <w:tabs>
          <w:tab w:val="num" w:pos="3316"/>
        </w:tabs>
        <w:ind w:left="3316" w:hanging="360"/>
      </w:pPr>
      <w:rPr>
        <w:rFonts w:ascii="Symbol" w:hAnsi="Symbol" w:hint="default"/>
      </w:rPr>
    </w:lvl>
    <w:lvl w:ilvl="4" w:tplc="7CFC3FA0" w:tentative="1">
      <w:start w:val="1"/>
      <w:numFmt w:val="bullet"/>
      <w:lvlText w:val="o"/>
      <w:lvlJc w:val="left"/>
      <w:pPr>
        <w:tabs>
          <w:tab w:val="num" w:pos="4036"/>
        </w:tabs>
        <w:ind w:left="4036" w:hanging="360"/>
      </w:pPr>
      <w:rPr>
        <w:rFonts w:ascii="Courier New" w:hAnsi="Courier New" w:hint="default"/>
      </w:rPr>
    </w:lvl>
    <w:lvl w:ilvl="5" w:tplc="64A43DE8" w:tentative="1">
      <w:start w:val="1"/>
      <w:numFmt w:val="bullet"/>
      <w:lvlText w:val=""/>
      <w:lvlJc w:val="left"/>
      <w:pPr>
        <w:tabs>
          <w:tab w:val="num" w:pos="4756"/>
        </w:tabs>
        <w:ind w:left="4756" w:hanging="360"/>
      </w:pPr>
      <w:rPr>
        <w:rFonts w:ascii="Wingdings" w:hAnsi="Wingdings" w:hint="default"/>
      </w:rPr>
    </w:lvl>
    <w:lvl w:ilvl="6" w:tplc="7CCE63B8" w:tentative="1">
      <w:start w:val="1"/>
      <w:numFmt w:val="bullet"/>
      <w:lvlText w:val=""/>
      <w:lvlJc w:val="left"/>
      <w:pPr>
        <w:tabs>
          <w:tab w:val="num" w:pos="5476"/>
        </w:tabs>
        <w:ind w:left="5476" w:hanging="360"/>
      </w:pPr>
      <w:rPr>
        <w:rFonts w:ascii="Symbol" w:hAnsi="Symbol" w:hint="default"/>
      </w:rPr>
    </w:lvl>
    <w:lvl w:ilvl="7" w:tplc="0C22EAF6" w:tentative="1">
      <w:start w:val="1"/>
      <w:numFmt w:val="bullet"/>
      <w:lvlText w:val="o"/>
      <w:lvlJc w:val="left"/>
      <w:pPr>
        <w:tabs>
          <w:tab w:val="num" w:pos="6196"/>
        </w:tabs>
        <w:ind w:left="6196" w:hanging="360"/>
      </w:pPr>
      <w:rPr>
        <w:rFonts w:ascii="Courier New" w:hAnsi="Courier New" w:hint="default"/>
      </w:rPr>
    </w:lvl>
    <w:lvl w:ilvl="8" w:tplc="928A283A" w:tentative="1">
      <w:start w:val="1"/>
      <w:numFmt w:val="bullet"/>
      <w:lvlText w:val=""/>
      <w:lvlJc w:val="left"/>
      <w:pPr>
        <w:tabs>
          <w:tab w:val="num" w:pos="6916"/>
        </w:tabs>
        <w:ind w:left="6916" w:hanging="360"/>
      </w:pPr>
      <w:rPr>
        <w:rFonts w:ascii="Wingdings" w:hAnsi="Wingdings" w:hint="default"/>
      </w:rPr>
    </w:lvl>
  </w:abstractNum>
  <w:abstractNum w:abstractNumId="27" w15:restartNumberingAfterBreak="0">
    <w:nsid w:val="6D7035BA"/>
    <w:multiLevelType w:val="hybridMultilevel"/>
    <w:tmpl w:val="D2C09CDC"/>
    <w:lvl w:ilvl="0" w:tplc="ADAC2FA8">
      <w:start w:val="1"/>
      <w:numFmt w:val="bullet"/>
      <w:lvlText w:val=""/>
      <w:lvlJc w:val="left"/>
      <w:pPr>
        <w:ind w:left="720" w:hanging="360"/>
      </w:pPr>
      <w:rPr>
        <w:rFonts w:ascii="Symbol" w:hAnsi="Symbol" w:hint="default"/>
      </w:rPr>
    </w:lvl>
    <w:lvl w:ilvl="1" w:tplc="8E524184" w:tentative="1">
      <w:start w:val="1"/>
      <w:numFmt w:val="bullet"/>
      <w:lvlText w:val="o"/>
      <w:lvlJc w:val="left"/>
      <w:pPr>
        <w:ind w:left="1440" w:hanging="360"/>
      </w:pPr>
      <w:rPr>
        <w:rFonts w:ascii="Courier New" w:hAnsi="Courier New" w:hint="default"/>
      </w:rPr>
    </w:lvl>
    <w:lvl w:ilvl="2" w:tplc="ED84679A" w:tentative="1">
      <w:start w:val="1"/>
      <w:numFmt w:val="bullet"/>
      <w:lvlText w:val=""/>
      <w:lvlJc w:val="left"/>
      <w:pPr>
        <w:ind w:left="2160" w:hanging="360"/>
      </w:pPr>
      <w:rPr>
        <w:rFonts w:ascii="Wingdings" w:hAnsi="Wingdings" w:hint="default"/>
      </w:rPr>
    </w:lvl>
    <w:lvl w:ilvl="3" w:tplc="F20E9778" w:tentative="1">
      <w:start w:val="1"/>
      <w:numFmt w:val="bullet"/>
      <w:lvlText w:val=""/>
      <w:lvlJc w:val="left"/>
      <w:pPr>
        <w:ind w:left="2880" w:hanging="360"/>
      </w:pPr>
      <w:rPr>
        <w:rFonts w:ascii="Symbol" w:hAnsi="Symbol" w:hint="default"/>
      </w:rPr>
    </w:lvl>
    <w:lvl w:ilvl="4" w:tplc="41F85B70" w:tentative="1">
      <w:start w:val="1"/>
      <w:numFmt w:val="bullet"/>
      <w:lvlText w:val="o"/>
      <w:lvlJc w:val="left"/>
      <w:pPr>
        <w:ind w:left="3600" w:hanging="360"/>
      </w:pPr>
      <w:rPr>
        <w:rFonts w:ascii="Courier New" w:hAnsi="Courier New" w:hint="default"/>
      </w:rPr>
    </w:lvl>
    <w:lvl w:ilvl="5" w:tplc="5530916E" w:tentative="1">
      <w:start w:val="1"/>
      <w:numFmt w:val="bullet"/>
      <w:lvlText w:val=""/>
      <w:lvlJc w:val="left"/>
      <w:pPr>
        <w:ind w:left="4320" w:hanging="360"/>
      </w:pPr>
      <w:rPr>
        <w:rFonts w:ascii="Wingdings" w:hAnsi="Wingdings" w:hint="default"/>
      </w:rPr>
    </w:lvl>
    <w:lvl w:ilvl="6" w:tplc="A06A83E4" w:tentative="1">
      <w:start w:val="1"/>
      <w:numFmt w:val="bullet"/>
      <w:lvlText w:val=""/>
      <w:lvlJc w:val="left"/>
      <w:pPr>
        <w:ind w:left="5040" w:hanging="360"/>
      </w:pPr>
      <w:rPr>
        <w:rFonts w:ascii="Symbol" w:hAnsi="Symbol" w:hint="default"/>
      </w:rPr>
    </w:lvl>
    <w:lvl w:ilvl="7" w:tplc="68969FEC" w:tentative="1">
      <w:start w:val="1"/>
      <w:numFmt w:val="bullet"/>
      <w:lvlText w:val="o"/>
      <w:lvlJc w:val="left"/>
      <w:pPr>
        <w:ind w:left="5760" w:hanging="360"/>
      </w:pPr>
      <w:rPr>
        <w:rFonts w:ascii="Courier New" w:hAnsi="Courier New" w:hint="default"/>
      </w:rPr>
    </w:lvl>
    <w:lvl w:ilvl="8" w:tplc="AD30846C" w:tentative="1">
      <w:start w:val="1"/>
      <w:numFmt w:val="bullet"/>
      <w:lvlText w:val=""/>
      <w:lvlJc w:val="left"/>
      <w:pPr>
        <w:ind w:left="6480" w:hanging="360"/>
      </w:pPr>
      <w:rPr>
        <w:rFonts w:ascii="Wingdings" w:hAnsi="Wingdings" w:hint="default"/>
      </w:rPr>
    </w:lvl>
  </w:abstractNum>
  <w:abstractNum w:abstractNumId="28" w15:restartNumberingAfterBreak="0">
    <w:nsid w:val="6D9403D5"/>
    <w:multiLevelType w:val="hybridMultilevel"/>
    <w:tmpl w:val="742AD502"/>
    <w:lvl w:ilvl="0" w:tplc="DBB41CFA">
      <w:start w:val="1"/>
      <w:numFmt w:val="decimal"/>
      <w:lvlText w:val="%1."/>
      <w:lvlJc w:val="left"/>
      <w:pPr>
        <w:ind w:left="720" w:hanging="360"/>
      </w:pPr>
      <w:rPr>
        <w:rFonts w:hint="default"/>
      </w:rPr>
    </w:lvl>
    <w:lvl w:ilvl="1" w:tplc="FBB29974" w:tentative="1">
      <w:start w:val="1"/>
      <w:numFmt w:val="bullet"/>
      <w:lvlText w:val="o"/>
      <w:lvlJc w:val="left"/>
      <w:pPr>
        <w:ind w:left="1440" w:hanging="360"/>
      </w:pPr>
      <w:rPr>
        <w:rFonts w:ascii="Courier New" w:hAnsi="Courier New" w:cs="Courier New" w:hint="default"/>
      </w:rPr>
    </w:lvl>
    <w:lvl w:ilvl="2" w:tplc="85DE2498" w:tentative="1">
      <w:start w:val="1"/>
      <w:numFmt w:val="bullet"/>
      <w:lvlText w:val=""/>
      <w:lvlJc w:val="left"/>
      <w:pPr>
        <w:ind w:left="2160" w:hanging="360"/>
      </w:pPr>
      <w:rPr>
        <w:rFonts w:ascii="Wingdings" w:hAnsi="Wingdings" w:hint="default"/>
      </w:rPr>
    </w:lvl>
    <w:lvl w:ilvl="3" w:tplc="31CCE10A" w:tentative="1">
      <w:start w:val="1"/>
      <w:numFmt w:val="bullet"/>
      <w:lvlText w:val=""/>
      <w:lvlJc w:val="left"/>
      <w:pPr>
        <w:ind w:left="2880" w:hanging="360"/>
      </w:pPr>
      <w:rPr>
        <w:rFonts w:ascii="Symbol" w:hAnsi="Symbol" w:hint="default"/>
      </w:rPr>
    </w:lvl>
    <w:lvl w:ilvl="4" w:tplc="CE5E6884" w:tentative="1">
      <w:start w:val="1"/>
      <w:numFmt w:val="bullet"/>
      <w:lvlText w:val="o"/>
      <w:lvlJc w:val="left"/>
      <w:pPr>
        <w:ind w:left="3600" w:hanging="360"/>
      </w:pPr>
      <w:rPr>
        <w:rFonts w:ascii="Courier New" w:hAnsi="Courier New" w:cs="Courier New" w:hint="default"/>
      </w:rPr>
    </w:lvl>
    <w:lvl w:ilvl="5" w:tplc="05FE1CF2" w:tentative="1">
      <w:start w:val="1"/>
      <w:numFmt w:val="bullet"/>
      <w:lvlText w:val=""/>
      <w:lvlJc w:val="left"/>
      <w:pPr>
        <w:ind w:left="4320" w:hanging="360"/>
      </w:pPr>
      <w:rPr>
        <w:rFonts w:ascii="Wingdings" w:hAnsi="Wingdings" w:hint="default"/>
      </w:rPr>
    </w:lvl>
    <w:lvl w:ilvl="6" w:tplc="F7DA06B8" w:tentative="1">
      <w:start w:val="1"/>
      <w:numFmt w:val="bullet"/>
      <w:lvlText w:val=""/>
      <w:lvlJc w:val="left"/>
      <w:pPr>
        <w:ind w:left="5040" w:hanging="360"/>
      </w:pPr>
      <w:rPr>
        <w:rFonts w:ascii="Symbol" w:hAnsi="Symbol" w:hint="default"/>
      </w:rPr>
    </w:lvl>
    <w:lvl w:ilvl="7" w:tplc="144E7C80" w:tentative="1">
      <w:start w:val="1"/>
      <w:numFmt w:val="bullet"/>
      <w:lvlText w:val="o"/>
      <w:lvlJc w:val="left"/>
      <w:pPr>
        <w:ind w:left="5760" w:hanging="360"/>
      </w:pPr>
      <w:rPr>
        <w:rFonts w:ascii="Courier New" w:hAnsi="Courier New" w:cs="Courier New" w:hint="default"/>
      </w:rPr>
    </w:lvl>
    <w:lvl w:ilvl="8" w:tplc="BB80AF82" w:tentative="1">
      <w:start w:val="1"/>
      <w:numFmt w:val="bullet"/>
      <w:lvlText w:val=""/>
      <w:lvlJc w:val="left"/>
      <w:pPr>
        <w:ind w:left="6480" w:hanging="360"/>
      </w:pPr>
      <w:rPr>
        <w:rFonts w:ascii="Wingdings" w:hAnsi="Wingdings" w:hint="default"/>
      </w:rPr>
    </w:lvl>
  </w:abstractNum>
  <w:abstractNum w:abstractNumId="29" w15:restartNumberingAfterBreak="0">
    <w:nsid w:val="70A52BB2"/>
    <w:multiLevelType w:val="hybridMultilevel"/>
    <w:tmpl w:val="1786B202"/>
    <w:lvl w:ilvl="0" w:tplc="592202D2">
      <w:start w:val="1"/>
      <w:numFmt w:val="bullet"/>
      <w:lvlText w:val=""/>
      <w:lvlJc w:val="left"/>
      <w:pPr>
        <w:ind w:left="720" w:hanging="360"/>
      </w:pPr>
      <w:rPr>
        <w:rFonts w:ascii="Symbol" w:hAnsi="Symbol" w:hint="default"/>
      </w:rPr>
    </w:lvl>
    <w:lvl w:ilvl="1" w:tplc="8EA25834">
      <w:start w:val="1"/>
      <w:numFmt w:val="bullet"/>
      <w:lvlText w:val="o"/>
      <w:lvlJc w:val="left"/>
      <w:pPr>
        <w:ind w:left="1440" w:hanging="360"/>
      </w:pPr>
      <w:rPr>
        <w:rFonts w:ascii="Courier New" w:hAnsi="Courier New" w:cs="Courier New" w:hint="default"/>
      </w:rPr>
    </w:lvl>
    <w:lvl w:ilvl="2" w:tplc="36F857A4" w:tentative="1">
      <w:start w:val="1"/>
      <w:numFmt w:val="bullet"/>
      <w:lvlText w:val=""/>
      <w:lvlJc w:val="left"/>
      <w:pPr>
        <w:ind w:left="2160" w:hanging="360"/>
      </w:pPr>
      <w:rPr>
        <w:rFonts w:ascii="Wingdings" w:hAnsi="Wingdings" w:hint="default"/>
      </w:rPr>
    </w:lvl>
    <w:lvl w:ilvl="3" w:tplc="83BC58D2" w:tentative="1">
      <w:start w:val="1"/>
      <w:numFmt w:val="bullet"/>
      <w:lvlText w:val=""/>
      <w:lvlJc w:val="left"/>
      <w:pPr>
        <w:ind w:left="2880" w:hanging="360"/>
      </w:pPr>
      <w:rPr>
        <w:rFonts w:ascii="Symbol" w:hAnsi="Symbol" w:hint="default"/>
      </w:rPr>
    </w:lvl>
    <w:lvl w:ilvl="4" w:tplc="CD804B04" w:tentative="1">
      <w:start w:val="1"/>
      <w:numFmt w:val="bullet"/>
      <w:lvlText w:val="o"/>
      <w:lvlJc w:val="left"/>
      <w:pPr>
        <w:ind w:left="3600" w:hanging="360"/>
      </w:pPr>
      <w:rPr>
        <w:rFonts w:ascii="Courier New" w:hAnsi="Courier New" w:cs="Courier New" w:hint="default"/>
      </w:rPr>
    </w:lvl>
    <w:lvl w:ilvl="5" w:tplc="309C55F8" w:tentative="1">
      <w:start w:val="1"/>
      <w:numFmt w:val="bullet"/>
      <w:lvlText w:val=""/>
      <w:lvlJc w:val="left"/>
      <w:pPr>
        <w:ind w:left="4320" w:hanging="360"/>
      </w:pPr>
      <w:rPr>
        <w:rFonts w:ascii="Wingdings" w:hAnsi="Wingdings" w:hint="default"/>
      </w:rPr>
    </w:lvl>
    <w:lvl w:ilvl="6" w:tplc="6EAAD9AC" w:tentative="1">
      <w:start w:val="1"/>
      <w:numFmt w:val="bullet"/>
      <w:lvlText w:val=""/>
      <w:lvlJc w:val="left"/>
      <w:pPr>
        <w:ind w:left="5040" w:hanging="360"/>
      </w:pPr>
      <w:rPr>
        <w:rFonts w:ascii="Symbol" w:hAnsi="Symbol" w:hint="default"/>
      </w:rPr>
    </w:lvl>
    <w:lvl w:ilvl="7" w:tplc="33BE77A0" w:tentative="1">
      <w:start w:val="1"/>
      <w:numFmt w:val="bullet"/>
      <w:lvlText w:val="o"/>
      <w:lvlJc w:val="left"/>
      <w:pPr>
        <w:ind w:left="5760" w:hanging="360"/>
      </w:pPr>
      <w:rPr>
        <w:rFonts w:ascii="Courier New" w:hAnsi="Courier New" w:cs="Courier New" w:hint="default"/>
      </w:rPr>
    </w:lvl>
    <w:lvl w:ilvl="8" w:tplc="99F6E720" w:tentative="1">
      <w:start w:val="1"/>
      <w:numFmt w:val="bullet"/>
      <w:lvlText w:val=""/>
      <w:lvlJc w:val="left"/>
      <w:pPr>
        <w:ind w:left="6480" w:hanging="360"/>
      </w:pPr>
      <w:rPr>
        <w:rFonts w:ascii="Wingdings" w:hAnsi="Wingdings" w:hint="default"/>
      </w:rPr>
    </w:lvl>
  </w:abstractNum>
  <w:abstractNum w:abstractNumId="30" w15:restartNumberingAfterBreak="0">
    <w:nsid w:val="7339324A"/>
    <w:multiLevelType w:val="hybridMultilevel"/>
    <w:tmpl w:val="F766A11A"/>
    <w:lvl w:ilvl="0" w:tplc="BC7EC214">
      <w:start w:val="1"/>
      <w:numFmt w:val="lowerLetter"/>
      <w:lvlText w:val="%1."/>
      <w:lvlJc w:val="left"/>
      <w:pPr>
        <w:ind w:left="720" w:hanging="360"/>
      </w:pPr>
    </w:lvl>
    <w:lvl w:ilvl="1" w:tplc="15164B38">
      <w:start w:val="1"/>
      <w:numFmt w:val="lowerLetter"/>
      <w:lvlText w:val="%2."/>
      <w:lvlJc w:val="left"/>
      <w:pPr>
        <w:ind w:left="1440" w:hanging="360"/>
      </w:pPr>
    </w:lvl>
    <w:lvl w:ilvl="2" w:tplc="2FD6A44A" w:tentative="1">
      <w:start w:val="1"/>
      <w:numFmt w:val="lowerRoman"/>
      <w:lvlText w:val="%3."/>
      <w:lvlJc w:val="right"/>
      <w:pPr>
        <w:ind w:left="2160" w:hanging="180"/>
      </w:pPr>
    </w:lvl>
    <w:lvl w:ilvl="3" w:tplc="5650A260" w:tentative="1">
      <w:start w:val="1"/>
      <w:numFmt w:val="decimal"/>
      <w:lvlText w:val="%4."/>
      <w:lvlJc w:val="left"/>
      <w:pPr>
        <w:ind w:left="2880" w:hanging="360"/>
      </w:pPr>
    </w:lvl>
    <w:lvl w:ilvl="4" w:tplc="B6B85D6C" w:tentative="1">
      <w:start w:val="1"/>
      <w:numFmt w:val="lowerLetter"/>
      <w:lvlText w:val="%5."/>
      <w:lvlJc w:val="left"/>
      <w:pPr>
        <w:ind w:left="3600" w:hanging="360"/>
      </w:pPr>
    </w:lvl>
    <w:lvl w:ilvl="5" w:tplc="788AA0A4" w:tentative="1">
      <w:start w:val="1"/>
      <w:numFmt w:val="lowerRoman"/>
      <w:lvlText w:val="%6."/>
      <w:lvlJc w:val="right"/>
      <w:pPr>
        <w:ind w:left="4320" w:hanging="180"/>
      </w:pPr>
    </w:lvl>
    <w:lvl w:ilvl="6" w:tplc="4314AFEE" w:tentative="1">
      <w:start w:val="1"/>
      <w:numFmt w:val="decimal"/>
      <w:lvlText w:val="%7."/>
      <w:lvlJc w:val="left"/>
      <w:pPr>
        <w:ind w:left="5040" w:hanging="360"/>
      </w:pPr>
    </w:lvl>
    <w:lvl w:ilvl="7" w:tplc="B6903EB6" w:tentative="1">
      <w:start w:val="1"/>
      <w:numFmt w:val="lowerLetter"/>
      <w:lvlText w:val="%8."/>
      <w:lvlJc w:val="left"/>
      <w:pPr>
        <w:ind w:left="5760" w:hanging="360"/>
      </w:pPr>
    </w:lvl>
    <w:lvl w:ilvl="8" w:tplc="4814B932" w:tentative="1">
      <w:start w:val="1"/>
      <w:numFmt w:val="lowerRoman"/>
      <w:lvlText w:val="%9."/>
      <w:lvlJc w:val="right"/>
      <w:pPr>
        <w:ind w:left="6480" w:hanging="180"/>
      </w:pPr>
    </w:lvl>
  </w:abstractNum>
  <w:abstractNum w:abstractNumId="31" w15:restartNumberingAfterBreak="0">
    <w:nsid w:val="73776D37"/>
    <w:multiLevelType w:val="hybridMultilevel"/>
    <w:tmpl w:val="6E9007C6"/>
    <w:lvl w:ilvl="0" w:tplc="F664244E">
      <w:start w:val="1"/>
      <w:numFmt w:val="lowerLetter"/>
      <w:lvlText w:val="%1)"/>
      <w:lvlJc w:val="left"/>
      <w:pPr>
        <w:ind w:left="720" w:hanging="360"/>
      </w:pPr>
    </w:lvl>
    <w:lvl w:ilvl="1" w:tplc="1876ED64" w:tentative="1">
      <w:start w:val="1"/>
      <w:numFmt w:val="lowerLetter"/>
      <w:lvlText w:val="%2."/>
      <w:lvlJc w:val="left"/>
      <w:pPr>
        <w:ind w:left="1440" w:hanging="360"/>
      </w:pPr>
    </w:lvl>
    <w:lvl w:ilvl="2" w:tplc="9C4227CC" w:tentative="1">
      <w:start w:val="1"/>
      <w:numFmt w:val="lowerRoman"/>
      <w:lvlText w:val="%3."/>
      <w:lvlJc w:val="right"/>
      <w:pPr>
        <w:ind w:left="2160" w:hanging="180"/>
      </w:pPr>
    </w:lvl>
    <w:lvl w:ilvl="3" w:tplc="07B89924" w:tentative="1">
      <w:start w:val="1"/>
      <w:numFmt w:val="decimal"/>
      <w:lvlText w:val="%4."/>
      <w:lvlJc w:val="left"/>
      <w:pPr>
        <w:ind w:left="2880" w:hanging="360"/>
      </w:pPr>
    </w:lvl>
    <w:lvl w:ilvl="4" w:tplc="9EEA0B92" w:tentative="1">
      <w:start w:val="1"/>
      <w:numFmt w:val="lowerLetter"/>
      <w:lvlText w:val="%5."/>
      <w:lvlJc w:val="left"/>
      <w:pPr>
        <w:ind w:left="3600" w:hanging="360"/>
      </w:pPr>
    </w:lvl>
    <w:lvl w:ilvl="5" w:tplc="1E38A0CC" w:tentative="1">
      <w:start w:val="1"/>
      <w:numFmt w:val="lowerRoman"/>
      <w:lvlText w:val="%6."/>
      <w:lvlJc w:val="right"/>
      <w:pPr>
        <w:ind w:left="4320" w:hanging="180"/>
      </w:pPr>
    </w:lvl>
    <w:lvl w:ilvl="6" w:tplc="27F41E6A" w:tentative="1">
      <w:start w:val="1"/>
      <w:numFmt w:val="decimal"/>
      <w:lvlText w:val="%7."/>
      <w:lvlJc w:val="left"/>
      <w:pPr>
        <w:ind w:left="5040" w:hanging="360"/>
      </w:pPr>
    </w:lvl>
    <w:lvl w:ilvl="7" w:tplc="2BA6F740" w:tentative="1">
      <w:start w:val="1"/>
      <w:numFmt w:val="lowerLetter"/>
      <w:lvlText w:val="%8."/>
      <w:lvlJc w:val="left"/>
      <w:pPr>
        <w:ind w:left="5760" w:hanging="360"/>
      </w:pPr>
    </w:lvl>
    <w:lvl w:ilvl="8" w:tplc="199E3E0A" w:tentative="1">
      <w:start w:val="1"/>
      <w:numFmt w:val="lowerRoman"/>
      <w:lvlText w:val="%9."/>
      <w:lvlJc w:val="right"/>
      <w:pPr>
        <w:ind w:left="6480" w:hanging="180"/>
      </w:pPr>
    </w:lvl>
  </w:abstractNum>
  <w:abstractNum w:abstractNumId="32" w15:restartNumberingAfterBreak="0">
    <w:nsid w:val="740D628F"/>
    <w:multiLevelType w:val="multilevel"/>
    <w:tmpl w:val="29E22454"/>
    <w:lvl w:ilvl="0">
      <w:start w:val="1"/>
      <w:numFmt w:val="decimal"/>
      <w:pStyle w:val="Heading1"/>
      <w:lvlText w:val="%1"/>
      <w:lvlJc w:val="left"/>
      <w:pPr>
        <w:tabs>
          <w:tab w:val="num" w:pos="2158"/>
        </w:tabs>
        <w:ind w:left="2158" w:hanging="2016"/>
      </w:pPr>
      <w:rPr>
        <w:rFonts w:hint="default"/>
      </w:rPr>
    </w:lvl>
    <w:lvl w:ilvl="1">
      <w:start w:val="1"/>
      <w:numFmt w:val="decimal"/>
      <w:pStyle w:val="Heading2"/>
      <w:lvlText w:val="%1.%2"/>
      <w:lvlJc w:val="left"/>
      <w:pPr>
        <w:tabs>
          <w:tab w:val="num" w:pos="2016"/>
        </w:tabs>
        <w:ind w:left="2016" w:hanging="2016"/>
      </w:pPr>
      <w:rPr>
        <w:rFonts w:hint="default"/>
      </w:rPr>
    </w:lvl>
    <w:lvl w:ilvl="2">
      <w:start w:val="1"/>
      <w:numFmt w:val="decimal"/>
      <w:pStyle w:val="Heading3"/>
      <w:lvlText w:val="%1.%2.%3"/>
      <w:lvlJc w:val="left"/>
      <w:pPr>
        <w:tabs>
          <w:tab w:val="num" w:pos="2016"/>
        </w:tabs>
        <w:ind w:left="2016" w:hanging="2016"/>
      </w:pPr>
      <w:rPr>
        <w:rFonts w:hint="default"/>
      </w:rPr>
    </w:lvl>
    <w:lvl w:ilvl="3">
      <w:start w:val="1"/>
      <w:numFmt w:val="decimal"/>
      <w:pStyle w:val="Heading4"/>
      <w:lvlText w:val="%1.%2.%3.%4"/>
      <w:lvlJc w:val="left"/>
      <w:pPr>
        <w:tabs>
          <w:tab w:val="num" w:pos="2016"/>
        </w:tabs>
        <w:ind w:left="2016" w:hanging="2016"/>
      </w:pPr>
      <w:rPr>
        <w:rFonts w:hint="default"/>
      </w:rPr>
    </w:lvl>
    <w:lvl w:ilvl="4">
      <w:start w:val="1"/>
      <w:numFmt w:val="decimal"/>
      <w:pStyle w:val="Heading5"/>
      <w:lvlText w:val="%1.%2.%3.%4.%5"/>
      <w:lvlJc w:val="left"/>
      <w:pPr>
        <w:tabs>
          <w:tab w:val="num" w:pos="2016"/>
        </w:tabs>
        <w:ind w:left="2016" w:hanging="2016"/>
      </w:pPr>
      <w:rPr>
        <w:rFonts w:hint="default"/>
      </w:rPr>
    </w:lvl>
    <w:lvl w:ilvl="5">
      <w:start w:val="1"/>
      <w:numFmt w:val="decimal"/>
      <w:pStyle w:val="Heading6"/>
      <w:lvlText w:val="%1.%2.%3.%4.%5.%6"/>
      <w:lvlJc w:val="left"/>
      <w:pPr>
        <w:tabs>
          <w:tab w:val="num" w:pos="2016"/>
        </w:tabs>
        <w:ind w:left="2016" w:hanging="2016"/>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6172563"/>
    <w:multiLevelType w:val="singleLevel"/>
    <w:tmpl w:val="136EB102"/>
    <w:lvl w:ilvl="0">
      <w:start w:val="1"/>
      <w:numFmt w:val="bullet"/>
      <w:pStyle w:val="Tablelist"/>
      <w:lvlText w:val=""/>
      <w:lvlJc w:val="left"/>
      <w:pPr>
        <w:tabs>
          <w:tab w:val="num" w:pos="288"/>
        </w:tabs>
        <w:ind w:left="284" w:hanging="284"/>
      </w:pPr>
      <w:rPr>
        <w:rFonts w:ascii="Symbol" w:hAnsi="Symbol" w:hint="default"/>
        <w:sz w:val="18"/>
        <w:szCs w:val="18"/>
      </w:rPr>
    </w:lvl>
  </w:abstractNum>
  <w:abstractNum w:abstractNumId="34" w15:restartNumberingAfterBreak="0">
    <w:nsid w:val="7646261A"/>
    <w:multiLevelType w:val="hybridMultilevel"/>
    <w:tmpl w:val="BE707800"/>
    <w:lvl w:ilvl="0" w:tplc="9852FFA0">
      <w:start w:val="1"/>
      <w:numFmt w:val="lowerLetter"/>
      <w:lvlText w:val="%1."/>
      <w:lvlJc w:val="left"/>
      <w:pPr>
        <w:ind w:left="720" w:hanging="360"/>
      </w:pPr>
    </w:lvl>
    <w:lvl w:ilvl="1" w:tplc="5956CEC4" w:tentative="1">
      <w:start w:val="1"/>
      <w:numFmt w:val="lowerLetter"/>
      <w:lvlText w:val="%2."/>
      <w:lvlJc w:val="left"/>
      <w:pPr>
        <w:ind w:left="1440" w:hanging="360"/>
      </w:pPr>
    </w:lvl>
    <w:lvl w:ilvl="2" w:tplc="D5689F52" w:tentative="1">
      <w:start w:val="1"/>
      <w:numFmt w:val="lowerRoman"/>
      <w:lvlText w:val="%3."/>
      <w:lvlJc w:val="right"/>
      <w:pPr>
        <w:ind w:left="2160" w:hanging="180"/>
      </w:pPr>
    </w:lvl>
    <w:lvl w:ilvl="3" w:tplc="AFE8DC7A" w:tentative="1">
      <w:start w:val="1"/>
      <w:numFmt w:val="decimal"/>
      <w:lvlText w:val="%4."/>
      <w:lvlJc w:val="left"/>
      <w:pPr>
        <w:ind w:left="2880" w:hanging="360"/>
      </w:pPr>
    </w:lvl>
    <w:lvl w:ilvl="4" w:tplc="C42A3170" w:tentative="1">
      <w:start w:val="1"/>
      <w:numFmt w:val="lowerLetter"/>
      <w:lvlText w:val="%5."/>
      <w:lvlJc w:val="left"/>
      <w:pPr>
        <w:ind w:left="3600" w:hanging="360"/>
      </w:pPr>
    </w:lvl>
    <w:lvl w:ilvl="5" w:tplc="13D4F41C" w:tentative="1">
      <w:start w:val="1"/>
      <w:numFmt w:val="lowerRoman"/>
      <w:lvlText w:val="%6."/>
      <w:lvlJc w:val="right"/>
      <w:pPr>
        <w:ind w:left="4320" w:hanging="180"/>
      </w:pPr>
    </w:lvl>
    <w:lvl w:ilvl="6" w:tplc="A058FE1A" w:tentative="1">
      <w:start w:val="1"/>
      <w:numFmt w:val="decimal"/>
      <w:lvlText w:val="%7."/>
      <w:lvlJc w:val="left"/>
      <w:pPr>
        <w:ind w:left="5040" w:hanging="360"/>
      </w:pPr>
    </w:lvl>
    <w:lvl w:ilvl="7" w:tplc="AE2406B6" w:tentative="1">
      <w:start w:val="1"/>
      <w:numFmt w:val="lowerLetter"/>
      <w:lvlText w:val="%8."/>
      <w:lvlJc w:val="left"/>
      <w:pPr>
        <w:ind w:left="5760" w:hanging="360"/>
      </w:pPr>
    </w:lvl>
    <w:lvl w:ilvl="8" w:tplc="C7127C0C" w:tentative="1">
      <w:start w:val="1"/>
      <w:numFmt w:val="lowerRoman"/>
      <w:lvlText w:val="%9."/>
      <w:lvlJc w:val="right"/>
      <w:pPr>
        <w:ind w:left="6480" w:hanging="180"/>
      </w:pPr>
    </w:lvl>
  </w:abstractNum>
  <w:abstractNum w:abstractNumId="35" w15:restartNumberingAfterBreak="0">
    <w:nsid w:val="76BE39AF"/>
    <w:multiLevelType w:val="hybridMultilevel"/>
    <w:tmpl w:val="AD541EC8"/>
    <w:lvl w:ilvl="0" w:tplc="00866EA8">
      <w:start w:val="1"/>
      <w:numFmt w:val="decimal"/>
      <w:lvlText w:val="%1-"/>
      <w:lvlJc w:val="left"/>
      <w:pPr>
        <w:ind w:left="720" w:hanging="360"/>
      </w:pPr>
      <w:rPr>
        <w:rFonts w:hint="default"/>
      </w:rPr>
    </w:lvl>
    <w:lvl w:ilvl="1" w:tplc="95208210" w:tentative="1">
      <w:start w:val="1"/>
      <w:numFmt w:val="lowerLetter"/>
      <w:lvlText w:val="%2."/>
      <w:lvlJc w:val="left"/>
      <w:pPr>
        <w:ind w:left="1440" w:hanging="360"/>
      </w:pPr>
    </w:lvl>
    <w:lvl w:ilvl="2" w:tplc="2132058A" w:tentative="1">
      <w:start w:val="1"/>
      <w:numFmt w:val="lowerRoman"/>
      <w:lvlText w:val="%3."/>
      <w:lvlJc w:val="right"/>
      <w:pPr>
        <w:ind w:left="2160" w:hanging="180"/>
      </w:pPr>
    </w:lvl>
    <w:lvl w:ilvl="3" w:tplc="C0D41E1E" w:tentative="1">
      <w:start w:val="1"/>
      <w:numFmt w:val="decimal"/>
      <w:lvlText w:val="%4."/>
      <w:lvlJc w:val="left"/>
      <w:pPr>
        <w:ind w:left="2880" w:hanging="360"/>
      </w:pPr>
    </w:lvl>
    <w:lvl w:ilvl="4" w:tplc="DECA8A34" w:tentative="1">
      <w:start w:val="1"/>
      <w:numFmt w:val="lowerLetter"/>
      <w:lvlText w:val="%5."/>
      <w:lvlJc w:val="left"/>
      <w:pPr>
        <w:ind w:left="3600" w:hanging="360"/>
      </w:pPr>
    </w:lvl>
    <w:lvl w:ilvl="5" w:tplc="73368358" w:tentative="1">
      <w:start w:val="1"/>
      <w:numFmt w:val="lowerRoman"/>
      <w:lvlText w:val="%6."/>
      <w:lvlJc w:val="right"/>
      <w:pPr>
        <w:ind w:left="4320" w:hanging="180"/>
      </w:pPr>
    </w:lvl>
    <w:lvl w:ilvl="6" w:tplc="2B6EA58A" w:tentative="1">
      <w:start w:val="1"/>
      <w:numFmt w:val="decimal"/>
      <w:lvlText w:val="%7."/>
      <w:lvlJc w:val="left"/>
      <w:pPr>
        <w:ind w:left="5040" w:hanging="360"/>
      </w:pPr>
    </w:lvl>
    <w:lvl w:ilvl="7" w:tplc="411E6EA8" w:tentative="1">
      <w:start w:val="1"/>
      <w:numFmt w:val="lowerLetter"/>
      <w:lvlText w:val="%8."/>
      <w:lvlJc w:val="left"/>
      <w:pPr>
        <w:ind w:left="5760" w:hanging="360"/>
      </w:pPr>
    </w:lvl>
    <w:lvl w:ilvl="8" w:tplc="B51A13A4" w:tentative="1">
      <w:start w:val="1"/>
      <w:numFmt w:val="lowerRoman"/>
      <w:lvlText w:val="%9."/>
      <w:lvlJc w:val="right"/>
      <w:pPr>
        <w:ind w:left="6480" w:hanging="180"/>
      </w:pPr>
    </w:lvl>
  </w:abstractNum>
  <w:abstractNum w:abstractNumId="36" w15:restartNumberingAfterBreak="0">
    <w:nsid w:val="7A4B5B81"/>
    <w:multiLevelType w:val="hybridMultilevel"/>
    <w:tmpl w:val="37B21CE8"/>
    <w:lvl w:ilvl="0" w:tplc="CB306DE2">
      <w:start w:val="1"/>
      <w:numFmt w:val="decimal"/>
      <w:lvlText w:val="%1."/>
      <w:lvlJc w:val="left"/>
      <w:pPr>
        <w:ind w:left="720" w:hanging="360"/>
      </w:pPr>
    </w:lvl>
    <w:lvl w:ilvl="1" w:tplc="0BD2B2C4">
      <w:start w:val="1"/>
      <w:numFmt w:val="lowerLetter"/>
      <w:lvlText w:val="%2."/>
      <w:lvlJc w:val="left"/>
      <w:pPr>
        <w:ind w:left="1440" w:hanging="360"/>
      </w:pPr>
    </w:lvl>
    <w:lvl w:ilvl="2" w:tplc="AF827C40" w:tentative="1">
      <w:start w:val="1"/>
      <w:numFmt w:val="lowerRoman"/>
      <w:lvlText w:val="%3."/>
      <w:lvlJc w:val="right"/>
      <w:pPr>
        <w:ind w:left="2160" w:hanging="180"/>
      </w:pPr>
    </w:lvl>
    <w:lvl w:ilvl="3" w:tplc="1B560196" w:tentative="1">
      <w:start w:val="1"/>
      <w:numFmt w:val="decimal"/>
      <w:lvlText w:val="%4."/>
      <w:lvlJc w:val="left"/>
      <w:pPr>
        <w:ind w:left="2880" w:hanging="360"/>
      </w:pPr>
    </w:lvl>
    <w:lvl w:ilvl="4" w:tplc="23BA1D26" w:tentative="1">
      <w:start w:val="1"/>
      <w:numFmt w:val="lowerLetter"/>
      <w:lvlText w:val="%5."/>
      <w:lvlJc w:val="left"/>
      <w:pPr>
        <w:ind w:left="3600" w:hanging="360"/>
      </w:pPr>
    </w:lvl>
    <w:lvl w:ilvl="5" w:tplc="AEDE09D4" w:tentative="1">
      <w:start w:val="1"/>
      <w:numFmt w:val="lowerRoman"/>
      <w:lvlText w:val="%6."/>
      <w:lvlJc w:val="right"/>
      <w:pPr>
        <w:ind w:left="4320" w:hanging="180"/>
      </w:pPr>
    </w:lvl>
    <w:lvl w:ilvl="6" w:tplc="6A8283B8" w:tentative="1">
      <w:start w:val="1"/>
      <w:numFmt w:val="decimal"/>
      <w:lvlText w:val="%7."/>
      <w:lvlJc w:val="left"/>
      <w:pPr>
        <w:ind w:left="5040" w:hanging="360"/>
      </w:pPr>
    </w:lvl>
    <w:lvl w:ilvl="7" w:tplc="BA606B2A" w:tentative="1">
      <w:start w:val="1"/>
      <w:numFmt w:val="lowerLetter"/>
      <w:lvlText w:val="%8."/>
      <w:lvlJc w:val="left"/>
      <w:pPr>
        <w:ind w:left="5760" w:hanging="360"/>
      </w:pPr>
    </w:lvl>
    <w:lvl w:ilvl="8" w:tplc="B86EF1F0" w:tentative="1">
      <w:start w:val="1"/>
      <w:numFmt w:val="lowerRoman"/>
      <w:lvlText w:val="%9."/>
      <w:lvlJc w:val="right"/>
      <w:pPr>
        <w:ind w:left="6480" w:hanging="180"/>
      </w:pPr>
    </w:lvl>
  </w:abstractNum>
  <w:abstractNum w:abstractNumId="37" w15:restartNumberingAfterBreak="0">
    <w:nsid w:val="7C187B62"/>
    <w:multiLevelType w:val="hybridMultilevel"/>
    <w:tmpl w:val="88989BBE"/>
    <w:lvl w:ilvl="0" w:tplc="B7A60220">
      <w:start w:val="1"/>
      <w:numFmt w:val="decimal"/>
      <w:lvlText w:val="%1."/>
      <w:lvlJc w:val="left"/>
      <w:pPr>
        <w:ind w:left="720" w:hanging="360"/>
      </w:pPr>
      <w:rPr>
        <w:rFonts w:hint="default"/>
      </w:rPr>
    </w:lvl>
    <w:lvl w:ilvl="1" w:tplc="C5086C8C" w:tentative="1">
      <w:start w:val="1"/>
      <w:numFmt w:val="bullet"/>
      <w:lvlText w:val="o"/>
      <w:lvlJc w:val="left"/>
      <w:pPr>
        <w:ind w:left="1440" w:hanging="360"/>
      </w:pPr>
      <w:rPr>
        <w:rFonts w:ascii="Courier New" w:hAnsi="Courier New" w:cs="Courier New" w:hint="default"/>
      </w:rPr>
    </w:lvl>
    <w:lvl w:ilvl="2" w:tplc="A68E1BD4" w:tentative="1">
      <w:start w:val="1"/>
      <w:numFmt w:val="bullet"/>
      <w:lvlText w:val=""/>
      <w:lvlJc w:val="left"/>
      <w:pPr>
        <w:ind w:left="2160" w:hanging="360"/>
      </w:pPr>
      <w:rPr>
        <w:rFonts w:ascii="Wingdings" w:hAnsi="Wingdings" w:hint="default"/>
      </w:rPr>
    </w:lvl>
    <w:lvl w:ilvl="3" w:tplc="0562E826" w:tentative="1">
      <w:start w:val="1"/>
      <w:numFmt w:val="bullet"/>
      <w:lvlText w:val=""/>
      <w:lvlJc w:val="left"/>
      <w:pPr>
        <w:ind w:left="2880" w:hanging="360"/>
      </w:pPr>
      <w:rPr>
        <w:rFonts w:ascii="Symbol" w:hAnsi="Symbol" w:hint="default"/>
      </w:rPr>
    </w:lvl>
    <w:lvl w:ilvl="4" w:tplc="BDD4EE98" w:tentative="1">
      <w:start w:val="1"/>
      <w:numFmt w:val="bullet"/>
      <w:lvlText w:val="o"/>
      <w:lvlJc w:val="left"/>
      <w:pPr>
        <w:ind w:left="3600" w:hanging="360"/>
      </w:pPr>
      <w:rPr>
        <w:rFonts w:ascii="Courier New" w:hAnsi="Courier New" w:cs="Courier New" w:hint="default"/>
      </w:rPr>
    </w:lvl>
    <w:lvl w:ilvl="5" w:tplc="C76C27D2" w:tentative="1">
      <w:start w:val="1"/>
      <w:numFmt w:val="bullet"/>
      <w:lvlText w:val=""/>
      <w:lvlJc w:val="left"/>
      <w:pPr>
        <w:ind w:left="4320" w:hanging="360"/>
      </w:pPr>
      <w:rPr>
        <w:rFonts w:ascii="Wingdings" w:hAnsi="Wingdings" w:hint="default"/>
      </w:rPr>
    </w:lvl>
    <w:lvl w:ilvl="6" w:tplc="2310A602" w:tentative="1">
      <w:start w:val="1"/>
      <w:numFmt w:val="bullet"/>
      <w:lvlText w:val=""/>
      <w:lvlJc w:val="left"/>
      <w:pPr>
        <w:ind w:left="5040" w:hanging="360"/>
      </w:pPr>
      <w:rPr>
        <w:rFonts w:ascii="Symbol" w:hAnsi="Symbol" w:hint="default"/>
      </w:rPr>
    </w:lvl>
    <w:lvl w:ilvl="7" w:tplc="090A40B6" w:tentative="1">
      <w:start w:val="1"/>
      <w:numFmt w:val="bullet"/>
      <w:lvlText w:val="o"/>
      <w:lvlJc w:val="left"/>
      <w:pPr>
        <w:ind w:left="5760" w:hanging="360"/>
      </w:pPr>
      <w:rPr>
        <w:rFonts w:ascii="Courier New" w:hAnsi="Courier New" w:cs="Courier New" w:hint="default"/>
      </w:rPr>
    </w:lvl>
    <w:lvl w:ilvl="8" w:tplc="D92AB412" w:tentative="1">
      <w:start w:val="1"/>
      <w:numFmt w:val="bullet"/>
      <w:lvlText w:val=""/>
      <w:lvlJc w:val="left"/>
      <w:pPr>
        <w:ind w:left="6480" w:hanging="360"/>
      </w:pPr>
      <w:rPr>
        <w:rFonts w:ascii="Wingdings" w:hAnsi="Wingdings" w:hint="default"/>
      </w:rPr>
    </w:lvl>
  </w:abstractNum>
  <w:abstractNum w:abstractNumId="38" w15:restartNumberingAfterBreak="0">
    <w:nsid w:val="7DD232B9"/>
    <w:multiLevelType w:val="hybridMultilevel"/>
    <w:tmpl w:val="5364B9B2"/>
    <w:lvl w:ilvl="0" w:tplc="C5C6C836">
      <w:start w:val="1"/>
      <w:numFmt w:val="decimal"/>
      <w:lvlText w:val="%1."/>
      <w:lvlJc w:val="left"/>
      <w:pPr>
        <w:ind w:left="720" w:hanging="360"/>
      </w:pPr>
      <w:rPr>
        <w:rFonts w:hint="default"/>
      </w:rPr>
    </w:lvl>
    <w:lvl w:ilvl="1" w:tplc="5CC08602" w:tentative="1">
      <w:start w:val="1"/>
      <w:numFmt w:val="lowerLetter"/>
      <w:lvlText w:val="%2."/>
      <w:lvlJc w:val="left"/>
      <w:pPr>
        <w:ind w:left="1440" w:hanging="360"/>
      </w:pPr>
    </w:lvl>
    <w:lvl w:ilvl="2" w:tplc="91588434" w:tentative="1">
      <w:start w:val="1"/>
      <w:numFmt w:val="lowerRoman"/>
      <w:lvlText w:val="%3."/>
      <w:lvlJc w:val="right"/>
      <w:pPr>
        <w:ind w:left="2160" w:hanging="180"/>
      </w:pPr>
    </w:lvl>
    <w:lvl w:ilvl="3" w:tplc="24B0D270" w:tentative="1">
      <w:start w:val="1"/>
      <w:numFmt w:val="decimal"/>
      <w:lvlText w:val="%4."/>
      <w:lvlJc w:val="left"/>
      <w:pPr>
        <w:ind w:left="2880" w:hanging="360"/>
      </w:pPr>
    </w:lvl>
    <w:lvl w:ilvl="4" w:tplc="CF3CCDD0" w:tentative="1">
      <w:start w:val="1"/>
      <w:numFmt w:val="lowerLetter"/>
      <w:lvlText w:val="%5."/>
      <w:lvlJc w:val="left"/>
      <w:pPr>
        <w:ind w:left="3600" w:hanging="360"/>
      </w:pPr>
    </w:lvl>
    <w:lvl w:ilvl="5" w:tplc="58CE4F36" w:tentative="1">
      <w:start w:val="1"/>
      <w:numFmt w:val="lowerRoman"/>
      <w:lvlText w:val="%6."/>
      <w:lvlJc w:val="right"/>
      <w:pPr>
        <w:ind w:left="4320" w:hanging="180"/>
      </w:pPr>
    </w:lvl>
    <w:lvl w:ilvl="6" w:tplc="49B885BE" w:tentative="1">
      <w:start w:val="1"/>
      <w:numFmt w:val="decimal"/>
      <w:lvlText w:val="%7."/>
      <w:lvlJc w:val="left"/>
      <w:pPr>
        <w:ind w:left="5040" w:hanging="360"/>
      </w:pPr>
    </w:lvl>
    <w:lvl w:ilvl="7" w:tplc="58EA736C" w:tentative="1">
      <w:start w:val="1"/>
      <w:numFmt w:val="lowerLetter"/>
      <w:lvlText w:val="%8."/>
      <w:lvlJc w:val="left"/>
      <w:pPr>
        <w:ind w:left="5760" w:hanging="360"/>
      </w:pPr>
    </w:lvl>
    <w:lvl w:ilvl="8" w:tplc="65D05A06" w:tentative="1">
      <w:start w:val="1"/>
      <w:numFmt w:val="lowerRoman"/>
      <w:lvlText w:val="%9."/>
      <w:lvlJc w:val="right"/>
      <w:pPr>
        <w:ind w:left="6480" w:hanging="180"/>
      </w:pPr>
    </w:lvl>
  </w:abstractNum>
  <w:num w:numId="1">
    <w:abstractNumId w:val="33"/>
  </w:num>
  <w:num w:numId="2">
    <w:abstractNumId w:val="8"/>
  </w:num>
  <w:num w:numId="3">
    <w:abstractNumId w:val="17"/>
  </w:num>
  <w:num w:numId="4">
    <w:abstractNumId w:val="32"/>
  </w:num>
  <w:num w:numId="5">
    <w:abstractNumId w:val="2"/>
  </w:num>
  <w:num w:numId="6">
    <w:abstractNumId w:val="9"/>
  </w:num>
  <w:num w:numId="7">
    <w:abstractNumId w:val="34"/>
  </w:num>
  <w:num w:numId="8">
    <w:abstractNumId w:val="37"/>
  </w:num>
  <w:num w:numId="9">
    <w:abstractNumId w:val="29"/>
  </w:num>
  <w:num w:numId="10">
    <w:abstractNumId w:val="5"/>
  </w:num>
  <w:num w:numId="11">
    <w:abstractNumId w:val="6"/>
  </w:num>
  <w:num w:numId="12">
    <w:abstractNumId w:val="36"/>
  </w:num>
  <w:num w:numId="13">
    <w:abstractNumId w:val="38"/>
  </w:num>
  <w:num w:numId="14">
    <w:abstractNumId w:val="30"/>
  </w:num>
  <w:num w:numId="15">
    <w:abstractNumId w:val="28"/>
  </w:num>
  <w:num w:numId="16">
    <w:abstractNumId w:val="13"/>
  </w:num>
  <w:num w:numId="17">
    <w:abstractNumId w:val="24"/>
  </w:num>
  <w:num w:numId="18">
    <w:abstractNumId w:val="11"/>
  </w:num>
  <w:num w:numId="19">
    <w:abstractNumId w:val="1"/>
  </w:num>
  <w:num w:numId="20">
    <w:abstractNumId w:val="16"/>
  </w:num>
  <w:num w:numId="21">
    <w:abstractNumId w:val="27"/>
  </w:num>
  <w:num w:numId="22">
    <w:abstractNumId w:val="14"/>
  </w:num>
  <w:num w:numId="23">
    <w:abstractNumId w:val="25"/>
  </w:num>
  <w:num w:numId="24">
    <w:abstractNumId w:val="10"/>
  </w:num>
  <w:num w:numId="25">
    <w:abstractNumId w:val="23"/>
  </w:num>
  <w:num w:numId="26">
    <w:abstractNumId w:val="22"/>
  </w:num>
  <w:num w:numId="27">
    <w:abstractNumId w:val="21"/>
  </w:num>
  <w:num w:numId="28">
    <w:abstractNumId w:val="7"/>
  </w:num>
  <w:num w:numId="29">
    <w:abstractNumId w:val="15"/>
  </w:num>
  <w:num w:numId="30">
    <w:abstractNumId w:val="20"/>
  </w:num>
  <w:num w:numId="31">
    <w:abstractNumId w:val="26"/>
  </w:num>
  <w:num w:numId="32">
    <w:abstractNumId w:val="35"/>
  </w:num>
  <w:num w:numId="33">
    <w:abstractNumId w:val="31"/>
  </w:num>
  <w:num w:numId="34">
    <w:abstractNumId w:val="19"/>
  </w:num>
  <w:num w:numId="35">
    <w:abstractNumId w:val="33"/>
  </w:num>
  <w:num w:numId="36">
    <w:abstractNumId w:val="33"/>
  </w:num>
  <w:num w:numId="37">
    <w:abstractNumId w:val="2"/>
  </w:num>
  <w:num w:numId="38">
    <w:abstractNumId w:val="3"/>
  </w:num>
  <w:num w:numId="39">
    <w:abstractNumId w:val="2"/>
  </w:num>
  <w:num w:numId="40">
    <w:abstractNumId w:val="2"/>
  </w:num>
  <w:num w:numId="41">
    <w:abstractNumId w:val="12"/>
  </w:num>
  <w:num w:numId="42">
    <w:abstractNumId w:val="4"/>
  </w:num>
  <w:num w:numId="43">
    <w:abstractNumId w:val="18"/>
  </w:num>
  <w:num w:numId="44">
    <w:abstractNumId w:va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2"/>
  <w:hyphenationZone w:val="425"/>
  <w:drawingGridHorizontalSpacing w:val="120"/>
  <w:displayHorizontalDrawingGridEvery w:val="0"/>
  <w:displayVerticalDrawingGridEvery w:val="0"/>
  <w:noPunctuationKerning/>
  <w:characterSpacingControl w:val="doNotCompres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165"/>
    <w:rsid w:val="00000548"/>
    <w:rsid w:val="00000581"/>
    <w:rsid w:val="00000861"/>
    <w:rsid w:val="00000A90"/>
    <w:rsid w:val="00000AA9"/>
    <w:rsid w:val="00001281"/>
    <w:rsid w:val="000018DA"/>
    <w:rsid w:val="00001A4A"/>
    <w:rsid w:val="00001E8B"/>
    <w:rsid w:val="00001FA9"/>
    <w:rsid w:val="000022C0"/>
    <w:rsid w:val="0000258C"/>
    <w:rsid w:val="0000266F"/>
    <w:rsid w:val="000033E3"/>
    <w:rsid w:val="00003634"/>
    <w:rsid w:val="000036BA"/>
    <w:rsid w:val="000038A2"/>
    <w:rsid w:val="000041C9"/>
    <w:rsid w:val="00004600"/>
    <w:rsid w:val="00004E1C"/>
    <w:rsid w:val="000053A7"/>
    <w:rsid w:val="00005E0E"/>
    <w:rsid w:val="00006661"/>
    <w:rsid w:val="0000679D"/>
    <w:rsid w:val="0000685D"/>
    <w:rsid w:val="0000718A"/>
    <w:rsid w:val="000077E2"/>
    <w:rsid w:val="00007EAD"/>
    <w:rsid w:val="0001034F"/>
    <w:rsid w:val="00010A78"/>
    <w:rsid w:val="00010AEE"/>
    <w:rsid w:val="00010B72"/>
    <w:rsid w:val="00010BFF"/>
    <w:rsid w:val="00010EBC"/>
    <w:rsid w:val="00011EAD"/>
    <w:rsid w:val="00012A25"/>
    <w:rsid w:val="00012DAC"/>
    <w:rsid w:val="000130EF"/>
    <w:rsid w:val="000136D0"/>
    <w:rsid w:val="000137F1"/>
    <w:rsid w:val="00013B17"/>
    <w:rsid w:val="0001426E"/>
    <w:rsid w:val="000143E2"/>
    <w:rsid w:val="000146A3"/>
    <w:rsid w:val="000148F0"/>
    <w:rsid w:val="00014BC4"/>
    <w:rsid w:val="00014F2C"/>
    <w:rsid w:val="0001541B"/>
    <w:rsid w:val="0001558D"/>
    <w:rsid w:val="00015C8B"/>
    <w:rsid w:val="00015D98"/>
    <w:rsid w:val="00015EFD"/>
    <w:rsid w:val="00016248"/>
    <w:rsid w:val="0001630B"/>
    <w:rsid w:val="00016419"/>
    <w:rsid w:val="0001779A"/>
    <w:rsid w:val="0001781F"/>
    <w:rsid w:val="00017C32"/>
    <w:rsid w:val="00017D62"/>
    <w:rsid w:val="00020234"/>
    <w:rsid w:val="00020A67"/>
    <w:rsid w:val="00020DC9"/>
    <w:rsid w:val="00020F35"/>
    <w:rsid w:val="000210DA"/>
    <w:rsid w:val="0002127D"/>
    <w:rsid w:val="000212CA"/>
    <w:rsid w:val="000215FF"/>
    <w:rsid w:val="000217B8"/>
    <w:rsid w:val="00022220"/>
    <w:rsid w:val="0002261F"/>
    <w:rsid w:val="00023059"/>
    <w:rsid w:val="00023261"/>
    <w:rsid w:val="000232DC"/>
    <w:rsid w:val="00023A70"/>
    <w:rsid w:val="0002426D"/>
    <w:rsid w:val="0002628F"/>
    <w:rsid w:val="000262D0"/>
    <w:rsid w:val="00026661"/>
    <w:rsid w:val="0002667A"/>
    <w:rsid w:val="000267FA"/>
    <w:rsid w:val="00027A0A"/>
    <w:rsid w:val="00027D36"/>
    <w:rsid w:val="00027DCD"/>
    <w:rsid w:val="0003033B"/>
    <w:rsid w:val="000303F9"/>
    <w:rsid w:val="00030409"/>
    <w:rsid w:val="00030F44"/>
    <w:rsid w:val="00031069"/>
    <w:rsid w:val="00031449"/>
    <w:rsid w:val="00031F4B"/>
    <w:rsid w:val="0003213D"/>
    <w:rsid w:val="0003296F"/>
    <w:rsid w:val="000329E1"/>
    <w:rsid w:val="00032B34"/>
    <w:rsid w:val="0003326A"/>
    <w:rsid w:val="00033607"/>
    <w:rsid w:val="00033780"/>
    <w:rsid w:val="000337DB"/>
    <w:rsid w:val="00033B50"/>
    <w:rsid w:val="000342A9"/>
    <w:rsid w:val="0003461F"/>
    <w:rsid w:val="00034621"/>
    <w:rsid w:val="000348EF"/>
    <w:rsid w:val="00034AAA"/>
    <w:rsid w:val="00034C95"/>
    <w:rsid w:val="00034E92"/>
    <w:rsid w:val="0003523E"/>
    <w:rsid w:val="000354BF"/>
    <w:rsid w:val="00035971"/>
    <w:rsid w:val="000359AE"/>
    <w:rsid w:val="00035F2D"/>
    <w:rsid w:val="000368CA"/>
    <w:rsid w:val="00036A15"/>
    <w:rsid w:val="00037131"/>
    <w:rsid w:val="000372D4"/>
    <w:rsid w:val="000376C3"/>
    <w:rsid w:val="00037AA3"/>
    <w:rsid w:val="0004106C"/>
    <w:rsid w:val="000413DD"/>
    <w:rsid w:val="0004297E"/>
    <w:rsid w:val="00042AC5"/>
    <w:rsid w:val="00042BF9"/>
    <w:rsid w:val="00042CE4"/>
    <w:rsid w:val="00042DE1"/>
    <w:rsid w:val="00042F61"/>
    <w:rsid w:val="000430B0"/>
    <w:rsid w:val="00043833"/>
    <w:rsid w:val="00043CD4"/>
    <w:rsid w:val="00043D8B"/>
    <w:rsid w:val="00044250"/>
    <w:rsid w:val="00044808"/>
    <w:rsid w:val="00044C3F"/>
    <w:rsid w:val="00045CC4"/>
    <w:rsid w:val="00045E0A"/>
    <w:rsid w:val="00045F3C"/>
    <w:rsid w:val="00046ACC"/>
    <w:rsid w:val="00047298"/>
    <w:rsid w:val="00047413"/>
    <w:rsid w:val="0004767E"/>
    <w:rsid w:val="00047D46"/>
    <w:rsid w:val="00047F80"/>
    <w:rsid w:val="0005076B"/>
    <w:rsid w:val="00050AC0"/>
    <w:rsid w:val="00050DDC"/>
    <w:rsid w:val="00051074"/>
    <w:rsid w:val="00051474"/>
    <w:rsid w:val="00051929"/>
    <w:rsid w:val="00051BAB"/>
    <w:rsid w:val="00051CDC"/>
    <w:rsid w:val="00051D65"/>
    <w:rsid w:val="00051DFA"/>
    <w:rsid w:val="00052437"/>
    <w:rsid w:val="00052BEA"/>
    <w:rsid w:val="00052D54"/>
    <w:rsid w:val="00052FF0"/>
    <w:rsid w:val="000534D0"/>
    <w:rsid w:val="0005350A"/>
    <w:rsid w:val="00053D35"/>
    <w:rsid w:val="0005413A"/>
    <w:rsid w:val="00055F1F"/>
    <w:rsid w:val="00055FE8"/>
    <w:rsid w:val="00056D00"/>
    <w:rsid w:val="00056D86"/>
    <w:rsid w:val="000570C5"/>
    <w:rsid w:val="00057D8D"/>
    <w:rsid w:val="000608C3"/>
    <w:rsid w:val="00060B66"/>
    <w:rsid w:val="00060D53"/>
    <w:rsid w:val="00060DFB"/>
    <w:rsid w:val="000616B1"/>
    <w:rsid w:val="000616EE"/>
    <w:rsid w:val="0006197E"/>
    <w:rsid w:val="00061CD4"/>
    <w:rsid w:val="00061CF5"/>
    <w:rsid w:val="0006282F"/>
    <w:rsid w:val="00062D24"/>
    <w:rsid w:val="000632A5"/>
    <w:rsid w:val="00063DCA"/>
    <w:rsid w:val="000652F1"/>
    <w:rsid w:val="0006538B"/>
    <w:rsid w:val="00065C14"/>
    <w:rsid w:val="00065C58"/>
    <w:rsid w:val="000661C0"/>
    <w:rsid w:val="00066693"/>
    <w:rsid w:val="000667B3"/>
    <w:rsid w:val="000668C6"/>
    <w:rsid w:val="00066FD9"/>
    <w:rsid w:val="00067390"/>
    <w:rsid w:val="00067761"/>
    <w:rsid w:val="00067911"/>
    <w:rsid w:val="000679FF"/>
    <w:rsid w:val="00067E23"/>
    <w:rsid w:val="0007077E"/>
    <w:rsid w:val="000707BF"/>
    <w:rsid w:val="00070949"/>
    <w:rsid w:val="00070E80"/>
    <w:rsid w:val="000712E7"/>
    <w:rsid w:val="00071323"/>
    <w:rsid w:val="000714A3"/>
    <w:rsid w:val="00071AD8"/>
    <w:rsid w:val="00072A63"/>
    <w:rsid w:val="00072AC0"/>
    <w:rsid w:val="00072B29"/>
    <w:rsid w:val="00072F5D"/>
    <w:rsid w:val="00073310"/>
    <w:rsid w:val="00073766"/>
    <w:rsid w:val="000737F6"/>
    <w:rsid w:val="00073CB8"/>
    <w:rsid w:val="00074573"/>
    <w:rsid w:val="00074DD5"/>
    <w:rsid w:val="000753DC"/>
    <w:rsid w:val="000754F4"/>
    <w:rsid w:val="00075E2C"/>
    <w:rsid w:val="000760BF"/>
    <w:rsid w:val="000764AD"/>
    <w:rsid w:val="000767E6"/>
    <w:rsid w:val="00076929"/>
    <w:rsid w:val="00077080"/>
    <w:rsid w:val="00077587"/>
    <w:rsid w:val="00077610"/>
    <w:rsid w:val="000776AB"/>
    <w:rsid w:val="00077C2C"/>
    <w:rsid w:val="00080AAF"/>
    <w:rsid w:val="00080E4E"/>
    <w:rsid w:val="000817D4"/>
    <w:rsid w:val="00082158"/>
    <w:rsid w:val="00082BC8"/>
    <w:rsid w:val="00082CA6"/>
    <w:rsid w:val="00082D8C"/>
    <w:rsid w:val="0008338A"/>
    <w:rsid w:val="000837D6"/>
    <w:rsid w:val="000838B7"/>
    <w:rsid w:val="0008417D"/>
    <w:rsid w:val="00084F69"/>
    <w:rsid w:val="0008537A"/>
    <w:rsid w:val="00085572"/>
    <w:rsid w:val="00086614"/>
    <w:rsid w:val="0008681A"/>
    <w:rsid w:val="000868E0"/>
    <w:rsid w:val="00086C20"/>
    <w:rsid w:val="00087576"/>
    <w:rsid w:val="00087E4D"/>
    <w:rsid w:val="00090145"/>
    <w:rsid w:val="00090574"/>
    <w:rsid w:val="00090613"/>
    <w:rsid w:val="00090665"/>
    <w:rsid w:val="0009093A"/>
    <w:rsid w:val="0009119C"/>
    <w:rsid w:val="000911E5"/>
    <w:rsid w:val="00091DCC"/>
    <w:rsid w:val="00091F16"/>
    <w:rsid w:val="00091FE8"/>
    <w:rsid w:val="00092643"/>
    <w:rsid w:val="0009290A"/>
    <w:rsid w:val="000932DF"/>
    <w:rsid w:val="00093376"/>
    <w:rsid w:val="00093567"/>
    <w:rsid w:val="00093B13"/>
    <w:rsid w:val="00094088"/>
    <w:rsid w:val="00094224"/>
    <w:rsid w:val="0009463D"/>
    <w:rsid w:val="00094804"/>
    <w:rsid w:val="00095083"/>
    <w:rsid w:val="0009538C"/>
    <w:rsid w:val="000953AA"/>
    <w:rsid w:val="000955BE"/>
    <w:rsid w:val="0009581A"/>
    <w:rsid w:val="00096049"/>
    <w:rsid w:val="00096608"/>
    <w:rsid w:val="00096F37"/>
    <w:rsid w:val="00097788"/>
    <w:rsid w:val="00097877"/>
    <w:rsid w:val="00097C73"/>
    <w:rsid w:val="000A01B6"/>
    <w:rsid w:val="000A0AAD"/>
    <w:rsid w:val="000A0B7C"/>
    <w:rsid w:val="000A0C7B"/>
    <w:rsid w:val="000A0E3B"/>
    <w:rsid w:val="000A1D7B"/>
    <w:rsid w:val="000A2069"/>
    <w:rsid w:val="000A2366"/>
    <w:rsid w:val="000A25BF"/>
    <w:rsid w:val="000A29DA"/>
    <w:rsid w:val="000A2FF9"/>
    <w:rsid w:val="000A3B8B"/>
    <w:rsid w:val="000A450E"/>
    <w:rsid w:val="000A46D0"/>
    <w:rsid w:val="000A4957"/>
    <w:rsid w:val="000A4D42"/>
    <w:rsid w:val="000A4E69"/>
    <w:rsid w:val="000A5346"/>
    <w:rsid w:val="000A5D9F"/>
    <w:rsid w:val="000A5E8F"/>
    <w:rsid w:val="000A673F"/>
    <w:rsid w:val="000A6A02"/>
    <w:rsid w:val="000A6A84"/>
    <w:rsid w:val="000A7213"/>
    <w:rsid w:val="000A7D8C"/>
    <w:rsid w:val="000A7F39"/>
    <w:rsid w:val="000A7F3A"/>
    <w:rsid w:val="000A7F61"/>
    <w:rsid w:val="000B0563"/>
    <w:rsid w:val="000B0699"/>
    <w:rsid w:val="000B11E5"/>
    <w:rsid w:val="000B127B"/>
    <w:rsid w:val="000B13F9"/>
    <w:rsid w:val="000B2438"/>
    <w:rsid w:val="000B28E2"/>
    <w:rsid w:val="000B2A17"/>
    <w:rsid w:val="000B2BC9"/>
    <w:rsid w:val="000B2CF0"/>
    <w:rsid w:val="000B2E33"/>
    <w:rsid w:val="000B2F4D"/>
    <w:rsid w:val="000B374E"/>
    <w:rsid w:val="000B3832"/>
    <w:rsid w:val="000B3917"/>
    <w:rsid w:val="000B3D85"/>
    <w:rsid w:val="000B4343"/>
    <w:rsid w:val="000B4865"/>
    <w:rsid w:val="000B50BF"/>
    <w:rsid w:val="000B512A"/>
    <w:rsid w:val="000B543C"/>
    <w:rsid w:val="000B5E04"/>
    <w:rsid w:val="000C0087"/>
    <w:rsid w:val="000C0454"/>
    <w:rsid w:val="000C076F"/>
    <w:rsid w:val="000C0AA6"/>
    <w:rsid w:val="000C1185"/>
    <w:rsid w:val="000C15AA"/>
    <w:rsid w:val="000C1EA7"/>
    <w:rsid w:val="000C1EBB"/>
    <w:rsid w:val="000C2379"/>
    <w:rsid w:val="000C2436"/>
    <w:rsid w:val="000C2A86"/>
    <w:rsid w:val="000C39FC"/>
    <w:rsid w:val="000C3B9E"/>
    <w:rsid w:val="000C3C77"/>
    <w:rsid w:val="000C41F7"/>
    <w:rsid w:val="000C468C"/>
    <w:rsid w:val="000C4FBE"/>
    <w:rsid w:val="000C518E"/>
    <w:rsid w:val="000C5AA5"/>
    <w:rsid w:val="000C5EC9"/>
    <w:rsid w:val="000C624C"/>
    <w:rsid w:val="000C64FA"/>
    <w:rsid w:val="000C669C"/>
    <w:rsid w:val="000C737B"/>
    <w:rsid w:val="000C7AE9"/>
    <w:rsid w:val="000C7D0C"/>
    <w:rsid w:val="000C7D2E"/>
    <w:rsid w:val="000D025A"/>
    <w:rsid w:val="000D0554"/>
    <w:rsid w:val="000D0654"/>
    <w:rsid w:val="000D087F"/>
    <w:rsid w:val="000D0C9D"/>
    <w:rsid w:val="000D0DC7"/>
    <w:rsid w:val="000D0E1A"/>
    <w:rsid w:val="000D0EAC"/>
    <w:rsid w:val="000D16D0"/>
    <w:rsid w:val="000D1BE6"/>
    <w:rsid w:val="000D1FC2"/>
    <w:rsid w:val="000D25A3"/>
    <w:rsid w:val="000D288A"/>
    <w:rsid w:val="000D2C1F"/>
    <w:rsid w:val="000D2DB7"/>
    <w:rsid w:val="000D37D9"/>
    <w:rsid w:val="000D3FB8"/>
    <w:rsid w:val="000D40FD"/>
    <w:rsid w:val="000D4F6E"/>
    <w:rsid w:val="000D4FFF"/>
    <w:rsid w:val="000D5CD1"/>
    <w:rsid w:val="000D5EA7"/>
    <w:rsid w:val="000D5EF3"/>
    <w:rsid w:val="000D61DA"/>
    <w:rsid w:val="000D63EE"/>
    <w:rsid w:val="000D7068"/>
    <w:rsid w:val="000D7472"/>
    <w:rsid w:val="000D7519"/>
    <w:rsid w:val="000D782B"/>
    <w:rsid w:val="000D7D5E"/>
    <w:rsid w:val="000E05C4"/>
    <w:rsid w:val="000E0773"/>
    <w:rsid w:val="000E07BB"/>
    <w:rsid w:val="000E07E9"/>
    <w:rsid w:val="000E0848"/>
    <w:rsid w:val="000E0C0F"/>
    <w:rsid w:val="000E0E06"/>
    <w:rsid w:val="000E0EF1"/>
    <w:rsid w:val="000E1577"/>
    <w:rsid w:val="000E15F1"/>
    <w:rsid w:val="000E1B45"/>
    <w:rsid w:val="000E2400"/>
    <w:rsid w:val="000E250A"/>
    <w:rsid w:val="000E2BB0"/>
    <w:rsid w:val="000E2C60"/>
    <w:rsid w:val="000E2F22"/>
    <w:rsid w:val="000E2F85"/>
    <w:rsid w:val="000E32DF"/>
    <w:rsid w:val="000E332A"/>
    <w:rsid w:val="000E3512"/>
    <w:rsid w:val="000E368A"/>
    <w:rsid w:val="000E398C"/>
    <w:rsid w:val="000E3AF4"/>
    <w:rsid w:val="000E3F15"/>
    <w:rsid w:val="000E47D2"/>
    <w:rsid w:val="000E48D0"/>
    <w:rsid w:val="000E536C"/>
    <w:rsid w:val="000E5620"/>
    <w:rsid w:val="000E5B28"/>
    <w:rsid w:val="000E5D9A"/>
    <w:rsid w:val="000E6164"/>
    <w:rsid w:val="000E67E5"/>
    <w:rsid w:val="000E6DD7"/>
    <w:rsid w:val="000E6FD8"/>
    <w:rsid w:val="000E76E9"/>
    <w:rsid w:val="000E7C4A"/>
    <w:rsid w:val="000F0398"/>
    <w:rsid w:val="000F07F1"/>
    <w:rsid w:val="000F0B27"/>
    <w:rsid w:val="000F1678"/>
    <w:rsid w:val="000F1FAD"/>
    <w:rsid w:val="000F2407"/>
    <w:rsid w:val="000F2554"/>
    <w:rsid w:val="000F2972"/>
    <w:rsid w:val="000F3622"/>
    <w:rsid w:val="000F3908"/>
    <w:rsid w:val="000F3F8E"/>
    <w:rsid w:val="000F41EE"/>
    <w:rsid w:val="000F44EB"/>
    <w:rsid w:val="000F4732"/>
    <w:rsid w:val="000F4B99"/>
    <w:rsid w:val="000F53FC"/>
    <w:rsid w:val="000F56DA"/>
    <w:rsid w:val="000F651E"/>
    <w:rsid w:val="000F7422"/>
    <w:rsid w:val="000F7477"/>
    <w:rsid w:val="000F75CB"/>
    <w:rsid w:val="000F784D"/>
    <w:rsid w:val="000F7B42"/>
    <w:rsid w:val="001006F3"/>
    <w:rsid w:val="00100D54"/>
    <w:rsid w:val="00100E3A"/>
    <w:rsid w:val="001017A4"/>
    <w:rsid w:val="00101B5C"/>
    <w:rsid w:val="00101F48"/>
    <w:rsid w:val="001022E2"/>
    <w:rsid w:val="001041BD"/>
    <w:rsid w:val="001045EA"/>
    <w:rsid w:val="001047D2"/>
    <w:rsid w:val="00104B3F"/>
    <w:rsid w:val="00104E2E"/>
    <w:rsid w:val="001054A4"/>
    <w:rsid w:val="00105DF9"/>
    <w:rsid w:val="00105E56"/>
    <w:rsid w:val="00106D59"/>
    <w:rsid w:val="00106F2B"/>
    <w:rsid w:val="00107D75"/>
    <w:rsid w:val="001101AA"/>
    <w:rsid w:val="001101C8"/>
    <w:rsid w:val="00110BC5"/>
    <w:rsid w:val="001114E9"/>
    <w:rsid w:val="00111635"/>
    <w:rsid w:val="001116F4"/>
    <w:rsid w:val="00111B56"/>
    <w:rsid w:val="00111D5D"/>
    <w:rsid w:val="00111DDC"/>
    <w:rsid w:val="0011212B"/>
    <w:rsid w:val="00112272"/>
    <w:rsid w:val="00112A2C"/>
    <w:rsid w:val="0011306B"/>
    <w:rsid w:val="001130E1"/>
    <w:rsid w:val="00113637"/>
    <w:rsid w:val="00114245"/>
    <w:rsid w:val="00114578"/>
    <w:rsid w:val="00114A81"/>
    <w:rsid w:val="00114CC0"/>
    <w:rsid w:val="00114DC7"/>
    <w:rsid w:val="00114E39"/>
    <w:rsid w:val="001160DD"/>
    <w:rsid w:val="00116382"/>
    <w:rsid w:val="0011663E"/>
    <w:rsid w:val="001166E8"/>
    <w:rsid w:val="001169DC"/>
    <w:rsid w:val="00116ACF"/>
    <w:rsid w:val="00116BB3"/>
    <w:rsid w:val="001172A2"/>
    <w:rsid w:val="001203EC"/>
    <w:rsid w:val="00120655"/>
    <w:rsid w:val="00120B5B"/>
    <w:rsid w:val="00120B71"/>
    <w:rsid w:val="00122988"/>
    <w:rsid w:val="00122D69"/>
    <w:rsid w:val="00123045"/>
    <w:rsid w:val="00123823"/>
    <w:rsid w:val="0012441F"/>
    <w:rsid w:val="00124542"/>
    <w:rsid w:val="00124830"/>
    <w:rsid w:val="00124FAC"/>
    <w:rsid w:val="00125487"/>
    <w:rsid w:val="00125A3A"/>
    <w:rsid w:val="00125DCC"/>
    <w:rsid w:val="001261A5"/>
    <w:rsid w:val="001261F0"/>
    <w:rsid w:val="00126E67"/>
    <w:rsid w:val="00127063"/>
    <w:rsid w:val="00127173"/>
    <w:rsid w:val="00127AF5"/>
    <w:rsid w:val="00127B59"/>
    <w:rsid w:val="00127EA0"/>
    <w:rsid w:val="00130FF4"/>
    <w:rsid w:val="001316DB"/>
    <w:rsid w:val="0013213E"/>
    <w:rsid w:val="001323F4"/>
    <w:rsid w:val="00132ACC"/>
    <w:rsid w:val="001331AE"/>
    <w:rsid w:val="00133827"/>
    <w:rsid w:val="00133C36"/>
    <w:rsid w:val="0013423F"/>
    <w:rsid w:val="00134E75"/>
    <w:rsid w:val="0013522F"/>
    <w:rsid w:val="001360EC"/>
    <w:rsid w:val="0013663E"/>
    <w:rsid w:val="00136932"/>
    <w:rsid w:val="00136A6E"/>
    <w:rsid w:val="00136B8A"/>
    <w:rsid w:val="001377DC"/>
    <w:rsid w:val="001379E1"/>
    <w:rsid w:val="00140428"/>
    <w:rsid w:val="00141296"/>
    <w:rsid w:val="0014199F"/>
    <w:rsid w:val="00141B09"/>
    <w:rsid w:val="00141B5C"/>
    <w:rsid w:val="00141FDD"/>
    <w:rsid w:val="001421B9"/>
    <w:rsid w:val="00142263"/>
    <w:rsid w:val="00142FB0"/>
    <w:rsid w:val="00143080"/>
    <w:rsid w:val="00143355"/>
    <w:rsid w:val="00143B18"/>
    <w:rsid w:val="00143B70"/>
    <w:rsid w:val="00143CB1"/>
    <w:rsid w:val="00143DF8"/>
    <w:rsid w:val="001441A7"/>
    <w:rsid w:val="00144842"/>
    <w:rsid w:val="00144F43"/>
    <w:rsid w:val="00145055"/>
    <w:rsid w:val="001451EB"/>
    <w:rsid w:val="001455F1"/>
    <w:rsid w:val="00145F91"/>
    <w:rsid w:val="00146305"/>
    <w:rsid w:val="00146AA0"/>
    <w:rsid w:val="00147246"/>
    <w:rsid w:val="00147748"/>
    <w:rsid w:val="001477D8"/>
    <w:rsid w:val="00147AFE"/>
    <w:rsid w:val="00147DF3"/>
    <w:rsid w:val="00150354"/>
    <w:rsid w:val="00150649"/>
    <w:rsid w:val="00150ACE"/>
    <w:rsid w:val="00150BAA"/>
    <w:rsid w:val="0015109C"/>
    <w:rsid w:val="00151269"/>
    <w:rsid w:val="0015147A"/>
    <w:rsid w:val="001514C7"/>
    <w:rsid w:val="00151BD7"/>
    <w:rsid w:val="0015224D"/>
    <w:rsid w:val="00152638"/>
    <w:rsid w:val="00152654"/>
    <w:rsid w:val="001528AC"/>
    <w:rsid w:val="00152AB6"/>
    <w:rsid w:val="00152D6A"/>
    <w:rsid w:val="001536B1"/>
    <w:rsid w:val="00153755"/>
    <w:rsid w:val="00153A6D"/>
    <w:rsid w:val="00153F48"/>
    <w:rsid w:val="001542BE"/>
    <w:rsid w:val="00154679"/>
    <w:rsid w:val="00155717"/>
    <w:rsid w:val="001558E6"/>
    <w:rsid w:val="001561C9"/>
    <w:rsid w:val="001563EE"/>
    <w:rsid w:val="0015642C"/>
    <w:rsid w:val="00156825"/>
    <w:rsid w:val="00156973"/>
    <w:rsid w:val="00157025"/>
    <w:rsid w:val="001574F2"/>
    <w:rsid w:val="00157C02"/>
    <w:rsid w:val="00157EF0"/>
    <w:rsid w:val="00160482"/>
    <w:rsid w:val="001616C5"/>
    <w:rsid w:val="00161C67"/>
    <w:rsid w:val="0016251A"/>
    <w:rsid w:val="0016266C"/>
    <w:rsid w:val="00162BD9"/>
    <w:rsid w:val="00162C36"/>
    <w:rsid w:val="00162F9E"/>
    <w:rsid w:val="00163208"/>
    <w:rsid w:val="001632C8"/>
    <w:rsid w:val="00163A3F"/>
    <w:rsid w:val="00163CD3"/>
    <w:rsid w:val="00163E35"/>
    <w:rsid w:val="00163ED0"/>
    <w:rsid w:val="001642CC"/>
    <w:rsid w:val="001647AA"/>
    <w:rsid w:val="001649C4"/>
    <w:rsid w:val="00164A99"/>
    <w:rsid w:val="00164C55"/>
    <w:rsid w:val="00164D56"/>
    <w:rsid w:val="001653CF"/>
    <w:rsid w:val="0016544D"/>
    <w:rsid w:val="00165DCF"/>
    <w:rsid w:val="00165DDE"/>
    <w:rsid w:val="00166288"/>
    <w:rsid w:val="00166596"/>
    <w:rsid w:val="001668C9"/>
    <w:rsid w:val="00166D27"/>
    <w:rsid w:val="00166F5C"/>
    <w:rsid w:val="0016726D"/>
    <w:rsid w:val="001675DE"/>
    <w:rsid w:val="00167A2A"/>
    <w:rsid w:val="001700AA"/>
    <w:rsid w:val="00170430"/>
    <w:rsid w:val="00170759"/>
    <w:rsid w:val="00170958"/>
    <w:rsid w:val="00170DBA"/>
    <w:rsid w:val="00170E87"/>
    <w:rsid w:val="00171040"/>
    <w:rsid w:val="001710E0"/>
    <w:rsid w:val="001714FE"/>
    <w:rsid w:val="001716E2"/>
    <w:rsid w:val="00171A7F"/>
    <w:rsid w:val="00172081"/>
    <w:rsid w:val="001723ED"/>
    <w:rsid w:val="0017290F"/>
    <w:rsid w:val="00172CF8"/>
    <w:rsid w:val="00173AB8"/>
    <w:rsid w:val="0017541B"/>
    <w:rsid w:val="00176621"/>
    <w:rsid w:val="0017666A"/>
    <w:rsid w:val="00176F7E"/>
    <w:rsid w:val="0017746D"/>
    <w:rsid w:val="00177FF1"/>
    <w:rsid w:val="00177FFE"/>
    <w:rsid w:val="00180210"/>
    <w:rsid w:val="00180574"/>
    <w:rsid w:val="001813F4"/>
    <w:rsid w:val="00182183"/>
    <w:rsid w:val="001822E5"/>
    <w:rsid w:val="0018246D"/>
    <w:rsid w:val="00182CB7"/>
    <w:rsid w:val="00182DBB"/>
    <w:rsid w:val="00183811"/>
    <w:rsid w:val="00183A23"/>
    <w:rsid w:val="00183B28"/>
    <w:rsid w:val="00183CB5"/>
    <w:rsid w:val="00183D76"/>
    <w:rsid w:val="00183E2E"/>
    <w:rsid w:val="00183F1D"/>
    <w:rsid w:val="001840EF"/>
    <w:rsid w:val="00184A1A"/>
    <w:rsid w:val="00184E47"/>
    <w:rsid w:val="00185004"/>
    <w:rsid w:val="00185A0B"/>
    <w:rsid w:val="0018684C"/>
    <w:rsid w:val="00186935"/>
    <w:rsid w:val="00186950"/>
    <w:rsid w:val="001876A4"/>
    <w:rsid w:val="00187DC5"/>
    <w:rsid w:val="00187DDF"/>
    <w:rsid w:val="00187DFD"/>
    <w:rsid w:val="00187FD3"/>
    <w:rsid w:val="00190019"/>
    <w:rsid w:val="00190EC1"/>
    <w:rsid w:val="001913B5"/>
    <w:rsid w:val="00191873"/>
    <w:rsid w:val="00191A89"/>
    <w:rsid w:val="00191FFA"/>
    <w:rsid w:val="001920B6"/>
    <w:rsid w:val="0019243A"/>
    <w:rsid w:val="001927D0"/>
    <w:rsid w:val="00193011"/>
    <w:rsid w:val="00193A41"/>
    <w:rsid w:val="00193DE2"/>
    <w:rsid w:val="00193F4F"/>
    <w:rsid w:val="00194372"/>
    <w:rsid w:val="00194419"/>
    <w:rsid w:val="001944DD"/>
    <w:rsid w:val="001953AC"/>
    <w:rsid w:val="0019547D"/>
    <w:rsid w:val="00195C4C"/>
    <w:rsid w:val="001963BE"/>
    <w:rsid w:val="00196629"/>
    <w:rsid w:val="001967CE"/>
    <w:rsid w:val="00196C08"/>
    <w:rsid w:val="00196DCD"/>
    <w:rsid w:val="00196FB1"/>
    <w:rsid w:val="001971EE"/>
    <w:rsid w:val="00197254"/>
    <w:rsid w:val="00197313"/>
    <w:rsid w:val="001976E6"/>
    <w:rsid w:val="001A0341"/>
    <w:rsid w:val="001A05F1"/>
    <w:rsid w:val="001A07FB"/>
    <w:rsid w:val="001A12BB"/>
    <w:rsid w:val="001A17A2"/>
    <w:rsid w:val="001A1C83"/>
    <w:rsid w:val="001A231C"/>
    <w:rsid w:val="001A26B1"/>
    <w:rsid w:val="001A3390"/>
    <w:rsid w:val="001A3447"/>
    <w:rsid w:val="001A3692"/>
    <w:rsid w:val="001A3E2E"/>
    <w:rsid w:val="001A40EC"/>
    <w:rsid w:val="001A4817"/>
    <w:rsid w:val="001A49F6"/>
    <w:rsid w:val="001A5310"/>
    <w:rsid w:val="001A55F9"/>
    <w:rsid w:val="001A56E4"/>
    <w:rsid w:val="001A5F0A"/>
    <w:rsid w:val="001A603B"/>
    <w:rsid w:val="001A63FC"/>
    <w:rsid w:val="001A64C3"/>
    <w:rsid w:val="001A74DA"/>
    <w:rsid w:val="001A79EC"/>
    <w:rsid w:val="001B035A"/>
    <w:rsid w:val="001B0518"/>
    <w:rsid w:val="001B098F"/>
    <w:rsid w:val="001B0A51"/>
    <w:rsid w:val="001B0A7E"/>
    <w:rsid w:val="001B0D83"/>
    <w:rsid w:val="001B0DE0"/>
    <w:rsid w:val="001B14FB"/>
    <w:rsid w:val="001B183C"/>
    <w:rsid w:val="001B20AD"/>
    <w:rsid w:val="001B225A"/>
    <w:rsid w:val="001B234D"/>
    <w:rsid w:val="001B258A"/>
    <w:rsid w:val="001B25C1"/>
    <w:rsid w:val="001B2EA3"/>
    <w:rsid w:val="001B310E"/>
    <w:rsid w:val="001B3550"/>
    <w:rsid w:val="001B3640"/>
    <w:rsid w:val="001B376C"/>
    <w:rsid w:val="001B4357"/>
    <w:rsid w:val="001B4403"/>
    <w:rsid w:val="001B45D3"/>
    <w:rsid w:val="001B622D"/>
    <w:rsid w:val="001B69F3"/>
    <w:rsid w:val="001B763F"/>
    <w:rsid w:val="001B77C6"/>
    <w:rsid w:val="001B7B90"/>
    <w:rsid w:val="001B7DE2"/>
    <w:rsid w:val="001C0077"/>
    <w:rsid w:val="001C027B"/>
    <w:rsid w:val="001C07FB"/>
    <w:rsid w:val="001C0E58"/>
    <w:rsid w:val="001C16A4"/>
    <w:rsid w:val="001C1EA7"/>
    <w:rsid w:val="001C217E"/>
    <w:rsid w:val="001C2266"/>
    <w:rsid w:val="001C23FF"/>
    <w:rsid w:val="001C278C"/>
    <w:rsid w:val="001C27FA"/>
    <w:rsid w:val="001C2C2B"/>
    <w:rsid w:val="001C3B63"/>
    <w:rsid w:val="001C3F17"/>
    <w:rsid w:val="001C4628"/>
    <w:rsid w:val="001C465F"/>
    <w:rsid w:val="001C4A9B"/>
    <w:rsid w:val="001C4B56"/>
    <w:rsid w:val="001C4EC0"/>
    <w:rsid w:val="001C5256"/>
    <w:rsid w:val="001C565A"/>
    <w:rsid w:val="001C5B51"/>
    <w:rsid w:val="001C5EC0"/>
    <w:rsid w:val="001C6038"/>
    <w:rsid w:val="001C6956"/>
    <w:rsid w:val="001C6F78"/>
    <w:rsid w:val="001D0059"/>
    <w:rsid w:val="001D0406"/>
    <w:rsid w:val="001D0718"/>
    <w:rsid w:val="001D0C62"/>
    <w:rsid w:val="001D0E41"/>
    <w:rsid w:val="001D122E"/>
    <w:rsid w:val="001D154E"/>
    <w:rsid w:val="001D1A49"/>
    <w:rsid w:val="001D2923"/>
    <w:rsid w:val="001D30D0"/>
    <w:rsid w:val="001D311C"/>
    <w:rsid w:val="001D34F7"/>
    <w:rsid w:val="001D353B"/>
    <w:rsid w:val="001D3682"/>
    <w:rsid w:val="001D42DE"/>
    <w:rsid w:val="001D46E5"/>
    <w:rsid w:val="001D4DF0"/>
    <w:rsid w:val="001D5D23"/>
    <w:rsid w:val="001D6A3F"/>
    <w:rsid w:val="001D6B16"/>
    <w:rsid w:val="001D6BEE"/>
    <w:rsid w:val="001D6F34"/>
    <w:rsid w:val="001D6F46"/>
    <w:rsid w:val="001D79D9"/>
    <w:rsid w:val="001D7ADD"/>
    <w:rsid w:val="001E0026"/>
    <w:rsid w:val="001E0FA5"/>
    <w:rsid w:val="001E1794"/>
    <w:rsid w:val="001E18C0"/>
    <w:rsid w:val="001E1DD3"/>
    <w:rsid w:val="001E2614"/>
    <w:rsid w:val="001E2D17"/>
    <w:rsid w:val="001E2E26"/>
    <w:rsid w:val="001E2F79"/>
    <w:rsid w:val="001E3796"/>
    <w:rsid w:val="001E38CB"/>
    <w:rsid w:val="001E39B6"/>
    <w:rsid w:val="001E4379"/>
    <w:rsid w:val="001E4382"/>
    <w:rsid w:val="001E4D5C"/>
    <w:rsid w:val="001E5536"/>
    <w:rsid w:val="001E613C"/>
    <w:rsid w:val="001E6331"/>
    <w:rsid w:val="001E6E11"/>
    <w:rsid w:val="001E6FCB"/>
    <w:rsid w:val="001E75AF"/>
    <w:rsid w:val="001E7A4C"/>
    <w:rsid w:val="001E7D00"/>
    <w:rsid w:val="001F0BEF"/>
    <w:rsid w:val="001F0F44"/>
    <w:rsid w:val="001F14E8"/>
    <w:rsid w:val="001F1A61"/>
    <w:rsid w:val="001F2176"/>
    <w:rsid w:val="001F23E9"/>
    <w:rsid w:val="001F2A82"/>
    <w:rsid w:val="001F3787"/>
    <w:rsid w:val="001F3916"/>
    <w:rsid w:val="001F39CA"/>
    <w:rsid w:val="001F3B79"/>
    <w:rsid w:val="001F3F45"/>
    <w:rsid w:val="001F417E"/>
    <w:rsid w:val="001F492E"/>
    <w:rsid w:val="001F4988"/>
    <w:rsid w:val="001F4A7F"/>
    <w:rsid w:val="001F4D68"/>
    <w:rsid w:val="001F4EB7"/>
    <w:rsid w:val="001F60AC"/>
    <w:rsid w:val="001F68A1"/>
    <w:rsid w:val="001F7518"/>
    <w:rsid w:val="001F7CB3"/>
    <w:rsid w:val="00200485"/>
    <w:rsid w:val="002004FE"/>
    <w:rsid w:val="00200C28"/>
    <w:rsid w:val="00200C49"/>
    <w:rsid w:val="00201382"/>
    <w:rsid w:val="00201757"/>
    <w:rsid w:val="002018A0"/>
    <w:rsid w:val="002018A5"/>
    <w:rsid w:val="002022B7"/>
    <w:rsid w:val="00202560"/>
    <w:rsid w:val="00202E89"/>
    <w:rsid w:val="00202F69"/>
    <w:rsid w:val="00203622"/>
    <w:rsid w:val="00203BAC"/>
    <w:rsid w:val="00203C78"/>
    <w:rsid w:val="002040E7"/>
    <w:rsid w:val="00204564"/>
    <w:rsid w:val="002045B4"/>
    <w:rsid w:val="00204659"/>
    <w:rsid w:val="00204CF2"/>
    <w:rsid w:val="002050EB"/>
    <w:rsid w:val="00205494"/>
    <w:rsid w:val="00205D65"/>
    <w:rsid w:val="00205F63"/>
    <w:rsid w:val="00206654"/>
    <w:rsid w:val="002066F6"/>
    <w:rsid w:val="002067F2"/>
    <w:rsid w:val="00207019"/>
    <w:rsid w:val="002075C6"/>
    <w:rsid w:val="00207870"/>
    <w:rsid w:val="002079C7"/>
    <w:rsid w:val="002101C1"/>
    <w:rsid w:val="00210325"/>
    <w:rsid w:val="002105E0"/>
    <w:rsid w:val="002108B2"/>
    <w:rsid w:val="002109E9"/>
    <w:rsid w:val="00212114"/>
    <w:rsid w:val="0021243D"/>
    <w:rsid w:val="002127EF"/>
    <w:rsid w:val="00212DCF"/>
    <w:rsid w:val="0021389E"/>
    <w:rsid w:val="00213981"/>
    <w:rsid w:val="00213AA5"/>
    <w:rsid w:val="00213E47"/>
    <w:rsid w:val="002140E2"/>
    <w:rsid w:val="00214888"/>
    <w:rsid w:val="00214B25"/>
    <w:rsid w:val="00214EEF"/>
    <w:rsid w:val="00215464"/>
    <w:rsid w:val="00215DCA"/>
    <w:rsid w:val="0021692A"/>
    <w:rsid w:val="00216D86"/>
    <w:rsid w:val="00216D9D"/>
    <w:rsid w:val="00217896"/>
    <w:rsid w:val="002200DF"/>
    <w:rsid w:val="0022020B"/>
    <w:rsid w:val="002205E0"/>
    <w:rsid w:val="002207BF"/>
    <w:rsid w:val="00220E03"/>
    <w:rsid w:val="0022128B"/>
    <w:rsid w:val="00221728"/>
    <w:rsid w:val="00222000"/>
    <w:rsid w:val="00222456"/>
    <w:rsid w:val="00222A44"/>
    <w:rsid w:val="00222A5C"/>
    <w:rsid w:val="00222C22"/>
    <w:rsid w:val="00222F92"/>
    <w:rsid w:val="00223045"/>
    <w:rsid w:val="002233E1"/>
    <w:rsid w:val="00223F3F"/>
    <w:rsid w:val="002244DA"/>
    <w:rsid w:val="002244E4"/>
    <w:rsid w:val="00224B5F"/>
    <w:rsid w:val="00224D6E"/>
    <w:rsid w:val="002250F3"/>
    <w:rsid w:val="00225D8B"/>
    <w:rsid w:val="00225EF6"/>
    <w:rsid w:val="00226277"/>
    <w:rsid w:val="00227363"/>
    <w:rsid w:val="0022738F"/>
    <w:rsid w:val="0022740F"/>
    <w:rsid w:val="0022765C"/>
    <w:rsid w:val="002276D4"/>
    <w:rsid w:val="00227F32"/>
    <w:rsid w:val="00227FC5"/>
    <w:rsid w:val="00230127"/>
    <w:rsid w:val="00230254"/>
    <w:rsid w:val="0023086E"/>
    <w:rsid w:val="00230CFC"/>
    <w:rsid w:val="00230EDF"/>
    <w:rsid w:val="002312A4"/>
    <w:rsid w:val="00231444"/>
    <w:rsid w:val="00231522"/>
    <w:rsid w:val="00231919"/>
    <w:rsid w:val="002327D5"/>
    <w:rsid w:val="002330BC"/>
    <w:rsid w:val="002332FC"/>
    <w:rsid w:val="002334AA"/>
    <w:rsid w:val="00233A03"/>
    <w:rsid w:val="00234CE4"/>
    <w:rsid w:val="00234DA3"/>
    <w:rsid w:val="00234E61"/>
    <w:rsid w:val="00235A93"/>
    <w:rsid w:val="00236618"/>
    <w:rsid w:val="00236704"/>
    <w:rsid w:val="00236A18"/>
    <w:rsid w:val="00236AF5"/>
    <w:rsid w:val="00236B00"/>
    <w:rsid w:val="00236DDC"/>
    <w:rsid w:val="00236E24"/>
    <w:rsid w:val="00236F0C"/>
    <w:rsid w:val="0023757E"/>
    <w:rsid w:val="00240096"/>
    <w:rsid w:val="002407BF"/>
    <w:rsid w:val="00240A09"/>
    <w:rsid w:val="00240ED2"/>
    <w:rsid w:val="00240F03"/>
    <w:rsid w:val="002414DE"/>
    <w:rsid w:val="00241C95"/>
    <w:rsid w:val="00241E8D"/>
    <w:rsid w:val="002420B7"/>
    <w:rsid w:val="00242A93"/>
    <w:rsid w:val="00242C09"/>
    <w:rsid w:val="00242D16"/>
    <w:rsid w:val="00243313"/>
    <w:rsid w:val="0024339E"/>
    <w:rsid w:val="0024379C"/>
    <w:rsid w:val="00243806"/>
    <w:rsid w:val="002438A3"/>
    <w:rsid w:val="002438C8"/>
    <w:rsid w:val="00243A49"/>
    <w:rsid w:val="00244126"/>
    <w:rsid w:val="002443B0"/>
    <w:rsid w:val="00244671"/>
    <w:rsid w:val="00245B21"/>
    <w:rsid w:val="00245C14"/>
    <w:rsid w:val="00245DB7"/>
    <w:rsid w:val="002462EA"/>
    <w:rsid w:val="00246459"/>
    <w:rsid w:val="0024647B"/>
    <w:rsid w:val="00246521"/>
    <w:rsid w:val="002466C4"/>
    <w:rsid w:val="0024676A"/>
    <w:rsid w:val="00246B21"/>
    <w:rsid w:val="00247735"/>
    <w:rsid w:val="00247952"/>
    <w:rsid w:val="00247BE4"/>
    <w:rsid w:val="00247E8E"/>
    <w:rsid w:val="00250404"/>
    <w:rsid w:val="00250BA7"/>
    <w:rsid w:val="002512A1"/>
    <w:rsid w:val="00251AD6"/>
    <w:rsid w:val="00251EE4"/>
    <w:rsid w:val="00251F1F"/>
    <w:rsid w:val="00252218"/>
    <w:rsid w:val="0025239D"/>
    <w:rsid w:val="00252420"/>
    <w:rsid w:val="002525A7"/>
    <w:rsid w:val="002528E7"/>
    <w:rsid w:val="00252EBF"/>
    <w:rsid w:val="002530D7"/>
    <w:rsid w:val="00253FCC"/>
    <w:rsid w:val="00254E1E"/>
    <w:rsid w:val="002554E9"/>
    <w:rsid w:val="00255CD5"/>
    <w:rsid w:val="00255DCF"/>
    <w:rsid w:val="00255DE8"/>
    <w:rsid w:val="002566C8"/>
    <w:rsid w:val="00256EAB"/>
    <w:rsid w:val="002574EF"/>
    <w:rsid w:val="002576B9"/>
    <w:rsid w:val="00257972"/>
    <w:rsid w:val="00257BA4"/>
    <w:rsid w:val="002606A9"/>
    <w:rsid w:val="0026084D"/>
    <w:rsid w:val="00260CC1"/>
    <w:rsid w:val="00261634"/>
    <w:rsid w:val="00261E4F"/>
    <w:rsid w:val="0026205A"/>
    <w:rsid w:val="00263549"/>
    <w:rsid w:val="002639D9"/>
    <w:rsid w:val="002639DC"/>
    <w:rsid w:val="0026411B"/>
    <w:rsid w:val="0026459C"/>
    <w:rsid w:val="0026481D"/>
    <w:rsid w:val="00264B05"/>
    <w:rsid w:val="00264CEC"/>
    <w:rsid w:val="00265674"/>
    <w:rsid w:val="00265BAC"/>
    <w:rsid w:val="00266203"/>
    <w:rsid w:val="002665FA"/>
    <w:rsid w:val="00267438"/>
    <w:rsid w:val="0026765C"/>
    <w:rsid w:val="00267A6A"/>
    <w:rsid w:val="00267EEE"/>
    <w:rsid w:val="002700C1"/>
    <w:rsid w:val="002702C4"/>
    <w:rsid w:val="002704B3"/>
    <w:rsid w:val="00270545"/>
    <w:rsid w:val="0027054A"/>
    <w:rsid w:val="00270622"/>
    <w:rsid w:val="002708CC"/>
    <w:rsid w:val="00270DA1"/>
    <w:rsid w:val="0027146A"/>
    <w:rsid w:val="00271B8B"/>
    <w:rsid w:val="00272F0C"/>
    <w:rsid w:val="002731B4"/>
    <w:rsid w:val="0027375B"/>
    <w:rsid w:val="00273DE1"/>
    <w:rsid w:val="00273FE0"/>
    <w:rsid w:val="002740CF"/>
    <w:rsid w:val="00274652"/>
    <w:rsid w:val="00274722"/>
    <w:rsid w:val="00274A4A"/>
    <w:rsid w:val="00274FED"/>
    <w:rsid w:val="002753B1"/>
    <w:rsid w:val="00275742"/>
    <w:rsid w:val="002766B6"/>
    <w:rsid w:val="00276BCA"/>
    <w:rsid w:val="00276E7D"/>
    <w:rsid w:val="00276F92"/>
    <w:rsid w:val="00277223"/>
    <w:rsid w:val="002773E4"/>
    <w:rsid w:val="00277829"/>
    <w:rsid w:val="00277956"/>
    <w:rsid w:val="00280589"/>
    <w:rsid w:val="00280FEC"/>
    <w:rsid w:val="0028149A"/>
    <w:rsid w:val="002815BD"/>
    <w:rsid w:val="00281A6C"/>
    <w:rsid w:val="00281E69"/>
    <w:rsid w:val="002822AC"/>
    <w:rsid w:val="0028233F"/>
    <w:rsid w:val="002837C1"/>
    <w:rsid w:val="00283BF6"/>
    <w:rsid w:val="00283D52"/>
    <w:rsid w:val="0028409B"/>
    <w:rsid w:val="0028431E"/>
    <w:rsid w:val="00284BC7"/>
    <w:rsid w:val="00284BDB"/>
    <w:rsid w:val="00284F14"/>
    <w:rsid w:val="00285B0C"/>
    <w:rsid w:val="00285E48"/>
    <w:rsid w:val="00286046"/>
    <w:rsid w:val="00286551"/>
    <w:rsid w:val="002865B0"/>
    <w:rsid w:val="00286784"/>
    <w:rsid w:val="00286973"/>
    <w:rsid w:val="00286BA6"/>
    <w:rsid w:val="00286E00"/>
    <w:rsid w:val="0028701A"/>
    <w:rsid w:val="0028711B"/>
    <w:rsid w:val="0028738B"/>
    <w:rsid w:val="002874F7"/>
    <w:rsid w:val="00287795"/>
    <w:rsid w:val="0029090A"/>
    <w:rsid w:val="0029099B"/>
    <w:rsid w:val="00291444"/>
    <w:rsid w:val="00291D48"/>
    <w:rsid w:val="00292A79"/>
    <w:rsid w:val="00292A8C"/>
    <w:rsid w:val="00292AB4"/>
    <w:rsid w:val="00293B49"/>
    <w:rsid w:val="00293F90"/>
    <w:rsid w:val="002942B4"/>
    <w:rsid w:val="00294675"/>
    <w:rsid w:val="00294F46"/>
    <w:rsid w:val="00294F47"/>
    <w:rsid w:val="00294F63"/>
    <w:rsid w:val="002954C7"/>
    <w:rsid w:val="002955DE"/>
    <w:rsid w:val="0029586C"/>
    <w:rsid w:val="002959A7"/>
    <w:rsid w:val="002967E1"/>
    <w:rsid w:val="00297222"/>
    <w:rsid w:val="00297522"/>
    <w:rsid w:val="00297F6E"/>
    <w:rsid w:val="002A102A"/>
    <w:rsid w:val="002A10E0"/>
    <w:rsid w:val="002A138C"/>
    <w:rsid w:val="002A154B"/>
    <w:rsid w:val="002A168A"/>
    <w:rsid w:val="002A18B1"/>
    <w:rsid w:val="002A18FB"/>
    <w:rsid w:val="002A1D05"/>
    <w:rsid w:val="002A2063"/>
    <w:rsid w:val="002A20BA"/>
    <w:rsid w:val="002A2A3E"/>
    <w:rsid w:val="002A2DCE"/>
    <w:rsid w:val="002A2DFC"/>
    <w:rsid w:val="002A321A"/>
    <w:rsid w:val="002A3289"/>
    <w:rsid w:val="002A3C2E"/>
    <w:rsid w:val="002A43E7"/>
    <w:rsid w:val="002A4E66"/>
    <w:rsid w:val="002A4E81"/>
    <w:rsid w:val="002A500D"/>
    <w:rsid w:val="002A51AA"/>
    <w:rsid w:val="002A577A"/>
    <w:rsid w:val="002A58E6"/>
    <w:rsid w:val="002A5CF7"/>
    <w:rsid w:val="002A5F0F"/>
    <w:rsid w:val="002A6B9E"/>
    <w:rsid w:val="002A6BB1"/>
    <w:rsid w:val="002A70F3"/>
    <w:rsid w:val="002A7146"/>
    <w:rsid w:val="002A7D06"/>
    <w:rsid w:val="002B007D"/>
    <w:rsid w:val="002B0653"/>
    <w:rsid w:val="002B06A9"/>
    <w:rsid w:val="002B0A89"/>
    <w:rsid w:val="002B10B5"/>
    <w:rsid w:val="002B13F7"/>
    <w:rsid w:val="002B15F7"/>
    <w:rsid w:val="002B26F7"/>
    <w:rsid w:val="002B2701"/>
    <w:rsid w:val="002B2D83"/>
    <w:rsid w:val="002B2E78"/>
    <w:rsid w:val="002B3201"/>
    <w:rsid w:val="002B363D"/>
    <w:rsid w:val="002B3BD2"/>
    <w:rsid w:val="002B4079"/>
    <w:rsid w:val="002B41FF"/>
    <w:rsid w:val="002B467A"/>
    <w:rsid w:val="002B498A"/>
    <w:rsid w:val="002B54A0"/>
    <w:rsid w:val="002B565C"/>
    <w:rsid w:val="002B5985"/>
    <w:rsid w:val="002B5B6B"/>
    <w:rsid w:val="002B5C0F"/>
    <w:rsid w:val="002B5F40"/>
    <w:rsid w:val="002B62A7"/>
    <w:rsid w:val="002B6A57"/>
    <w:rsid w:val="002B6AD8"/>
    <w:rsid w:val="002B6B16"/>
    <w:rsid w:val="002B6C13"/>
    <w:rsid w:val="002B701A"/>
    <w:rsid w:val="002B752C"/>
    <w:rsid w:val="002B7A81"/>
    <w:rsid w:val="002C01AC"/>
    <w:rsid w:val="002C0747"/>
    <w:rsid w:val="002C134B"/>
    <w:rsid w:val="002C1396"/>
    <w:rsid w:val="002C15FE"/>
    <w:rsid w:val="002C1674"/>
    <w:rsid w:val="002C1C85"/>
    <w:rsid w:val="002C1F09"/>
    <w:rsid w:val="002C1FD6"/>
    <w:rsid w:val="002C2DC9"/>
    <w:rsid w:val="002C2F7D"/>
    <w:rsid w:val="002C333A"/>
    <w:rsid w:val="002C3AFC"/>
    <w:rsid w:val="002C43C6"/>
    <w:rsid w:val="002C46B3"/>
    <w:rsid w:val="002C4870"/>
    <w:rsid w:val="002C4CAC"/>
    <w:rsid w:val="002C5985"/>
    <w:rsid w:val="002C5B89"/>
    <w:rsid w:val="002C6174"/>
    <w:rsid w:val="002C64FA"/>
    <w:rsid w:val="002C6B76"/>
    <w:rsid w:val="002C7508"/>
    <w:rsid w:val="002C78B3"/>
    <w:rsid w:val="002C7E17"/>
    <w:rsid w:val="002D02F4"/>
    <w:rsid w:val="002D0832"/>
    <w:rsid w:val="002D08C0"/>
    <w:rsid w:val="002D0DC3"/>
    <w:rsid w:val="002D10D6"/>
    <w:rsid w:val="002D1909"/>
    <w:rsid w:val="002D1CA4"/>
    <w:rsid w:val="002D20BB"/>
    <w:rsid w:val="002D2172"/>
    <w:rsid w:val="002D218C"/>
    <w:rsid w:val="002D22DF"/>
    <w:rsid w:val="002D234E"/>
    <w:rsid w:val="002D29CD"/>
    <w:rsid w:val="002D2C25"/>
    <w:rsid w:val="002D311B"/>
    <w:rsid w:val="002D33C9"/>
    <w:rsid w:val="002D365C"/>
    <w:rsid w:val="002D36EA"/>
    <w:rsid w:val="002D3BF7"/>
    <w:rsid w:val="002D51CC"/>
    <w:rsid w:val="002D5216"/>
    <w:rsid w:val="002D5520"/>
    <w:rsid w:val="002D5531"/>
    <w:rsid w:val="002D56C4"/>
    <w:rsid w:val="002D5738"/>
    <w:rsid w:val="002D5A13"/>
    <w:rsid w:val="002D5BFF"/>
    <w:rsid w:val="002D5C00"/>
    <w:rsid w:val="002D5CE2"/>
    <w:rsid w:val="002D6505"/>
    <w:rsid w:val="002D73FE"/>
    <w:rsid w:val="002D78A0"/>
    <w:rsid w:val="002D7940"/>
    <w:rsid w:val="002E092A"/>
    <w:rsid w:val="002E13FE"/>
    <w:rsid w:val="002E1736"/>
    <w:rsid w:val="002E1AA0"/>
    <w:rsid w:val="002E2B08"/>
    <w:rsid w:val="002E2D91"/>
    <w:rsid w:val="002E3201"/>
    <w:rsid w:val="002E34B8"/>
    <w:rsid w:val="002E37D0"/>
    <w:rsid w:val="002E4055"/>
    <w:rsid w:val="002E4919"/>
    <w:rsid w:val="002E4A6D"/>
    <w:rsid w:val="002E5106"/>
    <w:rsid w:val="002E5460"/>
    <w:rsid w:val="002E5C03"/>
    <w:rsid w:val="002E5D29"/>
    <w:rsid w:val="002E65AC"/>
    <w:rsid w:val="002E66F4"/>
    <w:rsid w:val="002E6EA7"/>
    <w:rsid w:val="002E750C"/>
    <w:rsid w:val="002E7B72"/>
    <w:rsid w:val="002E7C2C"/>
    <w:rsid w:val="002F0CE5"/>
    <w:rsid w:val="002F0D19"/>
    <w:rsid w:val="002F11A2"/>
    <w:rsid w:val="002F1962"/>
    <w:rsid w:val="002F2036"/>
    <w:rsid w:val="002F2B49"/>
    <w:rsid w:val="002F2C44"/>
    <w:rsid w:val="002F2D69"/>
    <w:rsid w:val="002F36D2"/>
    <w:rsid w:val="002F3A5B"/>
    <w:rsid w:val="002F3F94"/>
    <w:rsid w:val="002F4382"/>
    <w:rsid w:val="002F4EC4"/>
    <w:rsid w:val="002F4FDE"/>
    <w:rsid w:val="002F54D7"/>
    <w:rsid w:val="002F5B53"/>
    <w:rsid w:val="002F6806"/>
    <w:rsid w:val="002F6AD5"/>
    <w:rsid w:val="002F6AF5"/>
    <w:rsid w:val="002F72EF"/>
    <w:rsid w:val="00300287"/>
    <w:rsid w:val="003003EE"/>
    <w:rsid w:val="003007E6"/>
    <w:rsid w:val="00300E7A"/>
    <w:rsid w:val="003011F3"/>
    <w:rsid w:val="003013F2"/>
    <w:rsid w:val="0030179F"/>
    <w:rsid w:val="003017BF"/>
    <w:rsid w:val="0030221C"/>
    <w:rsid w:val="003026A4"/>
    <w:rsid w:val="00302D80"/>
    <w:rsid w:val="00302E15"/>
    <w:rsid w:val="00303435"/>
    <w:rsid w:val="003034B5"/>
    <w:rsid w:val="00303732"/>
    <w:rsid w:val="00303B24"/>
    <w:rsid w:val="003041EF"/>
    <w:rsid w:val="0030446E"/>
    <w:rsid w:val="00304D9F"/>
    <w:rsid w:val="00304E95"/>
    <w:rsid w:val="003053C1"/>
    <w:rsid w:val="0030543B"/>
    <w:rsid w:val="00305F91"/>
    <w:rsid w:val="003063E1"/>
    <w:rsid w:val="00307521"/>
    <w:rsid w:val="003103A2"/>
    <w:rsid w:val="003113A3"/>
    <w:rsid w:val="00311F08"/>
    <w:rsid w:val="00312341"/>
    <w:rsid w:val="00312600"/>
    <w:rsid w:val="003129D4"/>
    <w:rsid w:val="00312C3D"/>
    <w:rsid w:val="00312E3D"/>
    <w:rsid w:val="00312EBB"/>
    <w:rsid w:val="00313006"/>
    <w:rsid w:val="003133EF"/>
    <w:rsid w:val="003137F7"/>
    <w:rsid w:val="00314333"/>
    <w:rsid w:val="00314401"/>
    <w:rsid w:val="00314540"/>
    <w:rsid w:val="00314987"/>
    <w:rsid w:val="00314A44"/>
    <w:rsid w:val="00314F1F"/>
    <w:rsid w:val="0031505C"/>
    <w:rsid w:val="0031540B"/>
    <w:rsid w:val="00315AA1"/>
    <w:rsid w:val="00315ADC"/>
    <w:rsid w:val="00315E1D"/>
    <w:rsid w:val="0031631F"/>
    <w:rsid w:val="00316970"/>
    <w:rsid w:val="00316C60"/>
    <w:rsid w:val="003177E4"/>
    <w:rsid w:val="00317853"/>
    <w:rsid w:val="0031793C"/>
    <w:rsid w:val="00317AB7"/>
    <w:rsid w:val="00317FCA"/>
    <w:rsid w:val="0032000C"/>
    <w:rsid w:val="00320A9C"/>
    <w:rsid w:val="00320FA1"/>
    <w:rsid w:val="00322A8A"/>
    <w:rsid w:val="00322A95"/>
    <w:rsid w:val="00322CD5"/>
    <w:rsid w:val="00322D7E"/>
    <w:rsid w:val="00322DA2"/>
    <w:rsid w:val="00322FA5"/>
    <w:rsid w:val="003230F0"/>
    <w:rsid w:val="00323233"/>
    <w:rsid w:val="00324400"/>
    <w:rsid w:val="003250C9"/>
    <w:rsid w:val="00325B1B"/>
    <w:rsid w:val="00325C37"/>
    <w:rsid w:val="00325DB5"/>
    <w:rsid w:val="0032629F"/>
    <w:rsid w:val="003269B0"/>
    <w:rsid w:val="00326E2E"/>
    <w:rsid w:val="00327287"/>
    <w:rsid w:val="003274D0"/>
    <w:rsid w:val="00327583"/>
    <w:rsid w:val="00327C8D"/>
    <w:rsid w:val="00330A9D"/>
    <w:rsid w:val="00330C95"/>
    <w:rsid w:val="00330D0B"/>
    <w:rsid w:val="00330DC7"/>
    <w:rsid w:val="0033128B"/>
    <w:rsid w:val="00331A84"/>
    <w:rsid w:val="003320B1"/>
    <w:rsid w:val="003321DD"/>
    <w:rsid w:val="003322BE"/>
    <w:rsid w:val="00332993"/>
    <w:rsid w:val="00332EFA"/>
    <w:rsid w:val="0033322E"/>
    <w:rsid w:val="003336D3"/>
    <w:rsid w:val="00333C35"/>
    <w:rsid w:val="00333C48"/>
    <w:rsid w:val="00333D94"/>
    <w:rsid w:val="00334101"/>
    <w:rsid w:val="00334283"/>
    <w:rsid w:val="003343F4"/>
    <w:rsid w:val="00334A69"/>
    <w:rsid w:val="00334C2D"/>
    <w:rsid w:val="00335B5A"/>
    <w:rsid w:val="00335BE1"/>
    <w:rsid w:val="00336323"/>
    <w:rsid w:val="0033641D"/>
    <w:rsid w:val="00336F92"/>
    <w:rsid w:val="003371B5"/>
    <w:rsid w:val="0033757A"/>
    <w:rsid w:val="00340007"/>
    <w:rsid w:val="0034034C"/>
    <w:rsid w:val="0034050D"/>
    <w:rsid w:val="003407C1"/>
    <w:rsid w:val="00340802"/>
    <w:rsid w:val="00341158"/>
    <w:rsid w:val="00341189"/>
    <w:rsid w:val="003412DC"/>
    <w:rsid w:val="0034171D"/>
    <w:rsid w:val="00341D92"/>
    <w:rsid w:val="00341E10"/>
    <w:rsid w:val="00342542"/>
    <w:rsid w:val="003429EA"/>
    <w:rsid w:val="00342BD4"/>
    <w:rsid w:val="00342FAD"/>
    <w:rsid w:val="003430D8"/>
    <w:rsid w:val="00343520"/>
    <w:rsid w:val="0034363F"/>
    <w:rsid w:val="00343755"/>
    <w:rsid w:val="0034379F"/>
    <w:rsid w:val="00343876"/>
    <w:rsid w:val="00343D26"/>
    <w:rsid w:val="00343DC1"/>
    <w:rsid w:val="00343EC4"/>
    <w:rsid w:val="00343EFA"/>
    <w:rsid w:val="003440DD"/>
    <w:rsid w:val="00344AEC"/>
    <w:rsid w:val="00345036"/>
    <w:rsid w:val="0034548A"/>
    <w:rsid w:val="003455AB"/>
    <w:rsid w:val="0034574A"/>
    <w:rsid w:val="00345B2E"/>
    <w:rsid w:val="00345F17"/>
    <w:rsid w:val="003462C6"/>
    <w:rsid w:val="003465BB"/>
    <w:rsid w:val="003468FF"/>
    <w:rsid w:val="00346ED4"/>
    <w:rsid w:val="00347057"/>
    <w:rsid w:val="00347C78"/>
    <w:rsid w:val="00347D13"/>
    <w:rsid w:val="0035042A"/>
    <w:rsid w:val="003508D6"/>
    <w:rsid w:val="003510BD"/>
    <w:rsid w:val="00351910"/>
    <w:rsid w:val="00351961"/>
    <w:rsid w:val="00352052"/>
    <w:rsid w:val="0035241E"/>
    <w:rsid w:val="00352697"/>
    <w:rsid w:val="0035275F"/>
    <w:rsid w:val="00352D74"/>
    <w:rsid w:val="0035302E"/>
    <w:rsid w:val="00353697"/>
    <w:rsid w:val="003538C9"/>
    <w:rsid w:val="00353A80"/>
    <w:rsid w:val="00353EEB"/>
    <w:rsid w:val="003543E3"/>
    <w:rsid w:val="0035444A"/>
    <w:rsid w:val="00354745"/>
    <w:rsid w:val="00354818"/>
    <w:rsid w:val="00354EB9"/>
    <w:rsid w:val="003550C9"/>
    <w:rsid w:val="00355278"/>
    <w:rsid w:val="00355813"/>
    <w:rsid w:val="00355DEB"/>
    <w:rsid w:val="00355EE8"/>
    <w:rsid w:val="003564E2"/>
    <w:rsid w:val="00356CB7"/>
    <w:rsid w:val="00356F70"/>
    <w:rsid w:val="0035734A"/>
    <w:rsid w:val="00357458"/>
    <w:rsid w:val="0036008A"/>
    <w:rsid w:val="00360382"/>
    <w:rsid w:val="003605D6"/>
    <w:rsid w:val="00360CC3"/>
    <w:rsid w:val="00360E3F"/>
    <w:rsid w:val="00360ED1"/>
    <w:rsid w:val="003612F3"/>
    <w:rsid w:val="00361314"/>
    <w:rsid w:val="003618FE"/>
    <w:rsid w:val="00361E8A"/>
    <w:rsid w:val="003624BD"/>
    <w:rsid w:val="003627A6"/>
    <w:rsid w:val="00362B23"/>
    <w:rsid w:val="00362B28"/>
    <w:rsid w:val="0036330A"/>
    <w:rsid w:val="0036391D"/>
    <w:rsid w:val="00363A28"/>
    <w:rsid w:val="00364814"/>
    <w:rsid w:val="003653E2"/>
    <w:rsid w:val="00365548"/>
    <w:rsid w:val="00365B12"/>
    <w:rsid w:val="003663A3"/>
    <w:rsid w:val="003669B8"/>
    <w:rsid w:val="00366E9D"/>
    <w:rsid w:val="0036743C"/>
    <w:rsid w:val="00367DD7"/>
    <w:rsid w:val="003702B9"/>
    <w:rsid w:val="003709BF"/>
    <w:rsid w:val="00370C8E"/>
    <w:rsid w:val="00371153"/>
    <w:rsid w:val="00371458"/>
    <w:rsid w:val="00371938"/>
    <w:rsid w:val="00371A9E"/>
    <w:rsid w:val="00371D51"/>
    <w:rsid w:val="0037227F"/>
    <w:rsid w:val="00372A89"/>
    <w:rsid w:val="00372B0D"/>
    <w:rsid w:val="00372C3D"/>
    <w:rsid w:val="00372DFF"/>
    <w:rsid w:val="00372E54"/>
    <w:rsid w:val="0037366E"/>
    <w:rsid w:val="00373673"/>
    <w:rsid w:val="003737E6"/>
    <w:rsid w:val="00373B5C"/>
    <w:rsid w:val="00373BA9"/>
    <w:rsid w:val="00373FEA"/>
    <w:rsid w:val="0037492E"/>
    <w:rsid w:val="00374F79"/>
    <w:rsid w:val="00374FE4"/>
    <w:rsid w:val="003751F2"/>
    <w:rsid w:val="0037560F"/>
    <w:rsid w:val="00375C37"/>
    <w:rsid w:val="00376110"/>
    <w:rsid w:val="003765C0"/>
    <w:rsid w:val="003767EE"/>
    <w:rsid w:val="00376B42"/>
    <w:rsid w:val="003776AB"/>
    <w:rsid w:val="003776E1"/>
    <w:rsid w:val="00377ABF"/>
    <w:rsid w:val="0038011D"/>
    <w:rsid w:val="00380241"/>
    <w:rsid w:val="00380471"/>
    <w:rsid w:val="0038052F"/>
    <w:rsid w:val="003809A8"/>
    <w:rsid w:val="00380A75"/>
    <w:rsid w:val="00381819"/>
    <w:rsid w:val="00381FA8"/>
    <w:rsid w:val="00382422"/>
    <w:rsid w:val="003826F3"/>
    <w:rsid w:val="003827E9"/>
    <w:rsid w:val="003829AF"/>
    <w:rsid w:val="003829F3"/>
    <w:rsid w:val="00382AEB"/>
    <w:rsid w:val="00382BBE"/>
    <w:rsid w:val="00382D1C"/>
    <w:rsid w:val="00382F59"/>
    <w:rsid w:val="00383206"/>
    <w:rsid w:val="00383356"/>
    <w:rsid w:val="003836EF"/>
    <w:rsid w:val="00383A8F"/>
    <w:rsid w:val="00383AE8"/>
    <w:rsid w:val="00383BB4"/>
    <w:rsid w:val="00383E1A"/>
    <w:rsid w:val="0038448A"/>
    <w:rsid w:val="00384679"/>
    <w:rsid w:val="00384AC6"/>
    <w:rsid w:val="00384C30"/>
    <w:rsid w:val="003869E4"/>
    <w:rsid w:val="00386A0E"/>
    <w:rsid w:val="00386A78"/>
    <w:rsid w:val="00386B98"/>
    <w:rsid w:val="00386C7F"/>
    <w:rsid w:val="00387A06"/>
    <w:rsid w:val="0039081D"/>
    <w:rsid w:val="0039084C"/>
    <w:rsid w:val="003908DB"/>
    <w:rsid w:val="00390907"/>
    <w:rsid w:val="00391AFB"/>
    <w:rsid w:val="00391B2B"/>
    <w:rsid w:val="00391BB6"/>
    <w:rsid w:val="0039237B"/>
    <w:rsid w:val="003924EF"/>
    <w:rsid w:val="0039290F"/>
    <w:rsid w:val="00392AF9"/>
    <w:rsid w:val="00392BCA"/>
    <w:rsid w:val="003930D6"/>
    <w:rsid w:val="00393330"/>
    <w:rsid w:val="003936C2"/>
    <w:rsid w:val="00393846"/>
    <w:rsid w:val="00393D2A"/>
    <w:rsid w:val="00393DCB"/>
    <w:rsid w:val="003941F7"/>
    <w:rsid w:val="00394E49"/>
    <w:rsid w:val="003957D6"/>
    <w:rsid w:val="00395942"/>
    <w:rsid w:val="00396032"/>
    <w:rsid w:val="0039635C"/>
    <w:rsid w:val="0039658A"/>
    <w:rsid w:val="003969CE"/>
    <w:rsid w:val="00396DD7"/>
    <w:rsid w:val="00397246"/>
    <w:rsid w:val="00397F80"/>
    <w:rsid w:val="003A0096"/>
    <w:rsid w:val="003A0170"/>
    <w:rsid w:val="003A08E7"/>
    <w:rsid w:val="003A094D"/>
    <w:rsid w:val="003A0B4D"/>
    <w:rsid w:val="003A0EAD"/>
    <w:rsid w:val="003A1097"/>
    <w:rsid w:val="003A146B"/>
    <w:rsid w:val="003A181F"/>
    <w:rsid w:val="003A191E"/>
    <w:rsid w:val="003A1A22"/>
    <w:rsid w:val="003A1F4D"/>
    <w:rsid w:val="003A2552"/>
    <w:rsid w:val="003A27E7"/>
    <w:rsid w:val="003A2D93"/>
    <w:rsid w:val="003A3152"/>
    <w:rsid w:val="003A31A1"/>
    <w:rsid w:val="003A31CE"/>
    <w:rsid w:val="003A4522"/>
    <w:rsid w:val="003A4639"/>
    <w:rsid w:val="003A4780"/>
    <w:rsid w:val="003A47A4"/>
    <w:rsid w:val="003A4959"/>
    <w:rsid w:val="003A4F88"/>
    <w:rsid w:val="003A5037"/>
    <w:rsid w:val="003A51FA"/>
    <w:rsid w:val="003A54B0"/>
    <w:rsid w:val="003A55AC"/>
    <w:rsid w:val="003A5FFB"/>
    <w:rsid w:val="003A6758"/>
    <w:rsid w:val="003A6926"/>
    <w:rsid w:val="003A693C"/>
    <w:rsid w:val="003A6AF7"/>
    <w:rsid w:val="003A741D"/>
    <w:rsid w:val="003A7D6C"/>
    <w:rsid w:val="003B028C"/>
    <w:rsid w:val="003B0488"/>
    <w:rsid w:val="003B0568"/>
    <w:rsid w:val="003B15FB"/>
    <w:rsid w:val="003B1894"/>
    <w:rsid w:val="003B1D71"/>
    <w:rsid w:val="003B1F01"/>
    <w:rsid w:val="003B2589"/>
    <w:rsid w:val="003B3120"/>
    <w:rsid w:val="003B3760"/>
    <w:rsid w:val="003B4894"/>
    <w:rsid w:val="003B51D2"/>
    <w:rsid w:val="003B536F"/>
    <w:rsid w:val="003B53E7"/>
    <w:rsid w:val="003B56BB"/>
    <w:rsid w:val="003B5DA3"/>
    <w:rsid w:val="003B60CE"/>
    <w:rsid w:val="003B62C8"/>
    <w:rsid w:val="003B6376"/>
    <w:rsid w:val="003B7301"/>
    <w:rsid w:val="003B7406"/>
    <w:rsid w:val="003B761B"/>
    <w:rsid w:val="003B7871"/>
    <w:rsid w:val="003B797F"/>
    <w:rsid w:val="003B7A97"/>
    <w:rsid w:val="003B7C45"/>
    <w:rsid w:val="003B7F7E"/>
    <w:rsid w:val="003C0730"/>
    <w:rsid w:val="003C093B"/>
    <w:rsid w:val="003C0EA0"/>
    <w:rsid w:val="003C126A"/>
    <w:rsid w:val="003C159C"/>
    <w:rsid w:val="003C1A49"/>
    <w:rsid w:val="003C2619"/>
    <w:rsid w:val="003C26F9"/>
    <w:rsid w:val="003C32D6"/>
    <w:rsid w:val="003C3E26"/>
    <w:rsid w:val="003C3FE8"/>
    <w:rsid w:val="003C4192"/>
    <w:rsid w:val="003C47FF"/>
    <w:rsid w:val="003C4BE4"/>
    <w:rsid w:val="003C510E"/>
    <w:rsid w:val="003C514D"/>
    <w:rsid w:val="003C51E0"/>
    <w:rsid w:val="003C5498"/>
    <w:rsid w:val="003C555B"/>
    <w:rsid w:val="003C5826"/>
    <w:rsid w:val="003C5C7C"/>
    <w:rsid w:val="003C5CCE"/>
    <w:rsid w:val="003C5D69"/>
    <w:rsid w:val="003C65EF"/>
    <w:rsid w:val="003C6950"/>
    <w:rsid w:val="003C6AB2"/>
    <w:rsid w:val="003C707D"/>
    <w:rsid w:val="003C713B"/>
    <w:rsid w:val="003D021C"/>
    <w:rsid w:val="003D0383"/>
    <w:rsid w:val="003D0605"/>
    <w:rsid w:val="003D081C"/>
    <w:rsid w:val="003D1E59"/>
    <w:rsid w:val="003D1EA4"/>
    <w:rsid w:val="003D2169"/>
    <w:rsid w:val="003D2D05"/>
    <w:rsid w:val="003D3640"/>
    <w:rsid w:val="003D4027"/>
    <w:rsid w:val="003D4187"/>
    <w:rsid w:val="003D44D6"/>
    <w:rsid w:val="003D4EAD"/>
    <w:rsid w:val="003D591A"/>
    <w:rsid w:val="003D5F1D"/>
    <w:rsid w:val="003D603C"/>
    <w:rsid w:val="003D6A29"/>
    <w:rsid w:val="003D6BBE"/>
    <w:rsid w:val="003D74E1"/>
    <w:rsid w:val="003D7F66"/>
    <w:rsid w:val="003E01A7"/>
    <w:rsid w:val="003E07A8"/>
    <w:rsid w:val="003E0973"/>
    <w:rsid w:val="003E10FF"/>
    <w:rsid w:val="003E150F"/>
    <w:rsid w:val="003E1E9B"/>
    <w:rsid w:val="003E2004"/>
    <w:rsid w:val="003E2338"/>
    <w:rsid w:val="003E249A"/>
    <w:rsid w:val="003E2535"/>
    <w:rsid w:val="003E3774"/>
    <w:rsid w:val="003E44A8"/>
    <w:rsid w:val="003E4562"/>
    <w:rsid w:val="003E4860"/>
    <w:rsid w:val="003E492E"/>
    <w:rsid w:val="003E4E8D"/>
    <w:rsid w:val="003E5049"/>
    <w:rsid w:val="003E5856"/>
    <w:rsid w:val="003E6019"/>
    <w:rsid w:val="003E62B3"/>
    <w:rsid w:val="003E6885"/>
    <w:rsid w:val="003E691E"/>
    <w:rsid w:val="003E6DC0"/>
    <w:rsid w:val="003E70C9"/>
    <w:rsid w:val="003E727C"/>
    <w:rsid w:val="003E76D8"/>
    <w:rsid w:val="003E7FD2"/>
    <w:rsid w:val="003F0838"/>
    <w:rsid w:val="003F089B"/>
    <w:rsid w:val="003F12E2"/>
    <w:rsid w:val="003F1F3C"/>
    <w:rsid w:val="003F2D33"/>
    <w:rsid w:val="003F2F69"/>
    <w:rsid w:val="003F30C7"/>
    <w:rsid w:val="003F32EE"/>
    <w:rsid w:val="003F3305"/>
    <w:rsid w:val="003F375B"/>
    <w:rsid w:val="003F3BF8"/>
    <w:rsid w:val="003F3E7C"/>
    <w:rsid w:val="003F4053"/>
    <w:rsid w:val="003F4412"/>
    <w:rsid w:val="003F441F"/>
    <w:rsid w:val="003F4B0E"/>
    <w:rsid w:val="003F58F9"/>
    <w:rsid w:val="003F5906"/>
    <w:rsid w:val="003F5C01"/>
    <w:rsid w:val="003F5F87"/>
    <w:rsid w:val="003F62F6"/>
    <w:rsid w:val="003F6D36"/>
    <w:rsid w:val="003F720D"/>
    <w:rsid w:val="003F7DA9"/>
    <w:rsid w:val="004000FC"/>
    <w:rsid w:val="00400313"/>
    <w:rsid w:val="004007A4"/>
    <w:rsid w:val="004009FE"/>
    <w:rsid w:val="00400C15"/>
    <w:rsid w:val="00400D4D"/>
    <w:rsid w:val="00400EB3"/>
    <w:rsid w:val="0040134E"/>
    <w:rsid w:val="00401467"/>
    <w:rsid w:val="00401583"/>
    <w:rsid w:val="00401800"/>
    <w:rsid w:val="00401EA5"/>
    <w:rsid w:val="00401ED9"/>
    <w:rsid w:val="00401F86"/>
    <w:rsid w:val="00401FA3"/>
    <w:rsid w:val="0040233A"/>
    <w:rsid w:val="0040237E"/>
    <w:rsid w:val="00402D35"/>
    <w:rsid w:val="0040303A"/>
    <w:rsid w:val="00403D10"/>
    <w:rsid w:val="00403F04"/>
    <w:rsid w:val="004043E7"/>
    <w:rsid w:val="00404A32"/>
    <w:rsid w:val="00404B34"/>
    <w:rsid w:val="004051B0"/>
    <w:rsid w:val="0040556E"/>
    <w:rsid w:val="00405CCE"/>
    <w:rsid w:val="00405EE2"/>
    <w:rsid w:val="0040619D"/>
    <w:rsid w:val="004066DC"/>
    <w:rsid w:val="00406A71"/>
    <w:rsid w:val="004075CF"/>
    <w:rsid w:val="0040764F"/>
    <w:rsid w:val="00407947"/>
    <w:rsid w:val="00407A72"/>
    <w:rsid w:val="00407F01"/>
    <w:rsid w:val="00410053"/>
    <w:rsid w:val="004108C4"/>
    <w:rsid w:val="00410A10"/>
    <w:rsid w:val="00410CA3"/>
    <w:rsid w:val="00411348"/>
    <w:rsid w:val="0041134A"/>
    <w:rsid w:val="00412617"/>
    <w:rsid w:val="00412693"/>
    <w:rsid w:val="0041295B"/>
    <w:rsid w:val="0041298F"/>
    <w:rsid w:val="00412F42"/>
    <w:rsid w:val="00413337"/>
    <w:rsid w:val="00413CC1"/>
    <w:rsid w:val="004141A9"/>
    <w:rsid w:val="0041445E"/>
    <w:rsid w:val="00414A6E"/>
    <w:rsid w:val="00415186"/>
    <w:rsid w:val="00415187"/>
    <w:rsid w:val="00415514"/>
    <w:rsid w:val="00415894"/>
    <w:rsid w:val="004162F1"/>
    <w:rsid w:val="00416522"/>
    <w:rsid w:val="00416C92"/>
    <w:rsid w:val="00416EE6"/>
    <w:rsid w:val="004179E9"/>
    <w:rsid w:val="00417F0B"/>
    <w:rsid w:val="004202E5"/>
    <w:rsid w:val="004203D2"/>
    <w:rsid w:val="00420433"/>
    <w:rsid w:val="00420664"/>
    <w:rsid w:val="00420801"/>
    <w:rsid w:val="0042082F"/>
    <w:rsid w:val="00421029"/>
    <w:rsid w:val="00421B55"/>
    <w:rsid w:val="0042208A"/>
    <w:rsid w:val="0042219A"/>
    <w:rsid w:val="0042292B"/>
    <w:rsid w:val="0042323A"/>
    <w:rsid w:val="00424036"/>
    <w:rsid w:val="00424579"/>
    <w:rsid w:val="00424D84"/>
    <w:rsid w:val="00424F13"/>
    <w:rsid w:val="00425197"/>
    <w:rsid w:val="00425240"/>
    <w:rsid w:val="00425ADC"/>
    <w:rsid w:val="00425C76"/>
    <w:rsid w:val="00425F54"/>
    <w:rsid w:val="00426402"/>
    <w:rsid w:val="00426405"/>
    <w:rsid w:val="0042723F"/>
    <w:rsid w:val="0042732D"/>
    <w:rsid w:val="0042747B"/>
    <w:rsid w:val="00427482"/>
    <w:rsid w:val="00427727"/>
    <w:rsid w:val="00430051"/>
    <w:rsid w:val="004301FE"/>
    <w:rsid w:val="00430B47"/>
    <w:rsid w:val="00431188"/>
    <w:rsid w:val="00431762"/>
    <w:rsid w:val="00431BCA"/>
    <w:rsid w:val="00431F41"/>
    <w:rsid w:val="004323C9"/>
    <w:rsid w:val="004329FD"/>
    <w:rsid w:val="004332AE"/>
    <w:rsid w:val="00433425"/>
    <w:rsid w:val="0043344E"/>
    <w:rsid w:val="00434031"/>
    <w:rsid w:val="004355F9"/>
    <w:rsid w:val="004356D4"/>
    <w:rsid w:val="00435945"/>
    <w:rsid w:val="00435E7B"/>
    <w:rsid w:val="00435F78"/>
    <w:rsid w:val="0043645E"/>
    <w:rsid w:val="004364AA"/>
    <w:rsid w:val="004366C4"/>
    <w:rsid w:val="00436741"/>
    <w:rsid w:val="004369B2"/>
    <w:rsid w:val="004369C3"/>
    <w:rsid w:val="00436CAE"/>
    <w:rsid w:val="004370DE"/>
    <w:rsid w:val="0043752A"/>
    <w:rsid w:val="0043782D"/>
    <w:rsid w:val="00437A68"/>
    <w:rsid w:val="00437B00"/>
    <w:rsid w:val="00437B53"/>
    <w:rsid w:val="00437BF6"/>
    <w:rsid w:val="004409F4"/>
    <w:rsid w:val="00440B67"/>
    <w:rsid w:val="00440E0F"/>
    <w:rsid w:val="00441620"/>
    <w:rsid w:val="00441784"/>
    <w:rsid w:val="004419AF"/>
    <w:rsid w:val="00441A94"/>
    <w:rsid w:val="00441B0A"/>
    <w:rsid w:val="00442F55"/>
    <w:rsid w:val="00443420"/>
    <w:rsid w:val="004437C4"/>
    <w:rsid w:val="0044384A"/>
    <w:rsid w:val="004439F0"/>
    <w:rsid w:val="00443A0B"/>
    <w:rsid w:val="00443A30"/>
    <w:rsid w:val="00443B62"/>
    <w:rsid w:val="00444416"/>
    <w:rsid w:val="004448FB"/>
    <w:rsid w:val="004449EE"/>
    <w:rsid w:val="00444D3C"/>
    <w:rsid w:val="004452BD"/>
    <w:rsid w:val="00445777"/>
    <w:rsid w:val="00445D9D"/>
    <w:rsid w:val="0044607C"/>
    <w:rsid w:val="00446BA1"/>
    <w:rsid w:val="00446F89"/>
    <w:rsid w:val="00446FBF"/>
    <w:rsid w:val="004471E4"/>
    <w:rsid w:val="004472E8"/>
    <w:rsid w:val="00447490"/>
    <w:rsid w:val="00447C4B"/>
    <w:rsid w:val="004500E4"/>
    <w:rsid w:val="004503EA"/>
    <w:rsid w:val="00450B29"/>
    <w:rsid w:val="00451066"/>
    <w:rsid w:val="0045132F"/>
    <w:rsid w:val="00451D88"/>
    <w:rsid w:val="00451DE0"/>
    <w:rsid w:val="004528BF"/>
    <w:rsid w:val="00452B02"/>
    <w:rsid w:val="004533DC"/>
    <w:rsid w:val="00453420"/>
    <w:rsid w:val="00453727"/>
    <w:rsid w:val="0045443E"/>
    <w:rsid w:val="00454723"/>
    <w:rsid w:val="00454964"/>
    <w:rsid w:val="00454A35"/>
    <w:rsid w:val="00454C3B"/>
    <w:rsid w:val="00454CE1"/>
    <w:rsid w:val="00454D60"/>
    <w:rsid w:val="00454EFA"/>
    <w:rsid w:val="00455047"/>
    <w:rsid w:val="004557D6"/>
    <w:rsid w:val="00455CA0"/>
    <w:rsid w:val="004560AF"/>
    <w:rsid w:val="00456312"/>
    <w:rsid w:val="0045660A"/>
    <w:rsid w:val="004567B3"/>
    <w:rsid w:val="00456D93"/>
    <w:rsid w:val="00457695"/>
    <w:rsid w:val="00457CBC"/>
    <w:rsid w:val="0046029D"/>
    <w:rsid w:val="004603CD"/>
    <w:rsid w:val="004604BD"/>
    <w:rsid w:val="004605ED"/>
    <w:rsid w:val="0046085F"/>
    <w:rsid w:val="00461E82"/>
    <w:rsid w:val="004620AC"/>
    <w:rsid w:val="00462180"/>
    <w:rsid w:val="00462386"/>
    <w:rsid w:val="0046244C"/>
    <w:rsid w:val="004625DD"/>
    <w:rsid w:val="00462A24"/>
    <w:rsid w:val="00462A58"/>
    <w:rsid w:val="0046375F"/>
    <w:rsid w:val="00463BF1"/>
    <w:rsid w:val="0046415A"/>
    <w:rsid w:val="0046423F"/>
    <w:rsid w:val="0046439E"/>
    <w:rsid w:val="004644B2"/>
    <w:rsid w:val="004647BE"/>
    <w:rsid w:val="00464A5E"/>
    <w:rsid w:val="00464B5D"/>
    <w:rsid w:val="00464C05"/>
    <w:rsid w:val="00464D2E"/>
    <w:rsid w:val="00464FA1"/>
    <w:rsid w:val="00465E5A"/>
    <w:rsid w:val="004667B0"/>
    <w:rsid w:val="00466B09"/>
    <w:rsid w:val="00466B2D"/>
    <w:rsid w:val="00466E73"/>
    <w:rsid w:val="004678EB"/>
    <w:rsid w:val="004679CB"/>
    <w:rsid w:val="00467D7E"/>
    <w:rsid w:val="00470783"/>
    <w:rsid w:val="0047089A"/>
    <w:rsid w:val="00470D98"/>
    <w:rsid w:val="00470DAD"/>
    <w:rsid w:val="00471194"/>
    <w:rsid w:val="004715A2"/>
    <w:rsid w:val="00471735"/>
    <w:rsid w:val="004717A5"/>
    <w:rsid w:val="00471D4E"/>
    <w:rsid w:val="00471F05"/>
    <w:rsid w:val="00471F93"/>
    <w:rsid w:val="00471F9C"/>
    <w:rsid w:val="00472543"/>
    <w:rsid w:val="00472B49"/>
    <w:rsid w:val="00472D6D"/>
    <w:rsid w:val="004734F2"/>
    <w:rsid w:val="0047355B"/>
    <w:rsid w:val="00473824"/>
    <w:rsid w:val="00473BED"/>
    <w:rsid w:val="00473DC6"/>
    <w:rsid w:val="004741B3"/>
    <w:rsid w:val="00474D59"/>
    <w:rsid w:val="00474DB4"/>
    <w:rsid w:val="004753A1"/>
    <w:rsid w:val="0047557A"/>
    <w:rsid w:val="00475E99"/>
    <w:rsid w:val="0047601B"/>
    <w:rsid w:val="00476310"/>
    <w:rsid w:val="00476680"/>
    <w:rsid w:val="0047675D"/>
    <w:rsid w:val="00476887"/>
    <w:rsid w:val="00476EF5"/>
    <w:rsid w:val="00476F16"/>
    <w:rsid w:val="00477252"/>
    <w:rsid w:val="00477A3A"/>
    <w:rsid w:val="00477C3B"/>
    <w:rsid w:val="0048073E"/>
    <w:rsid w:val="00481675"/>
    <w:rsid w:val="004819C0"/>
    <w:rsid w:val="00481BAD"/>
    <w:rsid w:val="00482453"/>
    <w:rsid w:val="00482516"/>
    <w:rsid w:val="004829AE"/>
    <w:rsid w:val="0048342D"/>
    <w:rsid w:val="00483646"/>
    <w:rsid w:val="004841E0"/>
    <w:rsid w:val="0048440F"/>
    <w:rsid w:val="00484A47"/>
    <w:rsid w:val="00484AA8"/>
    <w:rsid w:val="00484AF0"/>
    <w:rsid w:val="0048625A"/>
    <w:rsid w:val="0048637B"/>
    <w:rsid w:val="004863A1"/>
    <w:rsid w:val="004864B8"/>
    <w:rsid w:val="004873E6"/>
    <w:rsid w:val="00487919"/>
    <w:rsid w:val="004879C0"/>
    <w:rsid w:val="00487B3A"/>
    <w:rsid w:val="00487D3B"/>
    <w:rsid w:val="00490004"/>
    <w:rsid w:val="0049059F"/>
    <w:rsid w:val="0049075F"/>
    <w:rsid w:val="0049107C"/>
    <w:rsid w:val="004910B1"/>
    <w:rsid w:val="00491602"/>
    <w:rsid w:val="00491D03"/>
    <w:rsid w:val="00491EB1"/>
    <w:rsid w:val="00492452"/>
    <w:rsid w:val="0049271A"/>
    <w:rsid w:val="00492844"/>
    <w:rsid w:val="00493797"/>
    <w:rsid w:val="0049382F"/>
    <w:rsid w:val="00493C90"/>
    <w:rsid w:val="004942EA"/>
    <w:rsid w:val="00494C5D"/>
    <w:rsid w:val="0049543C"/>
    <w:rsid w:val="00495726"/>
    <w:rsid w:val="00495BA0"/>
    <w:rsid w:val="00495D0C"/>
    <w:rsid w:val="00496131"/>
    <w:rsid w:val="00496591"/>
    <w:rsid w:val="0049717C"/>
    <w:rsid w:val="004972A8"/>
    <w:rsid w:val="004974BE"/>
    <w:rsid w:val="00497CE4"/>
    <w:rsid w:val="004A0A94"/>
    <w:rsid w:val="004A0AC1"/>
    <w:rsid w:val="004A0D7C"/>
    <w:rsid w:val="004A0E01"/>
    <w:rsid w:val="004A2004"/>
    <w:rsid w:val="004A283C"/>
    <w:rsid w:val="004A2B93"/>
    <w:rsid w:val="004A2C56"/>
    <w:rsid w:val="004A2D8F"/>
    <w:rsid w:val="004A2E9C"/>
    <w:rsid w:val="004A3270"/>
    <w:rsid w:val="004A32BD"/>
    <w:rsid w:val="004A33C1"/>
    <w:rsid w:val="004A33F6"/>
    <w:rsid w:val="004A4C32"/>
    <w:rsid w:val="004A4E1C"/>
    <w:rsid w:val="004A51FC"/>
    <w:rsid w:val="004A5918"/>
    <w:rsid w:val="004A5AF0"/>
    <w:rsid w:val="004A5D32"/>
    <w:rsid w:val="004A60DA"/>
    <w:rsid w:val="004A655B"/>
    <w:rsid w:val="004A6D94"/>
    <w:rsid w:val="004A6FA6"/>
    <w:rsid w:val="004A71E0"/>
    <w:rsid w:val="004A76FB"/>
    <w:rsid w:val="004A793C"/>
    <w:rsid w:val="004A7951"/>
    <w:rsid w:val="004A7EB7"/>
    <w:rsid w:val="004B0045"/>
    <w:rsid w:val="004B00C7"/>
    <w:rsid w:val="004B05E0"/>
    <w:rsid w:val="004B0F61"/>
    <w:rsid w:val="004B1229"/>
    <w:rsid w:val="004B1BF8"/>
    <w:rsid w:val="004B1C2F"/>
    <w:rsid w:val="004B2110"/>
    <w:rsid w:val="004B23BF"/>
    <w:rsid w:val="004B2537"/>
    <w:rsid w:val="004B26CB"/>
    <w:rsid w:val="004B2731"/>
    <w:rsid w:val="004B2E79"/>
    <w:rsid w:val="004B30C4"/>
    <w:rsid w:val="004B330B"/>
    <w:rsid w:val="004B3799"/>
    <w:rsid w:val="004B3901"/>
    <w:rsid w:val="004B3C79"/>
    <w:rsid w:val="004B3D71"/>
    <w:rsid w:val="004B4800"/>
    <w:rsid w:val="004B4852"/>
    <w:rsid w:val="004B4954"/>
    <w:rsid w:val="004B5BC9"/>
    <w:rsid w:val="004B60A6"/>
    <w:rsid w:val="004B634B"/>
    <w:rsid w:val="004B6409"/>
    <w:rsid w:val="004B66CC"/>
    <w:rsid w:val="004B6D05"/>
    <w:rsid w:val="004B7543"/>
    <w:rsid w:val="004B773D"/>
    <w:rsid w:val="004B7763"/>
    <w:rsid w:val="004B796A"/>
    <w:rsid w:val="004B7D91"/>
    <w:rsid w:val="004C00B8"/>
    <w:rsid w:val="004C0697"/>
    <w:rsid w:val="004C08C5"/>
    <w:rsid w:val="004C0DBB"/>
    <w:rsid w:val="004C0EEA"/>
    <w:rsid w:val="004C0F66"/>
    <w:rsid w:val="004C1308"/>
    <w:rsid w:val="004C164A"/>
    <w:rsid w:val="004C1762"/>
    <w:rsid w:val="004C1AEF"/>
    <w:rsid w:val="004C1D9D"/>
    <w:rsid w:val="004C24FE"/>
    <w:rsid w:val="004C260D"/>
    <w:rsid w:val="004C2CA4"/>
    <w:rsid w:val="004C34E8"/>
    <w:rsid w:val="004C39E9"/>
    <w:rsid w:val="004C3A61"/>
    <w:rsid w:val="004C3C24"/>
    <w:rsid w:val="004C4B93"/>
    <w:rsid w:val="004C585A"/>
    <w:rsid w:val="004C5CCF"/>
    <w:rsid w:val="004C5F6E"/>
    <w:rsid w:val="004C6399"/>
    <w:rsid w:val="004C6546"/>
    <w:rsid w:val="004C675F"/>
    <w:rsid w:val="004C6D95"/>
    <w:rsid w:val="004C6F1B"/>
    <w:rsid w:val="004C7299"/>
    <w:rsid w:val="004C72CE"/>
    <w:rsid w:val="004C740D"/>
    <w:rsid w:val="004D0D8C"/>
    <w:rsid w:val="004D0FB3"/>
    <w:rsid w:val="004D156C"/>
    <w:rsid w:val="004D2887"/>
    <w:rsid w:val="004D32CD"/>
    <w:rsid w:val="004D33AA"/>
    <w:rsid w:val="004D3481"/>
    <w:rsid w:val="004D39B4"/>
    <w:rsid w:val="004D424C"/>
    <w:rsid w:val="004D4E4D"/>
    <w:rsid w:val="004D50E5"/>
    <w:rsid w:val="004D555F"/>
    <w:rsid w:val="004D59A3"/>
    <w:rsid w:val="004D59ED"/>
    <w:rsid w:val="004D5F1A"/>
    <w:rsid w:val="004D5FB8"/>
    <w:rsid w:val="004D6047"/>
    <w:rsid w:val="004D6126"/>
    <w:rsid w:val="004D6277"/>
    <w:rsid w:val="004D6993"/>
    <w:rsid w:val="004D6D9E"/>
    <w:rsid w:val="004D73C8"/>
    <w:rsid w:val="004D7440"/>
    <w:rsid w:val="004E0207"/>
    <w:rsid w:val="004E119F"/>
    <w:rsid w:val="004E11AF"/>
    <w:rsid w:val="004E1A6B"/>
    <w:rsid w:val="004E2C5E"/>
    <w:rsid w:val="004E3057"/>
    <w:rsid w:val="004E383A"/>
    <w:rsid w:val="004E38FC"/>
    <w:rsid w:val="004E3998"/>
    <w:rsid w:val="004E3B99"/>
    <w:rsid w:val="004E3F78"/>
    <w:rsid w:val="004E4DB8"/>
    <w:rsid w:val="004E5333"/>
    <w:rsid w:val="004E5748"/>
    <w:rsid w:val="004E57BF"/>
    <w:rsid w:val="004E60E5"/>
    <w:rsid w:val="004E62BC"/>
    <w:rsid w:val="004E67F4"/>
    <w:rsid w:val="004E6E7A"/>
    <w:rsid w:val="004E7318"/>
    <w:rsid w:val="004E7988"/>
    <w:rsid w:val="004F03B1"/>
    <w:rsid w:val="004F0566"/>
    <w:rsid w:val="004F07DF"/>
    <w:rsid w:val="004F0E9C"/>
    <w:rsid w:val="004F12B6"/>
    <w:rsid w:val="004F135D"/>
    <w:rsid w:val="004F19D0"/>
    <w:rsid w:val="004F22ED"/>
    <w:rsid w:val="004F2340"/>
    <w:rsid w:val="004F287D"/>
    <w:rsid w:val="004F2BAF"/>
    <w:rsid w:val="004F316D"/>
    <w:rsid w:val="004F4500"/>
    <w:rsid w:val="004F480D"/>
    <w:rsid w:val="004F4F0D"/>
    <w:rsid w:val="004F5051"/>
    <w:rsid w:val="004F507F"/>
    <w:rsid w:val="004F550A"/>
    <w:rsid w:val="004F5A5C"/>
    <w:rsid w:val="004F5D07"/>
    <w:rsid w:val="004F5D73"/>
    <w:rsid w:val="004F61DF"/>
    <w:rsid w:val="004F63CF"/>
    <w:rsid w:val="004F6D68"/>
    <w:rsid w:val="004F6DDE"/>
    <w:rsid w:val="004F6E16"/>
    <w:rsid w:val="004F70D0"/>
    <w:rsid w:val="004F7348"/>
    <w:rsid w:val="004F754A"/>
    <w:rsid w:val="004F789F"/>
    <w:rsid w:val="004F7F4B"/>
    <w:rsid w:val="00500093"/>
    <w:rsid w:val="0050019A"/>
    <w:rsid w:val="0050029C"/>
    <w:rsid w:val="00500752"/>
    <w:rsid w:val="00500D37"/>
    <w:rsid w:val="00500F9C"/>
    <w:rsid w:val="00501E21"/>
    <w:rsid w:val="00502088"/>
    <w:rsid w:val="00502175"/>
    <w:rsid w:val="005021E1"/>
    <w:rsid w:val="005030D6"/>
    <w:rsid w:val="005032F4"/>
    <w:rsid w:val="0050345C"/>
    <w:rsid w:val="00503847"/>
    <w:rsid w:val="00503E11"/>
    <w:rsid w:val="00504080"/>
    <w:rsid w:val="005040DD"/>
    <w:rsid w:val="00504913"/>
    <w:rsid w:val="00504928"/>
    <w:rsid w:val="00504CED"/>
    <w:rsid w:val="00504D0E"/>
    <w:rsid w:val="0050516E"/>
    <w:rsid w:val="005053CB"/>
    <w:rsid w:val="00505A32"/>
    <w:rsid w:val="00505CE5"/>
    <w:rsid w:val="005068A5"/>
    <w:rsid w:val="00506A4D"/>
    <w:rsid w:val="00506AC8"/>
    <w:rsid w:val="00506D45"/>
    <w:rsid w:val="00506D55"/>
    <w:rsid w:val="0050724F"/>
    <w:rsid w:val="00507680"/>
    <w:rsid w:val="00507CFF"/>
    <w:rsid w:val="005109C4"/>
    <w:rsid w:val="00510B73"/>
    <w:rsid w:val="0051139F"/>
    <w:rsid w:val="00511C94"/>
    <w:rsid w:val="0051245F"/>
    <w:rsid w:val="00512C60"/>
    <w:rsid w:val="00512CE0"/>
    <w:rsid w:val="00513115"/>
    <w:rsid w:val="00513616"/>
    <w:rsid w:val="0051369A"/>
    <w:rsid w:val="00513A66"/>
    <w:rsid w:val="0051409B"/>
    <w:rsid w:val="0051415F"/>
    <w:rsid w:val="00514311"/>
    <w:rsid w:val="0051464C"/>
    <w:rsid w:val="00514731"/>
    <w:rsid w:val="00514DB2"/>
    <w:rsid w:val="00515D77"/>
    <w:rsid w:val="00515DCE"/>
    <w:rsid w:val="00515DD8"/>
    <w:rsid w:val="00515E4D"/>
    <w:rsid w:val="0051658F"/>
    <w:rsid w:val="00516B01"/>
    <w:rsid w:val="00516F09"/>
    <w:rsid w:val="00517723"/>
    <w:rsid w:val="00517A00"/>
    <w:rsid w:val="00517A02"/>
    <w:rsid w:val="00517C54"/>
    <w:rsid w:val="00517CB0"/>
    <w:rsid w:val="0052009A"/>
    <w:rsid w:val="00520759"/>
    <w:rsid w:val="00521323"/>
    <w:rsid w:val="00521B0F"/>
    <w:rsid w:val="00521BC5"/>
    <w:rsid w:val="005228E1"/>
    <w:rsid w:val="0052296F"/>
    <w:rsid w:val="00522C32"/>
    <w:rsid w:val="00522DC3"/>
    <w:rsid w:val="00522FED"/>
    <w:rsid w:val="005232BE"/>
    <w:rsid w:val="00523A2F"/>
    <w:rsid w:val="005246BA"/>
    <w:rsid w:val="00524B7A"/>
    <w:rsid w:val="00524E44"/>
    <w:rsid w:val="00524F33"/>
    <w:rsid w:val="00524F40"/>
    <w:rsid w:val="00525142"/>
    <w:rsid w:val="00525278"/>
    <w:rsid w:val="00525373"/>
    <w:rsid w:val="00525B38"/>
    <w:rsid w:val="00525D69"/>
    <w:rsid w:val="00525FBF"/>
    <w:rsid w:val="00526031"/>
    <w:rsid w:val="005271B7"/>
    <w:rsid w:val="00527994"/>
    <w:rsid w:val="00527AB1"/>
    <w:rsid w:val="00530BA8"/>
    <w:rsid w:val="005317D3"/>
    <w:rsid w:val="00531A29"/>
    <w:rsid w:val="005321AA"/>
    <w:rsid w:val="005322D7"/>
    <w:rsid w:val="005326FB"/>
    <w:rsid w:val="00532817"/>
    <w:rsid w:val="00532D3B"/>
    <w:rsid w:val="00532F89"/>
    <w:rsid w:val="005330AA"/>
    <w:rsid w:val="00533250"/>
    <w:rsid w:val="00533266"/>
    <w:rsid w:val="00533343"/>
    <w:rsid w:val="00533440"/>
    <w:rsid w:val="00533645"/>
    <w:rsid w:val="00533896"/>
    <w:rsid w:val="00533CB6"/>
    <w:rsid w:val="00533D43"/>
    <w:rsid w:val="00534828"/>
    <w:rsid w:val="00534D0F"/>
    <w:rsid w:val="00534D89"/>
    <w:rsid w:val="00534EC9"/>
    <w:rsid w:val="00534ED4"/>
    <w:rsid w:val="00535573"/>
    <w:rsid w:val="00535650"/>
    <w:rsid w:val="005356B2"/>
    <w:rsid w:val="005356EB"/>
    <w:rsid w:val="00536270"/>
    <w:rsid w:val="0053628E"/>
    <w:rsid w:val="0053684B"/>
    <w:rsid w:val="00536B69"/>
    <w:rsid w:val="00537927"/>
    <w:rsid w:val="00537D8F"/>
    <w:rsid w:val="00537DF5"/>
    <w:rsid w:val="00537E28"/>
    <w:rsid w:val="00540318"/>
    <w:rsid w:val="00540898"/>
    <w:rsid w:val="0054124F"/>
    <w:rsid w:val="0054281D"/>
    <w:rsid w:val="00542AF6"/>
    <w:rsid w:val="00542BA2"/>
    <w:rsid w:val="00542D6A"/>
    <w:rsid w:val="00542F5B"/>
    <w:rsid w:val="005431B8"/>
    <w:rsid w:val="00543415"/>
    <w:rsid w:val="005439CB"/>
    <w:rsid w:val="0054425E"/>
    <w:rsid w:val="00545165"/>
    <w:rsid w:val="005452A8"/>
    <w:rsid w:val="005455D8"/>
    <w:rsid w:val="005457CF"/>
    <w:rsid w:val="00545DA4"/>
    <w:rsid w:val="00546DF7"/>
    <w:rsid w:val="00546FF0"/>
    <w:rsid w:val="00547589"/>
    <w:rsid w:val="00547B1F"/>
    <w:rsid w:val="00547CED"/>
    <w:rsid w:val="005520EB"/>
    <w:rsid w:val="005521B8"/>
    <w:rsid w:val="00552991"/>
    <w:rsid w:val="00552F0F"/>
    <w:rsid w:val="0055319B"/>
    <w:rsid w:val="0055348E"/>
    <w:rsid w:val="00553995"/>
    <w:rsid w:val="00554708"/>
    <w:rsid w:val="00554A15"/>
    <w:rsid w:val="00554B50"/>
    <w:rsid w:val="00554CD7"/>
    <w:rsid w:val="005553D2"/>
    <w:rsid w:val="00555EFE"/>
    <w:rsid w:val="005561F4"/>
    <w:rsid w:val="005564C2"/>
    <w:rsid w:val="0055737E"/>
    <w:rsid w:val="00557619"/>
    <w:rsid w:val="00557AD8"/>
    <w:rsid w:val="00557C24"/>
    <w:rsid w:val="00557D21"/>
    <w:rsid w:val="00557E8B"/>
    <w:rsid w:val="00557EC2"/>
    <w:rsid w:val="005600AD"/>
    <w:rsid w:val="005603D8"/>
    <w:rsid w:val="00560E4D"/>
    <w:rsid w:val="00560F0D"/>
    <w:rsid w:val="00561467"/>
    <w:rsid w:val="005617FF"/>
    <w:rsid w:val="00561918"/>
    <w:rsid w:val="00561E2B"/>
    <w:rsid w:val="00562639"/>
    <w:rsid w:val="0056278C"/>
    <w:rsid w:val="00562B17"/>
    <w:rsid w:val="00563BAD"/>
    <w:rsid w:val="005643DE"/>
    <w:rsid w:val="005648A5"/>
    <w:rsid w:val="00564BFE"/>
    <w:rsid w:val="00564C4C"/>
    <w:rsid w:val="00564D41"/>
    <w:rsid w:val="00564D42"/>
    <w:rsid w:val="00565587"/>
    <w:rsid w:val="00565AA5"/>
    <w:rsid w:val="005664A1"/>
    <w:rsid w:val="00566C5A"/>
    <w:rsid w:val="00566DBD"/>
    <w:rsid w:val="00567995"/>
    <w:rsid w:val="00567EED"/>
    <w:rsid w:val="00570894"/>
    <w:rsid w:val="00570983"/>
    <w:rsid w:val="00570AC8"/>
    <w:rsid w:val="00570FE6"/>
    <w:rsid w:val="005718EA"/>
    <w:rsid w:val="00571D24"/>
    <w:rsid w:val="00572432"/>
    <w:rsid w:val="0057254F"/>
    <w:rsid w:val="0057273C"/>
    <w:rsid w:val="005731D1"/>
    <w:rsid w:val="00573AEA"/>
    <w:rsid w:val="00573B7E"/>
    <w:rsid w:val="00573CE5"/>
    <w:rsid w:val="0057441A"/>
    <w:rsid w:val="00574980"/>
    <w:rsid w:val="00575188"/>
    <w:rsid w:val="0057527A"/>
    <w:rsid w:val="00575594"/>
    <w:rsid w:val="005755C2"/>
    <w:rsid w:val="00575ECD"/>
    <w:rsid w:val="005768C9"/>
    <w:rsid w:val="0057698A"/>
    <w:rsid w:val="00580D43"/>
    <w:rsid w:val="00581784"/>
    <w:rsid w:val="005817B6"/>
    <w:rsid w:val="00581908"/>
    <w:rsid w:val="00581DE6"/>
    <w:rsid w:val="00582358"/>
    <w:rsid w:val="005826DF"/>
    <w:rsid w:val="00582AF1"/>
    <w:rsid w:val="00583301"/>
    <w:rsid w:val="005833A8"/>
    <w:rsid w:val="00583EAD"/>
    <w:rsid w:val="00583F6D"/>
    <w:rsid w:val="005840F5"/>
    <w:rsid w:val="00584704"/>
    <w:rsid w:val="00584B7A"/>
    <w:rsid w:val="00584E5F"/>
    <w:rsid w:val="00584F1B"/>
    <w:rsid w:val="005850A2"/>
    <w:rsid w:val="00585A1C"/>
    <w:rsid w:val="00585C5B"/>
    <w:rsid w:val="0058648B"/>
    <w:rsid w:val="00586782"/>
    <w:rsid w:val="0058678A"/>
    <w:rsid w:val="005867AB"/>
    <w:rsid w:val="0058710A"/>
    <w:rsid w:val="00587FD9"/>
    <w:rsid w:val="005900C7"/>
    <w:rsid w:val="005903D5"/>
    <w:rsid w:val="00590B94"/>
    <w:rsid w:val="0059174B"/>
    <w:rsid w:val="00591933"/>
    <w:rsid w:val="00591D74"/>
    <w:rsid w:val="005923E5"/>
    <w:rsid w:val="00592EC9"/>
    <w:rsid w:val="00592FA7"/>
    <w:rsid w:val="00593484"/>
    <w:rsid w:val="00593863"/>
    <w:rsid w:val="00593A14"/>
    <w:rsid w:val="00594564"/>
    <w:rsid w:val="00594CA2"/>
    <w:rsid w:val="00594FFA"/>
    <w:rsid w:val="00595B70"/>
    <w:rsid w:val="00595E47"/>
    <w:rsid w:val="00595F00"/>
    <w:rsid w:val="00596160"/>
    <w:rsid w:val="00596275"/>
    <w:rsid w:val="00596453"/>
    <w:rsid w:val="005971DC"/>
    <w:rsid w:val="00597262"/>
    <w:rsid w:val="00597452"/>
    <w:rsid w:val="005975BB"/>
    <w:rsid w:val="00597741"/>
    <w:rsid w:val="00597978"/>
    <w:rsid w:val="00597E1A"/>
    <w:rsid w:val="00597F97"/>
    <w:rsid w:val="005A06E3"/>
    <w:rsid w:val="005A19B6"/>
    <w:rsid w:val="005A1E5A"/>
    <w:rsid w:val="005A240A"/>
    <w:rsid w:val="005A287A"/>
    <w:rsid w:val="005A2CF9"/>
    <w:rsid w:val="005A2E71"/>
    <w:rsid w:val="005A31B4"/>
    <w:rsid w:val="005A39AE"/>
    <w:rsid w:val="005A3AB6"/>
    <w:rsid w:val="005A3B87"/>
    <w:rsid w:val="005A3E5B"/>
    <w:rsid w:val="005A43A2"/>
    <w:rsid w:val="005A49CA"/>
    <w:rsid w:val="005A4B1E"/>
    <w:rsid w:val="005A4D62"/>
    <w:rsid w:val="005A4DB5"/>
    <w:rsid w:val="005A555F"/>
    <w:rsid w:val="005A57E1"/>
    <w:rsid w:val="005A5D45"/>
    <w:rsid w:val="005A5EC5"/>
    <w:rsid w:val="005A6269"/>
    <w:rsid w:val="005A6439"/>
    <w:rsid w:val="005A6D60"/>
    <w:rsid w:val="005A6DEF"/>
    <w:rsid w:val="005A70DC"/>
    <w:rsid w:val="005A74ED"/>
    <w:rsid w:val="005A7EA4"/>
    <w:rsid w:val="005B008D"/>
    <w:rsid w:val="005B05ED"/>
    <w:rsid w:val="005B09AF"/>
    <w:rsid w:val="005B0F46"/>
    <w:rsid w:val="005B1133"/>
    <w:rsid w:val="005B1206"/>
    <w:rsid w:val="005B1B38"/>
    <w:rsid w:val="005B1CAA"/>
    <w:rsid w:val="005B1DB5"/>
    <w:rsid w:val="005B272F"/>
    <w:rsid w:val="005B2E79"/>
    <w:rsid w:val="005B3323"/>
    <w:rsid w:val="005B3783"/>
    <w:rsid w:val="005B38D3"/>
    <w:rsid w:val="005B39A2"/>
    <w:rsid w:val="005B3F1A"/>
    <w:rsid w:val="005B420B"/>
    <w:rsid w:val="005B4429"/>
    <w:rsid w:val="005B4D5D"/>
    <w:rsid w:val="005B4DD0"/>
    <w:rsid w:val="005B5B45"/>
    <w:rsid w:val="005B5DBE"/>
    <w:rsid w:val="005B5E08"/>
    <w:rsid w:val="005B6432"/>
    <w:rsid w:val="005B64F9"/>
    <w:rsid w:val="005B6725"/>
    <w:rsid w:val="005B67F2"/>
    <w:rsid w:val="005B6854"/>
    <w:rsid w:val="005B6975"/>
    <w:rsid w:val="005B6B76"/>
    <w:rsid w:val="005B6C23"/>
    <w:rsid w:val="005B723D"/>
    <w:rsid w:val="005B763F"/>
    <w:rsid w:val="005B7741"/>
    <w:rsid w:val="005B7BCB"/>
    <w:rsid w:val="005B7E36"/>
    <w:rsid w:val="005C00B3"/>
    <w:rsid w:val="005C0493"/>
    <w:rsid w:val="005C066A"/>
    <w:rsid w:val="005C0790"/>
    <w:rsid w:val="005C0AE8"/>
    <w:rsid w:val="005C0BD5"/>
    <w:rsid w:val="005C12F6"/>
    <w:rsid w:val="005C148E"/>
    <w:rsid w:val="005C18B9"/>
    <w:rsid w:val="005C19EE"/>
    <w:rsid w:val="005C1BA4"/>
    <w:rsid w:val="005C1C04"/>
    <w:rsid w:val="005C2104"/>
    <w:rsid w:val="005C2192"/>
    <w:rsid w:val="005C21AE"/>
    <w:rsid w:val="005C23DA"/>
    <w:rsid w:val="005C2463"/>
    <w:rsid w:val="005C2884"/>
    <w:rsid w:val="005C2B21"/>
    <w:rsid w:val="005C3077"/>
    <w:rsid w:val="005C342E"/>
    <w:rsid w:val="005C37B3"/>
    <w:rsid w:val="005C3AE8"/>
    <w:rsid w:val="005C403C"/>
    <w:rsid w:val="005C53B9"/>
    <w:rsid w:val="005C5D17"/>
    <w:rsid w:val="005C687D"/>
    <w:rsid w:val="005C6968"/>
    <w:rsid w:val="005C6993"/>
    <w:rsid w:val="005C6F76"/>
    <w:rsid w:val="005C71A0"/>
    <w:rsid w:val="005C72C6"/>
    <w:rsid w:val="005C7B87"/>
    <w:rsid w:val="005C7D9E"/>
    <w:rsid w:val="005D0EB6"/>
    <w:rsid w:val="005D0FBF"/>
    <w:rsid w:val="005D149F"/>
    <w:rsid w:val="005D1CA7"/>
    <w:rsid w:val="005D1DE3"/>
    <w:rsid w:val="005D20D4"/>
    <w:rsid w:val="005D23FB"/>
    <w:rsid w:val="005D2A24"/>
    <w:rsid w:val="005D2A67"/>
    <w:rsid w:val="005D2F27"/>
    <w:rsid w:val="005D2F65"/>
    <w:rsid w:val="005D35F0"/>
    <w:rsid w:val="005D3673"/>
    <w:rsid w:val="005D383F"/>
    <w:rsid w:val="005D509E"/>
    <w:rsid w:val="005D510D"/>
    <w:rsid w:val="005D53BD"/>
    <w:rsid w:val="005D5689"/>
    <w:rsid w:val="005D58CF"/>
    <w:rsid w:val="005D5980"/>
    <w:rsid w:val="005D5CC3"/>
    <w:rsid w:val="005D646E"/>
    <w:rsid w:val="005D6925"/>
    <w:rsid w:val="005D755B"/>
    <w:rsid w:val="005D7998"/>
    <w:rsid w:val="005D7AC3"/>
    <w:rsid w:val="005D7ED1"/>
    <w:rsid w:val="005E08D3"/>
    <w:rsid w:val="005E08FD"/>
    <w:rsid w:val="005E138E"/>
    <w:rsid w:val="005E1528"/>
    <w:rsid w:val="005E17C2"/>
    <w:rsid w:val="005E1973"/>
    <w:rsid w:val="005E1E9B"/>
    <w:rsid w:val="005E218F"/>
    <w:rsid w:val="005E252C"/>
    <w:rsid w:val="005E275B"/>
    <w:rsid w:val="005E279B"/>
    <w:rsid w:val="005E2A26"/>
    <w:rsid w:val="005E2D05"/>
    <w:rsid w:val="005E2EE4"/>
    <w:rsid w:val="005E31DC"/>
    <w:rsid w:val="005E3400"/>
    <w:rsid w:val="005E3538"/>
    <w:rsid w:val="005E37BA"/>
    <w:rsid w:val="005E3E55"/>
    <w:rsid w:val="005E4416"/>
    <w:rsid w:val="005E48C4"/>
    <w:rsid w:val="005E4913"/>
    <w:rsid w:val="005E609A"/>
    <w:rsid w:val="005E60D2"/>
    <w:rsid w:val="005E6616"/>
    <w:rsid w:val="005E6CBE"/>
    <w:rsid w:val="005E6E11"/>
    <w:rsid w:val="005E76E5"/>
    <w:rsid w:val="005E785D"/>
    <w:rsid w:val="005E7BDA"/>
    <w:rsid w:val="005F0C56"/>
    <w:rsid w:val="005F0F5D"/>
    <w:rsid w:val="005F117F"/>
    <w:rsid w:val="005F281D"/>
    <w:rsid w:val="005F3256"/>
    <w:rsid w:val="005F38FA"/>
    <w:rsid w:val="005F39D1"/>
    <w:rsid w:val="005F40C6"/>
    <w:rsid w:val="005F41CB"/>
    <w:rsid w:val="005F4CD6"/>
    <w:rsid w:val="005F4EB3"/>
    <w:rsid w:val="005F5054"/>
    <w:rsid w:val="005F50F5"/>
    <w:rsid w:val="005F68DB"/>
    <w:rsid w:val="005F6D74"/>
    <w:rsid w:val="005F7369"/>
    <w:rsid w:val="005F73BD"/>
    <w:rsid w:val="005F7657"/>
    <w:rsid w:val="005F770E"/>
    <w:rsid w:val="005F780B"/>
    <w:rsid w:val="006000E9"/>
    <w:rsid w:val="006004B6"/>
    <w:rsid w:val="00600611"/>
    <w:rsid w:val="00600F8D"/>
    <w:rsid w:val="00601280"/>
    <w:rsid w:val="00601290"/>
    <w:rsid w:val="006018AF"/>
    <w:rsid w:val="006019D2"/>
    <w:rsid w:val="00601F5B"/>
    <w:rsid w:val="00602013"/>
    <w:rsid w:val="0060205E"/>
    <w:rsid w:val="00602931"/>
    <w:rsid w:val="006029D6"/>
    <w:rsid w:val="00602AD6"/>
    <w:rsid w:val="00602C22"/>
    <w:rsid w:val="00603466"/>
    <w:rsid w:val="00603B4D"/>
    <w:rsid w:val="00604070"/>
    <w:rsid w:val="00604550"/>
    <w:rsid w:val="00604D28"/>
    <w:rsid w:val="006059FA"/>
    <w:rsid w:val="00605B76"/>
    <w:rsid w:val="00605F25"/>
    <w:rsid w:val="006061D2"/>
    <w:rsid w:val="00606213"/>
    <w:rsid w:val="0060662F"/>
    <w:rsid w:val="0060668F"/>
    <w:rsid w:val="00606768"/>
    <w:rsid w:val="00607210"/>
    <w:rsid w:val="00607BA3"/>
    <w:rsid w:val="00607E9F"/>
    <w:rsid w:val="00610512"/>
    <w:rsid w:val="00610657"/>
    <w:rsid w:val="00610F40"/>
    <w:rsid w:val="006113B3"/>
    <w:rsid w:val="0061168C"/>
    <w:rsid w:val="006116DF"/>
    <w:rsid w:val="00612135"/>
    <w:rsid w:val="006121C5"/>
    <w:rsid w:val="0061322F"/>
    <w:rsid w:val="006134F8"/>
    <w:rsid w:val="0061372B"/>
    <w:rsid w:val="006141D1"/>
    <w:rsid w:val="006144D7"/>
    <w:rsid w:val="00614921"/>
    <w:rsid w:val="006150AE"/>
    <w:rsid w:val="00615397"/>
    <w:rsid w:val="00615703"/>
    <w:rsid w:val="00615C99"/>
    <w:rsid w:val="0061602A"/>
    <w:rsid w:val="00616182"/>
    <w:rsid w:val="00616493"/>
    <w:rsid w:val="00616819"/>
    <w:rsid w:val="00616862"/>
    <w:rsid w:val="00617036"/>
    <w:rsid w:val="00617EEC"/>
    <w:rsid w:val="0062007D"/>
    <w:rsid w:val="006201A1"/>
    <w:rsid w:val="00620371"/>
    <w:rsid w:val="0062040D"/>
    <w:rsid w:val="00620E9F"/>
    <w:rsid w:val="00620F60"/>
    <w:rsid w:val="006212C3"/>
    <w:rsid w:val="006219FA"/>
    <w:rsid w:val="00621AE6"/>
    <w:rsid w:val="00622686"/>
    <w:rsid w:val="0062289F"/>
    <w:rsid w:val="00622A98"/>
    <w:rsid w:val="00623274"/>
    <w:rsid w:val="006232F6"/>
    <w:rsid w:val="00623542"/>
    <w:rsid w:val="006235CE"/>
    <w:rsid w:val="00623C7C"/>
    <w:rsid w:val="00623D75"/>
    <w:rsid w:val="00623EAA"/>
    <w:rsid w:val="00623EF5"/>
    <w:rsid w:val="0062441D"/>
    <w:rsid w:val="00624A1B"/>
    <w:rsid w:val="00624C68"/>
    <w:rsid w:val="0062520A"/>
    <w:rsid w:val="006256BD"/>
    <w:rsid w:val="00625769"/>
    <w:rsid w:val="006259DA"/>
    <w:rsid w:val="00625D87"/>
    <w:rsid w:val="00626232"/>
    <w:rsid w:val="00626518"/>
    <w:rsid w:val="00626FA5"/>
    <w:rsid w:val="00626FB7"/>
    <w:rsid w:val="00627716"/>
    <w:rsid w:val="006277EB"/>
    <w:rsid w:val="00627B05"/>
    <w:rsid w:val="00627C71"/>
    <w:rsid w:val="00627F93"/>
    <w:rsid w:val="00630328"/>
    <w:rsid w:val="00630509"/>
    <w:rsid w:val="00630760"/>
    <w:rsid w:val="006307A7"/>
    <w:rsid w:val="006325D0"/>
    <w:rsid w:val="00632ED5"/>
    <w:rsid w:val="00633837"/>
    <w:rsid w:val="0063392B"/>
    <w:rsid w:val="0063468E"/>
    <w:rsid w:val="00635192"/>
    <w:rsid w:val="006354F5"/>
    <w:rsid w:val="006357D8"/>
    <w:rsid w:val="006359F6"/>
    <w:rsid w:val="00635B53"/>
    <w:rsid w:val="00635BFE"/>
    <w:rsid w:val="006362DE"/>
    <w:rsid w:val="006367FD"/>
    <w:rsid w:val="006369D7"/>
    <w:rsid w:val="0063734A"/>
    <w:rsid w:val="0063784B"/>
    <w:rsid w:val="006404AE"/>
    <w:rsid w:val="006405C5"/>
    <w:rsid w:val="00640832"/>
    <w:rsid w:val="00641F31"/>
    <w:rsid w:val="00642020"/>
    <w:rsid w:val="00643266"/>
    <w:rsid w:val="006436AC"/>
    <w:rsid w:val="0064387B"/>
    <w:rsid w:val="00644371"/>
    <w:rsid w:val="006445B7"/>
    <w:rsid w:val="00644810"/>
    <w:rsid w:val="006448DC"/>
    <w:rsid w:val="006451A1"/>
    <w:rsid w:val="00645AE6"/>
    <w:rsid w:val="00645E6E"/>
    <w:rsid w:val="006464BE"/>
    <w:rsid w:val="00646E53"/>
    <w:rsid w:val="00646F74"/>
    <w:rsid w:val="006470FD"/>
    <w:rsid w:val="00647178"/>
    <w:rsid w:val="006472CC"/>
    <w:rsid w:val="00647BF4"/>
    <w:rsid w:val="006500BE"/>
    <w:rsid w:val="00650180"/>
    <w:rsid w:val="006505B8"/>
    <w:rsid w:val="00650846"/>
    <w:rsid w:val="00650B30"/>
    <w:rsid w:val="00650E41"/>
    <w:rsid w:val="006513E2"/>
    <w:rsid w:val="0065159C"/>
    <w:rsid w:val="00651CE4"/>
    <w:rsid w:val="00652CD7"/>
    <w:rsid w:val="006532C0"/>
    <w:rsid w:val="0065340C"/>
    <w:rsid w:val="00653DAA"/>
    <w:rsid w:val="00653E08"/>
    <w:rsid w:val="00653E51"/>
    <w:rsid w:val="00653F95"/>
    <w:rsid w:val="006546AB"/>
    <w:rsid w:val="00655176"/>
    <w:rsid w:val="00655BDA"/>
    <w:rsid w:val="00655E40"/>
    <w:rsid w:val="00655ED0"/>
    <w:rsid w:val="006568D3"/>
    <w:rsid w:val="00656BD8"/>
    <w:rsid w:val="00656DE9"/>
    <w:rsid w:val="00656FBD"/>
    <w:rsid w:val="0065705B"/>
    <w:rsid w:val="006572A6"/>
    <w:rsid w:val="0065763A"/>
    <w:rsid w:val="0065795D"/>
    <w:rsid w:val="00657E76"/>
    <w:rsid w:val="00657F8A"/>
    <w:rsid w:val="00660559"/>
    <w:rsid w:val="006605B0"/>
    <w:rsid w:val="00660792"/>
    <w:rsid w:val="006609F7"/>
    <w:rsid w:val="006613C6"/>
    <w:rsid w:val="0066197C"/>
    <w:rsid w:val="0066221A"/>
    <w:rsid w:val="00662305"/>
    <w:rsid w:val="00662673"/>
    <w:rsid w:val="006630C1"/>
    <w:rsid w:val="006632FA"/>
    <w:rsid w:val="0066370F"/>
    <w:rsid w:val="006638A1"/>
    <w:rsid w:val="00664B84"/>
    <w:rsid w:val="0066500F"/>
    <w:rsid w:val="006651E8"/>
    <w:rsid w:val="00665A68"/>
    <w:rsid w:val="00665EE6"/>
    <w:rsid w:val="00666644"/>
    <w:rsid w:val="00666731"/>
    <w:rsid w:val="006667B4"/>
    <w:rsid w:val="006667E6"/>
    <w:rsid w:val="00667142"/>
    <w:rsid w:val="00667384"/>
    <w:rsid w:val="00667924"/>
    <w:rsid w:val="006709D1"/>
    <w:rsid w:val="00670BAC"/>
    <w:rsid w:val="006711AE"/>
    <w:rsid w:val="00671726"/>
    <w:rsid w:val="00671C58"/>
    <w:rsid w:val="0067264C"/>
    <w:rsid w:val="006727AA"/>
    <w:rsid w:val="00672C1A"/>
    <w:rsid w:val="00673DF8"/>
    <w:rsid w:val="00673FC8"/>
    <w:rsid w:val="00674DB7"/>
    <w:rsid w:val="0067515B"/>
    <w:rsid w:val="00675549"/>
    <w:rsid w:val="00675A8B"/>
    <w:rsid w:val="00676000"/>
    <w:rsid w:val="00676142"/>
    <w:rsid w:val="00676597"/>
    <w:rsid w:val="006766A4"/>
    <w:rsid w:val="006766AB"/>
    <w:rsid w:val="00676CAB"/>
    <w:rsid w:val="00676E3F"/>
    <w:rsid w:val="00676E55"/>
    <w:rsid w:val="00677314"/>
    <w:rsid w:val="006773BE"/>
    <w:rsid w:val="006775DB"/>
    <w:rsid w:val="00677CD6"/>
    <w:rsid w:val="00677D36"/>
    <w:rsid w:val="00677EB8"/>
    <w:rsid w:val="006803CB"/>
    <w:rsid w:val="006804A4"/>
    <w:rsid w:val="0068082A"/>
    <w:rsid w:val="00680984"/>
    <w:rsid w:val="00680CE0"/>
    <w:rsid w:val="00681586"/>
    <w:rsid w:val="00682007"/>
    <w:rsid w:val="006820B4"/>
    <w:rsid w:val="006820CD"/>
    <w:rsid w:val="00682747"/>
    <w:rsid w:val="00682B05"/>
    <w:rsid w:val="00682B0E"/>
    <w:rsid w:val="006830DF"/>
    <w:rsid w:val="00684702"/>
    <w:rsid w:val="006849A3"/>
    <w:rsid w:val="00684CF8"/>
    <w:rsid w:val="006858D5"/>
    <w:rsid w:val="0068603E"/>
    <w:rsid w:val="00686A0C"/>
    <w:rsid w:val="00686C55"/>
    <w:rsid w:val="00687291"/>
    <w:rsid w:val="0068743A"/>
    <w:rsid w:val="0068783B"/>
    <w:rsid w:val="0068793D"/>
    <w:rsid w:val="00687B26"/>
    <w:rsid w:val="00687F06"/>
    <w:rsid w:val="00690549"/>
    <w:rsid w:val="0069089E"/>
    <w:rsid w:val="006909DD"/>
    <w:rsid w:val="006909FB"/>
    <w:rsid w:val="006911FE"/>
    <w:rsid w:val="0069161C"/>
    <w:rsid w:val="00691BDA"/>
    <w:rsid w:val="0069268B"/>
    <w:rsid w:val="006936EB"/>
    <w:rsid w:val="0069372A"/>
    <w:rsid w:val="00693A6B"/>
    <w:rsid w:val="00693FC2"/>
    <w:rsid w:val="00694003"/>
    <w:rsid w:val="00694C9D"/>
    <w:rsid w:val="0069530C"/>
    <w:rsid w:val="006953B7"/>
    <w:rsid w:val="006954F1"/>
    <w:rsid w:val="0069575C"/>
    <w:rsid w:val="00695A34"/>
    <w:rsid w:val="00695B2E"/>
    <w:rsid w:val="00695C9C"/>
    <w:rsid w:val="00695D9C"/>
    <w:rsid w:val="00696348"/>
    <w:rsid w:val="006963FF"/>
    <w:rsid w:val="006964DA"/>
    <w:rsid w:val="0069669B"/>
    <w:rsid w:val="00696897"/>
    <w:rsid w:val="00696F62"/>
    <w:rsid w:val="0069713D"/>
    <w:rsid w:val="00697D2C"/>
    <w:rsid w:val="00697DDE"/>
    <w:rsid w:val="006A0C91"/>
    <w:rsid w:val="006A0EAD"/>
    <w:rsid w:val="006A106A"/>
    <w:rsid w:val="006A1292"/>
    <w:rsid w:val="006A12E5"/>
    <w:rsid w:val="006A1343"/>
    <w:rsid w:val="006A1B99"/>
    <w:rsid w:val="006A2175"/>
    <w:rsid w:val="006A21D8"/>
    <w:rsid w:val="006A2C2B"/>
    <w:rsid w:val="006A2CA6"/>
    <w:rsid w:val="006A4116"/>
    <w:rsid w:val="006A45A1"/>
    <w:rsid w:val="006A4B0C"/>
    <w:rsid w:val="006A4D08"/>
    <w:rsid w:val="006A5382"/>
    <w:rsid w:val="006A5613"/>
    <w:rsid w:val="006A5881"/>
    <w:rsid w:val="006A5B2B"/>
    <w:rsid w:val="006A5D09"/>
    <w:rsid w:val="006A5E64"/>
    <w:rsid w:val="006A5F3A"/>
    <w:rsid w:val="006A67E8"/>
    <w:rsid w:val="006A6AF1"/>
    <w:rsid w:val="006A6DD2"/>
    <w:rsid w:val="006A7072"/>
    <w:rsid w:val="006A708C"/>
    <w:rsid w:val="006A7B0E"/>
    <w:rsid w:val="006B043C"/>
    <w:rsid w:val="006B0709"/>
    <w:rsid w:val="006B0773"/>
    <w:rsid w:val="006B07B0"/>
    <w:rsid w:val="006B0A4A"/>
    <w:rsid w:val="006B1227"/>
    <w:rsid w:val="006B1332"/>
    <w:rsid w:val="006B155C"/>
    <w:rsid w:val="006B1734"/>
    <w:rsid w:val="006B1804"/>
    <w:rsid w:val="006B1C83"/>
    <w:rsid w:val="006B2588"/>
    <w:rsid w:val="006B29EE"/>
    <w:rsid w:val="006B2F10"/>
    <w:rsid w:val="006B3000"/>
    <w:rsid w:val="006B327E"/>
    <w:rsid w:val="006B3296"/>
    <w:rsid w:val="006B3465"/>
    <w:rsid w:val="006B359F"/>
    <w:rsid w:val="006B35E2"/>
    <w:rsid w:val="006B38C1"/>
    <w:rsid w:val="006B38E6"/>
    <w:rsid w:val="006B3A2C"/>
    <w:rsid w:val="006B3CF6"/>
    <w:rsid w:val="006B3D8C"/>
    <w:rsid w:val="006B3F50"/>
    <w:rsid w:val="006B4879"/>
    <w:rsid w:val="006B490A"/>
    <w:rsid w:val="006B51E1"/>
    <w:rsid w:val="006B5407"/>
    <w:rsid w:val="006B5752"/>
    <w:rsid w:val="006B580B"/>
    <w:rsid w:val="006B5A4A"/>
    <w:rsid w:val="006B5C53"/>
    <w:rsid w:val="006B5D20"/>
    <w:rsid w:val="006B5D38"/>
    <w:rsid w:val="006B6FDA"/>
    <w:rsid w:val="006B7710"/>
    <w:rsid w:val="006B78CB"/>
    <w:rsid w:val="006B7EF4"/>
    <w:rsid w:val="006C027B"/>
    <w:rsid w:val="006C04DD"/>
    <w:rsid w:val="006C0E66"/>
    <w:rsid w:val="006C1CF3"/>
    <w:rsid w:val="006C1FD4"/>
    <w:rsid w:val="006C20D4"/>
    <w:rsid w:val="006C2395"/>
    <w:rsid w:val="006C2510"/>
    <w:rsid w:val="006C2C48"/>
    <w:rsid w:val="006C2CDD"/>
    <w:rsid w:val="006C2CF2"/>
    <w:rsid w:val="006C2D11"/>
    <w:rsid w:val="006C3517"/>
    <w:rsid w:val="006C3B16"/>
    <w:rsid w:val="006C3DC7"/>
    <w:rsid w:val="006C40E9"/>
    <w:rsid w:val="006C45EA"/>
    <w:rsid w:val="006C4A5B"/>
    <w:rsid w:val="006C4BFC"/>
    <w:rsid w:val="006C51AC"/>
    <w:rsid w:val="006C64FC"/>
    <w:rsid w:val="006C65C4"/>
    <w:rsid w:val="006C6A5C"/>
    <w:rsid w:val="006C6D11"/>
    <w:rsid w:val="006C7153"/>
    <w:rsid w:val="006D0E42"/>
    <w:rsid w:val="006D1AC4"/>
    <w:rsid w:val="006D1C15"/>
    <w:rsid w:val="006D1DB0"/>
    <w:rsid w:val="006D1F32"/>
    <w:rsid w:val="006D2660"/>
    <w:rsid w:val="006D29F9"/>
    <w:rsid w:val="006D2E5D"/>
    <w:rsid w:val="006D338F"/>
    <w:rsid w:val="006D33CF"/>
    <w:rsid w:val="006D4210"/>
    <w:rsid w:val="006D4244"/>
    <w:rsid w:val="006D48DF"/>
    <w:rsid w:val="006D4A40"/>
    <w:rsid w:val="006D4FB1"/>
    <w:rsid w:val="006D56C9"/>
    <w:rsid w:val="006D5C32"/>
    <w:rsid w:val="006D5D6C"/>
    <w:rsid w:val="006D5F4F"/>
    <w:rsid w:val="006D66B2"/>
    <w:rsid w:val="006D6855"/>
    <w:rsid w:val="006D6B9B"/>
    <w:rsid w:val="006D6BCC"/>
    <w:rsid w:val="006D6C2B"/>
    <w:rsid w:val="006D746F"/>
    <w:rsid w:val="006D75A4"/>
    <w:rsid w:val="006D764D"/>
    <w:rsid w:val="006D7780"/>
    <w:rsid w:val="006D779B"/>
    <w:rsid w:val="006D7A9D"/>
    <w:rsid w:val="006E020F"/>
    <w:rsid w:val="006E041E"/>
    <w:rsid w:val="006E04B6"/>
    <w:rsid w:val="006E04EA"/>
    <w:rsid w:val="006E0B1A"/>
    <w:rsid w:val="006E0CDA"/>
    <w:rsid w:val="006E0F75"/>
    <w:rsid w:val="006E109A"/>
    <w:rsid w:val="006E18E3"/>
    <w:rsid w:val="006E1DE6"/>
    <w:rsid w:val="006E1EE8"/>
    <w:rsid w:val="006E2069"/>
    <w:rsid w:val="006E24FC"/>
    <w:rsid w:val="006E27A6"/>
    <w:rsid w:val="006E32BF"/>
    <w:rsid w:val="006E4245"/>
    <w:rsid w:val="006E4251"/>
    <w:rsid w:val="006E5086"/>
    <w:rsid w:val="006E5BFC"/>
    <w:rsid w:val="006E6AFB"/>
    <w:rsid w:val="006E6BAE"/>
    <w:rsid w:val="006E6E27"/>
    <w:rsid w:val="006E76CE"/>
    <w:rsid w:val="006E773F"/>
    <w:rsid w:val="006E7F26"/>
    <w:rsid w:val="006F06CF"/>
    <w:rsid w:val="006F07D7"/>
    <w:rsid w:val="006F0E63"/>
    <w:rsid w:val="006F0ED0"/>
    <w:rsid w:val="006F148F"/>
    <w:rsid w:val="006F1EC7"/>
    <w:rsid w:val="006F2B75"/>
    <w:rsid w:val="006F2FFE"/>
    <w:rsid w:val="006F33BA"/>
    <w:rsid w:val="006F345F"/>
    <w:rsid w:val="006F3471"/>
    <w:rsid w:val="006F3AE9"/>
    <w:rsid w:val="006F4555"/>
    <w:rsid w:val="006F480A"/>
    <w:rsid w:val="006F49CC"/>
    <w:rsid w:val="006F4A03"/>
    <w:rsid w:val="006F5234"/>
    <w:rsid w:val="006F5805"/>
    <w:rsid w:val="006F588E"/>
    <w:rsid w:val="006F58B0"/>
    <w:rsid w:val="006F600C"/>
    <w:rsid w:val="006F60AD"/>
    <w:rsid w:val="006F6678"/>
    <w:rsid w:val="006F6C11"/>
    <w:rsid w:val="006F7254"/>
    <w:rsid w:val="006F7BF8"/>
    <w:rsid w:val="006F7E5E"/>
    <w:rsid w:val="006F7E91"/>
    <w:rsid w:val="006F7F2A"/>
    <w:rsid w:val="0070025E"/>
    <w:rsid w:val="007006FB"/>
    <w:rsid w:val="0070103D"/>
    <w:rsid w:val="00701101"/>
    <w:rsid w:val="0070113D"/>
    <w:rsid w:val="00701A7C"/>
    <w:rsid w:val="00701ABC"/>
    <w:rsid w:val="00701AC5"/>
    <w:rsid w:val="00702231"/>
    <w:rsid w:val="007022F0"/>
    <w:rsid w:val="0070238C"/>
    <w:rsid w:val="00702698"/>
    <w:rsid w:val="007027D2"/>
    <w:rsid w:val="007030E4"/>
    <w:rsid w:val="0070311C"/>
    <w:rsid w:val="00703681"/>
    <w:rsid w:val="007036B0"/>
    <w:rsid w:val="007037C8"/>
    <w:rsid w:val="0070441B"/>
    <w:rsid w:val="00705227"/>
    <w:rsid w:val="0070597D"/>
    <w:rsid w:val="00705B21"/>
    <w:rsid w:val="00705CB5"/>
    <w:rsid w:val="0070684E"/>
    <w:rsid w:val="00706F65"/>
    <w:rsid w:val="007070F4"/>
    <w:rsid w:val="007071EB"/>
    <w:rsid w:val="0070757D"/>
    <w:rsid w:val="00707D71"/>
    <w:rsid w:val="007103C4"/>
    <w:rsid w:val="00710954"/>
    <w:rsid w:val="00710961"/>
    <w:rsid w:val="00710AF0"/>
    <w:rsid w:val="00710E4B"/>
    <w:rsid w:val="007111F3"/>
    <w:rsid w:val="0071191F"/>
    <w:rsid w:val="00711A79"/>
    <w:rsid w:val="00711C5C"/>
    <w:rsid w:val="00711C5E"/>
    <w:rsid w:val="00711E1C"/>
    <w:rsid w:val="0071207E"/>
    <w:rsid w:val="00712D48"/>
    <w:rsid w:val="00713161"/>
    <w:rsid w:val="007131BB"/>
    <w:rsid w:val="00713320"/>
    <w:rsid w:val="00713328"/>
    <w:rsid w:val="007133B7"/>
    <w:rsid w:val="007141B5"/>
    <w:rsid w:val="007146DD"/>
    <w:rsid w:val="007148BF"/>
    <w:rsid w:val="0071562B"/>
    <w:rsid w:val="00715AE5"/>
    <w:rsid w:val="00716B1D"/>
    <w:rsid w:val="00716CC6"/>
    <w:rsid w:val="00716EFB"/>
    <w:rsid w:val="007170BA"/>
    <w:rsid w:val="007172B8"/>
    <w:rsid w:val="00717301"/>
    <w:rsid w:val="007173B5"/>
    <w:rsid w:val="007176F5"/>
    <w:rsid w:val="007200AF"/>
    <w:rsid w:val="00720718"/>
    <w:rsid w:val="007207CC"/>
    <w:rsid w:val="00720C7B"/>
    <w:rsid w:val="00720E8C"/>
    <w:rsid w:val="00721198"/>
    <w:rsid w:val="007212AB"/>
    <w:rsid w:val="007219A6"/>
    <w:rsid w:val="00721B13"/>
    <w:rsid w:val="007223FF"/>
    <w:rsid w:val="007226C3"/>
    <w:rsid w:val="00722CD1"/>
    <w:rsid w:val="00722E83"/>
    <w:rsid w:val="00722E8A"/>
    <w:rsid w:val="00722FBE"/>
    <w:rsid w:val="007231C5"/>
    <w:rsid w:val="007233DE"/>
    <w:rsid w:val="0072365C"/>
    <w:rsid w:val="00723769"/>
    <w:rsid w:val="00723FB6"/>
    <w:rsid w:val="007247D7"/>
    <w:rsid w:val="00724AC1"/>
    <w:rsid w:val="00725BCD"/>
    <w:rsid w:val="00725C5D"/>
    <w:rsid w:val="00725DB5"/>
    <w:rsid w:val="00725F70"/>
    <w:rsid w:val="00725FA9"/>
    <w:rsid w:val="0072636C"/>
    <w:rsid w:val="00726550"/>
    <w:rsid w:val="00726AB3"/>
    <w:rsid w:val="007272F5"/>
    <w:rsid w:val="00727D03"/>
    <w:rsid w:val="00727D74"/>
    <w:rsid w:val="00730754"/>
    <w:rsid w:val="0073107E"/>
    <w:rsid w:val="00731567"/>
    <w:rsid w:val="007326E8"/>
    <w:rsid w:val="00733C55"/>
    <w:rsid w:val="00733D56"/>
    <w:rsid w:val="00733E49"/>
    <w:rsid w:val="007340FD"/>
    <w:rsid w:val="00734C91"/>
    <w:rsid w:val="0073551A"/>
    <w:rsid w:val="00735A67"/>
    <w:rsid w:val="00735CA6"/>
    <w:rsid w:val="0073648D"/>
    <w:rsid w:val="00736645"/>
    <w:rsid w:val="00736AAA"/>
    <w:rsid w:val="00736AF9"/>
    <w:rsid w:val="00737237"/>
    <w:rsid w:val="00737350"/>
    <w:rsid w:val="007415CD"/>
    <w:rsid w:val="00741837"/>
    <w:rsid w:val="00741A78"/>
    <w:rsid w:val="00741D7E"/>
    <w:rsid w:val="00742388"/>
    <w:rsid w:val="007425ED"/>
    <w:rsid w:val="0074260D"/>
    <w:rsid w:val="007426C0"/>
    <w:rsid w:val="00742B03"/>
    <w:rsid w:val="00742E42"/>
    <w:rsid w:val="00742F4A"/>
    <w:rsid w:val="00743667"/>
    <w:rsid w:val="00743728"/>
    <w:rsid w:val="00743B17"/>
    <w:rsid w:val="00743BD4"/>
    <w:rsid w:val="00743F70"/>
    <w:rsid w:val="00744852"/>
    <w:rsid w:val="007448A5"/>
    <w:rsid w:val="007448F5"/>
    <w:rsid w:val="0074525E"/>
    <w:rsid w:val="00745609"/>
    <w:rsid w:val="00745851"/>
    <w:rsid w:val="00745852"/>
    <w:rsid w:val="00746887"/>
    <w:rsid w:val="00747440"/>
    <w:rsid w:val="007475CF"/>
    <w:rsid w:val="007475FD"/>
    <w:rsid w:val="007505B4"/>
    <w:rsid w:val="00750776"/>
    <w:rsid w:val="007516E8"/>
    <w:rsid w:val="00751CC6"/>
    <w:rsid w:val="007520DB"/>
    <w:rsid w:val="00752148"/>
    <w:rsid w:val="0075220A"/>
    <w:rsid w:val="00752773"/>
    <w:rsid w:val="00752E34"/>
    <w:rsid w:val="0075328E"/>
    <w:rsid w:val="00754BC7"/>
    <w:rsid w:val="0075500B"/>
    <w:rsid w:val="00755228"/>
    <w:rsid w:val="007557FB"/>
    <w:rsid w:val="007558AE"/>
    <w:rsid w:val="00755AEA"/>
    <w:rsid w:val="00756BFF"/>
    <w:rsid w:val="007572A1"/>
    <w:rsid w:val="00757404"/>
    <w:rsid w:val="00757523"/>
    <w:rsid w:val="007579AD"/>
    <w:rsid w:val="00760E4A"/>
    <w:rsid w:val="007610FB"/>
    <w:rsid w:val="0076241E"/>
    <w:rsid w:val="00762471"/>
    <w:rsid w:val="00762494"/>
    <w:rsid w:val="007627E8"/>
    <w:rsid w:val="007632F2"/>
    <w:rsid w:val="0076384E"/>
    <w:rsid w:val="00763FAF"/>
    <w:rsid w:val="007642F4"/>
    <w:rsid w:val="00764474"/>
    <w:rsid w:val="007644DC"/>
    <w:rsid w:val="00764802"/>
    <w:rsid w:val="00764E70"/>
    <w:rsid w:val="00764F1A"/>
    <w:rsid w:val="0076511F"/>
    <w:rsid w:val="007659EF"/>
    <w:rsid w:val="00765AF4"/>
    <w:rsid w:val="00766273"/>
    <w:rsid w:val="00766373"/>
    <w:rsid w:val="007663B9"/>
    <w:rsid w:val="00766828"/>
    <w:rsid w:val="00767043"/>
    <w:rsid w:val="00767201"/>
    <w:rsid w:val="00767435"/>
    <w:rsid w:val="00767D96"/>
    <w:rsid w:val="00767E06"/>
    <w:rsid w:val="007701D9"/>
    <w:rsid w:val="007708C9"/>
    <w:rsid w:val="00770926"/>
    <w:rsid w:val="00770942"/>
    <w:rsid w:val="00770B7C"/>
    <w:rsid w:val="00770C7A"/>
    <w:rsid w:val="00770E52"/>
    <w:rsid w:val="00770F13"/>
    <w:rsid w:val="00771275"/>
    <w:rsid w:val="00771426"/>
    <w:rsid w:val="007717F1"/>
    <w:rsid w:val="00771C75"/>
    <w:rsid w:val="00771E06"/>
    <w:rsid w:val="007727BF"/>
    <w:rsid w:val="00772C4B"/>
    <w:rsid w:val="00772CD6"/>
    <w:rsid w:val="00772D25"/>
    <w:rsid w:val="00773AB7"/>
    <w:rsid w:val="00773EE4"/>
    <w:rsid w:val="00774C3D"/>
    <w:rsid w:val="00774E4D"/>
    <w:rsid w:val="00774F5F"/>
    <w:rsid w:val="007753FA"/>
    <w:rsid w:val="007759B1"/>
    <w:rsid w:val="00775BB4"/>
    <w:rsid w:val="00775BE8"/>
    <w:rsid w:val="00775D2B"/>
    <w:rsid w:val="0077618C"/>
    <w:rsid w:val="0077639B"/>
    <w:rsid w:val="007763A5"/>
    <w:rsid w:val="0077641F"/>
    <w:rsid w:val="0077646E"/>
    <w:rsid w:val="007766BC"/>
    <w:rsid w:val="00776BE8"/>
    <w:rsid w:val="00776E23"/>
    <w:rsid w:val="00777647"/>
    <w:rsid w:val="007776C1"/>
    <w:rsid w:val="00777F74"/>
    <w:rsid w:val="00780054"/>
    <w:rsid w:val="0078008D"/>
    <w:rsid w:val="007804D7"/>
    <w:rsid w:val="00780996"/>
    <w:rsid w:val="00780A54"/>
    <w:rsid w:val="00781086"/>
    <w:rsid w:val="0078122A"/>
    <w:rsid w:val="007814D0"/>
    <w:rsid w:val="00781C8C"/>
    <w:rsid w:val="00781F4F"/>
    <w:rsid w:val="007825B5"/>
    <w:rsid w:val="00782C83"/>
    <w:rsid w:val="00782DB5"/>
    <w:rsid w:val="00783038"/>
    <w:rsid w:val="00783150"/>
    <w:rsid w:val="007831DA"/>
    <w:rsid w:val="007833DE"/>
    <w:rsid w:val="0078399F"/>
    <w:rsid w:val="00783DD6"/>
    <w:rsid w:val="00783EBC"/>
    <w:rsid w:val="00784652"/>
    <w:rsid w:val="007847D4"/>
    <w:rsid w:val="00784B78"/>
    <w:rsid w:val="0078517E"/>
    <w:rsid w:val="007857B4"/>
    <w:rsid w:val="00785F26"/>
    <w:rsid w:val="00785FF1"/>
    <w:rsid w:val="007861A0"/>
    <w:rsid w:val="007869B8"/>
    <w:rsid w:val="007869D4"/>
    <w:rsid w:val="00786E36"/>
    <w:rsid w:val="00787041"/>
    <w:rsid w:val="00787A42"/>
    <w:rsid w:val="00790C0B"/>
    <w:rsid w:val="00790C68"/>
    <w:rsid w:val="00791039"/>
    <w:rsid w:val="007918F5"/>
    <w:rsid w:val="0079197F"/>
    <w:rsid w:val="007919BB"/>
    <w:rsid w:val="00791B9F"/>
    <w:rsid w:val="00791DD1"/>
    <w:rsid w:val="0079251A"/>
    <w:rsid w:val="007925EA"/>
    <w:rsid w:val="00792BED"/>
    <w:rsid w:val="00793CD4"/>
    <w:rsid w:val="007941F7"/>
    <w:rsid w:val="00794427"/>
    <w:rsid w:val="00794A0D"/>
    <w:rsid w:val="00794B52"/>
    <w:rsid w:val="00794CFA"/>
    <w:rsid w:val="00794FDF"/>
    <w:rsid w:val="00795254"/>
    <w:rsid w:val="007955D7"/>
    <w:rsid w:val="00795D70"/>
    <w:rsid w:val="00796431"/>
    <w:rsid w:val="00796798"/>
    <w:rsid w:val="00796965"/>
    <w:rsid w:val="00796E8B"/>
    <w:rsid w:val="00796FFB"/>
    <w:rsid w:val="007970BF"/>
    <w:rsid w:val="00797852"/>
    <w:rsid w:val="007A0BD1"/>
    <w:rsid w:val="007A0BEC"/>
    <w:rsid w:val="007A13FB"/>
    <w:rsid w:val="007A19FD"/>
    <w:rsid w:val="007A1BA2"/>
    <w:rsid w:val="007A217D"/>
    <w:rsid w:val="007A2DCA"/>
    <w:rsid w:val="007A3279"/>
    <w:rsid w:val="007A3338"/>
    <w:rsid w:val="007A3E3E"/>
    <w:rsid w:val="007A3E71"/>
    <w:rsid w:val="007A4259"/>
    <w:rsid w:val="007A4399"/>
    <w:rsid w:val="007A4968"/>
    <w:rsid w:val="007A4AFB"/>
    <w:rsid w:val="007A4F72"/>
    <w:rsid w:val="007A5199"/>
    <w:rsid w:val="007A568B"/>
    <w:rsid w:val="007A6536"/>
    <w:rsid w:val="007A6867"/>
    <w:rsid w:val="007A6D33"/>
    <w:rsid w:val="007A737A"/>
    <w:rsid w:val="007A75B5"/>
    <w:rsid w:val="007A7709"/>
    <w:rsid w:val="007A7D9A"/>
    <w:rsid w:val="007A7F67"/>
    <w:rsid w:val="007B056D"/>
    <w:rsid w:val="007B070D"/>
    <w:rsid w:val="007B10AB"/>
    <w:rsid w:val="007B1177"/>
    <w:rsid w:val="007B18C1"/>
    <w:rsid w:val="007B1A97"/>
    <w:rsid w:val="007B1AC5"/>
    <w:rsid w:val="007B25B4"/>
    <w:rsid w:val="007B25E6"/>
    <w:rsid w:val="007B2729"/>
    <w:rsid w:val="007B2CF0"/>
    <w:rsid w:val="007B3630"/>
    <w:rsid w:val="007B3748"/>
    <w:rsid w:val="007B38F5"/>
    <w:rsid w:val="007B3A23"/>
    <w:rsid w:val="007B3AA7"/>
    <w:rsid w:val="007B402D"/>
    <w:rsid w:val="007B40F7"/>
    <w:rsid w:val="007B42A9"/>
    <w:rsid w:val="007B46E4"/>
    <w:rsid w:val="007B53AC"/>
    <w:rsid w:val="007B5424"/>
    <w:rsid w:val="007B55FA"/>
    <w:rsid w:val="007B5EA4"/>
    <w:rsid w:val="007B658D"/>
    <w:rsid w:val="007B6786"/>
    <w:rsid w:val="007B6BAE"/>
    <w:rsid w:val="007B6D41"/>
    <w:rsid w:val="007B70F2"/>
    <w:rsid w:val="007B75EB"/>
    <w:rsid w:val="007B782D"/>
    <w:rsid w:val="007B7B83"/>
    <w:rsid w:val="007C040B"/>
    <w:rsid w:val="007C0781"/>
    <w:rsid w:val="007C0BC4"/>
    <w:rsid w:val="007C11A7"/>
    <w:rsid w:val="007C1358"/>
    <w:rsid w:val="007C1450"/>
    <w:rsid w:val="007C1786"/>
    <w:rsid w:val="007C17E9"/>
    <w:rsid w:val="007C1D9A"/>
    <w:rsid w:val="007C2259"/>
    <w:rsid w:val="007C26F9"/>
    <w:rsid w:val="007C2DE4"/>
    <w:rsid w:val="007C30CB"/>
    <w:rsid w:val="007C314D"/>
    <w:rsid w:val="007C42FF"/>
    <w:rsid w:val="007C47D9"/>
    <w:rsid w:val="007C4A04"/>
    <w:rsid w:val="007C4FA4"/>
    <w:rsid w:val="007C535F"/>
    <w:rsid w:val="007C625C"/>
    <w:rsid w:val="007C66EA"/>
    <w:rsid w:val="007C6C54"/>
    <w:rsid w:val="007C7246"/>
    <w:rsid w:val="007C76AE"/>
    <w:rsid w:val="007C7CC9"/>
    <w:rsid w:val="007C7D22"/>
    <w:rsid w:val="007C7E83"/>
    <w:rsid w:val="007D0394"/>
    <w:rsid w:val="007D0808"/>
    <w:rsid w:val="007D0A73"/>
    <w:rsid w:val="007D0C6C"/>
    <w:rsid w:val="007D1327"/>
    <w:rsid w:val="007D1A36"/>
    <w:rsid w:val="007D1DF1"/>
    <w:rsid w:val="007D1EB1"/>
    <w:rsid w:val="007D263C"/>
    <w:rsid w:val="007D2665"/>
    <w:rsid w:val="007D26FE"/>
    <w:rsid w:val="007D29DE"/>
    <w:rsid w:val="007D2B3C"/>
    <w:rsid w:val="007D2D2E"/>
    <w:rsid w:val="007D2D8F"/>
    <w:rsid w:val="007D2FFD"/>
    <w:rsid w:val="007D319E"/>
    <w:rsid w:val="007D3203"/>
    <w:rsid w:val="007D3C01"/>
    <w:rsid w:val="007D3E75"/>
    <w:rsid w:val="007D41B7"/>
    <w:rsid w:val="007D4343"/>
    <w:rsid w:val="007D4CCC"/>
    <w:rsid w:val="007D4EB1"/>
    <w:rsid w:val="007D513A"/>
    <w:rsid w:val="007D5B62"/>
    <w:rsid w:val="007D5C3A"/>
    <w:rsid w:val="007D5C70"/>
    <w:rsid w:val="007D6697"/>
    <w:rsid w:val="007D6847"/>
    <w:rsid w:val="007D70BB"/>
    <w:rsid w:val="007D71C0"/>
    <w:rsid w:val="007D79A0"/>
    <w:rsid w:val="007D79AB"/>
    <w:rsid w:val="007D7CB3"/>
    <w:rsid w:val="007E06AB"/>
    <w:rsid w:val="007E09D7"/>
    <w:rsid w:val="007E0AB8"/>
    <w:rsid w:val="007E11DB"/>
    <w:rsid w:val="007E1419"/>
    <w:rsid w:val="007E2162"/>
    <w:rsid w:val="007E224C"/>
    <w:rsid w:val="007E25EC"/>
    <w:rsid w:val="007E28B9"/>
    <w:rsid w:val="007E2E4C"/>
    <w:rsid w:val="007E32D0"/>
    <w:rsid w:val="007E380A"/>
    <w:rsid w:val="007E3D7D"/>
    <w:rsid w:val="007E4663"/>
    <w:rsid w:val="007E46CB"/>
    <w:rsid w:val="007E47C0"/>
    <w:rsid w:val="007E5608"/>
    <w:rsid w:val="007E5B31"/>
    <w:rsid w:val="007E6004"/>
    <w:rsid w:val="007E63A5"/>
    <w:rsid w:val="007E6812"/>
    <w:rsid w:val="007E75DC"/>
    <w:rsid w:val="007E7651"/>
    <w:rsid w:val="007E78DF"/>
    <w:rsid w:val="007E7E7B"/>
    <w:rsid w:val="007F00E8"/>
    <w:rsid w:val="007F035A"/>
    <w:rsid w:val="007F03D0"/>
    <w:rsid w:val="007F04A9"/>
    <w:rsid w:val="007F18B0"/>
    <w:rsid w:val="007F1F6A"/>
    <w:rsid w:val="007F2316"/>
    <w:rsid w:val="007F25B5"/>
    <w:rsid w:val="007F2867"/>
    <w:rsid w:val="007F29C4"/>
    <w:rsid w:val="007F29ED"/>
    <w:rsid w:val="007F2BF1"/>
    <w:rsid w:val="007F3026"/>
    <w:rsid w:val="007F32B3"/>
    <w:rsid w:val="007F354A"/>
    <w:rsid w:val="007F3900"/>
    <w:rsid w:val="007F4010"/>
    <w:rsid w:val="007F4635"/>
    <w:rsid w:val="007F47A2"/>
    <w:rsid w:val="007F4DBB"/>
    <w:rsid w:val="007F4F24"/>
    <w:rsid w:val="007F4F88"/>
    <w:rsid w:val="007F502F"/>
    <w:rsid w:val="007F56C2"/>
    <w:rsid w:val="007F5AC6"/>
    <w:rsid w:val="007F63F0"/>
    <w:rsid w:val="007F6BC1"/>
    <w:rsid w:val="007F70F2"/>
    <w:rsid w:val="007F7732"/>
    <w:rsid w:val="007F7794"/>
    <w:rsid w:val="007F7A3F"/>
    <w:rsid w:val="007F7F16"/>
    <w:rsid w:val="008002AD"/>
    <w:rsid w:val="00800741"/>
    <w:rsid w:val="008012C0"/>
    <w:rsid w:val="00801415"/>
    <w:rsid w:val="008016C0"/>
    <w:rsid w:val="0080189C"/>
    <w:rsid w:val="008018E6"/>
    <w:rsid w:val="00801EFC"/>
    <w:rsid w:val="008026C6"/>
    <w:rsid w:val="0080275E"/>
    <w:rsid w:val="00802BE6"/>
    <w:rsid w:val="00802F51"/>
    <w:rsid w:val="00803835"/>
    <w:rsid w:val="00803A2F"/>
    <w:rsid w:val="00803C2D"/>
    <w:rsid w:val="008045C8"/>
    <w:rsid w:val="008046B6"/>
    <w:rsid w:val="0080500D"/>
    <w:rsid w:val="00805347"/>
    <w:rsid w:val="00805C68"/>
    <w:rsid w:val="008063F7"/>
    <w:rsid w:val="008066A2"/>
    <w:rsid w:val="00807572"/>
    <w:rsid w:val="00807B17"/>
    <w:rsid w:val="00807E1B"/>
    <w:rsid w:val="00810366"/>
    <w:rsid w:val="008107F8"/>
    <w:rsid w:val="00810A31"/>
    <w:rsid w:val="00810FCD"/>
    <w:rsid w:val="0081116B"/>
    <w:rsid w:val="00811194"/>
    <w:rsid w:val="00811685"/>
    <w:rsid w:val="008118F9"/>
    <w:rsid w:val="00811DE1"/>
    <w:rsid w:val="00812002"/>
    <w:rsid w:val="00812128"/>
    <w:rsid w:val="008121BE"/>
    <w:rsid w:val="00812253"/>
    <w:rsid w:val="00812564"/>
    <w:rsid w:val="00812958"/>
    <w:rsid w:val="00812F67"/>
    <w:rsid w:val="008130CC"/>
    <w:rsid w:val="0081314D"/>
    <w:rsid w:val="00813176"/>
    <w:rsid w:val="0081380E"/>
    <w:rsid w:val="00813FBA"/>
    <w:rsid w:val="00813FEB"/>
    <w:rsid w:val="008140B1"/>
    <w:rsid w:val="0081421A"/>
    <w:rsid w:val="00814387"/>
    <w:rsid w:val="00814469"/>
    <w:rsid w:val="008144D1"/>
    <w:rsid w:val="008146B9"/>
    <w:rsid w:val="00814EF1"/>
    <w:rsid w:val="0081559B"/>
    <w:rsid w:val="00815816"/>
    <w:rsid w:val="008163A4"/>
    <w:rsid w:val="00816F41"/>
    <w:rsid w:val="00817001"/>
    <w:rsid w:val="00817012"/>
    <w:rsid w:val="0081739D"/>
    <w:rsid w:val="00817B33"/>
    <w:rsid w:val="00817B8C"/>
    <w:rsid w:val="00817C76"/>
    <w:rsid w:val="00820352"/>
    <w:rsid w:val="00820D3E"/>
    <w:rsid w:val="00821898"/>
    <w:rsid w:val="00821F0A"/>
    <w:rsid w:val="008222D2"/>
    <w:rsid w:val="008222F7"/>
    <w:rsid w:val="008230A5"/>
    <w:rsid w:val="008230F2"/>
    <w:rsid w:val="0082359D"/>
    <w:rsid w:val="00823ED6"/>
    <w:rsid w:val="008241E9"/>
    <w:rsid w:val="008241ED"/>
    <w:rsid w:val="0082452A"/>
    <w:rsid w:val="00824BE5"/>
    <w:rsid w:val="00825B89"/>
    <w:rsid w:val="008266F2"/>
    <w:rsid w:val="008275F0"/>
    <w:rsid w:val="008276D0"/>
    <w:rsid w:val="00827978"/>
    <w:rsid w:val="008308C1"/>
    <w:rsid w:val="00831022"/>
    <w:rsid w:val="00831277"/>
    <w:rsid w:val="0083152D"/>
    <w:rsid w:val="00831ACA"/>
    <w:rsid w:val="00831B4C"/>
    <w:rsid w:val="00831F41"/>
    <w:rsid w:val="00832155"/>
    <w:rsid w:val="00832318"/>
    <w:rsid w:val="008327E0"/>
    <w:rsid w:val="00832F94"/>
    <w:rsid w:val="008330E8"/>
    <w:rsid w:val="00833132"/>
    <w:rsid w:val="00833890"/>
    <w:rsid w:val="00833B21"/>
    <w:rsid w:val="00833F27"/>
    <w:rsid w:val="00834419"/>
    <w:rsid w:val="008349DF"/>
    <w:rsid w:val="00834BF4"/>
    <w:rsid w:val="008356D6"/>
    <w:rsid w:val="00835CEB"/>
    <w:rsid w:val="008360D6"/>
    <w:rsid w:val="0083622A"/>
    <w:rsid w:val="008364B8"/>
    <w:rsid w:val="008364BB"/>
    <w:rsid w:val="0083663F"/>
    <w:rsid w:val="00836A9C"/>
    <w:rsid w:val="00836E45"/>
    <w:rsid w:val="00836FDC"/>
    <w:rsid w:val="008371F2"/>
    <w:rsid w:val="008372A5"/>
    <w:rsid w:val="00837C1B"/>
    <w:rsid w:val="00837FEC"/>
    <w:rsid w:val="008402EC"/>
    <w:rsid w:val="00840CE0"/>
    <w:rsid w:val="00840D85"/>
    <w:rsid w:val="00840DCD"/>
    <w:rsid w:val="0084208F"/>
    <w:rsid w:val="0084212D"/>
    <w:rsid w:val="0084220A"/>
    <w:rsid w:val="00842DD1"/>
    <w:rsid w:val="00842FBC"/>
    <w:rsid w:val="00843184"/>
    <w:rsid w:val="0084351F"/>
    <w:rsid w:val="0084366E"/>
    <w:rsid w:val="008442DC"/>
    <w:rsid w:val="0084498D"/>
    <w:rsid w:val="00844A0F"/>
    <w:rsid w:val="00844ACE"/>
    <w:rsid w:val="00844BFD"/>
    <w:rsid w:val="00844FD6"/>
    <w:rsid w:val="00845196"/>
    <w:rsid w:val="008458F6"/>
    <w:rsid w:val="008478CF"/>
    <w:rsid w:val="00847F55"/>
    <w:rsid w:val="00847FCB"/>
    <w:rsid w:val="0085033E"/>
    <w:rsid w:val="00850CB0"/>
    <w:rsid w:val="008512D1"/>
    <w:rsid w:val="00851C86"/>
    <w:rsid w:val="0085215C"/>
    <w:rsid w:val="00852226"/>
    <w:rsid w:val="0085279E"/>
    <w:rsid w:val="00852B9C"/>
    <w:rsid w:val="00852C6A"/>
    <w:rsid w:val="00852D9E"/>
    <w:rsid w:val="00853907"/>
    <w:rsid w:val="00853CFF"/>
    <w:rsid w:val="0085401E"/>
    <w:rsid w:val="0085473A"/>
    <w:rsid w:val="00854B71"/>
    <w:rsid w:val="00855369"/>
    <w:rsid w:val="00855380"/>
    <w:rsid w:val="00855423"/>
    <w:rsid w:val="0085590F"/>
    <w:rsid w:val="00855947"/>
    <w:rsid w:val="00856662"/>
    <w:rsid w:val="008566D6"/>
    <w:rsid w:val="00856BE0"/>
    <w:rsid w:val="00857179"/>
    <w:rsid w:val="00857444"/>
    <w:rsid w:val="0085745B"/>
    <w:rsid w:val="0085770B"/>
    <w:rsid w:val="008577FD"/>
    <w:rsid w:val="008578C8"/>
    <w:rsid w:val="00857B7B"/>
    <w:rsid w:val="0086084D"/>
    <w:rsid w:val="008610C3"/>
    <w:rsid w:val="00862DC9"/>
    <w:rsid w:val="008634B8"/>
    <w:rsid w:val="00863B27"/>
    <w:rsid w:val="00863EEF"/>
    <w:rsid w:val="00863F23"/>
    <w:rsid w:val="00863F5D"/>
    <w:rsid w:val="008643E0"/>
    <w:rsid w:val="0086471E"/>
    <w:rsid w:val="00864EC9"/>
    <w:rsid w:val="008651C6"/>
    <w:rsid w:val="008651FC"/>
    <w:rsid w:val="0086566F"/>
    <w:rsid w:val="00865730"/>
    <w:rsid w:val="00865946"/>
    <w:rsid w:val="00865B0D"/>
    <w:rsid w:val="00865CE0"/>
    <w:rsid w:val="00865D28"/>
    <w:rsid w:val="008662BE"/>
    <w:rsid w:val="00866646"/>
    <w:rsid w:val="00866A42"/>
    <w:rsid w:val="00866E51"/>
    <w:rsid w:val="00866E8A"/>
    <w:rsid w:val="00866F1D"/>
    <w:rsid w:val="00867571"/>
    <w:rsid w:val="00867A77"/>
    <w:rsid w:val="00867F67"/>
    <w:rsid w:val="0087038F"/>
    <w:rsid w:val="008709BD"/>
    <w:rsid w:val="00870FBD"/>
    <w:rsid w:val="0087133F"/>
    <w:rsid w:val="00871BB6"/>
    <w:rsid w:val="00872498"/>
    <w:rsid w:val="0087268D"/>
    <w:rsid w:val="00872A2F"/>
    <w:rsid w:val="0087323F"/>
    <w:rsid w:val="008734B5"/>
    <w:rsid w:val="00873563"/>
    <w:rsid w:val="00873706"/>
    <w:rsid w:val="00873AB4"/>
    <w:rsid w:val="008744E0"/>
    <w:rsid w:val="00874894"/>
    <w:rsid w:val="00874BD5"/>
    <w:rsid w:val="00875410"/>
    <w:rsid w:val="00875616"/>
    <w:rsid w:val="00875AF9"/>
    <w:rsid w:val="0087612B"/>
    <w:rsid w:val="008763BB"/>
    <w:rsid w:val="0087691A"/>
    <w:rsid w:val="00876C84"/>
    <w:rsid w:val="00876D06"/>
    <w:rsid w:val="0087733F"/>
    <w:rsid w:val="0087759D"/>
    <w:rsid w:val="00877874"/>
    <w:rsid w:val="00880041"/>
    <w:rsid w:val="00880B20"/>
    <w:rsid w:val="00880B88"/>
    <w:rsid w:val="0088102B"/>
    <w:rsid w:val="008811BD"/>
    <w:rsid w:val="00881485"/>
    <w:rsid w:val="008814B0"/>
    <w:rsid w:val="00881793"/>
    <w:rsid w:val="0088213F"/>
    <w:rsid w:val="00882438"/>
    <w:rsid w:val="008832C0"/>
    <w:rsid w:val="00883D2D"/>
    <w:rsid w:val="00883E43"/>
    <w:rsid w:val="008841FF"/>
    <w:rsid w:val="00884677"/>
    <w:rsid w:val="00884B8A"/>
    <w:rsid w:val="0088578E"/>
    <w:rsid w:val="00885A0C"/>
    <w:rsid w:val="00885C70"/>
    <w:rsid w:val="00885D10"/>
    <w:rsid w:val="00885E74"/>
    <w:rsid w:val="00885EB4"/>
    <w:rsid w:val="00885F02"/>
    <w:rsid w:val="008860A9"/>
    <w:rsid w:val="008861FE"/>
    <w:rsid w:val="00886499"/>
    <w:rsid w:val="008865AC"/>
    <w:rsid w:val="008868C5"/>
    <w:rsid w:val="00886CC8"/>
    <w:rsid w:val="0088717F"/>
    <w:rsid w:val="008875C4"/>
    <w:rsid w:val="008876CF"/>
    <w:rsid w:val="0088790F"/>
    <w:rsid w:val="0088799A"/>
    <w:rsid w:val="0089023C"/>
    <w:rsid w:val="00890290"/>
    <w:rsid w:val="00890694"/>
    <w:rsid w:val="00890923"/>
    <w:rsid w:val="00890C7E"/>
    <w:rsid w:val="00890DA3"/>
    <w:rsid w:val="00891091"/>
    <w:rsid w:val="00891564"/>
    <w:rsid w:val="00891CD5"/>
    <w:rsid w:val="008924B6"/>
    <w:rsid w:val="0089341D"/>
    <w:rsid w:val="008939F4"/>
    <w:rsid w:val="00894035"/>
    <w:rsid w:val="0089462A"/>
    <w:rsid w:val="00894C84"/>
    <w:rsid w:val="0089522D"/>
    <w:rsid w:val="008959F3"/>
    <w:rsid w:val="00895A8E"/>
    <w:rsid w:val="00895D91"/>
    <w:rsid w:val="00896A02"/>
    <w:rsid w:val="00896E92"/>
    <w:rsid w:val="00896FF8"/>
    <w:rsid w:val="00897119"/>
    <w:rsid w:val="0089729C"/>
    <w:rsid w:val="00897708"/>
    <w:rsid w:val="008978BF"/>
    <w:rsid w:val="00897F26"/>
    <w:rsid w:val="008A01C0"/>
    <w:rsid w:val="008A0A7D"/>
    <w:rsid w:val="008A0CC2"/>
    <w:rsid w:val="008A0E95"/>
    <w:rsid w:val="008A0ED8"/>
    <w:rsid w:val="008A12B8"/>
    <w:rsid w:val="008A1469"/>
    <w:rsid w:val="008A17A3"/>
    <w:rsid w:val="008A17F0"/>
    <w:rsid w:val="008A1C44"/>
    <w:rsid w:val="008A2238"/>
    <w:rsid w:val="008A2751"/>
    <w:rsid w:val="008A2BD7"/>
    <w:rsid w:val="008A2CA9"/>
    <w:rsid w:val="008A3295"/>
    <w:rsid w:val="008A349A"/>
    <w:rsid w:val="008A3BD4"/>
    <w:rsid w:val="008A3D3A"/>
    <w:rsid w:val="008A3E35"/>
    <w:rsid w:val="008A4299"/>
    <w:rsid w:val="008A4353"/>
    <w:rsid w:val="008A473E"/>
    <w:rsid w:val="008A4EB6"/>
    <w:rsid w:val="008A50FD"/>
    <w:rsid w:val="008A516B"/>
    <w:rsid w:val="008A5276"/>
    <w:rsid w:val="008A5657"/>
    <w:rsid w:val="008A5836"/>
    <w:rsid w:val="008A5B9B"/>
    <w:rsid w:val="008A5D13"/>
    <w:rsid w:val="008A5E00"/>
    <w:rsid w:val="008A618C"/>
    <w:rsid w:val="008A6313"/>
    <w:rsid w:val="008A63E9"/>
    <w:rsid w:val="008A7603"/>
    <w:rsid w:val="008A7A6B"/>
    <w:rsid w:val="008A7A87"/>
    <w:rsid w:val="008A7C72"/>
    <w:rsid w:val="008B01E8"/>
    <w:rsid w:val="008B0270"/>
    <w:rsid w:val="008B04B7"/>
    <w:rsid w:val="008B0A52"/>
    <w:rsid w:val="008B1525"/>
    <w:rsid w:val="008B16D8"/>
    <w:rsid w:val="008B22AF"/>
    <w:rsid w:val="008B2DE9"/>
    <w:rsid w:val="008B2E94"/>
    <w:rsid w:val="008B3B36"/>
    <w:rsid w:val="008B3C14"/>
    <w:rsid w:val="008B4566"/>
    <w:rsid w:val="008B4794"/>
    <w:rsid w:val="008B4F86"/>
    <w:rsid w:val="008B5110"/>
    <w:rsid w:val="008B5471"/>
    <w:rsid w:val="008B564E"/>
    <w:rsid w:val="008B56E6"/>
    <w:rsid w:val="008B592A"/>
    <w:rsid w:val="008B5D05"/>
    <w:rsid w:val="008B5D3F"/>
    <w:rsid w:val="008B5F48"/>
    <w:rsid w:val="008B6225"/>
    <w:rsid w:val="008B664D"/>
    <w:rsid w:val="008B70F5"/>
    <w:rsid w:val="008B720B"/>
    <w:rsid w:val="008B73C2"/>
    <w:rsid w:val="008B74C1"/>
    <w:rsid w:val="008C00C8"/>
    <w:rsid w:val="008C0340"/>
    <w:rsid w:val="008C09DA"/>
    <w:rsid w:val="008C1837"/>
    <w:rsid w:val="008C2611"/>
    <w:rsid w:val="008C275C"/>
    <w:rsid w:val="008C3079"/>
    <w:rsid w:val="008C3578"/>
    <w:rsid w:val="008C374A"/>
    <w:rsid w:val="008C3B92"/>
    <w:rsid w:val="008C3C0A"/>
    <w:rsid w:val="008C3EE8"/>
    <w:rsid w:val="008C3F1E"/>
    <w:rsid w:val="008C465B"/>
    <w:rsid w:val="008C4913"/>
    <w:rsid w:val="008C4B36"/>
    <w:rsid w:val="008C4FB2"/>
    <w:rsid w:val="008C51ED"/>
    <w:rsid w:val="008C543E"/>
    <w:rsid w:val="008C585D"/>
    <w:rsid w:val="008C59F1"/>
    <w:rsid w:val="008C5D7B"/>
    <w:rsid w:val="008C5F21"/>
    <w:rsid w:val="008C64AA"/>
    <w:rsid w:val="008C6E5A"/>
    <w:rsid w:val="008C7329"/>
    <w:rsid w:val="008C73DC"/>
    <w:rsid w:val="008C740E"/>
    <w:rsid w:val="008C7E09"/>
    <w:rsid w:val="008D04EB"/>
    <w:rsid w:val="008D069E"/>
    <w:rsid w:val="008D07BE"/>
    <w:rsid w:val="008D08E4"/>
    <w:rsid w:val="008D0BD4"/>
    <w:rsid w:val="008D0BDB"/>
    <w:rsid w:val="008D0D42"/>
    <w:rsid w:val="008D0EBF"/>
    <w:rsid w:val="008D13C3"/>
    <w:rsid w:val="008D153E"/>
    <w:rsid w:val="008D1FB7"/>
    <w:rsid w:val="008D226D"/>
    <w:rsid w:val="008D2506"/>
    <w:rsid w:val="008D2519"/>
    <w:rsid w:val="008D4294"/>
    <w:rsid w:val="008D45E5"/>
    <w:rsid w:val="008D4788"/>
    <w:rsid w:val="008D4827"/>
    <w:rsid w:val="008D48F3"/>
    <w:rsid w:val="008D4D64"/>
    <w:rsid w:val="008D4DD4"/>
    <w:rsid w:val="008D53B6"/>
    <w:rsid w:val="008D5485"/>
    <w:rsid w:val="008D54E3"/>
    <w:rsid w:val="008D54F0"/>
    <w:rsid w:val="008D556F"/>
    <w:rsid w:val="008D564A"/>
    <w:rsid w:val="008D58E4"/>
    <w:rsid w:val="008D597A"/>
    <w:rsid w:val="008D5EE4"/>
    <w:rsid w:val="008D6BC6"/>
    <w:rsid w:val="008D6E51"/>
    <w:rsid w:val="008D76E8"/>
    <w:rsid w:val="008D77D5"/>
    <w:rsid w:val="008D79C2"/>
    <w:rsid w:val="008D7AA0"/>
    <w:rsid w:val="008D7C7A"/>
    <w:rsid w:val="008E012F"/>
    <w:rsid w:val="008E0330"/>
    <w:rsid w:val="008E0E66"/>
    <w:rsid w:val="008E1490"/>
    <w:rsid w:val="008E149A"/>
    <w:rsid w:val="008E14C0"/>
    <w:rsid w:val="008E2134"/>
    <w:rsid w:val="008E2441"/>
    <w:rsid w:val="008E2850"/>
    <w:rsid w:val="008E2FA6"/>
    <w:rsid w:val="008E338B"/>
    <w:rsid w:val="008E34F9"/>
    <w:rsid w:val="008E367A"/>
    <w:rsid w:val="008E36A4"/>
    <w:rsid w:val="008E3CDB"/>
    <w:rsid w:val="008E48CD"/>
    <w:rsid w:val="008E4B0B"/>
    <w:rsid w:val="008E4B3E"/>
    <w:rsid w:val="008E52F8"/>
    <w:rsid w:val="008E5434"/>
    <w:rsid w:val="008E5A6C"/>
    <w:rsid w:val="008E65BF"/>
    <w:rsid w:val="008E6653"/>
    <w:rsid w:val="008E670F"/>
    <w:rsid w:val="008E6770"/>
    <w:rsid w:val="008E7142"/>
    <w:rsid w:val="008E7338"/>
    <w:rsid w:val="008E7483"/>
    <w:rsid w:val="008E762E"/>
    <w:rsid w:val="008E7CA1"/>
    <w:rsid w:val="008E7DED"/>
    <w:rsid w:val="008E7EEE"/>
    <w:rsid w:val="008F0913"/>
    <w:rsid w:val="008F0E6F"/>
    <w:rsid w:val="008F12D2"/>
    <w:rsid w:val="008F1598"/>
    <w:rsid w:val="008F165F"/>
    <w:rsid w:val="008F1CDE"/>
    <w:rsid w:val="008F2559"/>
    <w:rsid w:val="008F25DE"/>
    <w:rsid w:val="008F283E"/>
    <w:rsid w:val="008F2849"/>
    <w:rsid w:val="008F2C3B"/>
    <w:rsid w:val="008F2DAB"/>
    <w:rsid w:val="008F3705"/>
    <w:rsid w:val="008F435E"/>
    <w:rsid w:val="008F436E"/>
    <w:rsid w:val="008F57AD"/>
    <w:rsid w:val="008F5B1B"/>
    <w:rsid w:val="008F600C"/>
    <w:rsid w:val="008F627E"/>
    <w:rsid w:val="008F6F6F"/>
    <w:rsid w:val="008F7068"/>
    <w:rsid w:val="008F7192"/>
    <w:rsid w:val="008F728B"/>
    <w:rsid w:val="008F7432"/>
    <w:rsid w:val="008F7CA4"/>
    <w:rsid w:val="009000F1"/>
    <w:rsid w:val="0090012B"/>
    <w:rsid w:val="00900285"/>
    <w:rsid w:val="0090035E"/>
    <w:rsid w:val="0090067B"/>
    <w:rsid w:val="0090128C"/>
    <w:rsid w:val="00901D45"/>
    <w:rsid w:val="00901E39"/>
    <w:rsid w:val="00901EB4"/>
    <w:rsid w:val="00901EBD"/>
    <w:rsid w:val="00902020"/>
    <w:rsid w:val="00902679"/>
    <w:rsid w:val="00902FB0"/>
    <w:rsid w:val="00903BEA"/>
    <w:rsid w:val="00903F6F"/>
    <w:rsid w:val="0090401C"/>
    <w:rsid w:val="00904E9F"/>
    <w:rsid w:val="00904F9E"/>
    <w:rsid w:val="009059EB"/>
    <w:rsid w:val="00906041"/>
    <w:rsid w:val="0090608D"/>
    <w:rsid w:val="00906479"/>
    <w:rsid w:val="00906ABE"/>
    <w:rsid w:val="00906EE8"/>
    <w:rsid w:val="009076D4"/>
    <w:rsid w:val="00907894"/>
    <w:rsid w:val="00907A49"/>
    <w:rsid w:val="00907ACA"/>
    <w:rsid w:val="009104A3"/>
    <w:rsid w:val="00910A0D"/>
    <w:rsid w:val="00911556"/>
    <w:rsid w:val="009118BD"/>
    <w:rsid w:val="00911BDA"/>
    <w:rsid w:val="009121A7"/>
    <w:rsid w:val="00912349"/>
    <w:rsid w:val="009125A5"/>
    <w:rsid w:val="009137BA"/>
    <w:rsid w:val="009137ED"/>
    <w:rsid w:val="00913AB6"/>
    <w:rsid w:val="0091418A"/>
    <w:rsid w:val="009145F7"/>
    <w:rsid w:val="009147C7"/>
    <w:rsid w:val="00914AE3"/>
    <w:rsid w:val="00914D02"/>
    <w:rsid w:val="00915014"/>
    <w:rsid w:val="009150B6"/>
    <w:rsid w:val="00915A51"/>
    <w:rsid w:val="00916231"/>
    <w:rsid w:val="0091662B"/>
    <w:rsid w:val="009172DD"/>
    <w:rsid w:val="009179F1"/>
    <w:rsid w:val="00920010"/>
    <w:rsid w:val="009203DC"/>
    <w:rsid w:val="00920639"/>
    <w:rsid w:val="00920689"/>
    <w:rsid w:val="00920746"/>
    <w:rsid w:val="009207C1"/>
    <w:rsid w:val="00920D8C"/>
    <w:rsid w:val="00921147"/>
    <w:rsid w:val="009211B6"/>
    <w:rsid w:val="00921386"/>
    <w:rsid w:val="009216D2"/>
    <w:rsid w:val="00921FCC"/>
    <w:rsid w:val="00922578"/>
    <w:rsid w:val="009226A5"/>
    <w:rsid w:val="00922793"/>
    <w:rsid w:val="00922FB8"/>
    <w:rsid w:val="009230E7"/>
    <w:rsid w:val="009232DD"/>
    <w:rsid w:val="0092335B"/>
    <w:rsid w:val="0092335F"/>
    <w:rsid w:val="009234CE"/>
    <w:rsid w:val="009236EC"/>
    <w:rsid w:val="00923B46"/>
    <w:rsid w:val="00923D12"/>
    <w:rsid w:val="00923E3E"/>
    <w:rsid w:val="009240F3"/>
    <w:rsid w:val="00924145"/>
    <w:rsid w:val="009241F6"/>
    <w:rsid w:val="00924313"/>
    <w:rsid w:val="00924621"/>
    <w:rsid w:val="009249D0"/>
    <w:rsid w:val="00924B9F"/>
    <w:rsid w:val="00924D49"/>
    <w:rsid w:val="00924E79"/>
    <w:rsid w:val="00925297"/>
    <w:rsid w:val="009253CD"/>
    <w:rsid w:val="009253E2"/>
    <w:rsid w:val="009260C9"/>
    <w:rsid w:val="00926506"/>
    <w:rsid w:val="00926627"/>
    <w:rsid w:val="00926A80"/>
    <w:rsid w:val="00926CEA"/>
    <w:rsid w:val="00926E06"/>
    <w:rsid w:val="00927A8B"/>
    <w:rsid w:val="00927EBC"/>
    <w:rsid w:val="009302AA"/>
    <w:rsid w:val="00930952"/>
    <w:rsid w:val="00930E85"/>
    <w:rsid w:val="0093141D"/>
    <w:rsid w:val="00931539"/>
    <w:rsid w:val="00931F7F"/>
    <w:rsid w:val="0093258F"/>
    <w:rsid w:val="00932C5A"/>
    <w:rsid w:val="00932CAD"/>
    <w:rsid w:val="00933729"/>
    <w:rsid w:val="00933B30"/>
    <w:rsid w:val="00933E68"/>
    <w:rsid w:val="009344D8"/>
    <w:rsid w:val="009356EA"/>
    <w:rsid w:val="00935A50"/>
    <w:rsid w:val="00935F34"/>
    <w:rsid w:val="0093624E"/>
    <w:rsid w:val="009362CE"/>
    <w:rsid w:val="00936AC8"/>
    <w:rsid w:val="00936CD6"/>
    <w:rsid w:val="00937090"/>
    <w:rsid w:val="0093721A"/>
    <w:rsid w:val="0093751F"/>
    <w:rsid w:val="00937708"/>
    <w:rsid w:val="009377AF"/>
    <w:rsid w:val="00937843"/>
    <w:rsid w:val="00937972"/>
    <w:rsid w:val="00937EBE"/>
    <w:rsid w:val="00940D50"/>
    <w:rsid w:val="00940D9C"/>
    <w:rsid w:val="00941003"/>
    <w:rsid w:val="009411E6"/>
    <w:rsid w:val="00941794"/>
    <w:rsid w:val="00941E57"/>
    <w:rsid w:val="00942A66"/>
    <w:rsid w:val="00942AAE"/>
    <w:rsid w:val="00942D3A"/>
    <w:rsid w:val="00942E6F"/>
    <w:rsid w:val="00942EE9"/>
    <w:rsid w:val="00943138"/>
    <w:rsid w:val="009436B7"/>
    <w:rsid w:val="00943A7F"/>
    <w:rsid w:val="00943AD5"/>
    <w:rsid w:val="00944290"/>
    <w:rsid w:val="009445C4"/>
    <w:rsid w:val="00944669"/>
    <w:rsid w:val="00944797"/>
    <w:rsid w:val="00944AF9"/>
    <w:rsid w:val="00944DA9"/>
    <w:rsid w:val="00945494"/>
    <w:rsid w:val="00945508"/>
    <w:rsid w:val="00945858"/>
    <w:rsid w:val="00945B6F"/>
    <w:rsid w:val="0094615E"/>
    <w:rsid w:val="00946505"/>
    <w:rsid w:val="0094708A"/>
    <w:rsid w:val="0094768C"/>
    <w:rsid w:val="00947A9C"/>
    <w:rsid w:val="00947E23"/>
    <w:rsid w:val="00947E58"/>
    <w:rsid w:val="00950284"/>
    <w:rsid w:val="009502D1"/>
    <w:rsid w:val="00950639"/>
    <w:rsid w:val="0095087C"/>
    <w:rsid w:val="00951491"/>
    <w:rsid w:val="009519AB"/>
    <w:rsid w:val="00951A15"/>
    <w:rsid w:val="00951A5A"/>
    <w:rsid w:val="00951D00"/>
    <w:rsid w:val="009529CF"/>
    <w:rsid w:val="00952B24"/>
    <w:rsid w:val="00952FD2"/>
    <w:rsid w:val="009532AD"/>
    <w:rsid w:val="009532C3"/>
    <w:rsid w:val="00953810"/>
    <w:rsid w:val="00953A18"/>
    <w:rsid w:val="00954666"/>
    <w:rsid w:val="009548D8"/>
    <w:rsid w:val="00954FAD"/>
    <w:rsid w:val="00955572"/>
    <w:rsid w:val="0095670C"/>
    <w:rsid w:val="009570B1"/>
    <w:rsid w:val="00957AFF"/>
    <w:rsid w:val="00957C41"/>
    <w:rsid w:val="00957D2A"/>
    <w:rsid w:val="00957F02"/>
    <w:rsid w:val="009600ED"/>
    <w:rsid w:val="0096028B"/>
    <w:rsid w:val="0096125F"/>
    <w:rsid w:val="00961848"/>
    <w:rsid w:val="00961865"/>
    <w:rsid w:val="00962467"/>
    <w:rsid w:val="00962894"/>
    <w:rsid w:val="00962C74"/>
    <w:rsid w:val="009638BF"/>
    <w:rsid w:val="00963BBF"/>
    <w:rsid w:val="009641EA"/>
    <w:rsid w:val="009649D2"/>
    <w:rsid w:val="00964AA7"/>
    <w:rsid w:val="00964B41"/>
    <w:rsid w:val="0096507F"/>
    <w:rsid w:val="00965525"/>
    <w:rsid w:val="009666B5"/>
    <w:rsid w:val="00966824"/>
    <w:rsid w:val="00966857"/>
    <w:rsid w:val="00966A63"/>
    <w:rsid w:val="00966CB8"/>
    <w:rsid w:val="0096702F"/>
    <w:rsid w:val="00967559"/>
    <w:rsid w:val="009676ED"/>
    <w:rsid w:val="00967DD6"/>
    <w:rsid w:val="00970B9A"/>
    <w:rsid w:val="0097116F"/>
    <w:rsid w:val="00971303"/>
    <w:rsid w:val="0097131D"/>
    <w:rsid w:val="0097148D"/>
    <w:rsid w:val="00971F21"/>
    <w:rsid w:val="00971FB7"/>
    <w:rsid w:val="00972C06"/>
    <w:rsid w:val="00972F84"/>
    <w:rsid w:val="009738A4"/>
    <w:rsid w:val="00973DC0"/>
    <w:rsid w:val="0097406B"/>
    <w:rsid w:val="0097453F"/>
    <w:rsid w:val="0097491F"/>
    <w:rsid w:val="00975448"/>
    <w:rsid w:val="00975A55"/>
    <w:rsid w:val="00976411"/>
    <w:rsid w:val="00976B29"/>
    <w:rsid w:val="0097785A"/>
    <w:rsid w:val="00977981"/>
    <w:rsid w:val="009779EF"/>
    <w:rsid w:val="00977F69"/>
    <w:rsid w:val="009807F8"/>
    <w:rsid w:val="00980980"/>
    <w:rsid w:val="00980B8C"/>
    <w:rsid w:val="00981090"/>
    <w:rsid w:val="0098152F"/>
    <w:rsid w:val="00981CB0"/>
    <w:rsid w:val="00981E8C"/>
    <w:rsid w:val="00981EF7"/>
    <w:rsid w:val="00982507"/>
    <w:rsid w:val="009825D9"/>
    <w:rsid w:val="009827AB"/>
    <w:rsid w:val="00982B64"/>
    <w:rsid w:val="0098341E"/>
    <w:rsid w:val="00984646"/>
    <w:rsid w:val="00984784"/>
    <w:rsid w:val="0098566F"/>
    <w:rsid w:val="009858B8"/>
    <w:rsid w:val="00985BCC"/>
    <w:rsid w:val="00986295"/>
    <w:rsid w:val="0098685E"/>
    <w:rsid w:val="009870F8"/>
    <w:rsid w:val="00987713"/>
    <w:rsid w:val="00990121"/>
    <w:rsid w:val="00990177"/>
    <w:rsid w:val="0099084E"/>
    <w:rsid w:val="00990E9F"/>
    <w:rsid w:val="00991274"/>
    <w:rsid w:val="00991876"/>
    <w:rsid w:val="00992214"/>
    <w:rsid w:val="009924E3"/>
    <w:rsid w:val="00992838"/>
    <w:rsid w:val="00992C3B"/>
    <w:rsid w:val="00992D25"/>
    <w:rsid w:val="00992FEB"/>
    <w:rsid w:val="009935AE"/>
    <w:rsid w:val="00993805"/>
    <w:rsid w:val="00993D2A"/>
    <w:rsid w:val="00993E6D"/>
    <w:rsid w:val="00993F9A"/>
    <w:rsid w:val="00994041"/>
    <w:rsid w:val="009941FE"/>
    <w:rsid w:val="009942C0"/>
    <w:rsid w:val="009944C4"/>
    <w:rsid w:val="0099462B"/>
    <w:rsid w:val="00994B5C"/>
    <w:rsid w:val="00994D7D"/>
    <w:rsid w:val="009956C2"/>
    <w:rsid w:val="00995895"/>
    <w:rsid w:val="00995A82"/>
    <w:rsid w:val="00995D8A"/>
    <w:rsid w:val="00995DBD"/>
    <w:rsid w:val="0099601C"/>
    <w:rsid w:val="00996BB1"/>
    <w:rsid w:val="00996DBF"/>
    <w:rsid w:val="00996F34"/>
    <w:rsid w:val="009973CD"/>
    <w:rsid w:val="009977EF"/>
    <w:rsid w:val="00997832"/>
    <w:rsid w:val="00997A44"/>
    <w:rsid w:val="00997D2B"/>
    <w:rsid w:val="009A0103"/>
    <w:rsid w:val="009A0359"/>
    <w:rsid w:val="009A046F"/>
    <w:rsid w:val="009A05E2"/>
    <w:rsid w:val="009A0B72"/>
    <w:rsid w:val="009A14B7"/>
    <w:rsid w:val="009A198C"/>
    <w:rsid w:val="009A1C3E"/>
    <w:rsid w:val="009A2033"/>
    <w:rsid w:val="009A2298"/>
    <w:rsid w:val="009A291F"/>
    <w:rsid w:val="009A2B74"/>
    <w:rsid w:val="009A2C95"/>
    <w:rsid w:val="009A2D73"/>
    <w:rsid w:val="009A2FB9"/>
    <w:rsid w:val="009A2FE3"/>
    <w:rsid w:val="009A3121"/>
    <w:rsid w:val="009A39A1"/>
    <w:rsid w:val="009A3CF7"/>
    <w:rsid w:val="009A425A"/>
    <w:rsid w:val="009A463A"/>
    <w:rsid w:val="009A4A1D"/>
    <w:rsid w:val="009A4BA8"/>
    <w:rsid w:val="009A54BF"/>
    <w:rsid w:val="009A553A"/>
    <w:rsid w:val="009A5774"/>
    <w:rsid w:val="009A601A"/>
    <w:rsid w:val="009A683A"/>
    <w:rsid w:val="009A71F3"/>
    <w:rsid w:val="009A7270"/>
    <w:rsid w:val="009A74F2"/>
    <w:rsid w:val="009A7988"/>
    <w:rsid w:val="009A7C9A"/>
    <w:rsid w:val="009B029D"/>
    <w:rsid w:val="009B04DA"/>
    <w:rsid w:val="009B064D"/>
    <w:rsid w:val="009B11E1"/>
    <w:rsid w:val="009B152B"/>
    <w:rsid w:val="009B1AC0"/>
    <w:rsid w:val="009B23ED"/>
    <w:rsid w:val="009B26FC"/>
    <w:rsid w:val="009B27AA"/>
    <w:rsid w:val="009B2852"/>
    <w:rsid w:val="009B285E"/>
    <w:rsid w:val="009B3114"/>
    <w:rsid w:val="009B37D4"/>
    <w:rsid w:val="009B38AB"/>
    <w:rsid w:val="009B3C1E"/>
    <w:rsid w:val="009B4415"/>
    <w:rsid w:val="009B491C"/>
    <w:rsid w:val="009B494A"/>
    <w:rsid w:val="009B497C"/>
    <w:rsid w:val="009B4EC1"/>
    <w:rsid w:val="009B5412"/>
    <w:rsid w:val="009B5AB6"/>
    <w:rsid w:val="009B5F30"/>
    <w:rsid w:val="009B5F44"/>
    <w:rsid w:val="009B7BFD"/>
    <w:rsid w:val="009B7DE6"/>
    <w:rsid w:val="009B7FE8"/>
    <w:rsid w:val="009C044F"/>
    <w:rsid w:val="009C07AD"/>
    <w:rsid w:val="009C07D9"/>
    <w:rsid w:val="009C1397"/>
    <w:rsid w:val="009C2918"/>
    <w:rsid w:val="009C2F02"/>
    <w:rsid w:val="009C305C"/>
    <w:rsid w:val="009C3E36"/>
    <w:rsid w:val="009C3E81"/>
    <w:rsid w:val="009C3FAF"/>
    <w:rsid w:val="009C43D3"/>
    <w:rsid w:val="009C4596"/>
    <w:rsid w:val="009C4798"/>
    <w:rsid w:val="009C4BA1"/>
    <w:rsid w:val="009C5AC9"/>
    <w:rsid w:val="009C6176"/>
    <w:rsid w:val="009C630A"/>
    <w:rsid w:val="009C6356"/>
    <w:rsid w:val="009C6618"/>
    <w:rsid w:val="009C67FC"/>
    <w:rsid w:val="009C6AF5"/>
    <w:rsid w:val="009C71F6"/>
    <w:rsid w:val="009C728B"/>
    <w:rsid w:val="009C74F8"/>
    <w:rsid w:val="009C7621"/>
    <w:rsid w:val="009C7826"/>
    <w:rsid w:val="009C7BF4"/>
    <w:rsid w:val="009D0510"/>
    <w:rsid w:val="009D0A75"/>
    <w:rsid w:val="009D0C77"/>
    <w:rsid w:val="009D1711"/>
    <w:rsid w:val="009D1EAB"/>
    <w:rsid w:val="009D2151"/>
    <w:rsid w:val="009D27DF"/>
    <w:rsid w:val="009D2CF8"/>
    <w:rsid w:val="009D2DFD"/>
    <w:rsid w:val="009D2FEB"/>
    <w:rsid w:val="009D307F"/>
    <w:rsid w:val="009D3F43"/>
    <w:rsid w:val="009D4432"/>
    <w:rsid w:val="009D4A30"/>
    <w:rsid w:val="009D567A"/>
    <w:rsid w:val="009D5AAD"/>
    <w:rsid w:val="009D5B6F"/>
    <w:rsid w:val="009D5BF0"/>
    <w:rsid w:val="009D672E"/>
    <w:rsid w:val="009D6AE1"/>
    <w:rsid w:val="009D6B73"/>
    <w:rsid w:val="009D7E85"/>
    <w:rsid w:val="009D7F19"/>
    <w:rsid w:val="009E05B6"/>
    <w:rsid w:val="009E08D8"/>
    <w:rsid w:val="009E0BDD"/>
    <w:rsid w:val="009E0C52"/>
    <w:rsid w:val="009E0C61"/>
    <w:rsid w:val="009E106F"/>
    <w:rsid w:val="009E145F"/>
    <w:rsid w:val="009E17E3"/>
    <w:rsid w:val="009E1F86"/>
    <w:rsid w:val="009E209D"/>
    <w:rsid w:val="009E2131"/>
    <w:rsid w:val="009E2510"/>
    <w:rsid w:val="009E2624"/>
    <w:rsid w:val="009E2908"/>
    <w:rsid w:val="009E2BFC"/>
    <w:rsid w:val="009E3895"/>
    <w:rsid w:val="009E4047"/>
    <w:rsid w:val="009E4BEC"/>
    <w:rsid w:val="009E4D20"/>
    <w:rsid w:val="009E5561"/>
    <w:rsid w:val="009E55CB"/>
    <w:rsid w:val="009E64D9"/>
    <w:rsid w:val="009E661D"/>
    <w:rsid w:val="009E7089"/>
    <w:rsid w:val="009E7138"/>
    <w:rsid w:val="009E7245"/>
    <w:rsid w:val="009E75C9"/>
    <w:rsid w:val="009E78B4"/>
    <w:rsid w:val="009F02D1"/>
    <w:rsid w:val="009F0A95"/>
    <w:rsid w:val="009F0C27"/>
    <w:rsid w:val="009F136C"/>
    <w:rsid w:val="009F1BA1"/>
    <w:rsid w:val="009F1C00"/>
    <w:rsid w:val="009F1F49"/>
    <w:rsid w:val="009F235D"/>
    <w:rsid w:val="009F23FB"/>
    <w:rsid w:val="009F2769"/>
    <w:rsid w:val="009F2940"/>
    <w:rsid w:val="009F2A1B"/>
    <w:rsid w:val="009F2FB4"/>
    <w:rsid w:val="009F32D8"/>
    <w:rsid w:val="009F36F9"/>
    <w:rsid w:val="009F3EE9"/>
    <w:rsid w:val="009F43C9"/>
    <w:rsid w:val="009F480A"/>
    <w:rsid w:val="009F48AE"/>
    <w:rsid w:val="009F4D40"/>
    <w:rsid w:val="009F5459"/>
    <w:rsid w:val="009F55EE"/>
    <w:rsid w:val="009F6088"/>
    <w:rsid w:val="009F60A3"/>
    <w:rsid w:val="009F63FF"/>
    <w:rsid w:val="009F7A2D"/>
    <w:rsid w:val="009F7D2B"/>
    <w:rsid w:val="00A00296"/>
    <w:rsid w:val="00A00A22"/>
    <w:rsid w:val="00A00EF5"/>
    <w:rsid w:val="00A00FC6"/>
    <w:rsid w:val="00A01755"/>
    <w:rsid w:val="00A03107"/>
    <w:rsid w:val="00A03783"/>
    <w:rsid w:val="00A03918"/>
    <w:rsid w:val="00A03E0F"/>
    <w:rsid w:val="00A03EF3"/>
    <w:rsid w:val="00A04E14"/>
    <w:rsid w:val="00A063AD"/>
    <w:rsid w:val="00A06E78"/>
    <w:rsid w:val="00A0706B"/>
    <w:rsid w:val="00A078A1"/>
    <w:rsid w:val="00A079CD"/>
    <w:rsid w:val="00A07D67"/>
    <w:rsid w:val="00A07DEE"/>
    <w:rsid w:val="00A102E7"/>
    <w:rsid w:val="00A1092F"/>
    <w:rsid w:val="00A10938"/>
    <w:rsid w:val="00A111EA"/>
    <w:rsid w:val="00A11567"/>
    <w:rsid w:val="00A118CB"/>
    <w:rsid w:val="00A12265"/>
    <w:rsid w:val="00A1385D"/>
    <w:rsid w:val="00A13BC7"/>
    <w:rsid w:val="00A13C0A"/>
    <w:rsid w:val="00A13E04"/>
    <w:rsid w:val="00A13FE8"/>
    <w:rsid w:val="00A14C73"/>
    <w:rsid w:val="00A14E04"/>
    <w:rsid w:val="00A14E8B"/>
    <w:rsid w:val="00A14EC4"/>
    <w:rsid w:val="00A150F1"/>
    <w:rsid w:val="00A152CB"/>
    <w:rsid w:val="00A155B2"/>
    <w:rsid w:val="00A16155"/>
    <w:rsid w:val="00A1722A"/>
    <w:rsid w:val="00A20017"/>
    <w:rsid w:val="00A2110F"/>
    <w:rsid w:val="00A2194E"/>
    <w:rsid w:val="00A21B7F"/>
    <w:rsid w:val="00A220CB"/>
    <w:rsid w:val="00A224D7"/>
    <w:rsid w:val="00A227E6"/>
    <w:rsid w:val="00A23195"/>
    <w:rsid w:val="00A2331E"/>
    <w:rsid w:val="00A236E9"/>
    <w:rsid w:val="00A23952"/>
    <w:rsid w:val="00A23A67"/>
    <w:rsid w:val="00A23C87"/>
    <w:rsid w:val="00A23EB4"/>
    <w:rsid w:val="00A240C8"/>
    <w:rsid w:val="00A24169"/>
    <w:rsid w:val="00A2436C"/>
    <w:rsid w:val="00A244F8"/>
    <w:rsid w:val="00A24927"/>
    <w:rsid w:val="00A2506C"/>
    <w:rsid w:val="00A25184"/>
    <w:rsid w:val="00A25508"/>
    <w:rsid w:val="00A255A9"/>
    <w:rsid w:val="00A26081"/>
    <w:rsid w:val="00A261C8"/>
    <w:rsid w:val="00A26BF5"/>
    <w:rsid w:val="00A26C88"/>
    <w:rsid w:val="00A26EE6"/>
    <w:rsid w:val="00A27118"/>
    <w:rsid w:val="00A27FB4"/>
    <w:rsid w:val="00A304D8"/>
    <w:rsid w:val="00A30BA3"/>
    <w:rsid w:val="00A31186"/>
    <w:rsid w:val="00A3184C"/>
    <w:rsid w:val="00A31C69"/>
    <w:rsid w:val="00A322A1"/>
    <w:rsid w:val="00A323A5"/>
    <w:rsid w:val="00A3242C"/>
    <w:rsid w:val="00A32C3E"/>
    <w:rsid w:val="00A32CB9"/>
    <w:rsid w:val="00A335BA"/>
    <w:rsid w:val="00A335D6"/>
    <w:rsid w:val="00A33A09"/>
    <w:rsid w:val="00A33D14"/>
    <w:rsid w:val="00A33D40"/>
    <w:rsid w:val="00A33F35"/>
    <w:rsid w:val="00A345C9"/>
    <w:rsid w:val="00A34B8A"/>
    <w:rsid w:val="00A34F4E"/>
    <w:rsid w:val="00A35CEE"/>
    <w:rsid w:val="00A35EF0"/>
    <w:rsid w:val="00A362A3"/>
    <w:rsid w:val="00A364C0"/>
    <w:rsid w:val="00A367A6"/>
    <w:rsid w:val="00A36F64"/>
    <w:rsid w:val="00A374F8"/>
    <w:rsid w:val="00A37642"/>
    <w:rsid w:val="00A377B7"/>
    <w:rsid w:val="00A37973"/>
    <w:rsid w:val="00A37B59"/>
    <w:rsid w:val="00A37CBC"/>
    <w:rsid w:val="00A401B4"/>
    <w:rsid w:val="00A4115D"/>
    <w:rsid w:val="00A4131B"/>
    <w:rsid w:val="00A4159F"/>
    <w:rsid w:val="00A415F1"/>
    <w:rsid w:val="00A4166F"/>
    <w:rsid w:val="00A4172E"/>
    <w:rsid w:val="00A41F3D"/>
    <w:rsid w:val="00A4227E"/>
    <w:rsid w:val="00A429D8"/>
    <w:rsid w:val="00A43243"/>
    <w:rsid w:val="00A44132"/>
    <w:rsid w:val="00A44263"/>
    <w:rsid w:val="00A44812"/>
    <w:rsid w:val="00A44927"/>
    <w:rsid w:val="00A44A6B"/>
    <w:rsid w:val="00A44EAC"/>
    <w:rsid w:val="00A4514F"/>
    <w:rsid w:val="00A4532A"/>
    <w:rsid w:val="00A454DD"/>
    <w:rsid w:val="00A45570"/>
    <w:rsid w:val="00A45B00"/>
    <w:rsid w:val="00A45BBB"/>
    <w:rsid w:val="00A45BDF"/>
    <w:rsid w:val="00A46547"/>
    <w:rsid w:val="00A46603"/>
    <w:rsid w:val="00A4665F"/>
    <w:rsid w:val="00A4729D"/>
    <w:rsid w:val="00A4744C"/>
    <w:rsid w:val="00A47BFA"/>
    <w:rsid w:val="00A50569"/>
    <w:rsid w:val="00A511F3"/>
    <w:rsid w:val="00A51575"/>
    <w:rsid w:val="00A5194C"/>
    <w:rsid w:val="00A52079"/>
    <w:rsid w:val="00A520B7"/>
    <w:rsid w:val="00A52173"/>
    <w:rsid w:val="00A5236D"/>
    <w:rsid w:val="00A5242A"/>
    <w:rsid w:val="00A52456"/>
    <w:rsid w:val="00A52972"/>
    <w:rsid w:val="00A529C5"/>
    <w:rsid w:val="00A52A4C"/>
    <w:rsid w:val="00A52DE6"/>
    <w:rsid w:val="00A532F3"/>
    <w:rsid w:val="00A5386D"/>
    <w:rsid w:val="00A53B41"/>
    <w:rsid w:val="00A53F59"/>
    <w:rsid w:val="00A53F7E"/>
    <w:rsid w:val="00A5457B"/>
    <w:rsid w:val="00A54F75"/>
    <w:rsid w:val="00A5533E"/>
    <w:rsid w:val="00A553F7"/>
    <w:rsid w:val="00A5555B"/>
    <w:rsid w:val="00A558F8"/>
    <w:rsid w:val="00A566CF"/>
    <w:rsid w:val="00A57AD2"/>
    <w:rsid w:val="00A57AF8"/>
    <w:rsid w:val="00A60D4A"/>
    <w:rsid w:val="00A619FE"/>
    <w:rsid w:val="00A626C4"/>
    <w:rsid w:val="00A62730"/>
    <w:rsid w:val="00A62D51"/>
    <w:rsid w:val="00A6399A"/>
    <w:rsid w:val="00A63B54"/>
    <w:rsid w:val="00A6470D"/>
    <w:rsid w:val="00A64813"/>
    <w:rsid w:val="00A65586"/>
    <w:rsid w:val="00A656DD"/>
    <w:rsid w:val="00A65F25"/>
    <w:rsid w:val="00A66485"/>
    <w:rsid w:val="00A672D7"/>
    <w:rsid w:val="00A67480"/>
    <w:rsid w:val="00A67561"/>
    <w:rsid w:val="00A67EB7"/>
    <w:rsid w:val="00A67EE0"/>
    <w:rsid w:val="00A700A4"/>
    <w:rsid w:val="00A701AC"/>
    <w:rsid w:val="00A70544"/>
    <w:rsid w:val="00A70997"/>
    <w:rsid w:val="00A70A50"/>
    <w:rsid w:val="00A70AA8"/>
    <w:rsid w:val="00A71137"/>
    <w:rsid w:val="00A713A3"/>
    <w:rsid w:val="00A713F5"/>
    <w:rsid w:val="00A71970"/>
    <w:rsid w:val="00A719CC"/>
    <w:rsid w:val="00A71C0F"/>
    <w:rsid w:val="00A71E0C"/>
    <w:rsid w:val="00A72E9D"/>
    <w:rsid w:val="00A7371D"/>
    <w:rsid w:val="00A73768"/>
    <w:rsid w:val="00A73C5F"/>
    <w:rsid w:val="00A73E45"/>
    <w:rsid w:val="00A74171"/>
    <w:rsid w:val="00A742B7"/>
    <w:rsid w:val="00A7469A"/>
    <w:rsid w:val="00A7499D"/>
    <w:rsid w:val="00A74D77"/>
    <w:rsid w:val="00A74F0B"/>
    <w:rsid w:val="00A751D9"/>
    <w:rsid w:val="00A7603B"/>
    <w:rsid w:val="00A7626D"/>
    <w:rsid w:val="00A76374"/>
    <w:rsid w:val="00A76ABD"/>
    <w:rsid w:val="00A76E39"/>
    <w:rsid w:val="00A7788D"/>
    <w:rsid w:val="00A77E8D"/>
    <w:rsid w:val="00A77FE8"/>
    <w:rsid w:val="00A809D0"/>
    <w:rsid w:val="00A80C27"/>
    <w:rsid w:val="00A80DE2"/>
    <w:rsid w:val="00A81281"/>
    <w:rsid w:val="00A81AAB"/>
    <w:rsid w:val="00A820CF"/>
    <w:rsid w:val="00A822A8"/>
    <w:rsid w:val="00A82432"/>
    <w:rsid w:val="00A82603"/>
    <w:rsid w:val="00A8278C"/>
    <w:rsid w:val="00A82AA3"/>
    <w:rsid w:val="00A82DA7"/>
    <w:rsid w:val="00A83602"/>
    <w:rsid w:val="00A83836"/>
    <w:rsid w:val="00A83D87"/>
    <w:rsid w:val="00A83FD6"/>
    <w:rsid w:val="00A846AE"/>
    <w:rsid w:val="00A84CEC"/>
    <w:rsid w:val="00A856E3"/>
    <w:rsid w:val="00A85BA8"/>
    <w:rsid w:val="00A85C63"/>
    <w:rsid w:val="00A85CDE"/>
    <w:rsid w:val="00A8648C"/>
    <w:rsid w:val="00A869B9"/>
    <w:rsid w:val="00A86DF8"/>
    <w:rsid w:val="00A86E38"/>
    <w:rsid w:val="00A86F24"/>
    <w:rsid w:val="00A87257"/>
    <w:rsid w:val="00A90C46"/>
    <w:rsid w:val="00A90ED0"/>
    <w:rsid w:val="00A90FEC"/>
    <w:rsid w:val="00A914D2"/>
    <w:rsid w:val="00A91DAD"/>
    <w:rsid w:val="00A91EE9"/>
    <w:rsid w:val="00A91F2F"/>
    <w:rsid w:val="00A923D2"/>
    <w:rsid w:val="00A924FB"/>
    <w:rsid w:val="00A93066"/>
    <w:rsid w:val="00A932E6"/>
    <w:rsid w:val="00A943CF"/>
    <w:rsid w:val="00A94550"/>
    <w:rsid w:val="00A951F2"/>
    <w:rsid w:val="00A95B1E"/>
    <w:rsid w:val="00A95B85"/>
    <w:rsid w:val="00A95C79"/>
    <w:rsid w:val="00A95E94"/>
    <w:rsid w:val="00A96746"/>
    <w:rsid w:val="00A96E77"/>
    <w:rsid w:val="00A973EA"/>
    <w:rsid w:val="00A97749"/>
    <w:rsid w:val="00A978D3"/>
    <w:rsid w:val="00A9791E"/>
    <w:rsid w:val="00A979B9"/>
    <w:rsid w:val="00A97E57"/>
    <w:rsid w:val="00AA02B1"/>
    <w:rsid w:val="00AA0C38"/>
    <w:rsid w:val="00AA0CCC"/>
    <w:rsid w:val="00AA0DFC"/>
    <w:rsid w:val="00AA0F26"/>
    <w:rsid w:val="00AA11CF"/>
    <w:rsid w:val="00AA1422"/>
    <w:rsid w:val="00AA143D"/>
    <w:rsid w:val="00AA1448"/>
    <w:rsid w:val="00AA1CEA"/>
    <w:rsid w:val="00AA2044"/>
    <w:rsid w:val="00AA248A"/>
    <w:rsid w:val="00AA2553"/>
    <w:rsid w:val="00AA2C9F"/>
    <w:rsid w:val="00AA2E73"/>
    <w:rsid w:val="00AA2F98"/>
    <w:rsid w:val="00AA3D46"/>
    <w:rsid w:val="00AA45C7"/>
    <w:rsid w:val="00AA4624"/>
    <w:rsid w:val="00AA4A67"/>
    <w:rsid w:val="00AA4F70"/>
    <w:rsid w:val="00AA52B7"/>
    <w:rsid w:val="00AA5AF0"/>
    <w:rsid w:val="00AA5CA1"/>
    <w:rsid w:val="00AA5D6F"/>
    <w:rsid w:val="00AA6398"/>
    <w:rsid w:val="00AA63E3"/>
    <w:rsid w:val="00AA669A"/>
    <w:rsid w:val="00AA6725"/>
    <w:rsid w:val="00AA6F29"/>
    <w:rsid w:val="00AA73FB"/>
    <w:rsid w:val="00AA740A"/>
    <w:rsid w:val="00AA74ED"/>
    <w:rsid w:val="00AA75B8"/>
    <w:rsid w:val="00AA7C21"/>
    <w:rsid w:val="00AA7FFD"/>
    <w:rsid w:val="00AB07EB"/>
    <w:rsid w:val="00AB0ADD"/>
    <w:rsid w:val="00AB0FE0"/>
    <w:rsid w:val="00AB100F"/>
    <w:rsid w:val="00AB1068"/>
    <w:rsid w:val="00AB238F"/>
    <w:rsid w:val="00AB24C9"/>
    <w:rsid w:val="00AB26E1"/>
    <w:rsid w:val="00AB2A4D"/>
    <w:rsid w:val="00AB2D8E"/>
    <w:rsid w:val="00AB3571"/>
    <w:rsid w:val="00AB38D6"/>
    <w:rsid w:val="00AB3F50"/>
    <w:rsid w:val="00AB4BC5"/>
    <w:rsid w:val="00AB4C24"/>
    <w:rsid w:val="00AB5E8F"/>
    <w:rsid w:val="00AB6182"/>
    <w:rsid w:val="00AB639E"/>
    <w:rsid w:val="00AB645E"/>
    <w:rsid w:val="00AB699E"/>
    <w:rsid w:val="00AB72C7"/>
    <w:rsid w:val="00AB76DA"/>
    <w:rsid w:val="00AB7A74"/>
    <w:rsid w:val="00AC021A"/>
    <w:rsid w:val="00AC054B"/>
    <w:rsid w:val="00AC09AD"/>
    <w:rsid w:val="00AC09B8"/>
    <w:rsid w:val="00AC0EE8"/>
    <w:rsid w:val="00AC1007"/>
    <w:rsid w:val="00AC159E"/>
    <w:rsid w:val="00AC1658"/>
    <w:rsid w:val="00AC1788"/>
    <w:rsid w:val="00AC1B2D"/>
    <w:rsid w:val="00AC1FFE"/>
    <w:rsid w:val="00AC21C0"/>
    <w:rsid w:val="00AC2447"/>
    <w:rsid w:val="00AC26E9"/>
    <w:rsid w:val="00AC2D20"/>
    <w:rsid w:val="00AC3235"/>
    <w:rsid w:val="00AC371A"/>
    <w:rsid w:val="00AC387C"/>
    <w:rsid w:val="00AC3AAA"/>
    <w:rsid w:val="00AC3B2C"/>
    <w:rsid w:val="00AC4128"/>
    <w:rsid w:val="00AC4B8E"/>
    <w:rsid w:val="00AC4E01"/>
    <w:rsid w:val="00AC5496"/>
    <w:rsid w:val="00AC5738"/>
    <w:rsid w:val="00AC5931"/>
    <w:rsid w:val="00AC6322"/>
    <w:rsid w:val="00AC6556"/>
    <w:rsid w:val="00AC657E"/>
    <w:rsid w:val="00AC66FF"/>
    <w:rsid w:val="00AC69CD"/>
    <w:rsid w:val="00AC6A98"/>
    <w:rsid w:val="00AC6AE1"/>
    <w:rsid w:val="00AC6D04"/>
    <w:rsid w:val="00AC7473"/>
    <w:rsid w:val="00AC7CD8"/>
    <w:rsid w:val="00AD005E"/>
    <w:rsid w:val="00AD016E"/>
    <w:rsid w:val="00AD0627"/>
    <w:rsid w:val="00AD0761"/>
    <w:rsid w:val="00AD121D"/>
    <w:rsid w:val="00AD1462"/>
    <w:rsid w:val="00AD1617"/>
    <w:rsid w:val="00AD1692"/>
    <w:rsid w:val="00AD1AC7"/>
    <w:rsid w:val="00AD1F46"/>
    <w:rsid w:val="00AD2707"/>
    <w:rsid w:val="00AD3CE4"/>
    <w:rsid w:val="00AD3D55"/>
    <w:rsid w:val="00AD400B"/>
    <w:rsid w:val="00AD4367"/>
    <w:rsid w:val="00AD4380"/>
    <w:rsid w:val="00AD4D62"/>
    <w:rsid w:val="00AD4EDB"/>
    <w:rsid w:val="00AD5376"/>
    <w:rsid w:val="00AD55BB"/>
    <w:rsid w:val="00AD5EA1"/>
    <w:rsid w:val="00AD5FEF"/>
    <w:rsid w:val="00AD6C10"/>
    <w:rsid w:val="00AD6D8C"/>
    <w:rsid w:val="00AD75EC"/>
    <w:rsid w:val="00AD778B"/>
    <w:rsid w:val="00AD796A"/>
    <w:rsid w:val="00AD7B22"/>
    <w:rsid w:val="00AD7DA1"/>
    <w:rsid w:val="00AE036C"/>
    <w:rsid w:val="00AE0AA5"/>
    <w:rsid w:val="00AE1007"/>
    <w:rsid w:val="00AE10F6"/>
    <w:rsid w:val="00AE11AD"/>
    <w:rsid w:val="00AE1C75"/>
    <w:rsid w:val="00AE2886"/>
    <w:rsid w:val="00AE28F7"/>
    <w:rsid w:val="00AE304F"/>
    <w:rsid w:val="00AE3279"/>
    <w:rsid w:val="00AE455A"/>
    <w:rsid w:val="00AE47D8"/>
    <w:rsid w:val="00AE4B3C"/>
    <w:rsid w:val="00AE4CFC"/>
    <w:rsid w:val="00AE542B"/>
    <w:rsid w:val="00AE59A7"/>
    <w:rsid w:val="00AE60B9"/>
    <w:rsid w:val="00AE660C"/>
    <w:rsid w:val="00AE6708"/>
    <w:rsid w:val="00AE6ABC"/>
    <w:rsid w:val="00AE6D1C"/>
    <w:rsid w:val="00AE6F2F"/>
    <w:rsid w:val="00AE7DF4"/>
    <w:rsid w:val="00AF0143"/>
    <w:rsid w:val="00AF0B81"/>
    <w:rsid w:val="00AF0FB7"/>
    <w:rsid w:val="00AF1814"/>
    <w:rsid w:val="00AF1D4F"/>
    <w:rsid w:val="00AF1FAC"/>
    <w:rsid w:val="00AF22D1"/>
    <w:rsid w:val="00AF28BB"/>
    <w:rsid w:val="00AF2A22"/>
    <w:rsid w:val="00AF2BAD"/>
    <w:rsid w:val="00AF2F42"/>
    <w:rsid w:val="00AF2FE1"/>
    <w:rsid w:val="00AF309D"/>
    <w:rsid w:val="00AF3532"/>
    <w:rsid w:val="00AF368B"/>
    <w:rsid w:val="00AF39AA"/>
    <w:rsid w:val="00AF4D2D"/>
    <w:rsid w:val="00AF519F"/>
    <w:rsid w:val="00AF5244"/>
    <w:rsid w:val="00AF5B3B"/>
    <w:rsid w:val="00AF5D12"/>
    <w:rsid w:val="00AF5F91"/>
    <w:rsid w:val="00AF6BB8"/>
    <w:rsid w:val="00AF6CDA"/>
    <w:rsid w:val="00AF719A"/>
    <w:rsid w:val="00AF73F6"/>
    <w:rsid w:val="00AF76B4"/>
    <w:rsid w:val="00B004AD"/>
    <w:rsid w:val="00B00616"/>
    <w:rsid w:val="00B008FA"/>
    <w:rsid w:val="00B00BAB"/>
    <w:rsid w:val="00B010E3"/>
    <w:rsid w:val="00B01241"/>
    <w:rsid w:val="00B01315"/>
    <w:rsid w:val="00B01483"/>
    <w:rsid w:val="00B01613"/>
    <w:rsid w:val="00B0169E"/>
    <w:rsid w:val="00B017F8"/>
    <w:rsid w:val="00B01C5C"/>
    <w:rsid w:val="00B01E72"/>
    <w:rsid w:val="00B02311"/>
    <w:rsid w:val="00B0270A"/>
    <w:rsid w:val="00B02A7C"/>
    <w:rsid w:val="00B02B88"/>
    <w:rsid w:val="00B02C83"/>
    <w:rsid w:val="00B02DBE"/>
    <w:rsid w:val="00B03089"/>
    <w:rsid w:val="00B03FEA"/>
    <w:rsid w:val="00B044B6"/>
    <w:rsid w:val="00B04557"/>
    <w:rsid w:val="00B04565"/>
    <w:rsid w:val="00B04F8B"/>
    <w:rsid w:val="00B0503D"/>
    <w:rsid w:val="00B050CE"/>
    <w:rsid w:val="00B051D3"/>
    <w:rsid w:val="00B053B6"/>
    <w:rsid w:val="00B05424"/>
    <w:rsid w:val="00B05588"/>
    <w:rsid w:val="00B05ADF"/>
    <w:rsid w:val="00B0611F"/>
    <w:rsid w:val="00B0631B"/>
    <w:rsid w:val="00B063A1"/>
    <w:rsid w:val="00B067D6"/>
    <w:rsid w:val="00B06C67"/>
    <w:rsid w:val="00B06DD1"/>
    <w:rsid w:val="00B07418"/>
    <w:rsid w:val="00B07557"/>
    <w:rsid w:val="00B07824"/>
    <w:rsid w:val="00B07CB5"/>
    <w:rsid w:val="00B10ACB"/>
    <w:rsid w:val="00B10CFA"/>
    <w:rsid w:val="00B10E13"/>
    <w:rsid w:val="00B10E55"/>
    <w:rsid w:val="00B11320"/>
    <w:rsid w:val="00B11762"/>
    <w:rsid w:val="00B1257B"/>
    <w:rsid w:val="00B1266A"/>
    <w:rsid w:val="00B12694"/>
    <w:rsid w:val="00B129C2"/>
    <w:rsid w:val="00B12A4E"/>
    <w:rsid w:val="00B12DE1"/>
    <w:rsid w:val="00B12EFC"/>
    <w:rsid w:val="00B13F96"/>
    <w:rsid w:val="00B140A8"/>
    <w:rsid w:val="00B14477"/>
    <w:rsid w:val="00B14A95"/>
    <w:rsid w:val="00B14C53"/>
    <w:rsid w:val="00B15022"/>
    <w:rsid w:val="00B153B4"/>
    <w:rsid w:val="00B15526"/>
    <w:rsid w:val="00B15928"/>
    <w:rsid w:val="00B161E9"/>
    <w:rsid w:val="00B1686E"/>
    <w:rsid w:val="00B16B17"/>
    <w:rsid w:val="00B16DFA"/>
    <w:rsid w:val="00B16E28"/>
    <w:rsid w:val="00B16F10"/>
    <w:rsid w:val="00B16FDF"/>
    <w:rsid w:val="00B1750A"/>
    <w:rsid w:val="00B17736"/>
    <w:rsid w:val="00B1777A"/>
    <w:rsid w:val="00B17BAB"/>
    <w:rsid w:val="00B17C29"/>
    <w:rsid w:val="00B2006A"/>
    <w:rsid w:val="00B2018A"/>
    <w:rsid w:val="00B20520"/>
    <w:rsid w:val="00B20A89"/>
    <w:rsid w:val="00B21690"/>
    <w:rsid w:val="00B219C2"/>
    <w:rsid w:val="00B2263D"/>
    <w:rsid w:val="00B22DD6"/>
    <w:rsid w:val="00B22F31"/>
    <w:rsid w:val="00B236E2"/>
    <w:rsid w:val="00B23833"/>
    <w:rsid w:val="00B23B55"/>
    <w:rsid w:val="00B23D01"/>
    <w:rsid w:val="00B24985"/>
    <w:rsid w:val="00B24A1A"/>
    <w:rsid w:val="00B24B7D"/>
    <w:rsid w:val="00B25184"/>
    <w:rsid w:val="00B254C1"/>
    <w:rsid w:val="00B25A88"/>
    <w:rsid w:val="00B25CC5"/>
    <w:rsid w:val="00B25FDC"/>
    <w:rsid w:val="00B26731"/>
    <w:rsid w:val="00B267EF"/>
    <w:rsid w:val="00B2695F"/>
    <w:rsid w:val="00B27691"/>
    <w:rsid w:val="00B27DBC"/>
    <w:rsid w:val="00B27E37"/>
    <w:rsid w:val="00B30508"/>
    <w:rsid w:val="00B30B3B"/>
    <w:rsid w:val="00B30FAC"/>
    <w:rsid w:val="00B310EB"/>
    <w:rsid w:val="00B31675"/>
    <w:rsid w:val="00B316C4"/>
    <w:rsid w:val="00B31A72"/>
    <w:rsid w:val="00B322C2"/>
    <w:rsid w:val="00B322F1"/>
    <w:rsid w:val="00B32660"/>
    <w:rsid w:val="00B32A6D"/>
    <w:rsid w:val="00B32B0E"/>
    <w:rsid w:val="00B32CA7"/>
    <w:rsid w:val="00B32CEC"/>
    <w:rsid w:val="00B33375"/>
    <w:rsid w:val="00B339CC"/>
    <w:rsid w:val="00B340FB"/>
    <w:rsid w:val="00B3413B"/>
    <w:rsid w:val="00B3423F"/>
    <w:rsid w:val="00B34BA9"/>
    <w:rsid w:val="00B35075"/>
    <w:rsid w:val="00B351E4"/>
    <w:rsid w:val="00B357E2"/>
    <w:rsid w:val="00B357FA"/>
    <w:rsid w:val="00B3582D"/>
    <w:rsid w:val="00B3622D"/>
    <w:rsid w:val="00B36696"/>
    <w:rsid w:val="00B36D8D"/>
    <w:rsid w:val="00B3700B"/>
    <w:rsid w:val="00B37367"/>
    <w:rsid w:val="00B373F2"/>
    <w:rsid w:val="00B374D3"/>
    <w:rsid w:val="00B377D3"/>
    <w:rsid w:val="00B406C7"/>
    <w:rsid w:val="00B406E1"/>
    <w:rsid w:val="00B40ACA"/>
    <w:rsid w:val="00B40CC7"/>
    <w:rsid w:val="00B410C7"/>
    <w:rsid w:val="00B4118D"/>
    <w:rsid w:val="00B418F3"/>
    <w:rsid w:val="00B41ADD"/>
    <w:rsid w:val="00B4230D"/>
    <w:rsid w:val="00B42D14"/>
    <w:rsid w:val="00B42E3A"/>
    <w:rsid w:val="00B42EBE"/>
    <w:rsid w:val="00B42FD8"/>
    <w:rsid w:val="00B43BA6"/>
    <w:rsid w:val="00B43CA2"/>
    <w:rsid w:val="00B43D4A"/>
    <w:rsid w:val="00B43F38"/>
    <w:rsid w:val="00B43F39"/>
    <w:rsid w:val="00B43FBC"/>
    <w:rsid w:val="00B44488"/>
    <w:rsid w:val="00B44684"/>
    <w:rsid w:val="00B44D8E"/>
    <w:rsid w:val="00B45053"/>
    <w:rsid w:val="00B45780"/>
    <w:rsid w:val="00B4604C"/>
    <w:rsid w:val="00B4701F"/>
    <w:rsid w:val="00B474EC"/>
    <w:rsid w:val="00B476DD"/>
    <w:rsid w:val="00B47817"/>
    <w:rsid w:val="00B47E77"/>
    <w:rsid w:val="00B47E8C"/>
    <w:rsid w:val="00B50222"/>
    <w:rsid w:val="00B50879"/>
    <w:rsid w:val="00B50DD9"/>
    <w:rsid w:val="00B511A2"/>
    <w:rsid w:val="00B5122D"/>
    <w:rsid w:val="00B5129B"/>
    <w:rsid w:val="00B512C3"/>
    <w:rsid w:val="00B51DB1"/>
    <w:rsid w:val="00B522D6"/>
    <w:rsid w:val="00B52553"/>
    <w:rsid w:val="00B528B3"/>
    <w:rsid w:val="00B528BA"/>
    <w:rsid w:val="00B529F9"/>
    <w:rsid w:val="00B52D80"/>
    <w:rsid w:val="00B52F83"/>
    <w:rsid w:val="00B53177"/>
    <w:rsid w:val="00B53304"/>
    <w:rsid w:val="00B535EF"/>
    <w:rsid w:val="00B538CA"/>
    <w:rsid w:val="00B53CFD"/>
    <w:rsid w:val="00B5418B"/>
    <w:rsid w:val="00B5458A"/>
    <w:rsid w:val="00B5494E"/>
    <w:rsid w:val="00B54ABE"/>
    <w:rsid w:val="00B54E1F"/>
    <w:rsid w:val="00B54E65"/>
    <w:rsid w:val="00B5532C"/>
    <w:rsid w:val="00B5547E"/>
    <w:rsid w:val="00B5555D"/>
    <w:rsid w:val="00B55A66"/>
    <w:rsid w:val="00B55CBC"/>
    <w:rsid w:val="00B56719"/>
    <w:rsid w:val="00B56CC3"/>
    <w:rsid w:val="00B56DBE"/>
    <w:rsid w:val="00B56F6C"/>
    <w:rsid w:val="00B5760E"/>
    <w:rsid w:val="00B57CF2"/>
    <w:rsid w:val="00B57F0D"/>
    <w:rsid w:val="00B6001D"/>
    <w:rsid w:val="00B60B0B"/>
    <w:rsid w:val="00B60B1E"/>
    <w:rsid w:val="00B61011"/>
    <w:rsid w:val="00B61475"/>
    <w:rsid w:val="00B61BA2"/>
    <w:rsid w:val="00B62025"/>
    <w:rsid w:val="00B624A9"/>
    <w:rsid w:val="00B62895"/>
    <w:rsid w:val="00B6293A"/>
    <w:rsid w:val="00B63010"/>
    <w:rsid w:val="00B632F6"/>
    <w:rsid w:val="00B639E9"/>
    <w:rsid w:val="00B642CC"/>
    <w:rsid w:val="00B64658"/>
    <w:rsid w:val="00B64EA7"/>
    <w:rsid w:val="00B653D7"/>
    <w:rsid w:val="00B65939"/>
    <w:rsid w:val="00B6596F"/>
    <w:rsid w:val="00B659D2"/>
    <w:rsid w:val="00B65EEA"/>
    <w:rsid w:val="00B66118"/>
    <w:rsid w:val="00B6680C"/>
    <w:rsid w:val="00B66AE4"/>
    <w:rsid w:val="00B66DAF"/>
    <w:rsid w:val="00B6750F"/>
    <w:rsid w:val="00B675E9"/>
    <w:rsid w:val="00B675EF"/>
    <w:rsid w:val="00B6766D"/>
    <w:rsid w:val="00B67675"/>
    <w:rsid w:val="00B67756"/>
    <w:rsid w:val="00B702C1"/>
    <w:rsid w:val="00B70413"/>
    <w:rsid w:val="00B705CF"/>
    <w:rsid w:val="00B707CA"/>
    <w:rsid w:val="00B70E1C"/>
    <w:rsid w:val="00B71053"/>
    <w:rsid w:val="00B713B2"/>
    <w:rsid w:val="00B719B4"/>
    <w:rsid w:val="00B71D74"/>
    <w:rsid w:val="00B71DE0"/>
    <w:rsid w:val="00B7286A"/>
    <w:rsid w:val="00B730E9"/>
    <w:rsid w:val="00B731D6"/>
    <w:rsid w:val="00B73794"/>
    <w:rsid w:val="00B738F5"/>
    <w:rsid w:val="00B74284"/>
    <w:rsid w:val="00B749BE"/>
    <w:rsid w:val="00B7504B"/>
    <w:rsid w:val="00B7524F"/>
    <w:rsid w:val="00B755CC"/>
    <w:rsid w:val="00B756F4"/>
    <w:rsid w:val="00B75EBB"/>
    <w:rsid w:val="00B766D7"/>
    <w:rsid w:val="00B76874"/>
    <w:rsid w:val="00B76C63"/>
    <w:rsid w:val="00B77015"/>
    <w:rsid w:val="00B77BF2"/>
    <w:rsid w:val="00B80CA9"/>
    <w:rsid w:val="00B80CB8"/>
    <w:rsid w:val="00B81725"/>
    <w:rsid w:val="00B81A10"/>
    <w:rsid w:val="00B81B1D"/>
    <w:rsid w:val="00B81B4F"/>
    <w:rsid w:val="00B81B60"/>
    <w:rsid w:val="00B82216"/>
    <w:rsid w:val="00B822C2"/>
    <w:rsid w:val="00B8233D"/>
    <w:rsid w:val="00B82631"/>
    <w:rsid w:val="00B828CA"/>
    <w:rsid w:val="00B82D9D"/>
    <w:rsid w:val="00B82EB5"/>
    <w:rsid w:val="00B83275"/>
    <w:rsid w:val="00B83336"/>
    <w:rsid w:val="00B83668"/>
    <w:rsid w:val="00B83B76"/>
    <w:rsid w:val="00B83C39"/>
    <w:rsid w:val="00B85E43"/>
    <w:rsid w:val="00B85F62"/>
    <w:rsid w:val="00B86039"/>
    <w:rsid w:val="00B860D3"/>
    <w:rsid w:val="00B86169"/>
    <w:rsid w:val="00B863D6"/>
    <w:rsid w:val="00B866AE"/>
    <w:rsid w:val="00B86E4E"/>
    <w:rsid w:val="00B877B9"/>
    <w:rsid w:val="00B87DBD"/>
    <w:rsid w:val="00B87DD1"/>
    <w:rsid w:val="00B90259"/>
    <w:rsid w:val="00B906A7"/>
    <w:rsid w:val="00B908BE"/>
    <w:rsid w:val="00B90ECF"/>
    <w:rsid w:val="00B91742"/>
    <w:rsid w:val="00B9184B"/>
    <w:rsid w:val="00B91875"/>
    <w:rsid w:val="00B91B0B"/>
    <w:rsid w:val="00B91CA2"/>
    <w:rsid w:val="00B92178"/>
    <w:rsid w:val="00B926C4"/>
    <w:rsid w:val="00B92854"/>
    <w:rsid w:val="00B92A19"/>
    <w:rsid w:val="00B93013"/>
    <w:rsid w:val="00B93957"/>
    <w:rsid w:val="00B939EC"/>
    <w:rsid w:val="00B94459"/>
    <w:rsid w:val="00B94A58"/>
    <w:rsid w:val="00B94A7B"/>
    <w:rsid w:val="00B951A1"/>
    <w:rsid w:val="00B95579"/>
    <w:rsid w:val="00B95691"/>
    <w:rsid w:val="00B95725"/>
    <w:rsid w:val="00B95ECF"/>
    <w:rsid w:val="00B9659A"/>
    <w:rsid w:val="00B96686"/>
    <w:rsid w:val="00B97513"/>
    <w:rsid w:val="00B97561"/>
    <w:rsid w:val="00B978EC"/>
    <w:rsid w:val="00B97CFE"/>
    <w:rsid w:val="00B97D39"/>
    <w:rsid w:val="00B97D7A"/>
    <w:rsid w:val="00BA0B1D"/>
    <w:rsid w:val="00BA0E2A"/>
    <w:rsid w:val="00BA0E36"/>
    <w:rsid w:val="00BA0F88"/>
    <w:rsid w:val="00BA10FF"/>
    <w:rsid w:val="00BA1150"/>
    <w:rsid w:val="00BA1373"/>
    <w:rsid w:val="00BA1427"/>
    <w:rsid w:val="00BA235C"/>
    <w:rsid w:val="00BA2667"/>
    <w:rsid w:val="00BA266D"/>
    <w:rsid w:val="00BA2E2C"/>
    <w:rsid w:val="00BA3582"/>
    <w:rsid w:val="00BA377D"/>
    <w:rsid w:val="00BA43ED"/>
    <w:rsid w:val="00BA4E7E"/>
    <w:rsid w:val="00BA5550"/>
    <w:rsid w:val="00BA5738"/>
    <w:rsid w:val="00BA6008"/>
    <w:rsid w:val="00BA70D6"/>
    <w:rsid w:val="00BA7C97"/>
    <w:rsid w:val="00BA7EC2"/>
    <w:rsid w:val="00BB0C2C"/>
    <w:rsid w:val="00BB107E"/>
    <w:rsid w:val="00BB133B"/>
    <w:rsid w:val="00BB1965"/>
    <w:rsid w:val="00BB2041"/>
    <w:rsid w:val="00BB2962"/>
    <w:rsid w:val="00BB2D02"/>
    <w:rsid w:val="00BB317A"/>
    <w:rsid w:val="00BB38E7"/>
    <w:rsid w:val="00BB390F"/>
    <w:rsid w:val="00BB3953"/>
    <w:rsid w:val="00BB4861"/>
    <w:rsid w:val="00BB585C"/>
    <w:rsid w:val="00BB58A8"/>
    <w:rsid w:val="00BB59EC"/>
    <w:rsid w:val="00BB5E5F"/>
    <w:rsid w:val="00BB6131"/>
    <w:rsid w:val="00BB65AC"/>
    <w:rsid w:val="00BB665D"/>
    <w:rsid w:val="00BB68B1"/>
    <w:rsid w:val="00BB6E74"/>
    <w:rsid w:val="00BB6F0B"/>
    <w:rsid w:val="00BB73A4"/>
    <w:rsid w:val="00BB7590"/>
    <w:rsid w:val="00BB79F4"/>
    <w:rsid w:val="00BB7AFE"/>
    <w:rsid w:val="00BB7B7E"/>
    <w:rsid w:val="00BC01F8"/>
    <w:rsid w:val="00BC07C7"/>
    <w:rsid w:val="00BC0FFC"/>
    <w:rsid w:val="00BC119E"/>
    <w:rsid w:val="00BC15E5"/>
    <w:rsid w:val="00BC169F"/>
    <w:rsid w:val="00BC1C6A"/>
    <w:rsid w:val="00BC2140"/>
    <w:rsid w:val="00BC2972"/>
    <w:rsid w:val="00BC29A9"/>
    <w:rsid w:val="00BC2C67"/>
    <w:rsid w:val="00BC2FF9"/>
    <w:rsid w:val="00BC3781"/>
    <w:rsid w:val="00BC37D7"/>
    <w:rsid w:val="00BC3FE7"/>
    <w:rsid w:val="00BC4591"/>
    <w:rsid w:val="00BC45A5"/>
    <w:rsid w:val="00BC45AC"/>
    <w:rsid w:val="00BC470F"/>
    <w:rsid w:val="00BC4BC4"/>
    <w:rsid w:val="00BC4FE4"/>
    <w:rsid w:val="00BC528E"/>
    <w:rsid w:val="00BC6412"/>
    <w:rsid w:val="00BC68A7"/>
    <w:rsid w:val="00BC6901"/>
    <w:rsid w:val="00BC6A37"/>
    <w:rsid w:val="00BC6AFC"/>
    <w:rsid w:val="00BC6CA3"/>
    <w:rsid w:val="00BC6DD4"/>
    <w:rsid w:val="00BC6F06"/>
    <w:rsid w:val="00BC712D"/>
    <w:rsid w:val="00BC7152"/>
    <w:rsid w:val="00BC7164"/>
    <w:rsid w:val="00BC75E4"/>
    <w:rsid w:val="00BC75EE"/>
    <w:rsid w:val="00BC77D8"/>
    <w:rsid w:val="00BC7AE2"/>
    <w:rsid w:val="00BC7C4C"/>
    <w:rsid w:val="00BC7D2C"/>
    <w:rsid w:val="00BC7D8D"/>
    <w:rsid w:val="00BC7DB1"/>
    <w:rsid w:val="00BD00CD"/>
    <w:rsid w:val="00BD0DCB"/>
    <w:rsid w:val="00BD0E50"/>
    <w:rsid w:val="00BD0FD8"/>
    <w:rsid w:val="00BD130F"/>
    <w:rsid w:val="00BD14B6"/>
    <w:rsid w:val="00BD1A06"/>
    <w:rsid w:val="00BD2096"/>
    <w:rsid w:val="00BD28AF"/>
    <w:rsid w:val="00BD2A03"/>
    <w:rsid w:val="00BD305D"/>
    <w:rsid w:val="00BD3470"/>
    <w:rsid w:val="00BD3BAD"/>
    <w:rsid w:val="00BD4190"/>
    <w:rsid w:val="00BD4882"/>
    <w:rsid w:val="00BD4DCE"/>
    <w:rsid w:val="00BD524E"/>
    <w:rsid w:val="00BD68BB"/>
    <w:rsid w:val="00BD6A42"/>
    <w:rsid w:val="00BD7094"/>
    <w:rsid w:val="00BD71E7"/>
    <w:rsid w:val="00BD7386"/>
    <w:rsid w:val="00BD742F"/>
    <w:rsid w:val="00BD756D"/>
    <w:rsid w:val="00BD76F1"/>
    <w:rsid w:val="00BD77D7"/>
    <w:rsid w:val="00BD7E07"/>
    <w:rsid w:val="00BE0005"/>
    <w:rsid w:val="00BE0456"/>
    <w:rsid w:val="00BE059F"/>
    <w:rsid w:val="00BE1910"/>
    <w:rsid w:val="00BE19C6"/>
    <w:rsid w:val="00BE25AE"/>
    <w:rsid w:val="00BE270F"/>
    <w:rsid w:val="00BE2726"/>
    <w:rsid w:val="00BE2A43"/>
    <w:rsid w:val="00BE2C62"/>
    <w:rsid w:val="00BE30AC"/>
    <w:rsid w:val="00BE30B1"/>
    <w:rsid w:val="00BE3353"/>
    <w:rsid w:val="00BE3684"/>
    <w:rsid w:val="00BE38ED"/>
    <w:rsid w:val="00BE414A"/>
    <w:rsid w:val="00BE4AC0"/>
    <w:rsid w:val="00BE4C09"/>
    <w:rsid w:val="00BE5178"/>
    <w:rsid w:val="00BE59F0"/>
    <w:rsid w:val="00BE5DEE"/>
    <w:rsid w:val="00BE69D2"/>
    <w:rsid w:val="00BE6AF5"/>
    <w:rsid w:val="00BE6B80"/>
    <w:rsid w:val="00BE71BE"/>
    <w:rsid w:val="00BE734E"/>
    <w:rsid w:val="00BE7386"/>
    <w:rsid w:val="00BE7972"/>
    <w:rsid w:val="00BE797A"/>
    <w:rsid w:val="00BF015F"/>
    <w:rsid w:val="00BF04C1"/>
    <w:rsid w:val="00BF06A6"/>
    <w:rsid w:val="00BF0B7F"/>
    <w:rsid w:val="00BF0C25"/>
    <w:rsid w:val="00BF0CAF"/>
    <w:rsid w:val="00BF0F04"/>
    <w:rsid w:val="00BF1281"/>
    <w:rsid w:val="00BF1535"/>
    <w:rsid w:val="00BF1666"/>
    <w:rsid w:val="00BF1C0B"/>
    <w:rsid w:val="00BF217F"/>
    <w:rsid w:val="00BF230B"/>
    <w:rsid w:val="00BF2CA9"/>
    <w:rsid w:val="00BF302C"/>
    <w:rsid w:val="00BF383C"/>
    <w:rsid w:val="00BF3E52"/>
    <w:rsid w:val="00BF3EDC"/>
    <w:rsid w:val="00BF42F3"/>
    <w:rsid w:val="00BF45E6"/>
    <w:rsid w:val="00BF4D5F"/>
    <w:rsid w:val="00BF5D49"/>
    <w:rsid w:val="00BF5D8A"/>
    <w:rsid w:val="00BF5E81"/>
    <w:rsid w:val="00BF5EE3"/>
    <w:rsid w:val="00BF62D8"/>
    <w:rsid w:val="00BF642F"/>
    <w:rsid w:val="00BF6659"/>
    <w:rsid w:val="00BF67E9"/>
    <w:rsid w:val="00BF750E"/>
    <w:rsid w:val="00BF7899"/>
    <w:rsid w:val="00C00137"/>
    <w:rsid w:val="00C00259"/>
    <w:rsid w:val="00C00A52"/>
    <w:rsid w:val="00C00C0B"/>
    <w:rsid w:val="00C00FC3"/>
    <w:rsid w:val="00C01106"/>
    <w:rsid w:val="00C019DC"/>
    <w:rsid w:val="00C02048"/>
    <w:rsid w:val="00C02EF2"/>
    <w:rsid w:val="00C03132"/>
    <w:rsid w:val="00C03210"/>
    <w:rsid w:val="00C03BD2"/>
    <w:rsid w:val="00C0443A"/>
    <w:rsid w:val="00C046EC"/>
    <w:rsid w:val="00C04CBB"/>
    <w:rsid w:val="00C04E35"/>
    <w:rsid w:val="00C05A25"/>
    <w:rsid w:val="00C06219"/>
    <w:rsid w:val="00C065A8"/>
    <w:rsid w:val="00C06825"/>
    <w:rsid w:val="00C068A9"/>
    <w:rsid w:val="00C06BD8"/>
    <w:rsid w:val="00C06DCA"/>
    <w:rsid w:val="00C070D1"/>
    <w:rsid w:val="00C071D7"/>
    <w:rsid w:val="00C07E62"/>
    <w:rsid w:val="00C100EF"/>
    <w:rsid w:val="00C1122B"/>
    <w:rsid w:val="00C12301"/>
    <w:rsid w:val="00C12366"/>
    <w:rsid w:val="00C124FA"/>
    <w:rsid w:val="00C125F8"/>
    <w:rsid w:val="00C12F38"/>
    <w:rsid w:val="00C13708"/>
    <w:rsid w:val="00C13D59"/>
    <w:rsid w:val="00C13E1F"/>
    <w:rsid w:val="00C14483"/>
    <w:rsid w:val="00C150E4"/>
    <w:rsid w:val="00C15132"/>
    <w:rsid w:val="00C1528F"/>
    <w:rsid w:val="00C15737"/>
    <w:rsid w:val="00C15F6E"/>
    <w:rsid w:val="00C16389"/>
    <w:rsid w:val="00C168F8"/>
    <w:rsid w:val="00C16B70"/>
    <w:rsid w:val="00C172C7"/>
    <w:rsid w:val="00C17A11"/>
    <w:rsid w:val="00C17C90"/>
    <w:rsid w:val="00C17D9C"/>
    <w:rsid w:val="00C17FA4"/>
    <w:rsid w:val="00C20126"/>
    <w:rsid w:val="00C206B2"/>
    <w:rsid w:val="00C2070E"/>
    <w:rsid w:val="00C21A49"/>
    <w:rsid w:val="00C229D3"/>
    <w:rsid w:val="00C23A12"/>
    <w:rsid w:val="00C23AF2"/>
    <w:rsid w:val="00C240F3"/>
    <w:rsid w:val="00C244AA"/>
    <w:rsid w:val="00C245DF"/>
    <w:rsid w:val="00C24652"/>
    <w:rsid w:val="00C2519E"/>
    <w:rsid w:val="00C256D5"/>
    <w:rsid w:val="00C25EA1"/>
    <w:rsid w:val="00C26055"/>
    <w:rsid w:val="00C26963"/>
    <w:rsid w:val="00C26AB6"/>
    <w:rsid w:val="00C26ADD"/>
    <w:rsid w:val="00C26D83"/>
    <w:rsid w:val="00C27124"/>
    <w:rsid w:val="00C27564"/>
    <w:rsid w:val="00C276EF"/>
    <w:rsid w:val="00C27876"/>
    <w:rsid w:val="00C278A0"/>
    <w:rsid w:val="00C27DF2"/>
    <w:rsid w:val="00C27FB7"/>
    <w:rsid w:val="00C300CB"/>
    <w:rsid w:val="00C30614"/>
    <w:rsid w:val="00C30B51"/>
    <w:rsid w:val="00C3101A"/>
    <w:rsid w:val="00C313C6"/>
    <w:rsid w:val="00C3145E"/>
    <w:rsid w:val="00C316B5"/>
    <w:rsid w:val="00C31812"/>
    <w:rsid w:val="00C31CCC"/>
    <w:rsid w:val="00C31CF4"/>
    <w:rsid w:val="00C32217"/>
    <w:rsid w:val="00C32632"/>
    <w:rsid w:val="00C33401"/>
    <w:rsid w:val="00C33528"/>
    <w:rsid w:val="00C335EC"/>
    <w:rsid w:val="00C337AA"/>
    <w:rsid w:val="00C34ABC"/>
    <w:rsid w:val="00C34B03"/>
    <w:rsid w:val="00C34CBD"/>
    <w:rsid w:val="00C34D91"/>
    <w:rsid w:val="00C34DF0"/>
    <w:rsid w:val="00C34EC7"/>
    <w:rsid w:val="00C35145"/>
    <w:rsid w:val="00C35181"/>
    <w:rsid w:val="00C355BF"/>
    <w:rsid w:val="00C3586F"/>
    <w:rsid w:val="00C35DB9"/>
    <w:rsid w:val="00C36C5D"/>
    <w:rsid w:val="00C36E61"/>
    <w:rsid w:val="00C37C8F"/>
    <w:rsid w:val="00C37D5D"/>
    <w:rsid w:val="00C40362"/>
    <w:rsid w:val="00C40BFD"/>
    <w:rsid w:val="00C40F2D"/>
    <w:rsid w:val="00C40F32"/>
    <w:rsid w:val="00C41987"/>
    <w:rsid w:val="00C41E5D"/>
    <w:rsid w:val="00C420E0"/>
    <w:rsid w:val="00C428DA"/>
    <w:rsid w:val="00C42C61"/>
    <w:rsid w:val="00C42D42"/>
    <w:rsid w:val="00C42F26"/>
    <w:rsid w:val="00C43593"/>
    <w:rsid w:val="00C43A4D"/>
    <w:rsid w:val="00C43F71"/>
    <w:rsid w:val="00C45074"/>
    <w:rsid w:val="00C45661"/>
    <w:rsid w:val="00C45BBA"/>
    <w:rsid w:val="00C45C62"/>
    <w:rsid w:val="00C46097"/>
    <w:rsid w:val="00C4682D"/>
    <w:rsid w:val="00C46F48"/>
    <w:rsid w:val="00C4726C"/>
    <w:rsid w:val="00C475EA"/>
    <w:rsid w:val="00C47751"/>
    <w:rsid w:val="00C47E70"/>
    <w:rsid w:val="00C47F96"/>
    <w:rsid w:val="00C50240"/>
    <w:rsid w:val="00C50545"/>
    <w:rsid w:val="00C508FA"/>
    <w:rsid w:val="00C50A4F"/>
    <w:rsid w:val="00C50DF5"/>
    <w:rsid w:val="00C50E88"/>
    <w:rsid w:val="00C5135D"/>
    <w:rsid w:val="00C51499"/>
    <w:rsid w:val="00C514FE"/>
    <w:rsid w:val="00C516AC"/>
    <w:rsid w:val="00C5192E"/>
    <w:rsid w:val="00C51CB3"/>
    <w:rsid w:val="00C52553"/>
    <w:rsid w:val="00C52C8F"/>
    <w:rsid w:val="00C530E1"/>
    <w:rsid w:val="00C534B8"/>
    <w:rsid w:val="00C534D8"/>
    <w:rsid w:val="00C53AA5"/>
    <w:rsid w:val="00C53E5E"/>
    <w:rsid w:val="00C53EB2"/>
    <w:rsid w:val="00C5422C"/>
    <w:rsid w:val="00C548C3"/>
    <w:rsid w:val="00C54E62"/>
    <w:rsid w:val="00C55A01"/>
    <w:rsid w:val="00C563D1"/>
    <w:rsid w:val="00C5688B"/>
    <w:rsid w:val="00C5698C"/>
    <w:rsid w:val="00C56A6A"/>
    <w:rsid w:val="00C56BEE"/>
    <w:rsid w:val="00C56E1B"/>
    <w:rsid w:val="00C57102"/>
    <w:rsid w:val="00C571D9"/>
    <w:rsid w:val="00C571FE"/>
    <w:rsid w:val="00C57432"/>
    <w:rsid w:val="00C5743F"/>
    <w:rsid w:val="00C576B7"/>
    <w:rsid w:val="00C603B9"/>
    <w:rsid w:val="00C60C34"/>
    <w:rsid w:val="00C617DF"/>
    <w:rsid w:val="00C625F1"/>
    <w:rsid w:val="00C62855"/>
    <w:rsid w:val="00C62ADC"/>
    <w:rsid w:val="00C63B71"/>
    <w:rsid w:val="00C6403A"/>
    <w:rsid w:val="00C64245"/>
    <w:rsid w:val="00C644F1"/>
    <w:rsid w:val="00C64B29"/>
    <w:rsid w:val="00C64F08"/>
    <w:rsid w:val="00C65328"/>
    <w:rsid w:val="00C655D0"/>
    <w:rsid w:val="00C6582F"/>
    <w:rsid w:val="00C663EE"/>
    <w:rsid w:val="00C6644C"/>
    <w:rsid w:val="00C6674D"/>
    <w:rsid w:val="00C66D54"/>
    <w:rsid w:val="00C66F10"/>
    <w:rsid w:val="00C67162"/>
    <w:rsid w:val="00C6771E"/>
    <w:rsid w:val="00C70CDC"/>
    <w:rsid w:val="00C710B5"/>
    <w:rsid w:val="00C71121"/>
    <w:rsid w:val="00C71784"/>
    <w:rsid w:val="00C718BC"/>
    <w:rsid w:val="00C71C9F"/>
    <w:rsid w:val="00C71FDD"/>
    <w:rsid w:val="00C7259D"/>
    <w:rsid w:val="00C72805"/>
    <w:rsid w:val="00C7288D"/>
    <w:rsid w:val="00C72942"/>
    <w:rsid w:val="00C7304C"/>
    <w:rsid w:val="00C73163"/>
    <w:rsid w:val="00C73173"/>
    <w:rsid w:val="00C73748"/>
    <w:rsid w:val="00C73F22"/>
    <w:rsid w:val="00C73F2A"/>
    <w:rsid w:val="00C73FEB"/>
    <w:rsid w:val="00C74453"/>
    <w:rsid w:val="00C74AC5"/>
    <w:rsid w:val="00C74EC9"/>
    <w:rsid w:val="00C754BF"/>
    <w:rsid w:val="00C7581F"/>
    <w:rsid w:val="00C758DF"/>
    <w:rsid w:val="00C75CD2"/>
    <w:rsid w:val="00C75E2D"/>
    <w:rsid w:val="00C7603C"/>
    <w:rsid w:val="00C76309"/>
    <w:rsid w:val="00C763E9"/>
    <w:rsid w:val="00C766EE"/>
    <w:rsid w:val="00C76BE9"/>
    <w:rsid w:val="00C770B0"/>
    <w:rsid w:val="00C77555"/>
    <w:rsid w:val="00C77B23"/>
    <w:rsid w:val="00C801F4"/>
    <w:rsid w:val="00C8051C"/>
    <w:rsid w:val="00C80A30"/>
    <w:rsid w:val="00C80D0A"/>
    <w:rsid w:val="00C80E47"/>
    <w:rsid w:val="00C80EBD"/>
    <w:rsid w:val="00C80F22"/>
    <w:rsid w:val="00C8131B"/>
    <w:rsid w:val="00C81518"/>
    <w:rsid w:val="00C81CB8"/>
    <w:rsid w:val="00C81FA8"/>
    <w:rsid w:val="00C82238"/>
    <w:rsid w:val="00C827DC"/>
    <w:rsid w:val="00C83089"/>
    <w:rsid w:val="00C8322A"/>
    <w:rsid w:val="00C8327B"/>
    <w:rsid w:val="00C837DE"/>
    <w:rsid w:val="00C839C0"/>
    <w:rsid w:val="00C8420B"/>
    <w:rsid w:val="00C842F9"/>
    <w:rsid w:val="00C8475B"/>
    <w:rsid w:val="00C85035"/>
    <w:rsid w:val="00C8524D"/>
    <w:rsid w:val="00C8542E"/>
    <w:rsid w:val="00C85821"/>
    <w:rsid w:val="00C85AC2"/>
    <w:rsid w:val="00C85C80"/>
    <w:rsid w:val="00C85CBF"/>
    <w:rsid w:val="00C85F3E"/>
    <w:rsid w:val="00C862F4"/>
    <w:rsid w:val="00C864BE"/>
    <w:rsid w:val="00C86581"/>
    <w:rsid w:val="00C868CF"/>
    <w:rsid w:val="00C86B08"/>
    <w:rsid w:val="00C86F3F"/>
    <w:rsid w:val="00C87215"/>
    <w:rsid w:val="00C8754C"/>
    <w:rsid w:val="00C87943"/>
    <w:rsid w:val="00C87DB8"/>
    <w:rsid w:val="00C87DD9"/>
    <w:rsid w:val="00C87F33"/>
    <w:rsid w:val="00C9015E"/>
    <w:rsid w:val="00C903F4"/>
    <w:rsid w:val="00C906D5"/>
    <w:rsid w:val="00C909C8"/>
    <w:rsid w:val="00C90F5F"/>
    <w:rsid w:val="00C90F90"/>
    <w:rsid w:val="00C91ACA"/>
    <w:rsid w:val="00C921C4"/>
    <w:rsid w:val="00C92976"/>
    <w:rsid w:val="00C92F08"/>
    <w:rsid w:val="00C931C1"/>
    <w:rsid w:val="00C93286"/>
    <w:rsid w:val="00C93496"/>
    <w:rsid w:val="00C9355F"/>
    <w:rsid w:val="00C93670"/>
    <w:rsid w:val="00C936C1"/>
    <w:rsid w:val="00C93C65"/>
    <w:rsid w:val="00C9482D"/>
    <w:rsid w:val="00C94B3E"/>
    <w:rsid w:val="00C94C80"/>
    <w:rsid w:val="00C94D16"/>
    <w:rsid w:val="00C95151"/>
    <w:rsid w:val="00C953E6"/>
    <w:rsid w:val="00C954EB"/>
    <w:rsid w:val="00C95623"/>
    <w:rsid w:val="00C95824"/>
    <w:rsid w:val="00C95BD4"/>
    <w:rsid w:val="00C95E6D"/>
    <w:rsid w:val="00C95F4A"/>
    <w:rsid w:val="00C9694F"/>
    <w:rsid w:val="00C969A4"/>
    <w:rsid w:val="00C96DEF"/>
    <w:rsid w:val="00C9798D"/>
    <w:rsid w:val="00C97DD6"/>
    <w:rsid w:val="00C97E89"/>
    <w:rsid w:val="00CA0175"/>
    <w:rsid w:val="00CA01C6"/>
    <w:rsid w:val="00CA074E"/>
    <w:rsid w:val="00CA082A"/>
    <w:rsid w:val="00CA0863"/>
    <w:rsid w:val="00CA12E5"/>
    <w:rsid w:val="00CA18E2"/>
    <w:rsid w:val="00CA1A82"/>
    <w:rsid w:val="00CA304C"/>
    <w:rsid w:val="00CA339F"/>
    <w:rsid w:val="00CA4578"/>
    <w:rsid w:val="00CA4788"/>
    <w:rsid w:val="00CA50E1"/>
    <w:rsid w:val="00CA5930"/>
    <w:rsid w:val="00CA5AB8"/>
    <w:rsid w:val="00CA5CC3"/>
    <w:rsid w:val="00CA6199"/>
    <w:rsid w:val="00CA6839"/>
    <w:rsid w:val="00CA7062"/>
    <w:rsid w:val="00CA73F3"/>
    <w:rsid w:val="00CA7798"/>
    <w:rsid w:val="00CA77A6"/>
    <w:rsid w:val="00CA7883"/>
    <w:rsid w:val="00CB0145"/>
    <w:rsid w:val="00CB085A"/>
    <w:rsid w:val="00CB0B92"/>
    <w:rsid w:val="00CB0D1F"/>
    <w:rsid w:val="00CB1092"/>
    <w:rsid w:val="00CB112B"/>
    <w:rsid w:val="00CB1269"/>
    <w:rsid w:val="00CB12A2"/>
    <w:rsid w:val="00CB130F"/>
    <w:rsid w:val="00CB15C6"/>
    <w:rsid w:val="00CB165C"/>
    <w:rsid w:val="00CB2E5B"/>
    <w:rsid w:val="00CB2ED3"/>
    <w:rsid w:val="00CB311E"/>
    <w:rsid w:val="00CB3BA4"/>
    <w:rsid w:val="00CB4268"/>
    <w:rsid w:val="00CB4802"/>
    <w:rsid w:val="00CB5794"/>
    <w:rsid w:val="00CB5A82"/>
    <w:rsid w:val="00CB626F"/>
    <w:rsid w:val="00CB6279"/>
    <w:rsid w:val="00CB658D"/>
    <w:rsid w:val="00CB6639"/>
    <w:rsid w:val="00CB67B8"/>
    <w:rsid w:val="00CB693A"/>
    <w:rsid w:val="00CB71A5"/>
    <w:rsid w:val="00CB77CB"/>
    <w:rsid w:val="00CB7A69"/>
    <w:rsid w:val="00CC007D"/>
    <w:rsid w:val="00CC0E96"/>
    <w:rsid w:val="00CC189B"/>
    <w:rsid w:val="00CC21C5"/>
    <w:rsid w:val="00CC2893"/>
    <w:rsid w:val="00CC2915"/>
    <w:rsid w:val="00CC2950"/>
    <w:rsid w:val="00CC2BA0"/>
    <w:rsid w:val="00CC2EE8"/>
    <w:rsid w:val="00CC33CD"/>
    <w:rsid w:val="00CC373E"/>
    <w:rsid w:val="00CC48E6"/>
    <w:rsid w:val="00CC519E"/>
    <w:rsid w:val="00CC5821"/>
    <w:rsid w:val="00CC5AC1"/>
    <w:rsid w:val="00CC5FA4"/>
    <w:rsid w:val="00CC6732"/>
    <w:rsid w:val="00CC67BC"/>
    <w:rsid w:val="00CC6978"/>
    <w:rsid w:val="00CC717D"/>
    <w:rsid w:val="00CC71B7"/>
    <w:rsid w:val="00CC775E"/>
    <w:rsid w:val="00CC7F3E"/>
    <w:rsid w:val="00CD0E9F"/>
    <w:rsid w:val="00CD1133"/>
    <w:rsid w:val="00CD125D"/>
    <w:rsid w:val="00CD1A3E"/>
    <w:rsid w:val="00CD20D4"/>
    <w:rsid w:val="00CD2403"/>
    <w:rsid w:val="00CD2647"/>
    <w:rsid w:val="00CD2954"/>
    <w:rsid w:val="00CD29BC"/>
    <w:rsid w:val="00CD328E"/>
    <w:rsid w:val="00CD3A6F"/>
    <w:rsid w:val="00CD3B3D"/>
    <w:rsid w:val="00CD45DA"/>
    <w:rsid w:val="00CD474A"/>
    <w:rsid w:val="00CD4B93"/>
    <w:rsid w:val="00CD4DC5"/>
    <w:rsid w:val="00CD5165"/>
    <w:rsid w:val="00CD5479"/>
    <w:rsid w:val="00CD5AC2"/>
    <w:rsid w:val="00CD657A"/>
    <w:rsid w:val="00CD66B7"/>
    <w:rsid w:val="00CD66D5"/>
    <w:rsid w:val="00CD71A2"/>
    <w:rsid w:val="00CD75C3"/>
    <w:rsid w:val="00CD7D52"/>
    <w:rsid w:val="00CD7DBF"/>
    <w:rsid w:val="00CD7E2E"/>
    <w:rsid w:val="00CD7F4B"/>
    <w:rsid w:val="00CE0235"/>
    <w:rsid w:val="00CE0682"/>
    <w:rsid w:val="00CE06AB"/>
    <w:rsid w:val="00CE0990"/>
    <w:rsid w:val="00CE0BA7"/>
    <w:rsid w:val="00CE113D"/>
    <w:rsid w:val="00CE13CF"/>
    <w:rsid w:val="00CE1557"/>
    <w:rsid w:val="00CE177E"/>
    <w:rsid w:val="00CE1A9A"/>
    <w:rsid w:val="00CE2222"/>
    <w:rsid w:val="00CE230C"/>
    <w:rsid w:val="00CE2A49"/>
    <w:rsid w:val="00CE2C0A"/>
    <w:rsid w:val="00CE2C2F"/>
    <w:rsid w:val="00CE32EE"/>
    <w:rsid w:val="00CE3329"/>
    <w:rsid w:val="00CE39C6"/>
    <w:rsid w:val="00CE444F"/>
    <w:rsid w:val="00CE4662"/>
    <w:rsid w:val="00CE4EC0"/>
    <w:rsid w:val="00CE569C"/>
    <w:rsid w:val="00CE5787"/>
    <w:rsid w:val="00CE5EEC"/>
    <w:rsid w:val="00CE6354"/>
    <w:rsid w:val="00CE6D6E"/>
    <w:rsid w:val="00CE745A"/>
    <w:rsid w:val="00CE77D4"/>
    <w:rsid w:val="00CE7850"/>
    <w:rsid w:val="00CF0130"/>
    <w:rsid w:val="00CF01EE"/>
    <w:rsid w:val="00CF0371"/>
    <w:rsid w:val="00CF03C2"/>
    <w:rsid w:val="00CF0BE4"/>
    <w:rsid w:val="00CF0C13"/>
    <w:rsid w:val="00CF0D9E"/>
    <w:rsid w:val="00CF0F00"/>
    <w:rsid w:val="00CF10BC"/>
    <w:rsid w:val="00CF1C58"/>
    <w:rsid w:val="00CF1F05"/>
    <w:rsid w:val="00CF1FFF"/>
    <w:rsid w:val="00CF226E"/>
    <w:rsid w:val="00CF2B67"/>
    <w:rsid w:val="00CF2D59"/>
    <w:rsid w:val="00CF3122"/>
    <w:rsid w:val="00CF3435"/>
    <w:rsid w:val="00CF3554"/>
    <w:rsid w:val="00CF35B5"/>
    <w:rsid w:val="00CF3B05"/>
    <w:rsid w:val="00CF3C83"/>
    <w:rsid w:val="00CF465C"/>
    <w:rsid w:val="00CF48C8"/>
    <w:rsid w:val="00CF4A04"/>
    <w:rsid w:val="00CF4B03"/>
    <w:rsid w:val="00CF4F5E"/>
    <w:rsid w:val="00CF552B"/>
    <w:rsid w:val="00CF5826"/>
    <w:rsid w:val="00CF596B"/>
    <w:rsid w:val="00CF597C"/>
    <w:rsid w:val="00CF5F8F"/>
    <w:rsid w:val="00CF60CC"/>
    <w:rsid w:val="00CF6507"/>
    <w:rsid w:val="00CF6C64"/>
    <w:rsid w:val="00CF6F8B"/>
    <w:rsid w:val="00CF772E"/>
    <w:rsid w:val="00D005FF"/>
    <w:rsid w:val="00D006BC"/>
    <w:rsid w:val="00D00AC6"/>
    <w:rsid w:val="00D00FBE"/>
    <w:rsid w:val="00D01A5E"/>
    <w:rsid w:val="00D01E64"/>
    <w:rsid w:val="00D021B3"/>
    <w:rsid w:val="00D031BD"/>
    <w:rsid w:val="00D03A65"/>
    <w:rsid w:val="00D03DF1"/>
    <w:rsid w:val="00D03FF0"/>
    <w:rsid w:val="00D04A37"/>
    <w:rsid w:val="00D05040"/>
    <w:rsid w:val="00D05FA2"/>
    <w:rsid w:val="00D06072"/>
    <w:rsid w:val="00D0644E"/>
    <w:rsid w:val="00D06782"/>
    <w:rsid w:val="00D06AE5"/>
    <w:rsid w:val="00D06D6F"/>
    <w:rsid w:val="00D0716D"/>
    <w:rsid w:val="00D07285"/>
    <w:rsid w:val="00D07373"/>
    <w:rsid w:val="00D07F7B"/>
    <w:rsid w:val="00D10031"/>
    <w:rsid w:val="00D1068F"/>
    <w:rsid w:val="00D10C9A"/>
    <w:rsid w:val="00D1105D"/>
    <w:rsid w:val="00D116D6"/>
    <w:rsid w:val="00D12073"/>
    <w:rsid w:val="00D124BD"/>
    <w:rsid w:val="00D12575"/>
    <w:rsid w:val="00D126DF"/>
    <w:rsid w:val="00D12A7D"/>
    <w:rsid w:val="00D12C56"/>
    <w:rsid w:val="00D12DF4"/>
    <w:rsid w:val="00D13325"/>
    <w:rsid w:val="00D134BB"/>
    <w:rsid w:val="00D141AA"/>
    <w:rsid w:val="00D14B66"/>
    <w:rsid w:val="00D15050"/>
    <w:rsid w:val="00D164A2"/>
    <w:rsid w:val="00D168B5"/>
    <w:rsid w:val="00D169AA"/>
    <w:rsid w:val="00D16B35"/>
    <w:rsid w:val="00D17134"/>
    <w:rsid w:val="00D172EE"/>
    <w:rsid w:val="00D17A10"/>
    <w:rsid w:val="00D17C59"/>
    <w:rsid w:val="00D17F44"/>
    <w:rsid w:val="00D2019F"/>
    <w:rsid w:val="00D20406"/>
    <w:rsid w:val="00D205F4"/>
    <w:rsid w:val="00D20AD8"/>
    <w:rsid w:val="00D212ED"/>
    <w:rsid w:val="00D2135B"/>
    <w:rsid w:val="00D21530"/>
    <w:rsid w:val="00D218E8"/>
    <w:rsid w:val="00D22698"/>
    <w:rsid w:val="00D2290A"/>
    <w:rsid w:val="00D22CB7"/>
    <w:rsid w:val="00D22E28"/>
    <w:rsid w:val="00D2332A"/>
    <w:rsid w:val="00D244DC"/>
    <w:rsid w:val="00D24E05"/>
    <w:rsid w:val="00D25069"/>
    <w:rsid w:val="00D2509F"/>
    <w:rsid w:val="00D251BE"/>
    <w:rsid w:val="00D254EF"/>
    <w:rsid w:val="00D25D38"/>
    <w:rsid w:val="00D25D91"/>
    <w:rsid w:val="00D25E39"/>
    <w:rsid w:val="00D26776"/>
    <w:rsid w:val="00D26F6B"/>
    <w:rsid w:val="00D26F9F"/>
    <w:rsid w:val="00D27508"/>
    <w:rsid w:val="00D2759F"/>
    <w:rsid w:val="00D2796F"/>
    <w:rsid w:val="00D30625"/>
    <w:rsid w:val="00D309C3"/>
    <w:rsid w:val="00D30C18"/>
    <w:rsid w:val="00D30D6C"/>
    <w:rsid w:val="00D310CF"/>
    <w:rsid w:val="00D31C7D"/>
    <w:rsid w:val="00D31D87"/>
    <w:rsid w:val="00D32195"/>
    <w:rsid w:val="00D3223B"/>
    <w:rsid w:val="00D326FA"/>
    <w:rsid w:val="00D3274F"/>
    <w:rsid w:val="00D335E3"/>
    <w:rsid w:val="00D33E7D"/>
    <w:rsid w:val="00D33EA7"/>
    <w:rsid w:val="00D344A8"/>
    <w:rsid w:val="00D3480C"/>
    <w:rsid w:val="00D349A6"/>
    <w:rsid w:val="00D34D71"/>
    <w:rsid w:val="00D35062"/>
    <w:rsid w:val="00D354A9"/>
    <w:rsid w:val="00D3603F"/>
    <w:rsid w:val="00D360A3"/>
    <w:rsid w:val="00D36837"/>
    <w:rsid w:val="00D368C9"/>
    <w:rsid w:val="00D37F40"/>
    <w:rsid w:val="00D40037"/>
    <w:rsid w:val="00D405CE"/>
    <w:rsid w:val="00D40842"/>
    <w:rsid w:val="00D40D2C"/>
    <w:rsid w:val="00D411D8"/>
    <w:rsid w:val="00D41352"/>
    <w:rsid w:val="00D413E5"/>
    <w:rsid w:val="00D41639"/>
    <w:rsid w:val="00D41E4B"/>
    <w:rsid w:val="00D4212D"/>
    <w:rsid w:val="00D423C7"/>
    <w:rsid w:val="00D4256E"/>
    <w:rsid w:val="00D42C71"/>
    <w:rsid w:val="00D42E4E"/>
    <w:rsid w:val="00D4321A"/>
    <w:rsid w:val="00D432FC"/>
    <w:rsid w:val="00D43BFB"/>
    <w:rsid w:val="00D43C66"/>
    <w:rsid w:val="00D4439A"/>
    <w:rsid w:val="00D44ABC"/>
    <w:rsid w:val="00D44B1F"/>
    <w:rsid w:val="00D454A5"/>
    <w:rsid w:val="00D45C41"/>
    <w:rsid w:val="00D45D65"/>
    <w:rsid w:val="00D45DE9"/>
    <w:rsid w:val="00D45E52"/>
    <w:rsid w:val="00D45E80"/>
    <w:rsid w:val="00D460A1"/>
    <w:rsid w:val="00D4635A"/>
    <w:rsid w:val="00D46A4B"/>
    <w:rsid w:val="00D46DCA"/>
    <w:rsid w:val="00D46F87"/>
    <w:rsid w:val="00D4792C"/>
    <w:rsid w:val="00D47AB4"/>
    <w:rsid w:val="00D47CAA"/>
    <w:rsid w:val="00D47E61"/>
    <w:rsid w:val="00D504D7"/>
    <w:rsid w:val="00D50624"/>
    <w:rsid w:val="00D50821"/>
    <w:rsid w:val="00D50B12"/>
    <w:rsid w:val="00D50F72"/>
    <w:rsid w:val="00D510C8"/>
    <w:rsid w:val="00D5117A"/>
    <w:rsid w:val="00D51BF8"/>
    <w:rsid w:val="00D523BD"/>
    <w:rsid w:val="00D52486"/>
    <w:rsid w:val="00D52FDC"/>
    <w:rsid w:val="00D5329F"/>
    <w:rsid w:val="00D53662"/>
    <w:rsid w:val="00D53669"/>
    <w:rsid w:val="00D5382F"/>
    <w:rsid w:val="00D53982"/>
    <w:rsid w:val="00D53C00"/>
    <w:rsid w:val="00D54AEF"/>
    <w:rsid w:val="00D55425"/>
    <w:rsid w:val="00D555D1"/>
    <w:rsid w:val="00D56194"/>
    <w:rsid w:val="00D5626C"/>
    <w:rsid w:val="00D565DD"/>
    <w:rsid w:val="00D56AF6"/>
    <w:rsid w:val="00D56D5E"/>
    <w:rsid w:val="00D57EF6"/>
    <w:rsid w:val="00D607E6"/>
    <w:rsid w:val="00D60A54"/>
    <w:rsid w:val="00D60CA3"/>
    <w:rsid w:val="00D60F81"/>
    <w:rsid w:val="00D61323"/>
    <w:rsid w:val="00D61846"/>
    <w:rsid w:val="00D622BF"/>
    <w:rsid w:val="00D625A6"/>
    <w:rsid w:val="00D62600"/>
    <w:rsid w:val="00D627BC"/>
    <w:rsid w:val="00D62CCC"/>
    <w:rsid w:val="00D63064"/>
    <w:rsid w:val="00D63254"/>
    <w:rsid w:val="00D63D5C"/>
    <w:rsid w:val="00D63E17"/>
    <w:rsid w:val="00D6416B"/>
    <w:rsid w:val="00D6425B"/>
    <w:rsid w:val="00D64763"/>
    <w:rsid w:val="00D64C02"/>
    <w:rsid w:val="00D64ECA"/>
    <w:rsid w:val="00D6503D"/>
    <w:rsid w:val="00D65385"/>
    <w:rsid w:val="00D655F8"/>
    <w:rsid w:val="00D65AE7"/>
    <w:rsid w:val="00D6655A"/>
    <w:rsid w:val="00D6663D"/>
    <w:rsid w:val="00D66695"/>
    <w:rsid w:val="00D66E09"/>
    <w:rsid w:val="00D66F77"/>
    <w:rsid w:val="00D677A7"/>
    <w:rsid w:val="00D677BE"/>
    <w:rsid w:val="00D707CD"/>
    <w:rsid w:val="00D70818"/>
    <w:rsid w:val="00D70BF7"/>
    <w:rsid w:val="00D70E4B"/>
    <w:rsid w:val="00D71147"/>
    <w:rsid w:val="00D727BD"/>
    <w:rsid w:val="00D72924"/>
    <w:rsid w:val="00D7328E"/>
    <w:rsid w:val="00D733E2"/>
    <w:rsid w:val="00D73838"/>
    <w:rsid w:val="00D73886"/>
    <w:rsid w:val="00D73C5E"/>
    <w:rsid w:val="00D7456F"/>
    <w:rsid w:val="00D74D80"/>
    <w:rsid w:val="00D75050"/>
    <w:rsid w:val="00D75397"/>
    <w:rsid w:val="00D75440"/>
    <w:rsid w:val="00D75938"/>
    <w:rsid w:val="00D75977"/>
    <w:rsid w:val="00D76154"/>
    <w:rsid w:val="00D761F4"/>
    <w:rsid w:val="00D768DB"/>
    <w:rsid w:val="00D76A01"/>
    <w:rsid w:val="00D76B0C"/>
    <w:rsid w:val="00D771D5"/>
    <w:rsid w:val="00D77226"/>
    <w:rsid w:val="00D77787"/>
    <w:rsid w:val="00D77BC6"/>
    <w:rsid w:val="00D77F21"/>
    <w:rsid w:val="00D77F78"/>
    <w:rsid w:val="00D81616"/>
    <w:rsid w:val="00D82985"/>
    <w:rsid w:val="00D82EC7"/>
    <w:rsid w:val="00D832A3"/>
    <w:rsid w:val="00D834EE"/>
    <w:rsid w:val="00D83568"/>
    <w:rsid w:val="00D835BF"/>
    <w:rsid w:val="00D8364C"/>
    <w:rsid w:val="00D837BF"/>
    <w:rsid w:val="00D837D0"/>
    <w:rsid w:val="00D841A3"/>
    <w:rsid w:val="00D8449A"/>
    <w:rsid w:val="00D84FE5"/>
    <w:rsid w:val="00D85C86"/>
    <w:rsid w:val="00D8639B"/>
    <w:rsid w:val="00D8673B"/>
    <w:rsid w:val="00D8755B"/>
    <w:rsid w:val="00D87687"/>
    <w:rsid w:val="00D878B2"/>
    <w:rsid w:val="00D87917"/>
    <w:rsid w:val="00D87E5E"/>
    <w:rsid w:val="00D901E7"/>
    <w:rsid w:val="00D90C25"/>
    <w:rsid w:val="00D90C38"/>
    <w:rsid w:val="00D90D90"/>
    <w:rsid w:val="00D90F98"/>
    <w:rsid w:val="00D91183"/>
    <w:rsid w:val="00D915A2"/>
    <w:rsid w:val="00D917CA"/>
    <w:rsid w:val="00D91EDD"/>
    <w:rsid w:val="00D92015"/>
    <w:rsid w:val="00D92A19"/>
    <w:rsid w:val="00D92ACE"/>
    <w:rsid w:val="00D93E2C"/>
    <w:rsid w:val="00D949D1"/>
    <w:rsid w:val="00D9504E"/>
    <w:rsid w:val="00D95292"/>
    <w:rsid w:val="00D9566D"/>
    <w:rsid w:val="00D9588E"/>
    <w:rsid w:val="00D96462"/>
    <w:rsid w:val="00D966BE"/>
    <w:rsid w:val="00D96802"/>
    <w:rsid w:val="00D97918"/>
    <w:rsid w:val="00D97CF0"/>
    <w:rsid w:val="00DA034C"/>
    <w:rsid w:val="00DA05BC"/>
    <w:rsid w:val="00DA0642"/>
    <w:rsid w:val="00DA0649"/>
    <w:rsid w:val="00DA0BD3"/>
    <w:rsid w:val="00DA0C0C"/>
    <w:rsid w:val="00DA154B"/>
    <w:rsid w:val="00DA157C"/>
    <w:rsid w:val="00DA159C"/>
    <w:rsid w:val="00DA191A"/>
    <w:rsid w:val="00DA196C"/>
    <w:rsid w:val="00DA1DBA"/>
    <w:rsid w:val="00DA1E07"/>
    <w:rsid w:val="00DA2FA8"/>
    <w:rsid w:val="00DA3061"/>
    <w:rsid w:val="00DA3174"/>
    <w:rsid w:val="00DA31E4"/>
    <w:rsid w:val="00DA3C34"/>
    <w:rsid w:val="00DA3C57"/>
    <w:rsid w:val="00DA3CD6"/>
    <w:rsid w:val="00DA444C"/>
    <w:rsid w:val="00DA4DB3"/>
    <w:rsid w:val="00DA4EB3"/>
    <w:rsid w:val="00DA5765"/>
    <w:rsid w:val="00DA5922"/>
    <w:rsid w:val="00DA5EA5"/>
    <w:rsid w:val="00DA682A"/>
    <w:rsid w:val="00DA68E2"/>
    <w:rsid w:val="00DA75EC"/>
    <w:rsid w:val="00DA7737"/>
    <w:rsid w:val="00DA7DE6"/>
    <w:rsid w:val="00DB0B0F"/>
    <w:rsid w:val="00DB0EE0"/>
    <w:rsid w:val="00DB137F"/>
    <w:rsid w:val="00DB17B9"/>
    <w:rsid w:val="00DB1FFE"/>
    <w:rsid w:val="00DB2392"/>
    <w:rsid w:val="00DB264C"/>
    <w:rsid w:val="00DB2E03"/>
    <w:rsid w:val="00DB2E95"/>
    <w:rsid w:val="00DB318C"/>
    <w:rsid w:val="00DB3458"/>
    <w:rsid w:val="00DB40B0"/>
    <w:rsid w:val="00DB4ED5"/>
    <w:rsid w:val="00DB502C"/>
    <w:rsid w:val="00DB5352"/>
    <w:rsid w:val="00DB58E9"/>
    <w:rsid w:val="00DB5A09"/>
    <w:rsid w:val="00DB5F3B"/>
    <w:rsid w:val="00DB663B"/>
    <w:rsid w:val="00DB6703"/>
    <w:rsid w:val="00DB6872"/>
    <w:rsid w:val="00DB6BA7"/>
    <w:rsid w:val="00DB6E4D"/>
    <w:rsid w:val="00DB7027"/>
    <w:rsid w:val="00DB7637"/>
    <w:rsid w:val="00DB7A62"/>
    <w:rsid w:val="00DB7DA8"/>
    <w:rsid w:val="00DB7DC3"/>
    <w:rsid w:val="00DC0013"/>
    <w:rsid w:val="00DC06B0"/>
    <w:rsid w:val="00DC089D"/>
    <w:rsid w:val="00DC11B7"/>
    <w:rsid w:val="00DC1644"/>
    <w:rsid w:val="00DC1E5D"/>
    <w:rsid w:val="00DC21F2"/>
    <w:rsid w:val="00DC258F"/>
    <w:rsid w:val="00DC2B3E"/>
    <w:rsid w:val="00DC3AE7"/>
    <w:rsid w:val="00DC3BF1"/>
    <w:rsid w:val="00DC40BD"/>
    <w:rsid w:val="00DC4AAB"/>
    <w:rsid w:val="00DC4B4F"/>
    <w:rsid w:val="00DC4E56"/>
    <w:rsid w:val="00DC5732"/>
    <w:rsid w:val="00DC59A0"/>
    <w:rsid w:val="00DC5B5D"/>
    <w:rsid w:val="00DC5BE0"/>
    <w:rsid w:val="00DC5C20"/>
    <w:rsid w:val="00DC641A"/>
    <w:rsid w:val="00DC6808"/>
    <w:rsid w:val="00DC6C2D"/>
    <w:rsid w:val="00DC7090"/>
    <w:rsid w:val="00DC7598"/>
    <w:rsid w:val="00DC7631"/>
    <w:rsid w:val="00DC78A3"/>
    <w:rsid w:val="00DC7B53"/>
    <w:rsid w:val="00DC7E83"/>
    <w:rsid w:val="00DC7FDE"/>
    <w:rsid w:val="00DD0260"/>
    <w:rsid w:val="00DD04BA"/>
    <w:rsid w:val="00DD12A0"/>
    <w:rsid w:val="00DD178E"/>
    <w:rsid w:val="00DD18CF"/>
    <w:rsid w:val="00DD2E7A"/>
    <w:rsid w:val="00DD339A"/>
    <w:rsid w:val="00DD370D"/>
    <w:rsid w:val="00DD4F6F"/>
    <w:rsid w:val="00DD4F84"/>
    <w:rsid w:val="00DD5411"/>
    <w:rsid w:val="00DD564B"/>
    <w:rsid w:val="00DD5993"/>
    <w:rsid w:val="00DD5AC1"/>
    <w:rsid w:val="00DD6021"/>
    <w:rsid w:val="00DD6706"/>
    <w:rsid w:val="00DD7152"/>
    <w:rsid w:val="00DD7389"/>
    <w:rsid w:val="00DD7406"/>
    <w:rsid w:val="00DD750C"/>
    <w:rsid w:val="00DD7B49"/>
    <w:rsid w:val="00DE0305"/>
    <w:rsid w:val="00DE0A1D"/>
    <w:rsid w:val="00DE0D5D"/>
    <w:rsid w:val="00DE1089"/>
    <w:rsid w:val="00DE1406"/>
    <w:rsid w:val="00DE14B4"/>
    <w:rsid w:val="00DE17EF"/>
    <w:rsid w:val="00DE1C22"/>
    <w:rsid w:val="00DE1CA8"/>
    <w:rsid w:val="00DE1FF7"/>
    <w:rsid w:val="00DE210E"/>
    <w:rsid w:val="00DE21FA"/>
    <w:rsid w:val="00DE27BF"/>
    <w:rsid w:val="00DE2E9F"/>
    <w:rsid w:val="00DE2F4F"/>
    <w:rsid w:val="00DE3568"/>
    <w:rsid w:val="00DE3BC7"/>
    <w:rsid w:val="00DE41A1"/>
    <w:rsid w:val="00DE4454"/>
    <w:rsid w:val="00DE4E5F"/>
    <w:rsid w:val="00DE501F"/>
    <w:rsid w:val="00DE5164"/>
    <w:rsid w:val="00DE531D"/>
    <w:rsid w:val="00DE6007"/>
    <w:rsid w:val="00DE649D"/>
    <w:rsid w:val="00DE6582"/>
    <w:rsid w:val="00DE6DA5"/>
    <w:rsid w:val="00DE71A4"/>
    <w:rsid w:val="00DE7980"/>
    <w:rsid w:val="00DF0396"/>
    <w:rsid w:val="00DF0F0C"/>
    <w:rsid w:val="00DF13D6"/>
    <w:rsid w:val="00DF14FF"/>
    <w:rsid w:val="00DF16D6"/>
    <w:rsid w:val="00DF17AA"/>
    <w:rsid w:val="00DF1863"/>
    <w:rsid w:val="00DF1C06"/>
    <w:rsid w:val="00DF1FB5"/>
    <w:rsid w:val="00DF215A"/>
    <w:rsid w:val="00DF255D"/>
    <w:rsid w:val="00DF25E4"/>
    <w:rsid w:val="00DF2C46"/>
    <w:rsid w:val="00DF3200"/>
    <w:rsid w:val="00DF3A9A"/>
    <w:rsid w:val="00DF3EE0"/>
    <w:rsid w:val="00DF449E"/>
    <w:rsid w:val="00DF4697"/>
    <w:rsid w:val="00DF5161"/>
    <w:rsid w:val="00DF53EA"/>
    <w:rsid w:val="00DF55E3"/>
    <w:rsid w:val="00DF601E"/>
    <w:rsid w:val="00DF6229"/>
    <w:rsid w:val="00DF63A9"/>
    <w:rsid w:val="00DF6ADD"/>
    <w:rsid w:val="00DF6EE7"/>
    <w:rsid w:val="00DF79B8"/>
    <w:rsid w:val="00E01153"/>
    <w:rsid w:val="00E01382"/>
    <w:rsid w:val="00E01ADF"/>
    <w:rsid w:val="00E01ED5"/>
    <w:rsid w:val="00E01EDB"/>
    <w:rsid w:val="00E01EE1"/>
    <w:rsid w:val="00E021F2"/>
    <w:rsid w:val="00E02476"/>
    <w:rsid w:val="00E02481"/>
    <w:rsid w:val="00E026C9"/>
    <w:rsid w:val="00E02931"/>
    <w:rsid w:val="00E02AED"/>
    <w:rsid w:val="00E03206"/>
    <w:rsid w:val="00E03525"/>
    <w:rsid w:val="00E0436A"/>
    <w:rsid w:val="00E04EDF"/>
    <w:rsid w:val="00E05186"/>
    <w:rsid w:val="00E05B8B"/>
    <w:rsid w:val="00E07122"/>
    <w:rsid w:val="00E07201"/>
    <w:rsid w:val="00E07310"/>
    <w:rsid w:val="00E0755C"/>
    <w:rsid w:val="00E07789"/>
    <w:rsid w:val="00E07C75"/>
    <w:rsid w:val="00E10B7B"/>
    <w:rsid w:val="00E10D32"/>
    <w:rsid w:val="00E11279"/>
    <w:rsid w:val="00E1161F"/>
    <w:rsid w:val="00E11F35"/>
    <w:rsid w:val="00E129EE"/>
    <w:rsid w:val="00E12C5A"/>
    <w:rsid w:val="00E12CC9"/>
    <w:rsid w:val="00E1329A"/>
    <w:rsid w:val="00E13309"/>
    <w:rsid w:val="00E13378"/>
    <w:rsid w:val="00E134CC"/>
    <w:rsid w:val="00E1358B"/>
    <w:rsid w:val="00E13BEA"/>
    <w:rsid w:val="00E13DE9"/>
    <w:rsid w:val="00E1415A"/>
    <w:rsid w:val="00E142BB"/>
    <w:rsid w:val="00E15114"/>
    <w:rsid w:val="00E151F9"/>
    <w:rsid w:val="00E153D6"/>
    <w:rsid w:val="00E15517"/>
    <w:rsid w:val="00E155DD"/>
    <w:rsid w:val="00E15C06"/>
    <w:rsid w:val="00E15E05"/>
    <w:rsid w:val="00E163FE"/>
    <w:rsid w:val="00E168AF"/>
    <w:rsid w:val="00E16C4C"/>
    <w:rsid w:val="00E1740A"/>
    <w:rsid w:val="00E179DA"/>
    <w:rsid w:val="00E17A4E"/>
    <w:rsid w:val="00E20170"/>
    <w:rsid w:val="00E20CB9"/>
    <w:rsid w:val="00E20EC9"/>
    <w:rsid w:val="00E20F1D"/>
    <w:rsid w:val="00E2192D"/>
    <w:rsid w:val="00E21AEF"/>
    <w:rsid w:val="00E21ECD"/>
    <w:rsid w:val="00E2274B"/>
    <w:rsid w:val="00E22C65"/>
    <w:rsid w:val="00E23186"/>
    <w:rsid w:val="00E23755"/>
    <w:rsid w:val="00E23AF2"/>
    <w:rsid w:val="00E24309"/>
    <w:rsid w:val="00E24660"/>
    <w:rsid w:val="00E2469F"/>
    <w:rsid w:val="00E249A2"/>
    <w:rsid w:val="00E25277"/>
    <w:rsid w:val="00E25370"/>
    <w:rsid w:val="00E2551F"/>
    <w:rsid w:val="00E25DC0"/>
    <w:rsid w:val="00E25E7A"/>
    <w:rsid w:val="00E25F96"/>
    <w:rsid w:val="00E260CD"/>
    <w:rsid w:val="00E266D7"/>
    <w:rsid w:val="00E26FA3"/>
    <w:rsid w:val="00E27C7C"/>
    <w:rsid w:val="00E27F3B"/>
    <w:rsid w:val="00E30570"/>
    <w:rsid w:val="00E31AC9"/>
    <w:rsid w:val="00E31D8F"/>
    <w:rsid w:val="00E31FC6"/>
    <w:rsid w:val="00E323DC"/>
    <w:rsid w:val="00E327A5"/>
    <w:rsid w:val="00E32BFA"/>
    <w:rsid w:val="00E33B23"/>
    <w:rsid w:val="00E34031"/>
    <w:rsid w:val="00E340AC"/>
    <w:rsid w:val="00E342BD"/>
    <w:rsid w:val="00E34696"/>
    <w:rsid w:val="00E346FC"/>
    <w:rsid w:val="00E34727"/>
    <w:rsid w:val="00E347C0"/>
    <w:rsid w:val="00E34C1F"/>
    <w:rsid w:val="00E35256"/>
    <w:rsid w:val="00E35700"/>
    <w:rsid w:val="00E35976"/>
    <w:rsid w:val="00E359D4"/>
    <w:rsid w:val="00E3688C"/>
    <w:rsid w:val="00E36B53"/>
    <w:rsid w:val="00E375FB"/>
    <w:rsid w:val="00E37615"/>
    <w:rsid w:val="00E377A7"/>
    <w:rsid w:val="00E40350"/>
    <w:rsid w:val="00E41654"/>
    <w:rsid w:val="00E41AAF"/>
    <w:rsid w:val="00E41CB7"/>
    <w:rsid w:val="00E421C2"/>
    <w:rsid w:val="00E425CD"/>
    <w:rsid w:val="00E42835"/>
    <w:rsid w:val="00E42AF4"/>
    <w:rsid w:val="00E42C52"/>
    <w:rsid w:val="00E42D3C"/>
    <w:rsid w:val="00E4349C"/>
    <w:rsid w:val="00E4407F"/>
    <w:rsid w:val="00E44F28"/>
    <w:rsid w:val="00E45003"/>
    <w:rsid w:val="00E4504D"/>
    <w:rsid w:val="00E45852"/>
    <w:rsid w:val="00E4666A"/>
    <w:rsid w:val="00E468A4"/>
    <w:rsid w:val="00E470AB"/>
    <w:rsid w:val="00E475E5"/>
    <w:rsid w:val="00E47A3E"/>
    <w:rsid w:val="00E47E11"/>
    <w:rsid w:val="00E50719"/>
    <w:rsid w:val="00E51393"/>
    <w:rsid w:val="00E5169F"/>
    <w:rsid w:val="00E51EF9"/>
    <w:rsid w:val="00E524B5"/>
    <w:rsid w:val="00E52552"/>
    <w:rsid w:val="00E52876"/>
    <w:rsid w:val="00E529E6"/>
    <w:rsid w:val="00E53175"/>
    <w:rsid w:val="00E537FE"/>
    <w:rsid w:val="00E54328"/>
    <w:rsid w:val="00E5443F"/>
    <w:rsid w:val="00E54932"/>
    <w:rsid w:val="00E549E0"/>
    <w:rsid w:val="00E54B39"/>
    <w:rsid w:val="00E552FE"/>
    <w:rsid w:val="00E56091"/>
    <w:rsid w:val="00E5684F"/>
    <w:rsid w:val="00E56894"/>
    <w:rsid w:val="00E57359"/>
    <w:rsid w:val="00E574DD"/>
    <w:rsid w:val="00E57648"/>
    <w:rsid w:val="00E5775D"/>
    <w:rsid w:val="00E600DA"/>
    <w:rsid w:val="00E6018F"/>
    <w:rsid w:val="00E6027C"/>
    <w:rsid w:val="00E60304"/>
    <w:rsid w:val="00E605AF"/>
    <w:rsid w:val="00E60B5F"/>
    <w:rsid w:val="00E61186"/>
    <w:rsid w:val="00E611DB"/>
    <w:rsid w:val="00E6189F"/>
    <w:rsid w:val="00E62307"/>
    <w:rsid w:val="00E633E1"/>
    <w:rsid w:val="00E63775"/>
    <w:rsid w:val="00E63851"/>
    <w:rsid w:val="00E64B1D"/>
    <w:rsid w:val="00E650C3"/>
    <w:rsid w:val="00E6567F"/>
    <w:rsid w:val="00E65798"/>
    <w:rsid w:val="00E65C82"/>
    <w:rsid w:val="00E66431"/>
    <w:rsid w:val="00E66613"/>
    <w:rsid w:val="00E668FF"/>
    <w:rsid w:val="00E6690F"/>
    <w:rsid w:val="00E67561"/>
    <w:rsid w:val="00E7009C"/>
    <w:rsid w:val="00E7060D"/>
    <w:rsid w:val="00E70A50"/>
    <w:rsid w:val="00E711F0"/>
    <w:rsid w:val="00E7184E"/>
    <w:rsid w:val="00E71BAF"/>
    <w:rsid w:val="00E71C1B"/>
    <w:rsid w:val="00E71DAA"/>
    <w:rsid w:val="00E72E72"/>
    <w:rsid w:val="00E740DC"/>
    <w:rsid w:val="00E74265"/>
    <w:rsid w:val="00E74479"/>
    <w:rsid w:val="00E74D55"/>
    <w:rsid w:val="00E756DE"/>
    <w:rsid w:val="00E76D7B"/>
    <w:rsid w:val="00E76EA9"/>
    <w:rsid w:val="00E77FA8"/>
    <w:rsid w:val="00E8009A"/>
    <w:rsid w:val="00E801C7"/>
    <w:rsid w:val="00E801D6"/>
    <w:rsid w:val="00E80258"/>
    <w:rsid w:val="00E80AEE"/>
    <w:rsid w:val="00E80ECD"/>
    <w:rsid w:val="00E8102B"/>
    <w:rsid w:val="00E82C5C"/>
    <w:rsid w:val="00E82D69"/>
    <w:rsid w:val="00E82D81"/>
    <w:rsid w:val="00E82D9E"/>
    <w:rsid w:val="00E839A9"/>
    <w:rsid w:val="00E83F4E"/>
    <w:rsid w:val="00E84694"/>
    <w:rsid w:val="00E8483C"/>
    <w:rsid w:val="00E849F6"/>
    <w:rsid w:val="00E85B97"/>
    <w:rsid w:val="00E85F1C"/>
    <w:rsid w:val="00E87918"/>
    <w:rsid w:val="00E87963"/>
    <w:rsid w:val="00E87DAC"/>
    <w:rsid w:val="00E90188"/>
    <w:rsid w:val="00E90552"/>
    <w:rsid w:val="00E908BB"/>
    <w:rsid w:val="00E909CE"/>
    <w:rsid w:val="00E90A53"/>
    <w:rsid w:val="00E90B79"/>
    <w:rsid w:val="00E90F2E"/>
    <w:rsid w:val="00E91A44"/>
    <w:rsid w:val="00E91A63"/>
    <w:rsid w:val="00E91E10"/>
    <w:rsid w:val="00E925FB"/>
    <w:rsid w:val="00E92727"/>
    <w:rsid w:val="00E92798"/>
    <w:rsid w:val="00E92B0C"/>
    <w:rsid w:val="00E92BA8"/>
    <w:rsid w:val="00E92D97"/>
    <w:rsid w:val="00E9310D"/>
    <w:rsid w:val="00E945F8"/>
    <w:rsid w:val="00E9462B"/>
    <w:rsid w:val="00E947D2"/>
    <w:rsid w:val="00E94819"/>
    <w:rsid w:val="00E94B26"/>
    <w:rsid w:val="00E94FA4"/>
    <w:rsid w:val="00E94FF3"/>
    <w:rsid w:val="00E9546A"/>
    <w:rsid w:val="00E955FC"/>
    <w:rsid w:val="00E95C2A"/>
    <w:rsid w:val="00E95C38"/>
    <w:rsid w:val="00E95CDD"/>
    <w:rsid w:val="00E95E89"/>
    <w:rsid w:val="00E95F9F"/>
    <w:rsid w:val="00E97E9E"/>
    <w:rsid w:val="00EA003C"/>
    <w:rsid w:val="00EA0842"/>
    <w:rsid w:val="00EA0979"/>
    <w:rsid w:val="00EA138E"/>
    <w:rsid w:val="00EA1538"/>
    <w:rsid w:val="00EA17B7"/>
    <w:rsid w:val="00EA1A0D"/>
    <w:rsid w:val="00EA1AB7"/>
    <w:rsid w:val="00EA232E"/>
    <w:rsid w:val="00EA2425"/>
    <w:rsid w:val="00EA3214"/>
    <w:rsid w:val="00EA3378"/>
    <w:rsid w:val="00EA342E"/>
    <w:rsid w:val="00EA369A"/>
    <w:rsid w:val="00EA4973"/>
    <w:rsid w:val="00EA4A46"/>
    <w:rsid w:val="00EA4D98"/>
    <w:rsid w:val="00EA515C"/>
    <w:rsid w:val="00EA51B4"/>
    <w:rsid w:val="00EA524A"/>
    <w:rsid w:val="00EA5295"/>
    <w:rsid w:val="00EA54E1"/>
    <w:rsid w:val="00EA57C2"/>
    <w:rsid w:val="00EA6244"/>
    <w:rsid w:val="00EA733F"/>
    <w:rsid w:val="00EA7CEE"/>
    <w:rsid w:val="00EB0076"/>
    <w:rsid w:val="00EB05A1"/>
    <w:rsid w:val="00EB131C"/>
    <w:rsid w:val="00EB1320"/>
    <w:rsid w:val="00EB18DD"/>
    <w:rsid w:val="00EB1B3B"/>
    <w:rsid w:val="00EB1E3E"/>
    <w:rsid w:val="00EB1F93"/>
    <w:rsid w:val="00EB231D"/>
    <w:rsid w:val="00EB29F5"/>
    <w:rsid w:val="00EB31C1"/>
    <w:rsid w:val="00EB3233"/>
    <w:rsid w:val="00EB327D"/>
    <w:rsid w:val="00EB34EC"/>
    <w:rsid w:val="00EB367A"/>
    <w:rsid w:val="00EB3C5F"/>
    <w:rsid w:val="00EB3E00"/>
    <w:rsid w:val="00EB3E62"/>
    <w:rsid w:val="00EB4190"/>
    <w:rsid w:val="00EB4344"/>
    <w:rsid w:val="00EB443B"/>
    <w:rsid w:val="00EB4EF6"/>
    <w:rsid w:val="00EB4FDB"/>
    <w:rsid w:val="00EB5524"/>
    <w:rsid w:val="00EB581A"/>
    <w:rsid w:val="00EB7B79"/>
    <w:rsid w:val="00EC0196"/>
    <w:rsid w:val="00EC082D"/>
    <w:rsid w:val="00EC1099"/>
    <w:rsid w:val="00EC1686"/>
    <w:rsid w:val="00EC1BD9"/>
    <w:rsid w:val="00EC1C9D"/>
    <w:rsid w:val="00EC246D"/>
    <w:rsid w:val="00EC2F34"/>
    <w:rsid w:val="00EC3298"/>
    <w:rsid w:val="00EC3590"/>
    <w:rsid w:val="00EC368B"/>
    <w:rsid w:val="00EC3BD2"/>
    <w:rsid w:val="00EC46DD"/>
    <w:rsid w:val="00EC4C24"/>
    <w:rsid w:val="00EC4F8E"/>
    <w:rsid w:val="00EC5160"/>
    <w:rsid w:val="00EC5966"/>
    <w:rsid w:val="00EC7351"/>
    <w:rsid w:val="00EC75CF"/>
    <w:rsid w:val="00EC7A1F"/>
    <w:rsid w:val="00EC7DF7"/>
    <w:rsid w:val="00ED0086"/>
    <w:rsid w:val="00ED0342"/>
    <w:rsid w:val="00ED04FF"/>
    <w:rsid w:val="00ED0796"/>
    <w:rsid w:val="00ED0BB6"/>
    <w:rsid w:val="00ED1440"/>
    <w:rsid w:val="00ED16B5"/>
    <w:rsid w:val="00ED1711"/>
    <w:rsid w:val="00ED17A5"/>
    <w:rsid w:val="00ED1CBF"/>
    <w:rsid w:val="00ED1DFF"/>
    <w:rsid w:val="00ED2192"/>
    <w:rsid w:val="00ED224F"/>
    <w:rsid w:val="00ED35C1"/>
    <w:rsid w:val="00ED3D2D"/>
    <w:rsid w:val="00ED3DB3"/>
    <w:rsid w:val="00ED42D8"/>
    <w:rsid w:val="00ED47CD"/>
    <w:rsid w:val="00ED51D8"/>
    <w:rsid w:val="00ED58D9"/>
    <w:rsid w:val="00ED61BB"/>
    <w:rsid w:val="00ED65E8"/>
    <w:rsid w:val="00ED69BE"/>
    <w:rsid w:val="00ED6F76"/>
    <w:rsid w:val="00ED7107"/>
    <w:rsid w:val="00ED7DB2"/>
    <w:rsid w:val="00EE0841"/>
    <w:rsid w:val="00EE0BF6"/>
    <w:rsid w:val="00EE0DBB"/>
    <w:rsid w:val="00EE0E46"/>
    <w:rsid w:val="00EE136F"/>
    <w:rsid w:val="00EE2006"/>
    <w:rsid w:val="00EE2B3B"/>
    <w:rsid w:val="00EE2E0A"/>
    <w:rsid w:val="00EE3243"/>
    <w:rsid w:val="00EE35C8"/>
    <w:rsid w:val="00EE46E0"/>
    <w:rsid w:val="00EE5190"/>
    <w:rsid w:val="00EE51B7"/>
    <w:rsid w:val="00EE64FA"/>
    <w:rsid w:val="00EE6B6A"/>
    <w:rsid w:val="00EE72D5"/>
    <w:rsid w:val="00EE74BC"/>
    <w:rsid w:val="00EE7C73"/>
    <w:rsid w:val="00EF054A"/>
    <w:rsid w:val="00EF08F6"/>
    <w:rsid w:val="00EF0A8C"/>
    <w:rsid w:val="00EF1523"/>
    <w:rsid w:val="00EF1CF2"/>
    <w:rsid w:val="00EF224A"/>
    <w:rsid w:val="00EF32DC"/>
    <w:rsid w:val="00EF4284"/>
    <w:rsid w:val="00EF46B2"/>
    <w:rsid w:val="00EF4995"/>
    <w:rsid w:val="00EF4F7D"/>
    <w:rsid w:val="00EF5B2F"/>
    <w:rsid w:val="00EF6455"/>
    <w:rsid w:val="00EF6644"/>
    <w:rsid w:val="00EF6750"/>
    <w:rsid w:val="00EF67CA"/>
    <w:rsid w:val="00EF6961"/>
    <w:rsid w:val="00EF6C2A"/>
    <w:rsid w:val="00EF6E07"/>
    <w:rsid w:val="00EF6ECD"/>
    <w:rsid w:val="00EF7A58"/>
    <w:rsid w:val="00F00732"/>
    <w:rsid w:val="00F00856"/>
    <w:rsid w:val="00F00C6F"/>
    <w:rsid w:val="00F00CB7"/>
    <w:rsid w:val="00F01666"/>
    <w:rsid w:val="00F01A8D"/>
    <w:rsid w:val="00F01CDD"/>
    <w:rsid w:val="00F01D94"/>
    <w:rsid w:val="00F0231B"/>
    <w:rsid w:val="00F02965"/>
    <w:rsid w:val="00F02D29"/>
    <w:rsid w:val="00F03303"/>
    <w:rsid w:val="00F0375E"/>
    <w:rsid w:val="00F050F9"/>
    <w:rsid w:val="00F053EB"/>
    <w:rsid w:val="00F05628"/>
    <w:rsid w:val="00F05872"/>
    <w:rsid w:val="00F05881"/>
    <w:rsid w:val="00F05C5A"/>
    <w:rsid w:val="00F0608F"/>
    <w:rsid w:val="00F061F9"/>
    <w:rsid w:val="00F062D9"/>
    <w:rsid w:val="00F06495"/>
    <w:rsid w:val="00F069C8"/>
    <w:rsid w:val="00F07CAF"/>
    <w:rsid w:val="00F100AA"/>
    <w:rsid w:val="00F100C5"/>
    <w:rsid w:val="00F10346"/>
    <w:rsid w:val="00F103B7"/>
    <w:rsid w:val="00F10CA3"/>
    <w:rsid w:val="00F11796"/>
    <w:rsid w:val="00F11C82"/>
    <w:rsid w:val="00F11DF9"/>
    <w:rsid w:val="00F126E5"/>
    <w:rsid w:val="00F126F2"/>
    <w:rsid w:val="00F12DF2"/>
    <w:rsid w:val="00F12F1F"/>
    <w:rsid w:val="00F12F8D"/>
    <w:rsid w:val="00F12FE9"/>
    <w:rsid w:val="00F130B4"/>
    <w:rsid w:val="00F136E4"/>
    <w:rsid w:val="00F13B05"/>
    <w:rsid w:val="00F13B54"/>
    <w:rsid w:val="00F1436E"/>
    <w:rsid w:val="00F14639"/>
    <w:rsid w:val="00F15279"/>
    <w:rsid w:val="00F15342"/>
    <w:rsid w:val="00F15C34"/>
    <w:rsid w:val="00F15D14"/>
    <w:rsid w:val="00F16041"/>
    <w:rsid w:val="00F16FDD"/>
    <w:rsid w:val="00F170FA"/>
    <w:rsid w:val="00F1751C"/>
    <w:rsid w:val="00F20062"/>
    <w:rsid w:val="00F200BC"/>
    <w:rsid w:val="00F20525"/>
    <w:rsid w:val="00F206CF"/>
    <w:rsid w:val="00F2070A"/>
    <w:rsid w:val="00F20E56"/>
    <w:rsid w:val="00F213A5"/>
    <w:rsid w:val="00F213EE"/>
    <w:rsid w:val="00F223D9"/>
    <w:rsid w:val="00F2278D"/>
    <w:rsid w:val="00F229D8"/>
    <w:rsid w:val="00F22AF4"/>
    <w:rsid w:val="00F22EBD"/>
    <w:rsid w:val="00F232C4"/>
    <w:rsid w:val="00F23D44"/>
    <w:rsid w:val="00F245B8"/>
    <w:rsid w:val="00F245FC"/>
    <w:rsid w:val="00F24743"/>
    <w:rsid w:val="00F24BD9"/>
    <w:rsid w:val="00F24CD6"/>
    <w:rsid w:val="00F24FF2"/>
    <w:rsid w:val="00F25316"/>
    <w:rsid w:val="00F25B50"/>
    <w:rsid w:val="00F25DF3"/>
    <w:rsid w:val="00F26774"/>
    <w:rsid w:val="00F26A09"/>
    <w:rsid w:val="00F26AA6"/>
    <w:rsid w:val="00F26D34"/>
    <w:rsid w:val="00F271C6"/>
    <w:rsid w:val="00F27C44"/>
    <w:rsid w:val="00F27EB3"/>
    <w:rsid w:val="00F27EB8"/>
    <w:rsid w:val="00F3070B"/>
    <w:rsid w:val="00F30B0C"/>
    <w:rsid w:val="00F30F5C"/>
    <w:rsid w:val="00F315FC"/>
    <w:rsid w:val="00F3184E"/>
    <w:rsid w:val="00F31DE4"/>
    <w:rsid w:val="00F31E42"/>
    <w:rsid w:val="00F320C5"/>
    <w:rsid w:val="00F320DD"/>
    <w:rsid w:val="00F32400"/>
    <w:rsid w:val="00F32757"/>
    <w:rsid w:val="00F329E9"/>
    <w:rsid w:val="00F32CC5"/>
    <w:rsid w:val="00F3308D"/>
    <w:rsid w:val="00F3325E"/>
    <w:rsid w:val="00F3348A"/>
    <w:rsid w:val="00F33D4E"/>
    <w:rsid w:val="00F34057"/>
    <w:rsid w:val="00F34C34"/>
    <w:rsid w:val="00F34D30"/>
    <w:rsid w:val="00F358C1"/>
    <w:rsid w:val="00F358F5"/>
    <w:rsid w:val="00F35F80"/>
    <w:rsid w:val="00F35F97"/>
    <w:rsid w:val="00F3638B"/>
    <w:rsid w:val="00F36479"/>
    <w:rsid w:val="00F36743"/>
    <w:rsid w:val="00F36CBD"/>
    <w:rsid w:val="00F36F08"/>
    <w:rsid w:val="00F37884"/>
    <w:rsid w:val="00F40118"/>
    <w:rsid w:val="00F40300"/>
    <w:rsid w:val="00F403B4"/>
    <w:rsid w:val="00F403C5"/>
    <w:rsid w:val="00F40639"/>
    <w:rsid w:val="00F40A21"/>
    <w:rsid w:val="00F40E95"/>
    <w:rsid w:val="00F41358"/>
    <w:rsid w:val="00F415A5"/>
    <w:rsid w:val="00F4197A"/>
    <w:rsid w:val="00F41AB9"/>
    <w:rsid w:val="00F4219E"/>
    <w:rsid w:val="00F42246"/>
    <w:rsid w:val="00F424B2"/>
    <w:rsid w:val="00F42AE4"/>
    <w:rsid w:val="00F42BEA"/>
    <w:rsid w:val="00F42CC3"/>
    <w:rsid w:val="00F4343C"/>
    <w:rsid w:val="00F43475"/>
    <w:rsid w:val="00F435AA"/>
    <w:rsid w:val="00F4368A"/>
    <w:rsid w:val="00F436C7"/>
    <w:rsid w:val="00F43833"/>
    <w:rsid w:val="00F43E7A"/>
    <w:rsid w:val="00F43E8C"/>
    <w:rsid w:val="00F43F26"/>
    <w:rsid w:val="00F44152"/>
    <w:rsid w:val="00F45083"/>
    <w:rsid w:val="00F4527C"/>
    <w:rsid w:val="00F454F6"/>
    <w:rsid w:val="00F45841"/>
    <w:rsid w:val="00F45C01"/>
    <w:rsid w:val="00F45EBF"/>
    <w:rsid w:val="00F46DDE"/>
    <w:rsid w:val="00F4759E"/>
    <w:rsid w:val="00F47ABE"/>
    <w:rsid w:val="00F47BB8"/>
    <w:rsid w:val="00F47D44"/>
    <w:rsid w:val="00F500A7"/>
    <w:rsid w:val="00F502D6"/>
    <w:rsid w:val="00F50541"/>
    <w:rsid w:val="00F509FB"/>
    <w:rsid w:val="00F510B8"/>
    <w:rsid w:val="00F51272"/>
    <w:rsid w:val="00F5182E"/>
    <w:rsid w:val="00F51C3D"/>
    <w:rsid w:val="00F5206D"/>
    <w:rsid w:val="00F52097"/>
    <w:rsid w:val="00F52125"/>
    <w:rsid w:val="00F534A3"/>
    <w:rsid w:val="00F53543"/>
    <w:rsid w:val="00F538BA"/>
    <w:rsid w:val="00F53E1F"/>
    <w:rsid w:val="00F543A6"/>
    <w:rsid w:val="00F545F3"/>
    <w:rsid w:val="00F553BB"/>
    <w:rsid w:val="00F55D54"/>
    <w:rsid w:val="00F55E12"/>
    <w:rsid w:val="00F56529"/>
    <w:rsid w:val="00F5693D"/>
    <w:rsid w:val="00F56BD2"/>
    <w:rsid w:val="00F56D80"/>
    <w:rsid w:val="00F57144"/>
    <w:rsid w:val="00F57C82"/>
    <w:rsid w:val="00F60485"/>
    <w:rsid w:val="00F610B3"/>
    <w:rsid w:val="00F619AE"/>
    <w:rsid w:val="00F61B3C"/>
    <w:rsid w:val="00F620EB"/>
    <w:rsid w:val="00F62403"/>
    <w:rsid w:val="00F62536"/>
    <w:rsid w:val="00F6284C"/>
    <w:rsid w:val="00F63227"/>
    <w:rsid w:val="00F63656"/>
    <w:rsid w:val="00F640C9"/>
    <w:rsid w:val="00F643D7"/>
    <w:rsid w:val="00F64806"/>
    <w:rsid w:val="00F6493D"/>
    <w:rsid w:val="00F64A08"/>
    <w:rsid w:val="00F64C8E"/>
    <w:rsid w:val="00F64CA1"/>
    <w:rsid w:val="00F652F0"/>
    <w:rsid w:val="00F654B3"/>
    <w:rsid w:val="00F6571E"/>
    <w:rsid w:val="00F6586C"/>
    <w:rsid w:val="00F65AEC"/>
    <w:rsid w:val="00F65DDD"/>
    <w:rsid w:val="00F65EA6"/>
    <w:rsid w:val="00F66644"/>
    <w:rsid w:val="00F66818"/>
    <w:rsid w:val="00F66B96"/>
    <w:rsid w:val="00F66CBD"/>
    <w:rsid w:val="00F6722B"/>
    <w:rsid w:val="00F6731A"/>
    <w:rsid w:val="00F67362"/>
    <w:rsid w:val="00F67A47"/>
    <w:rsid w:val="00F702AC"/>
    <w:rsid w:val="00F71122"/>
    <w:rsid w:val="00F7139B"/>
    <w:rsid w:val="00F71438"/>
    <w:rsid w:val="00F725F8"/>
    <w:rsid w:val="00F7260B"/>
    <w:rsid w:val="00F72972"/>
    <w:rsid w:val="00F72D38"/>
    <w:rsid w:val="00F72DD6"/>
    <w:rsid w:val="00F72E74"/>
    <w:rsid w:val="00F73279"/>
    <w:rsid w:val="00F73F20"/>
    <w:rsid w:val="00F73F5F"/>
    <w:rsid w:val="00F73FC3"/>
    <w:rsid w:val="00F74CF3"/>
    <w:rsid w:val="00F74F32"/>
    <w:rsid w:val="00F751BE"/>
    <w:rsid w:val="00F75728"/>
    <w:rsid w:val="00F75CD5"/>
    <w:rsid w:val="00F75D43"/>
    <w:rsid w:val="00F75E56"/>
    <w:rsid w:val="00F75EF6"/>
    <w:rsid w:val="00F76470"/>
    <w:rsid w:val="00F7695B"/>
    <w:rsid w:val="00F76AC0"/>
    <w:rsid w:val="00F774B4"/>
    <w:rsid w:val="00F776A3"/>
    <w:rsid w:val="00F77EA7"/>
    <w:rsid w:val="00F801F6"/>
    <w:rsid w:val="00F8029D"/>
    <w:rsid w:val="00F81F88"/>
    <w:rsid w:val="00F82D45"/>
    <w:rsid w:val="00F82E0A"/>
    <w:rsid w:val="00F83130"/>
    <w:rsid w:val="00F83266"/>
    <w:rsid w:val="00F83625"/>
    <w:rsid w:val="00F83ED6"/>
    <w:rsid w:val="00F84354"/>
    <w:rsid w:val="00F846BF"/>
    <w:rsid w:val="00F8488B"/>
    <w:rsid w:val="00F852DF"/>
    <w:rsid w:val="00F854C1"/>
    <w:rsid w:val="00F859A8"/>
    <w:rsid w:val="00F860F7"/>
    <w:rsid w:val="00F86D7C"/>
    <w:rsid w:val="00F86D93"/>
    <w:rsid w:val="00F86F84"/>
    <w:rsid w:val="00F905B7"/>
    <w:rsid w:val="00F90808"/>
    <w:rsid w:val="00F90B3E"/>
    <w:rsid w:val="00F9148E"/>
    <w:rsid w:val="00F9272B"/>
    <w:rsid w:val="00F928CB"/>
    <w:rsid w:val="00F92B01"/>
    <w:rsid w:val="00F92C3D"/>
    <w:rsid w:val="00F92EAD"/>
    <w:rsid w:val="00F9302E"/>
    <w:rsid w:val="00F93194"/>
    <w:rsid w:val="00F936BD"/>
    <w:rsid w:val="00F937EB"/>
    <w:rsid w:val="00F947E0"/>
    <w:rsid w:val="00F94DA2"/>
    <w:rsid w:val="00F956DE"/>
    <w:rsid w:val="00F95E26"/>
    <w:rsid w:val="00F95F65"/>
    <w:rsid w:val="00F962A3"/>
    <w:rsid w:val="00F967EB"/>
    <w:rsid w:val="00F968C6"/>
    <w:rsid w:val="00F96E50"/>
    <w:rsid w:val="00F970E9"/>
    <w:rsid w:val="00F976F9"/>
    <w:rsid w:val="00F97D8D"/>
    <w:rsid w:val="00F97DFB"/>
    <w:rsid w:val="00F97EA7"/>
    <w:rsid w:val="00FA07EF"/>
    <w:rsid w:val="00FA0DDE"/>
    <w:rsid w:val="00FA1C51"/>
    <w:rsid w:val="00FA1C7E"/>
    <w:rsid w:val="00FA1D51"/>
    <w:rsid w:val="00FA1E6B"/>
    <w:rsid w:val="00FA1F58"/>
    <w:rsid w:val="00FA2787"/>
    <w:rsid w:val="00FA281B"/>
    <w:rsid w:val="00FA2F5E"/>
    <w:rsid w:val="00FA32D8"/>
    <w:rsid w:val="00FA33F5"/>
    <w:rsid w:val="00FA33FA"/>
    <w:rsid w:val="00FA342E"/>
    <w:rsid w:val="00FA35F6"/>
    <w:rsid w:val="00FA436E"/>
    <w:rsid w:val="00FA44B5"/>
    <w:rsid w:val="00FA4D8E"/>
    <w:rsid w:val="00FA51AA"/>
    <w:rsid w:val="00FA56DE"/>
    <w:rsid w:val="00FA573F"/>
    <w:rsid w:val="00FA5A70"/>
    <w:rsid w:val="00FA74AC"/>
    <w:rsid w:val="00FA7C7B"/>
    <w:rsid w:val="00FB01C8"/>
    <w:rsid w:val="00FB0E6C"/>
    <w:rsid w:val="00FB1358"/>
    <w:rsid w:val="00FB17B6"/>
    <w:rsid w:val="00FB2BEF"/>
    <w:rsid w:val="00FB31C7"/>
    <w:rsid w:val="00FB33A6"/>
    <w:rsid w:val="00FB3735"/>
    <w:rsid w:val="00FB373F"/>
    <w:rsid w:val="00FB4559"/>
    <w:rsid w:val="00FB5144"/>
    <w:rsid w:val="00FB539B"/>
    <w:rsid w:val="00FB54AD"/>
    <w:rsid w:val="00FB5925"/>
    <w:rsid w:val="00FB59D7"/>
    <w:rsid w:val="00FB5C01"/>
    <w:rsid w:val="00FB6809"/>
    <w:rsid w:val="00FB6CB3"/>
    <w:rsid w:val="00FB6D8C"/>
    <w:rsid w:val="00FB700B"/>
    <w:rsid w:val="00FB7452"/>
    <w:rsid w:val="00FB7848"/>
    <w:rsid w:val="00FC0782"/>
    <w:rsid w:val="00FC07CA"/>
    <w:rsid w:val="00FC0BE4"/>
    <w:rsid w:val="00FC136A"/>
    <w:rsid w:val="00FC1398"/>
    <w:rsid w:val="00FC13B8"/>
    <w:rsid w:val="00FC1457"/>
    <w:rsid w:val="00FC1527"/>
    <w:rsid w:val="00FC217B"/>
    <w:rsid w:val="00FC2334"/>
    <w:rsid w:val="00FC27D8"/>
    <w:rsid w:val="00FC2930"/>
    <w:rsid w:val="00FC2B3D"/>
    <w:rsid w:val="00FC2C07"/>
    <w:rsid w:val="00FC2F74"/>
    <w:rsid w:val="00FC3237"/>
    <w:rsid w:val="00FC3883"/>
    <w:rsid w:val="00FC3D9F"/>
    <w:rsid w:val="00FC41D2"/>
    <w:rsid w:val="00FC464A"/>
    <w:rsid w:val="00FC4700"/>
    <w:rsid w:val="00FC492D"/>
    <w:rsid w:val="00FC4942"/>
    <w:rsid w:val="00FC532E"/>
    <w:rsid w:val="00FC542F"/>
    <w:rsid w:val="00FC543C"/>
    <w:rsid w:val="00FC5639"/>
    <w:rsid w:val="00FC57CA"/>
    <w:rsid w:val="00FC5860"/>
    <w:rsid w:val="00FC5D6A"/>
    <w:rsid w:val="00FC5F01"/>
    <w:rsid w:val="00FC63AC"/>
    <w:rsid w:val="00FC691B"/>
    <w:rsid w:val="00FC7035"/>
    <w:rsid w:val="00FC7039"/>
    <w:rsid w:val="00FC71E1"/>
    <w:rsid w:val="00FC7297"/>
    <w:rsid w:val="00FC7690"/>
    <w:rsid w:val="00FC7B44"/>
    <w:rsid w:val="00FC7CBF"/>
    <w:rsid w:val="00FC7E80"/>
    <w:rsid w:val="00FC7F2A"/>
    <w:rsid w:val="00FD0732"/>
    <w:rsid w:val="00FD07A7"/>
    <w:rsid w:val="00FD07CE"/>
    <w:rsid w:val="00FD0C13"/>
    <w:rsid w:val="00FD0D45"/>
    <w:rsid w:val="00FD122B"/>
    <w:rsid w:val="00FD17F1"/>
    <w:rsid w:val="00FD1C06"/>
    <w:rsid w:val="00FD2421"/>
    <w:rsid w:val="00FD2764"/>
    <w:rsid w:val="00FD2ACF"/>
    <w:rsid w:val="00FD2B75"/>
    <w:rsid w:val="00FD2FED"/>
    <w:rsid w:val="00FD31DC"/>
    <w:rsid w:val="00FD3A8C"/>
    <w:rsid w:val="00FD3CCA"/>
    <w:rsid w:val="00FD3F2B"/>
    <w:rsid w:val="00FD42D7"/>
    <w:rsid w:val="00FD436E"/>
    <w:rsid w:val="00FD47B5"/>
    <w:rsid w:val="00FD47F1"/>
    <w:rsid w:val="00FD4EB8"/>
    <w:rsid w:val="00FD5334"/>
    <w:rsid w:val="00FD57BD"/>
    <w:rsid w:val="00FD58E8"/>
    <w:rsid w:val="00FD6102"/>
    <w:rsid w:val="00FD6709"/>
    <w:rsid w:val="00FD729D"/>
    <w:rsid w:val="00FD76A0"/>
    <w:rsid w:val="00FD78D7"/>
    <w:rsid w:val="00FD7AB9"/>
    <w:rsid w:val="00FD7BD9"/>
    <w:rsid w:val="00FE03EF"/>
    <w:rsid w:val="00FE0711"/>
    <w:rsid w:val="00FE0B5A"/>
    <w:rsid w:val="00FE0F9C"/>
    <w:rsid w:val="00FE17CB"/>
    <w:rsid w:val="00FE1A9A"/>
    <w:rsid w:val="00FE1CC3"/>
    <w:rsid w:val="00FE203D"/>
    <w:rsid w:val="00FE2057"/>
    <w:rsid w:val="00FE23B5"/>
    <w:rsid w:val="00FE38A2"/>
    <w:rsid w:val="00FE3B07"/>
    <w:rsid w:val="00FE3B6E"/>
    <w:rsid w:val="00FE3D3F"/>
    <w:rsid w:val="00FE3EC0"/>
    <w:rsid w:val="00FE4171"/>
    <w:rsid w:val="00FE463E"/>
    <w:rsid w:val="00FE4B0F"/>
    <w:rsid w:val="00FE4D73"/>
    <w:rsid w:val="00FE4E90"/>
    <w:rsid w:val="00FE5D32"/>
    <w:rsid w:val="00FE6564"/>
    <w:rsid w:val="00FE698F"/>
    <w:rsid w:val="00FE6E42"/>
    <w:rsid w:val="00FE6FCC"/>
    <w:rsid w:val="00FE7394"/>
    <w:rsid w:val="00FE7805"/>
    <w:rsid w:val="00FF006B"/>
    <w:rsid w:val="00FF0825"/>
    <w:rsid w:val="00FF0BB7"/>
    <w:rsid w:val="00FF0FFF"/>
    <w:rsid w:val="00FF24FB"/>
    <w:rsid w:val="00FF27D6"/>
    <w:rsid w:val="00FF2A0D"/>
    <w:rsid w:val="00FF2C08"/>
    <w:rsid w:val="00FF2D5D"/>
    <w:rsid w:val="00FF2EA3"/>
    <w:rsid w:val="00FF35A0"/>
    <w:rsid w:val="00FF37C6"/>
    <w:rsid w:val="00FF3D5C"/>
    <w:rsid w:val="00FF4145"/>
    <w:rsid w:val="00FF462A"/>
    <w:rsid w:val="00FF503B"/>
    <w:rsid w:val="00FF520E"/>
    <w:rsid w:val="00FF52C8"/>
    <w:rsid w:val="00FF5398"/>
    <w:rsid w:val="00FF5A74"/>
    <w:rsid w:val="00FF5C49"/>
    <w:rsid w:val="00FF60D2"/>
    <w:rsid w:val="00FF6409"/>
    <w:rsid w:val="00FF6718"/>
    <w:rsid w:val="00FF67FE"/>
    <w:rsid w:val="00FF6D0C"/>
    <w:rsid w:val="00FF6E78"/>
    <w:rsid w:val="00FF6E91"/>
    <w:rsid w:val="00FF7A77"/>
    <w:rsid w:val="087E811C"/>
    <w:rsid w:val="12BF84AB"/>
    <w:rsid w:val="1A98EFD1"/>
    <w:rsid w:val="1E6B9A84"/>
    <w:rsid w:val="20202FFE"/>
    <w:rsid w:val="2480CC9B"/>
    <w:rsid w:val="27714C84"/>
    <w:rsid w:val="297E79B4"/>
    <w:rsid w:val="2D27C38D"/>
    <w:rsid w:val="30267FF2"/>
    <w:rsid w:val="309D809E"/>
    <w:rsid w:val="3270E784"/>
    <w:rsid w:val="3889D702"/>
    <w:rsid w:val="404FDE47"/>
    <w:rsid w:val="46B0405A"/>
    <w:rsid w:val="46DD76E8"/>
    <w:rsid w:val="4F94F493"/>
    <w:rsid w:val="5211B169"/>
    <w:rsid w:val="533DE598"/>
    <w:rsid w:val="55A315B8"/>
    <w:rsid w:val="61BB067F"/>
    <w:rsid w:val="63E0D5FB"/>
    <w:rsid w:val="6E01EAE5"/>
    <w:rsid w:val="72BC340A"/>
    <w:rsid w:val="7390770F"/>
    <w:rsid w:val="7985F5FC"/>
    <w:rsid w:val="79CF4984"/>
    <w:rsid w:val="7D4483B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107E8"/>
  <w15:docId w15:val="{CAE16859-76F6-4C2D-8F63-6DC96F2B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DE"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uiPriority="99"/>
  </w:latentStyles>
  <w:style w:type="paragraph" w:default="1" w:styleId="Normal">
    <w:name w:val="Normal"/>
    <w:aliases w:val="Do not use"/>
    <w:next w:val="BodyText"/>
    <w:qFormat/>
    <w:rsid w:val="00D56194"/>
    <w:pPr>
      <w:spacing w:before="240"/>
      <w:jc w:val="both"/>
    </w:pPr>
    <w:rPr>
      <w:sz w:val="24"/>
      <w:lang w:val="en-US" w:eastAsia="en-US"/>
    </w:rPr>
  </w:style>
  <w:style w:type="paragraph" w:styleId="Heading1">
    <w:name w:val="heading 1"/>
    <w:basedOn w:val="BodyText"/>
    <w:next w:val="BodyText"/>
    <w:link w:val="Heading1Char"/>
    <w:qFormat/>
    <w:rsid w:val="002639DC"/>
    <w:pPr>
      <w:keepNext/>
      <w:keepLines/>
      <w:numPr>
        <w:numId w:val="4"/>
      </w:numPr>
      <w:tabs>
        <w:tab w:val="num" w:pos="4716"/>
      </w:tabs>
      <w:ind w:left="4716"/>
      <w:outlineLvl w:val="0"/>
    </w:pPr>
    <w:rPr>
      <w:b/>
      <w:sz w:val="28"/>
    </w:rPr>
  </w:style>
  <w:style w:type="paragraph" w:styleId="Heading2">
    <w:name w:val="heading 2"/>
    <w:basedOn w:val="Heading1"/>
    <w:next w:val="BodyText"/>
    <w:qFormat/>
    <w:rsid w:val="002639DC"/>
    <w:pPr>
      <w:numPr>
        <w:ilvl w:val="1"/>
      </w:numPr>
      <w:outlineLvl w:val="1"/>
    </w:pPr>
  </w:style>
  <w:style w:type="paragraph" w:styleId="Heading3">
    <w:name w:val="heading 3"/>
    <w:basedOn w:val="Heading1"/>
    <w:next w:val="BodyText"/>
    <w:link w:val="Heading3Char"/>
    <w:qFormat/>
    <w:rsid w:val="002639DC"/>
    <w:pPr>
      <w:numPr>
        <w:ilvl w:val="2"/>
      </w:numPr>
      <w:outlineLvl w:val="2"/>
    </w:pPr>
  </w:style>
  <w:style w:type="paragraph" w:styleId="Heading4">
    <w:name w:val="heading 4"/>
    <w:basedOn w:val="Heading1"/>
    <w:next w:val="BodyText"/>
    <w:link w:val="Heading4Char"/>
    <w:qFormat/>
    <w:rsid w:val="002639DC"/>
    <w:pPr>
      <w:numPr>
        <w:ilvl w:val="3"/>
      </w:numPr>
      <w:outlineLvl w:val="3"/>
    </w:pPr>
  </w:style>
  <w:style w:type="paragraph" w:styleId="Heading5">
    <w:name w:val="heading 5"/>
    <w:basedOn w:val="Heading1"/>
    <w:next w:val="BodyText"/>
    <w:qFormat/>
    <w:rsid w:val="002639DC"/>
    <w:pPr>
      <w:numPr>
        <w:ilvl w:val="4"/>
      </w:numPr>
      <w:outlineLvl w:val="4"/>
    </w:pPr>
  </w:style>
  <w:style w:type="paragraph" w:styleId="Heading6">
    <w:name w:val="heading 6"/>
    <w:basedOn w:val="Heading1"/>
    <w:next w:val="BodyText"/>
    <w:qFormat/>
    <w:rsid w:val="002639DC"/>
    <w:pPr>
      <w:numPr>
        <w:ilvl w:val="5"/>
      </w:numPr>
      <w:outlineLvl w:val="5"/>
    </w:pPr>
  </w:style>
  <w:style w:type="paragraph" w:styleId="Heading7">
    <w:name w:val="heading 7"/>
    <w:aliases w:val="not allowed"/>
    <w:basedOn w:val="Normal"/>
    <w:next w:val="Normal"/>
    <w:qFormat/>
    <w:rsid w:val="002639DC"/>
    <w:pPr>
      <w:numPr>
        <w:ilvl w:val="6"/>
        <w:numId w:val="4"/>
      </w:numPr>
      <w:spacing w:before="0"/>
      <w:outlineLvl w:val="6"/>
    </w:pPr>
    <w:rPr>
      <w:rFonts w:ascii="Symbol" w:hAnsi="Symbol"/>
      <w:color w:val="00FF00"/>
    </w:rPr>
  </w:style>
  <w:style w:type="paragraph" w:styleId="Heading8">
    <w:name w:val="heading 8"/>
    <w:aliases w:val="do not use"/>
    <w:basedOn w:val="Normal"/>
    <w:next w:val="Normal"/>
    <w:link w:val="Heading8Char"/>
    <w:qFormat/>
    <w:rsid w:val="002639DC"/>
    <w:pPr>
      <w:numPr>
        <w:ilvl w:val="7"/>
        <w:numId w:val="4"/>
      </w:numPr>
      <w:spacing w:before="0"/>
      <w:outlineLvl w:val="7"/>
    </w:pPr>
    <w:rPr>
      <w:rFonts w:ascii="Symbol" w:hAnsi="Symbol"/>
      <w:color w:val="00FF00"/>
    </w:rPr>
  </w:style>
  <w:style w:type="paragraph" w:styleId="Heading9">
    <w:name w:val="heading 9"/>
    <w:aliases w:val="Bibliography only"/>
    <w:basedOn w:val="BodyText"/>
    <w:link w:val="Heading9Char"/>
    <w:qFormat/>
    <w:rsid w:val="00CE0235"/>
    <w:pPr>
      <w:spacing w:before="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Body Text II,Body text,Body text Char,Body text Char Char Char,Body text Char1 Char,Textkörper Char,Textkörper Char Char,Textkörper Char Char Char Char,Textkörper Char Char Char1,Textkörper Char1,Textkörper Char1 Char Char"/>
    <w:basedOn w:val="Normal"/>
    <w:link w:val="BodyTextChar"/>
    <w:qFormat/>
    <w:rsid w:val="006F07D7"/>
  </w:style>
  <w:style w:type="character" w:customStyle="1" w:styleId="BodyTextChar">
    <w:name w:val="Body Text Char"/>
    <w:aliases w:val="Body Text Char Char Char,Body Text II Char,Body text Char1,Body text Char Char,Body text Char Char Char Char,Body text Char1 Char Char,Textkörper Char Char1,Textkörper Char Char Char,Textkörper Char Char Char Char Char"/>
    <w:link w:val="BodyText"/>
    <w:rsid w:val="00143DF8"/>
    <w:rPr>
      <w:sz w:val="24"/>
      <w:lang w:val="en-US" w:eastAsia="en-US" w:bidi="ar-SA"/>
    </w:rPr>
  </w:style>
  <w:style w:type="character" w:customStyle="1" w:styleId="Heading1Char">
    <w:name w:val="Heading 1 Char"/>
    <w:basedOn w:val="DefaultParagraphFont"/>
    <w:link w:val="Heading1"/>
    <w:rsid w:val="00F968C6"/>
    <w:rPr>
      <w:b/>
      <w:sz w:val="28"/>
      <w:lang w:val="en-US" w:eastAsia="en-US"/>
    </w:rPr>
  </w:style>
  <w:style w:type="character" w:customStyle="1" w:styleId="Heading3Char">
    <w:name w:val="Heading 3 Char"/>
    <w:basedOn w:val="DefaultParagraphFont"/>
    <w:link w:val="Heading3"/>
    <w:rsid w:val="00317FCA"/>
    <w:rPr>
      <w:b/>
      <w:sz w:val="28"/>
      <w:lang w:val="en-US" w:eastAsia="en-US"/>
    </w:rPr>
  </w:style>
  <w:style w:type="character" w:customStyle="1" w:styleId="Heading4Char">
    <w:name w:val="Heading 4 Char"/>
    <w:basedOn w:val="DefaultParagraphFont"/>
    <w:link w:val="Heading4"/>
    <w:rsid w:val="00317FCA"/>
    <w:rPr>
      <w:b/>
      <w:sz w:val="28"/>
      <w:lang w:val="en-US" w:eastAsia="en-US"/>
    </w:rPr>
  </w:style>
  <w:style w:type="character" w:customStyle="1" w:styleId="Heading8Char">
    <w:name w:val="Heading 8 Char"/>
    <w:aliases w:val="do not use Char"/>
    <w:basedOn w:val="DefaultParagraphFont"/>
    <w:link w:val="Heading8"/>
    <w:rsid w:val="00183A23"/>
    <w:rPr>
      <w:rFonts w:ascii="Symbol" w:hAnsi="Symbol"/>
      <w:color w:val="00FF00"/>
      <w:sz w:val="24"/>
      <w:lang w:val="en-US" w:eastAsia="en-US"/>
    </w:rPr>
  </w:style>
  <w:style w:type="character" w:customStyle="1" w:styleId="Heading9Char">
    <w:name w:val="Heading 9 Char"/>
    <w:aliases w:val="Bibliography only Char"/>
    <w:basedOn w:val="DefaultParagraphFont"/>
    <w:link w:val="Heading9"/>
    <w:rsid w:val="000B543C"/>
    <w:rPr>
      <w:sz w:val="24"/>
      <w:lang w:val="en-US" w:eastAsia="en-US"/>
    </w:rPr>
  </w:style>
  <w:style w:type="paragraph" w:styleId="Header">
    <w:name w:val="header"/>
    <w:basedOn w:val="BodyText"/>
    <w:link w:val="HeaderChar"/>
    <w:rsid w:val="008C3B92"/>
    <w:pPr>
      <w:tabs>
        <w:tab w:val="left" w:pos="2304"/>
      </w:tabs>
      <w:spacing w:before="0"/>
    </w:pPr>
    <w:rPr>
      <w:b/>
      <w:sz w:val="22"/>
    </w:rPr>
  </w:style>
  <w:style w:type="character" w:customStyle="1" w:styleId="HeaderChar">
    <w:name w:val="Header Char"/>
    <w:basedOn w:val="DefaultParagraphFont"/>
    <w:link w:val="Header"/>
    <w:rsid w:val="00F4343C"/>
    <w:rPr>
      <w:b/>
      <w:sz w:val="22"/>
      <w:lang w:val="en-US" w:eastAsia="en-US"/>
    </w:rPr>
  </w:style>
  <w:style w:type="paragraph" w:customStyle="1" w:styleId="Heading1unnumbered">
    <w:name w:val="Heading 1 unnumbered"/>
    <w:basedOn w:val="Heading1"/>
    <w:next w:val="BodyText"/>
    <w:rsid w:val="00CB165C"/>
    <w:pPr>
      <w:numPr>
        <w:numId w:val="0"/>
      </w:numPr>
    </w:pPr>
  </w:style>
  <w:style w:type="paragraph" w:customStyle="1" w:styleId="List1withbullet">
    <w:name w:val="List 1 with bullet"/>
    <w:basedOn w:val="Normal"/>
    <w:next w:val="List1withoutbullet"/>
    <w:link w:val="List1withbulletChar"/>
    <w:qFormat/>
    <w:rsid w:val="00F15279"/>
    <w:pPr>
      <w:numPr>
        <w:numId w:val="5"/>
      </w:numPr>
      <w:spacing w:before="120"/>
    </w:pPr>
    <w:rPr>
      <w:rFonts w:eastAsia="Times New Roman"/>
    </w:rPr>
  </w:style>
  <w:style w:type="paragraph" w:customStyle="1" w:styleId="List1withoutbullet">
    <w:name w:val="List 1 without bullet"/>
    <w:basedOn w:val="BodyText"/>
    <w:next w:val="BodyText"/>
    <w:rsid w:val="006F07D7"/>
    <w:pPr>
      <w:tabs>
        <w:tab w:val="left" w:pos="284"/>
      </w:tabs>
      <w:spacing w:before="120"/>
      <w:ind w:left="284"/>
    </w:pPr>
  </w:style>
  <w:style w:type="character" w:customStyle="1" w:styleId="List1withbulletChar">
    <w:name w:val="List 1 with bullet Char"/>
    <w:basedOn w:val="DefaultParagraphFont"/>
    <w:link w:val="List1withbullet"/>
    <w:locked/>
    <w:rsid w:val="009A683A"/>
    <w:rPr>
      <w:rFonts w:eastAsia="Times New Roman"/>
      <w:sz w:val="24"/>
      <w:lang w:val="en-US" w:eastAsia="en-US"/>
    </w:rPr>
  </w:style>
  <w:style w:type="paragraph" w:customStyle="1" w:styleId="Bodytext-keepwithnext">
    <w:name w:val="Body text - keep with next"/>
    <w:basedOn w:val="BodyText"/>
    <w:next w:val="BodyText"/>
    <w:rsid w:val="006F07D7"/>
    <w:pPr>
      <w:keepNext/>
    </w:pPr>
  </w:style>
  <w:style w:type="paragraph" w:styleId="Caption">
    <w:name w:val="caption"/>
    <w:aliases w:val="Caption Char Char Char,Caption Char Char Char Char,c"/>
    <w:basedOn w:val="BodyText"/>
    <w:next w:val="BodyText"/>
    <w:link w:val="CaptionChar"/>
    <w:uiPriority w:val="35"/>
    <w:qFormat/>
    <w:rsid w:val="00DE1CA8"/>
    <w:pPr>
      <w:keepNext/>
      <w:keepLines/>
      <w:tabs>
        <w:tab w:val="left" w:pos="2016"/>
      </w:tabs>
      <w:spacing w:after="240"/>
      <w:ind w:left="2016" w:hanging="2016"/>
    </w:pPr>
    <w:rPr>
      <w:b/>
    </w:rPr>
  </w:style>
  <w:style w:type="character" w:customStyle="1" w:styleId="CaptionChar">
    <w:name w:val="Caption Char"/>
    <w:aliases w:val="Caption Char Char Char Char1,Caption Char Char Char Char Char,c Char"/>
    <w:basedOn w:val="DefaultParagraphFont"/>
    <w:link w:val="Caption"/>
    <w:locked/>
    <w:rsid w:val="00D124BD"/>
    <w:rPr>
      <w:b/>
      <w:sz w:val="24"/>
      <w:lang w:val="en-US" w:eastAsia="en-US"/>
    </w:rPr>
  </w:style>
  <w:style w:type="paragraph" w:styleId="Footer">
    <w:name w:val="footer"/>
    <w:basedOn w:val="BodyText"/>
    <w:link w:val="FooterChar"/>
    <w:rsid w:val="0013663E"/>
    <w:pPr>
      <w:keepLines/>
      <w:spacing w:before="0"/>
    </w:pPr>
    <w:rPr>
      <w:sz w:val="18"/>
    </w:rPr>
  </w:style>
  <w:style w:type="character" w:customStyle="1" w:styleId="FooterChar">
    <w:name w:val="Footer Char"/>
    <w:basedOn w:val="DefaultParagraphFont"/>
    <w:link w:val="Footer"/>
    <w:locked/>
    <w:rsid w:val="00EF67CA"/>
    <w:rPr>
      <w:sz w:val="18"/>
      <w:lang w:val="en-US" w:eastAsia="en-US"/>
    </w:rPr>
  </w:style>
  <w:style w:type="paragraph" w:customStyle="1" w:styleId="Tabletext">
    <w:name w:val="Table text"/>
    <w:basedOn w:val="BodyText"/>
    <w:link w:val="TabletextZchn"/>
    <w:qFormat/>
    <w:rsid w:val="006F07D7"/>
    <w:pPr>
      <w:keepLines/>
      <w:spacing w:before="40" w:after="40"/>
      <w:jc w:val="left"/>
    </w:pPr>
    <w:rPr>
      <w:rFonts w:ascii="Arial" w:hAnsi="Arial"/>
      <w:sz w:val="18"/>
    </w:rPr>
  </w:style>
  <w:style w:type="character" w:customStyle="1" w:styleId="TabletextZchn">
    <w:name w:val="Table text Zchn"/>
    <w:link w:val="Tabletext"/>
    <w:locked/>
    <w:rsid w:val="00D26776"/>
    <w:rPr>
      <w:rFonts w:ascii="Arial" w:hAnsi="Arial"/>
      <w:sz w:val="18"/>
      <w:lang w:val="en-US" w:eastAsia="en-US"/>
    </w:rPr>
  </w:style>
  <w:style w:type="paragraph" w:customStyle="1" w:styleId="Tablefootnote">
    <w:name w:val="Table footnote"/>
    <w:basedOn w:val="Tabletext"/>
    <w:next w:val="BodyText"/>
    <w:link w:val="TablefootnoteChar"/>
    <w:qFormat/>
    <w:rsid w:val="00B719B4"/>
  </w:style>
  <w:style w:type="character" w:customStyle="1" w:styleId="TablefootnoteChar">
    <w:name w:val="Table footnote Char"/>
    <w:basedOn w:val="DefaultParagraphFont"/>
    <w:link w:val="Tablefootnote"/>
    <w:rsid w:val="00C71784"/>
    <w:rPr>
      <w:rFonts w:ascii="Arial" w:hAnsi="Arial"/>
      <w:sz w:val="18"/>
      <w:lang w:val="en-US" w:eastAsia="en-US"/>
    </w:rPr>
  </w:style>
  <w:style w:type="character" w:customStyle="1" w:styleId="aComments">
    <w:name w:val="a_Comments"/>
    <w:rsid w:val="00B94A58"/>
    <w:rPr>
      <w:rFonts w:ascii="Arial" w:hAnsi="Arial"/>
      <w:i/>
      <w:color w:val="FF0000"/>
      <w:sz w:val="24"/>
    </w:rPr>
  </w:style>
  <w:style w:type="paragraph" w:customStyle="1" w:styleId="Tableheading">
    <w:name w:val="Table heading"/>
    <w:basedOn w:val="Tabletext"/>
    <w:link w:val="TableheadingChar"/>
    <w:qFormat/>
    <w:rsid w:val="003465BB"/>
    <w:pPr>
      <w:keepNext/>
      <w:spacing w:before="80" w:after="80"/>
      <w:jc w:val="center"/>
    </w:pPr>
    <w:rPr>
      <w:b/>
    </w:rPr>
  </w:style>
  <w:style w:type="character" w:customStyle="1" w:styleId="TableheadingChar">
    <w:name w:val="Table heading Char"/>
    <w:basedOn w:val="DefaultParagraphFont"/>
    <w:link w:val="Tableheading"/>
    <w:locked/>
    <w:rsid w:val="005603D8"/>
    <w:rPr>
      <w:rFonts w:ascii="Arial" w:hAnsi="Arial"/>
      <w:b/>
      <w:sz w:val="18"/>
      <w:lang w:val="en-US" w:eastAsia="en-US"/>
    </w:rPr>
  </w:style>
  <w:style w:type="paragraph" w:customStyle="1" w:styleId="Tablelist">
    <w:name w:val="Table list"/>
    <w:basedOn w:val="Tabletext"/>
    <w:rsid w:val="002702C4"/>
    <w:pPr>
      <w:numPr>
        <w:numId w:val="1"/>
      </w:numPr>
    </w:pPr>
  </w:style>
  <w:style w:type="paragraph" w:styleId="TOC1">
    <w:name w:val="toc 1"/>
    <w:basedOn w:val="BodyText"/>
    <w:next w:val="BodyText"/>
    <w:uiPriority w:val="39"/>
    <w:rsid w:val="00443A30"/>
    <w:pPr>
      <w:tabs>
        <w:tab w:val="left" w:pos="1872"/>
        <w:tab w:val="right" w:leader="dot" w:pos="8640"/>
      </w:tabs>
      <w:spacing w:before="120"/>
      <w:ind w:left="1872" w:right="1080" w:hanging="1872"/>
      <w:jc w:val="left"/>
    </w:pPr>
    <w:rPr>
      <w:noProof/>
    </w:rPr>
  </w:style>
  <w:style w:type="paragraph" w:styleId="Title">
    <w:name w:val="Title"/>
    <w:basedOn w:val="BodyText"/>
    <w:next w:val="BodyText"/>
    <w:link w:val="TitleChar"/>
    <w:qFormat/>
    <w:rsid w:val="003465BB"/>
    <w:pPr>
      <w:keepLines/>
      <w:spacing w:before="0" w:after="480"/>
      <w:jc w:val="center"/>
    </w:pPr>
    <w:rPr>
      <w:b/>
      <w:sz w:val="36"/>
    </w:rPr>
  </w:style>
  <w:style w:type="character" w:customStyle="1" w:styleId="TitleChar">
    <w:name w:val="Title Char"/>
    <w:basedOn w:val="DefaultParagraphFont"/>
    <w:link w:val="Title"/>
    <w:rsid w:val="0064387B"/>
    <w:rPr>
      <w:b/>
      <w:sz w:val="36"/>
      <w:lang w:val="en-US" w:eastAsia="en-US"/>
    </w:rPr>
  </w:style>
  <w:style w:type="paragraph" w:customStyle="1" w:styleId="List2withoutbullet">
    <w:name w:val="List 2 without bullet"/>
    <w:basedOn w:val="List1withoutbullet"/>
    <w:next w:val="BodyText"/>
    <w:rsid w:val="00713328"/>
    <w:pPr>
      <w:tabs>
        <w:tab w:val="clear" w:pos="284"/>
        <w:tab w:val="left" w:pos="576"/>
      </w:tabs>
      <w:ind w:left="576"/>
    </w:pPr>
  </w:style>
  <w:style w:type="paragraph" w:styleId="TOC2">
    <w:name w:val="toc 2"/>
    <w:basedOn w:val="TOC1"/>
    <w:next w:val="BodyText"/>
    <w:uiPriority w:val="39"/>
    <w:rsid w:val="00536B69"/>
  </w:style>
  <w:style w:type="paragraph" w:styleId="TOC3">
    <w:name w:val="toc 3"/>
    <w:basedOn w:val="TOC1"/>
    <w:next w:val="BodyText"/>
    <w:uiPriority w:val="39"/>
    <w:rsid w:val="00536B69"/>
  </w:style>
  <w:style w:type="paragraph" w:styleId="TOC4">
    <w:name w:val="toc 4"/>
    <w:basedOn w:val="TOC1"/>
    <w:next w:val="BodyText"/>
    <w:uiPriority w:val="39"/>
    <w:rsid w:val="00536B69"/>
  </w:style>
  <w:style w:type="paragraph" w:styleId="TOC5">
    <w:name w:val="toc 5"/>
    <w:basedOn w:val="TOC1"/>
    <w:next w:val="BodyText"/>
    <w:uiPriority w:val="39"/>
    <w:rsid w:val="00E65C82"/>
  </w:style>
  <w:style w:type="paragraph" w:styleId="TOC6">
    <w:name w:val="toc 6"/>
    <w:basedOn w:val="TOC1"/>
    <w:next w:val="BodyText"/>
    <w:uiPriority w:val="39"/>
    <w:rsid w:val="00E65C82"/>
  </w:style>
  <w:style w:type="paragraph" w:styleId="TOC7">
    <w:name w:val="toc 7"/>
    <w:basedOn w:val="Normal"/>
    <w:next w:val="Normal"/>
    <w:uiPriority w:val="39"/>
    <w:rsid w:val="006F07D7"/>
    <w:pPr>
      <w:ind w:left="1440"/>
    </w:pPr>
    <w:rPr>
      <w:rFonts w:ascii="Symbol" w:hAnsi="Symbol"/>
      <w:color w:val="00FF00"/>
    </w:rPr>
  </w:style>
  <w:style w:type="paragraph" w:styleId="TOC8">
    <w:name w:val="toc 8"/>
    <w:basedOn w:val="Normal"/>
    <w:next w:val="Normal"/>
    <w:uiPriority w:val="39"/>
    <w:rsid w:val="006F07D7"/>
    <w:pPr>
      <w:ind w:left="1680"/>
    </w:pPr>
    <w:rPr>
      <w:rFonts w:ascii="Symbol" w:hAnsi="Symbol"/>
      <w:color w:val="00FF00"/>
    </w:rPr>
  </w:style>
  <w:style w:type="paragraph" w:styleId="TOC9">
    <w:name w:val="toc 9"/>
    <w:basedOn w:val="Normal"/>
    <w:next w:val="Normal"/>
    <w:uiPriority w:val="39"/>
    <w:rsid w:val="006F07D7"/>
    <w:pPr>
      <w:ind w:left="1920"/>
    </w:pPr>
    <w:rPr>
      <w:rFonts w:ascii="Symbol" w:hAnsi="Symbol"/>
      <w:color w:val="00FF00"/>
    </w:rPr>
  </w:style>
  <w:style w:type="paragraph" w:customStyle="1" w:styleId="List2withbullet">
    <w:name w:val="List 2 with bullet"/>
    <w:basedOn w:val="List1withbullet"/>
    <w:next w:val="List2withoutbullet"/>
    <w:rsid w:val="007D2B3C"/>
    <w:pPr>
      <w:numPr>
        <w:numId w:val="3"/>
      </w:numPr>
      <w:tabs>
        <w:tab w:val="num" w:pos="4873"/>
      </w:tabs>
    </w:pPr>
  </w:style>
  <w:style w:type="character" w:styleId="Hyperlink">
    <w:name w:val="Hyperlink"/>
    <w:uiPriority w:val="99"/>
    <w:rsid w:val="003826F3"/>
    <w:rPr>
      <w:color w:val="0000FF"/>
      <w:u w:val="none"/>
    </w:rPr>
  </w:style>
  <w:style w:type="paragraph" w:styleId="TableofFigures">
    <w:name w:val="table of figures"/>
    <w:basedOn w:val="TOC1"/>
    <w:next w:val="BodyText"/>
    <w:uiPriority w:val="99"/>
    <w:rsid w:val="00E151F9"/>
  </w:style>
  <w:style w:type="paragraph" w:styleId="DocumentMap">
    <w:name w:val="Document Map"/>
    <w:basedOn w:val="Normal"/>
    <w:semiHidden/>
    <w:rsid w:val="000210DA"/>
    <w:pPr>
      <w:shd w:val="clear" w:color="auto" w:fill="000080"/>
    </w:pPr>
    <w:rPr>
      <w:rFonts w:ascii="Tahoma" w:hAnsi="Tahoma" w:cs="Tahoma"/>
      <w:sz w:val="20"/>
    </w:rPr>
  </w:style>
  <w:style w:type="character" w:styleId="FollowedHyperlink">
    <w:name w:val="FollowedHyperlink"/>
    <w:semiHidden/>
    <w:rsid w:val="00966857"/>
    <w:rPr>
      <w:color w:val="0000FF"/>
      <w:u w:val="none"/>
    </w:rPr>
  </w:style>
  <w:style w:type="paragraph" w:styleId="EndnoteText">
    <w:name w:val="endnote text"/>
    <w:basedOn w:val="BodyText"/>
    <w:semiHidden/>
    <w:rsid w:val="00966857"/>
  </w:style>
  <w:style w:type="character" w:styleId="EndnoteReference">
    <w:name w:val="endnote reference"/>
    <w:semiHidden/>
    <w:rsid w:val="00384AC6"/>
    <w:rPr>
      <w:color w:val="auto"/>
      <w:vertAlign w:val="superscript"/>
    </w:rPr>
  </w:style>
  <w:style w:type="table" w:customStyle="1" w:styleId="TableGrid1">
    <w:name w:val="Table Grid1"/>
    <w:basedOn w:val="TableNormal"/>
    <w:uiPriority w:val="59"/>
    <w:rsid w:val="00EE74BC"/>
    <w:pPr>
      <w:spacing w:before="240"/>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E7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6572A6"/>
    <w:rPr>
      <w:sz w:val="16"/>
      <w:szCs w:val="16"/>
    </w:rPr>
  </w:style>
  <w:style w:type="paragraph" w:styleId="CommentText">
    <w:name w:val="annotation text"/>
    <w:aliases w:val=" Zchn Zchn1,Annotationtext,Comment Text Char Char Char Char,Comment Text Char Char Char1,Comment Text Char Char1 Char,Comment Text Char Char2,Comment Text Char1 Char Char,Comment Text Char1 Char1,Comment Text Char2,Comments,Zchn Zchn1"/>
    <w:basedOn w:val="Normal"/>
    <w:link w:val="CommentTextChar"/>
    <w:uiPriority w:val="99"/>
    <w:unhideWhenUsed/>
    <w:qFormat/>
    <w:rsid w:val="006572A6"/>
    <w:pPr>
      <w:spacing w:before="120" w:after="120"/>
      <w:jc w:val="left"/>
    </w:pPr>
    <w:rPr>
      <w:rFonts w:eastAsia="Calibri" w:cs="Cordia New"/>
      <w:sz w:val="20"/>
    </w:rPr>
  </w:style>
  <w:style w:type="character" w:customStyle="1" w:styleId="CommentTextChar">
    <w:name w:val="Comment Text Char"/>
    <w:aliases w:val=" Zchn Zchn1 Char,Annotationtext Char,Comment Text Char Char Char Char Char,Comment Text Char Char Char1 Char,Comment Text Char Char1 Char Char,Comment Text Char Char2 Char,Comment Text Char1 Char Char Char,Comment Text Char1 Char1 Char"/>
    <w:basedOn w:val="DefaultParagraphFont"/>
    <w:link w:val="CommentText"/>
    <w:uiPriority w:val="99"/>
    <w:rsid w:val="006572A6"/>
    <w:rPr>
      <w:rFonts w:eastAsia="Calibri" w:cs="Cordia New"/>
      <w:lang w:val="en-US" w:eastAsia="en-US"/>
    </w:rPr>
  </w:style>
  <w:style w:type="character" w:customStyle="1" w:styleId="Mention1">
    <w:name w:val="Mention1"/>
    <w:basedOn w:val="DefaultParagraphFont"/>
    <w:uiPriority w:val="99"/>
    <w:semiHidden/>
    <w:unhideWhenUsed/>
    <w:rsid w:val="00307521"/>
    <w:rPr>
      <w:color w:val="2B579A"/>
      <w:shd w:val="clear" w:color="auto" w:fill="E6E6E6"/>
    </w:rPr>
  </w:style>
  <w:style w:type="paragraph" w:styleId="CommentSubject">
    <w:name w:val="annotation subject"/>
    <w:basedOn w:val="CommentText"/>
    <w:next w:val="CommentText"/>
    <w:link w:val="CommentSubjectChar"/>
    <w:semiHidden/>
    <w:unhideWhenUsed/>
    <w:rsid w:val="00067390"/>
    <w:pPr>
      <w:spacing w:before="240" w:after="0"/>
      <w:jc w:val="both"/>
    </w:pPr>
    <w:rPr>
      <w:rFonts w:eastAsia="Times New Roman" w:cs="Times New Roman"/>
      <w:b/>
      <w:bCs/>
    </w:rPr>
  </w:style>
  <w:style w:type="character" w:customStyle="1" w:styleId="CommentSubjectChar">
    <w:name w:val="Comment Subject Char"/>
    <w:basedOn w:val="CommentTextChar"/>
    <w:link w:val="CommentSubject"/>
    <w:semiHidden/>
    <w:rsid w:val="00067390"/>
    <w:rPr>
      <w:rFonts w:eastAsia="Calibri" w:cs="Cordia New"/>
      <w:b/>
      <w:bCs/>
      <w:lang w:val="en-US" w:eastAsia="en-US"/>
    </w:rPr>
  </w:style>
  <w:style w:type="paragraph" w:styleId="NormalWeb">
    <w:name w:val="Normal (Web)"/>
    <w:basedOn w:val="Normal"/>
    <w:uiPriority w:val="99"/>
    <w:semiHidden/>
    <w:unhideWhenUsed/>
    <w:rsid w:val="00326E2E"/>
    <w:rPr>
      <w:szCs w:val="24"/>
    </w:rPr>
  </w:style>
  <w:style w:type="character" w:styleId="LineNumber">
    <w:name w:val="line number"/>
    <w:basedOn w:val="DefaultParagraphFont"/>
    <w:semiHidden/>
    <w:unhideWhenUsed/>
    <w:rsid w:val="00653E08"/>
  </w:style>
  <w:style w:type="character" w:customStyle="1" w:styleId="UnresolvedMention1">
    <w:name w:val="Unresolved Mention1"/>
    <w:basedOn w:val="DefaultParagraphFont"/>
    <w:uiPriority w:val="99"/>
    <w:semiHidden/>
    <w:unhideWhenUsed/>
    <w:rsid w:val="008458F6"/>
    <w:rPr>
      <w:color w:val="808080"/>
      <w:shd w:val="clear" w:color="auto" w:fill="E6E6E6"/>
    </w:rPr>
  </w:style>
  <w:style w:type="paragraph" w:styleId="BalloonText">
    <w:name w:val="Balloon Text"/>
    <w:basedOn w:val="Normal"/>
    <w:link w:val="BalloonTextChar"/>
    <w:semiHidden/>
    <w:unhideWhenUsed/>
    <w:rsid w:val="0004106C"/>
    <w:pPr>
      <w:spacing w:before="0"/>
    </w:pPr>
    <w:rPr>
      <w:rFonts w:ascii="Segoe UI" w:hAnsi="Segoe UI" w:cs="Segoe UI"/>
      <w:sz w:val="18"/>
      <w:szCs w:val="18"/>
    </w:rPr>
  </w:style>
  <w:style w:type="character" w:customStyle="1" w:styleId="BalloonTextChar">
    <w:name w:val="Balloon Text Char"/>
    <w:basedOn w:val="DefaultParagraphFont"/>
    <w:link w:val="BalloonText"/>
    <w:semiHidden/>
    <w:rsid w:val="0004106C"/>
    <w:rPr>
      <w:rFonts w:ascii="Segoe UI" w:hAnsi="Segoe UI" w:cs="Segoe UI"/>
      <w:sz w:val="18"/>
      <w:szCs w:val="18"/>
      <w:lang w:val="en-US" w:eastAsia="en-US"/>
    </w:rPr>
  </w:style>
  <w:style w:type="paragraph" w:styleId="Revision">
    <w:name w:val="Revision"/>
    <w:hidden/>
    <w:uiPriority w:val="99"/>
    <w:semiHidden/>
    <w:rsid w:val="00D07285"/>
    <w:rPr>
      <w:sz w:val="24"/>
      <w:lang w:val="en-US" w:eastAsia="en-US"/>
    </w:rPr>
  </w:style>
  <w:style w:type="character" w:styleId="PlaceholderText">
    <w:name w:val="Placeholder Text"/>
    <w:basedOn w:val="DefaultParagraphFont"/>
    <w:uiPriority w:val="99"/>
    <w:semiHidden/>
    <w:rsid w:val="00944290"/>
    <w:rPr>
      <w:color w:val="808080"/>
    </w:rPr>
  </w:style>
  <w:style w:type="character" w:customStyle="1" w:styleId="UnresolvedMention2">
    <w:name w:val="Unresolved Mention2"/>
    <w:basedOn w:val="DefaultParagraphFont"/>
    <w:uiPriority w:val="99"/>
    <w:semiHidden/>
    <w:unhideWhenUsed/>
    <w:rsid w:val="008D48F3"/>
    <w:rPr>
      <w:color w:val="808080"/>
      <w:shd w:val="clear" w:color="auto" w:fill="E6E6E6"/>
    </w:rPr>
  </w:style>
  <w:style w:type="paragraph" w:styleId="ListParagraph">
    <w:name w:val="List Paragraph"/>
    <w:basedOn w:val="Normal"/>
    <w:link w:val="ListParagraphChar"/>
    <w:uiPriority w:val="34"/>
    <w:qFormat/>
    <w:rsid w:val="0058710A"/>
    <w:pPr>
      <w:spacing w:before="14" w:after="144" w:line="300" w:lineRule="atLeast"/>
      <w:ind w:left="720"/>
      <w:contextualSpacing/>
      <w:jc w:val="left"/>
    </w:pPr>
    <w:rPr>
      <w:szCs w:val="24"/>
    </w:rPr>
  </w:style>
  <w:style w:type="character" w:customStyle="1" w:styleId="ListParagraphChar">
    <w:name w:val="List Paragraph Char"/>
    <w:basedOn w:val="DefaultParagraphFont"/>
    <w:link w:val="ListParagraph"/>
    <w:uiPriority w:val="34"/>
    <w:locked/>
    <w:rsid w:val="0058710A"/>
    <w:rPr>
      <w:sz w:val="24"/>
      <w:szCs w:val="24"/>
      <w:lang w:val="en-US" w:eastAsia="en-US"/>
    </w:rPr>
  </w:style>
  <w:style w:type="table" w:customStyle="1" w:styleId="TableGrid11">
    <w:name w:val="Table Grid11"/>
    <w:basedOn w:val="TableNormal"/>
    <w:uiPriority w:val="59"/>
    <w:rsid w:val="00EF6644"/>
    <w:pPr>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59"/>
    <w:rsid w:val="00EF6644"/>
    <w:pPr>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unnumbered">
    <w:name w:val="Heading 2 unnumbered"/>
    <w:basedOn w:val="Heading2"/>
    <w:next w:val="BodyText"/>
    <w:rsid w:val="002D5531"/>
    <w:pPr>
      <w:numPr>
        <w:ilvl w:val="0"/>
        <w:numId w:val="0"/>
      </w:numPr>
    </w:pPr>
  </w:style>
  <w:style w:type="paragraph" w:customStyle="1" w:styleId="Heading3unnumbered">
    <w:name w:val="Heading 3 unnumbered"/>
    <w:basedOn w:val="Heading3"/>
    <w:next w:val="BodyText"/>
    <w:rsid w:val="00D56194"/>
    <w:pPr>
      <w:numPr>
        <w:ilvl w:val="0"/>
        <w:numId w:val="0"/>
      </w:numPr>
    </w:pPr>
  </w:style>
  <w:style w:type="paragraph" w:customStyle="1" w:styleId="Heading4unnumbered">
    <w:name w:val="Heading 4 unnumbered"/>
    <w:basedOn w:val="Heading4"/>
    <w:next w:val="BodyText"/>
    <w:rsid w:val="00D56194"/>
    <w:pPr>
      <w:numPr>
        <w:ilvl w:val="0"/>
        <w:numId w:val="0"/>
      </w:numPr>
    </w:pPr>
  </w:style>
  <w:style w:type="character" w:customStyle="1" w:styleId="List1withbulletZchn">
    <w:name w:val="List 1 with bullet Zchn"/>
    <w:basedOn w:val="DefaultParagraphFont"/>
    <w:locked/>
    <w:rsid w:val="006A708C"/>
    <w:rPr>
      <w:rFonts w:ascii="Times New Roman" w:eastAsia="Times New Roman" w:hAnsi="Times New Roman" w:cs="Times New Roman"/>
      <w:sz w:val="24"/>
      <w:szCs w:val="20"/>
    </w:rPr>
  </w:style>
  <w:style w:type="table" w:styleId="PlainTable2">
    <w:name w:val="Plain Table 2"/>
    <w:basedOn w:val="TableNormal"/>
    <w:uiPriority w:val="42"/>
    <w:rsid w:val="009A035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PTInstructional">
    <w:name w:val="CPT_Instructional"/>
    <w:basedOn w:val="Normal"/>
    <w:qFormat/>
    <w:rsid w:val="00E63775"/>
    <w:pPr>
      <w:spacing w:before="120" w:after="120" w:line="280" w:lineRule="atLeast"/>
      <w:jc w:val="left"/>
    </w:pPr>
    <w:rPr>
      <w:rFonts w:eastAsia="Calibri" w:cs="Arial"/>
      <w:vanish/>
      <w:color w:val="FF0000"/>
      <w:sz w:val="22"/>
    </w:rPr>
  </w:style>
  <w:style w:type="character" w:customStyle="1" w:styleId="CPTVariable">
    <w:name w:val="CPT_Variable"/>
    <w:basedOn w:val="DefaultParagraphFont"/>
    <w:uiPriority w:val="1"/>
    <w:qFormat/>
    <w:rsid w:val="00E63775"/>
    <w:rPr>
      <w:color w:val="0070C0"/>
    </w:rPr>
  </w:style>
  <w:style w:type="paragraph" w:customStyle="1" w:styleId="TableParagraph">
    <w:name w:val="Table Paragraph"/>
    <w:basedOn w:val="Normal"/>
    <w:uiPriority w:val="1"/>
    <w:qFormat/>
    <w:rsid w:val="00EA54E1"/>
    <w:pPr>
      <w:widowControl w:val="0"/>
      <w:autoSpaceDE w:val="0"/>
      <w:autoSpaceDN w:val="0"/>
      <w:spacing w:before="0"/>
      <w:jc w:val="left"/>
    </w:pPr>
    <w:rPr>
      <w:sz w:val="22"/>
      <w:szCs w:val="22"/>
    </w:rPr>
  </w:style>
  <w:style w:type="character" w:customStyle="1" w:styleId="TableTextChar1">
    <w:name w:val="Table Text Char1"/>
    <w:link w:val="TableText0"/>
    <w:locked/>
    <w:rsid w:val="00D124BD"/>
    <w:rPr>
      <w:sz w:val="24"/>
    </w:rPr>
  </w:style>
  <w:style w:type="paragraph" w:customStyle="1" w:styleId="TableText0">
    <w:name w:val="Table Text"/>
    <w:link w:val="TableTextChar1"/>
    <w:qFormat/>
    <w:rsid w:val="00D124BD"/>
    <w:pPr>
      <w:tabs>
        <w:tab w:val="left" w:pos="288"/>
        <w:tab w:val="left" w:pos="576"/>
        <w:tab w:val="left" w:pos="864"/>
      </w:tabs>
      <w:spacing w:before="60" w:after="60"/>
    </w:pPr>
    <w:rPr>
      <w:sz w:val="24"/>
    </w:rPr>
  </w:style>
  <w:style w:type="character" w:customStyle="1" w:styleId="UnresolvedMention3">
    <w:name w:val="Unresolved Mention3"/>
    <w:basedOn w:val="DefaultParagraphFont"/>
    <w:uiPriority w:val="99"/>
    <w:unhideWhenUsed/>
    <w:rsid w:val="00B82EB5"/>
    <w:rPr>
      <w:color w:val="605E5C"/>
      <w:shd w:val="clear" w:color="auto" w:fill="E1DFDD"/>
    </w:rPr>
  </w:style>
  <w:style w:type="paragraph" w:customStyle="1" w:styleId="Default">
    <w:name w:val="Default"/>
    <w:rsid w:val="00491602"/>
    <w:pPr>
      <w:autoSpaceDE w:val="0"/>
      <w:autoSpaceDN w:val="0"/>
      <w:adjustRightInd w:val="0"/>
    </w:pPr>
    <w:rPr>
      <w:color w:val="000000"/>
      <w:sz w:val="24"/>
      <w:szCs w:val="24"/>
      <w:lang w:val="en-US"/>
    </w:rPr>
  </w:style>
  <w:style w:type="character" w:customStyle="1" w:styleId="st1">
    <w:name w:val="st1"/>
    <w:basedOn w:val="DefaultParagraphFont"/>
    <w:rsid w:val="00317FCA"/>
  </w:style>
  <w:style w:type="character" w:styleId="Emphasis">
    <w:name w:val="Emphasis"/>
    <w:basedOn w:val="DefaultParagraphFont"/>
    <w:uiPriority w:val="20"/>
    <w:qFormat/>
    <w:rsid w:val="00317FCA"/>
    <w:rPr>
      <w:b/>
      <w:bCs/>
      <w:i w:val="0"/>
      <w:iCs w:val="0"/>
    </w:rPr>
  </w:style>
  <w:style w:type="character" w:customStyle="1" w:styleId="UnresolvedMention30">
    <w:name w:val="Unresolved Mention3_0"/>
    <w:basedOn w:val="DefaultParagraphFont"/>
    <w:uiPriority w:val="99"/>
    <w:unhideWhenUsed/>
    <w:rsid w:val="00317FCA"/>
    <w:rPr>
      <w:color w:val="605E5C"/>
      <w:shd w:val="clear" w:color="auto" w:fill="E1DFDD"/>
    </w:rPr>
  </w:style>
  <w:style w:type="paragraph" w:customStyle="1" w:styleId="CaptionApp">
    <w:name w:val="CaptionApp"/>
    <w:basedOn w:val="Caption"/>
    <w:qFormat/>
    <w:rsid w:val="00317FCA"/>
    <w:pPr>
      <w:pageBreakBefore/>
    </w:pPr>
  </w:style>
  <w:style w:type="character" w:customStyle="1" w:styleId="UnresolvedMention4">
    <w:name w:val="Unresolved Mention4"/>
    <w:basedOn w:val="DefaultParagraphFont"/>
    <w:uiPriority w:val="99"/>
    <w:unhideWhenUsed/>
    <w:rsid w:val="00317FCA"/>
    <w:rPr>
      <w:color w:val="605E5C"/>
      <w:shd w:val="clear" w:color="auto" w:fill="E1DFDD"/>
    </w:rPr>
  </w:style>
  <w:style w:type="character" w:styleId="Strong">
    <w:name w:val="Strong"/>
    <w:basedOn w:val="DefaultParagraphFont"/>
    <w:uiPriority w:val="22"/>
    <w:qFormat/>
    <w:rsid w:val="00317FCA"/>
    <w:rPr>
      <w:b/>
      <w:bCs/>
    </w:rPr>
  </w:style>
  <w:style w:type="character" w:customStyle="1" w:styleId="UnresolvedMention5">
    <w:name w:val="Unresolved Mention5"/>
    <w:basedOn w:val="DefaultParagraphFont"/>
    <w:uiPriority w:val="99"/>
    <w:unhideWhenUsed/>
    <w:rsid w:val="00317FCA"/>
    <w:rPr>
      <w:color w:val="605E5C"/>
      <w:shd w:val="clear" w:color="auto" w:fill="E1DFDD"/>
    </w:rPr>
  </w:style>
  <w:style w:type="table" w:customStyle="1" w:styleId="TableGrid3">
    <w:name w:val="Table Grid3"/>
    <w:basedOn w:val="TableNormal"/>
    <w:next w:val="TableGrid"/>
    <w:rsid w:val="00317F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rsid w:val="00317FCA"/>
    <w:rPr>
      <w:color w:val="605E5C"/>
      <w:shd w:val="clear" w:color="auto" w:fill="E1DFDD"/>
    </w:rPr>
  </w:style>
  <w:style w:type="character" w:customStyle="1" w:styleId="UnresolvedMention7">
    <w:name w:val="Unresolved Mention7"/>
    <w:basedOn w:val="DefaultParagraphFont"/>
    <w:rsid w:val="00317FCA"/>
    <w:rPr>
      <w:color w:val="605E5C"/>
      <w:shd w:val="clear" w:color="auto" w:fill="E1DFDD"/>
    </w:rPr>
  </w:style>
  <w:style w:type="character" w:customStyle="1" w:styleId="UnresolvedMention8">
    <w:name w:val="Unresolved Mention8"/>
    <w:basedOn w:val="DefaultParagraphFont"/>
    <w:uiPriority w:val="99"/>
    <w:rsid w:val="00046ACC"/>
    <w:rPr>
      <w:color w:val="605E5C"/>
      <w:shd w:val="clear" w:color="auto" w:fill="E1DFDD"/>
    </w:rPr>
  </w:style>
  <w:style w:type="paragraph" w:customStyle="1" w:styleId="TableHeaderText">
    <w:name w:val="Table Header Text"/>
    <w:basedOn w:val="Normal"/>
    <w:rsid w:val="006A4116"/>
    <w:pPr>
      <w:spacing w:before="60" w:after="60"/>
      <w:jc w:val="center"/>
    </w:pPr>
    <w:rPr>
      <w:b/>
      <w:color w:val="000000"/>
    </w:rPr>
  </w:style>
  <w:style w:type="character" w:customStyle="1" w:styleId="UnresolvedMention9">
    <w:name w:val="Unresolved Mention9"/>
    <w:basedOn w:val="DefaultParagraphFont"/>
    <w:rsid w:val="00421B55"/>
    <w:rPr>
      <w:color w:val="605E5C"/>
      <w:shd w:val="clear" w:color="auto" w:fill="E1DFDD"/>
    </w:rPr>
  </w:style>
  <w:style w:type="character" w:customStyle="1" w:styleId="highlight">
    <w:name w:val="highlight"/>
    <w:basedOn w:val="DefaultParagraphFont"/>
    <w:rsid w:val="00B5532C"/>
  </w:style>
  <w:style w:type="character" w:customStyle="1" w:styleId="UnresolvedMention10">
    <w:name w:val="Unresolved Mention10"/>
    <w:basedOn w:val="DefaultParagraphFont"/>
    <w:uiPriority w:val="99"/>
    <w:rsid w:val="00831ACA"/>
    <w:rPr>
      <w:color w:val="605E5C"/>
      <w:shd w:val="clear" w:color="auto" w:fill="E1DFDD"/>
    </w:rPr>
  </w:style>
  <w:style w:type="character" w:customStyle="1" w:styleId="UnresolvedMention11">
    <w:name w:val="Unresolved Mention11"/>
    <w:basedOn w:val="DefaultParagraphFont"/>
    <w:uiPriority w:val="99"/>
    <w:rsid w:val="00A118CB"/>
    <w:rPr>
      <w:color w:val="605E5C"/>
      <w:shd w:val="clear" w:color="auto" w:fill="E1DFDD"/>
    </w:rPr>
  </w:style>
  <w:style w:type="character" w:customStyle="1" w:styleId="title-text">
    <w:name w:val="title-text"/>
    <w:basedOn w:val="DefaultParagraphFont"/>
    <w:rsid w:val="0042082F"/>
  </w:style>
  <w:style w:type="character" w:customStyle="1" w:styleId="sr-only">
    <w:name w:val="sr-only"/>
    <w:basedOn w:val="DefaultParagraphFont"/>
    <w:rsid w:val="0042082F"/>
  </w:style>
  <w:style w:type="character" w:customStyle="1" w:styleId="text">
    <w:name w:val="text"/>
    <w:basedOn w:val="DefaultParagraphFont"/>
    <w:rsid w:val="0042082F"/>
  </w:style>
  <w:style w:type="character" w:customStyle="1" w:styleId="author-ref">
    <w:name w:val="author-ref"/>
    <w:basedOn w:val="DefaultParagraphFont"/>
    <w:rsid w:val="0042082F"/>
  </w:style>
  <w:style w:type="character" w:customStyle="1" w:styleId="UnresolvedMention12">
    <w:name w:val="Unresolved Mention12"/>
    <w:basedOn w:val="DefaultParagraphFont"/>
    <w:uiPriority w:val="99"/>
    <w:rsid w:val="007D5C70"/>
    <w:rPr>
      <w:color w:val="605E5C"/>
      <w:shd w:val="clear" w:color="auto" w:fill="E1DFDD"/>
    </w:rPr>
  </w:style>
  <w:style w:type="character" w:customStyle="1" w:styleId="TableheadingCharChar">
    <w:name w:val="Table heading Char Char"/>
    <w:locked/>
    <w:rsid w:val="001A5310"/>
    <w:rPr>
      <w:rFonts w:ascii="Arial" w:hAnsi="Arial"/>
      <w:b/>
      <w:sz w:val="18"/>
      <w:lang w:val="en-US" w:eastAsia="en-US"/>
    </w:rPr>
  </w:style>
  <w:style w:type="character" w:customStyle="1" w:styleId="UnresolvedMention13">
    <w:name w:val="Unresolved Mention13"/>
    <w:basedOn w:val="DefaultParagraphFont"/>
    <w:uiPriority w:val="99"/>
    <w:rsid w:val="00BD71E7"/>
    <w:rPr>
      <w:color w:val="605E5C"/>
      <w:shd w:val="clear" w:color="auto" w:fill="E1DFDD"/>
    </w:rPr>
  </w:style>
  <w:style w:type="character" w:customStyle="1" w:styleId="UnresolvedMention14">
    <w:name w:val="Unresolved Mention14"/>
    <w:basedOn w:val="DefaultParagraphFont"/>
    <w:uiPriority w:val="99"/>
    <w:unhideWhenUsed/>
    <w:rsid w:val="00765AF4"/>
    <w:rPr>
      <w:color w:val="605E5C"/>
      <w:shd w:val="clear" w:color="auto" w:fill="E1DFDD"/>
    </w:rPr>
  </w:style>
  <w:style w:type="character" w:styleId="UnresolvedMention">
    <w:name w:val="Unresolved Mention"/>
    <w:basedOn w:val="DefaultParagraphFont"/>
    <w:uiPriority w:val="99"/>
    <w:rsid w:val="001822E5"/>
    <w:rPr>
      <w:color w:val="605E5C"/>
      <w:shd w:val="clear" w:color="auto" w:fill="E1DFDD"/>
    </w:rPr>
  </w:style>
  <w:style w:type="character" w:styleId="Mention">
    <w:name w:val="Mention"/>
    <w:basedOn w:val="DefaultParagraphFont"/>
    <w:rsid w:val="00AE542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75733">
      <w:bodyDiv w:val="1"/>
      <w:marLeft w:val="0"/>
      <w:marRight w:val="0"/>
      <w:marTop w:val="0"/>
      <w:marBottom w:val="0"/>
      <w:divBdr>
        <w:top w:val="none" w:sz="0" w:space="0" w:color="auto"/>
        <w:left w:val="none" w:sz="0" w:space="0" w:color="auto"/>
        <w:bottom w:val="none" w:sz="0" w:space="0" w:color="auto"/>
        <w:right w:val="none" w:sz="0" w:space="0" w:color="auto"/>
      </w:divBdr>
    </w:div>
    <w:div w:id="560212742">
      <w:bodyDiv w:val="1"/>
      <w:marLeft w:val="0"/>
      <w:marRight w:val="0"/>
      <w:marTop w:val="0"/>
      <w:marBottom w:val="0"/>
      <w:divBdr>
        <w:top w:val="none" w:sz="0" w:space="0" w:color="auto"/>
        <w:left w:val="none" w:sz="0" w:space="0" w:color="auto"/>
        <w:bottom w:val="none" w:sz="0" w:space="0" w:color="auto"/>
        <w:right w:val="none" w:sz="0" w:space="0" w:color="auto"/>
      </w:divBdr>
    </w:div>
    <w:div w:id="167722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12340\Desktop\Master%20ELDORADO%20Template%20v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ED00345A9F664583D531D169A42BE9" ma:contentTypeVersion="6" ma:contentTypeDescription="Create a new document." ma:contentTypeScope="" ma:versionID="b4ed9a220574bed78c1c5732027e3898">
  <xsd:schema xmlns:xsd="http://www.w3.org/2001/XMLSchema" xmlns:xs="http://www.w3.org/2001/XMLSchema" xmlns:p="http://schemas.microsoft.com/office/2006/metadata/properties" xmlns:ns2="f07f960d-deca-4f94-8227-febe616b77cf" xmlns:ns3="177633d5-6c05-4e7e-8aa1-592a13fa61b0" targetNamespace="http://schemas.microsoft.com/office/2006/metadata/properties" ma:root="true" ma:fieldsID="e6147e301bb4129af41f64eaaa57a926" ns2:_="" ns3:_="">
    <xsd:import namespace="f07f960d-deca-4f94-8227-febe616b77cf"/>
    <xsd:import namespace="177633d5-6c05-4e7e-8aa1-592a13fa61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7f960d-deca-4f94-8227-febe616b7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7633d5-6c05-4e7e-8aa1-592a13fa61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D277-2ABA-4CFA-B570-18175EE0BA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DE1B46-A118-454A-A3CB-3CA21C4EED5A}">
  <ds:schemaRefs>
    <ds:schemaRef ds:uri="http://schemas.microsoft.com/sharepoint/v3/contenttype/forms"/>
  </ds:schemaRefs>
</ds:datastoreItem>
</file>

<file path=customXml/itemProps3.xml><?xml version="1.0" encoding="utf-8"?>
<ds:datastoreItem xmlns:ds="http://schemas.openxmlformats.org/officeDocument/2006/customXml" ds:itemID="{8DA6451E-5230-4B78-8799-6B1A14F71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7f960d-deca-4f94-8227-febe616b77cf"/>
    <ds:schemaRef ds:uri="177633d5-6c05-4e7e-8aa1-592a13fa6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3CFA06-7297-4634-BDB3-FBDB88CB3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ELDORADO Template v0.2.dot</Template>
  <TotalTime>581</TotalTime>
  <Pages>131</Pages>
  <Words>43641</Words>
  <Characters>248756</Characters>
  <Application>Microsoft Office Word</Application>
  <DocSecurity>0</DocSecurity>
  <Lines>2072</Lines>
  <Paragraphs>583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Table of Contents</vt:lpstr>
      <vt:lpstr>Table of Contents</vt:lpstr>
    </vt:vector>
  </TitlesOfParts>
  <Company>Merck KGaA</Company>
  <LinksUpToDate>false</LinksUpToDate>
  <CharactersWithSpaces>291814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Brigitte Sander</dc:creator>
  <cp:lastModifiedBy>Saccon, Cássia</cp:lastModifiedBy>
  <cp:revision>69</cp:revision>
  <cp:lastPrinted>2020-03-04T05:52:00Z</cp:lastPrinted>
  <dcterms:created xsi:type="dcterms:W3CDTF">2020-06-30T22:29:00Z</dcterms:created>
  <dcterms:modified xsi:type="dcterms:W3CDTF">2020-07-02T20:53:00Z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0x010100C6ED00345A9F664583D531D169A42BE9</vt:lpwstr>
  </property>
</Properties>
</file>