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120" w:before="0"/>
      </w:pPr>
      <w:r>
        <w:rPr>
          <w:rFonts w:ascii="Arial" w:cs="Arial" w:eastAsia="Arial" w:hAnsi="Arial"/>
          <w:b/>
          <w:bCs/>
        </w:rPr>
        <w:t xml:space="preserve">System Architecture Diagrams</w:t>
      </w:r>
    </w:p>
    <w:p>
      <w:pPr>
        <w:spacing w:after="200" w:before="80"/>
      </w:pPr>
      <w:r>
        <w:rPr>
          <w:rFonts w:ascii="Arial" w:cs="Arial" w:eastAsia="Arial" w:hAnsi="Arial"/>
          <w:i/>
          <w:iCs/>
          <w:color w:val="555555"/>
          <w:sz w:val="22"/>
          <w:szCs w:val="22"/>
        </w:rPr>
        <w:t xml:space="preserve">These diagrams visually represent the architecture and security flows described in Sections 3 of the full documentation.</w:t>
      </w:r>
    </w:p>
    <w:p>
      <w:pPr>
        <w:pStyle w:val="Heading2"/>
      </w:pPr>
      <w:r>
        <w:rPr>
          <w:rFonts w:ascii="Arial" w:cs="Arial" w:eastAsia="Arial" w:hAnsi="Arial"/>
          <w:b/>
          <w:bCs/>
        </w:rPr>
        <w:t xml:space="preserve">System Architecture — Component &amp; Data Flow</w:t>
      </w:r>
    </w:p>
    <w:p>
      <w:pPr>
        <w:spacing w:after="120" w:before="60"/>
      </w:pPr>
      <w:r>
        <w:rPr>
          <w:rFonts w:ascii="Arial" w:cs="Arial" w:eastAsia="Arial" w:hAnsi="Arial"/>
          <w:sz w:val="22"/>
          <w:szCs w:val="22"/>
        </w:rPr>
        <w:t xml:space="preserve">The React frontend communicates exclusively via Axios HTTP calls to the Spring Boot backend, which routes requests through a JWT filter before reaching business logic. External services (PostgreSQL, Cloudinary, SendGrid, Gemini AI, Razorpay) are called only from the Service layer.</w:t>
      </w:r>
    </w:p>
    <w:p>
      <w:pPr>
        <w:spacing w:after="80" w:before="120"/>
        <w:jc w:val="center"/>
      </w:pPr>
      <w:r>
        <w:drawing>
          <wp:inline distT="0" distB="0" distL="0" distR="0">
            <wp:extent cx="5905500" cy="4219575"/>
            <wp:effectExtent t="0" r="0" b="0" l="0"/>
            <wp:docPr id="1" name="Figure 1: Rentora AI — Full System Architecture &amp; Data Flow" descr="Figure 1: Rentora AI — Full System Architecture &amp; Data Flow" title="Figure 1: Rentora AI — Full System Architecture &amp;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195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 Rentora AI — Full System Architecture &amp; Data Flow</w:t>
      </w:r>
    </w:p>
    <w:p>
      <w:r>
        <w:br w:type="page"/>
      </w:r>
    </w:p>
    <w:p>
      <w:pPr>
        <w:pStyle w:val="Heading2"/>
      </w:pPr>
      <w:r>
        <w:rPr>
          <w:rFonts w:ascii="Arial" w:cs="Arial" w:eastAsia="Arial" w:hAnsi="Arial"/>
          <w:b/>
          <w:bCs/>
        </w:rPr>
        <w:t xml:space="preserve">JWT Authentication Flow — Step by Step</w:t>
      </w:r>
    </w:p>
    <w:p>
      <w:pPr>
        <w:spacing w:after="120" w:before="60"/>
      </w:pPr>
      <w:r>
        <w:rPr>
          <w:rFonts w:ascii="Arial" w:cs="Arial" w:eastAsia="Arial" w:hAnsi="Arial"/>
          <w:sz w:val="22"/>
          <w:szCs w:val="22"/>
        </w:rPr>
        <w:t xml:space="preserve">On login, the server validates the BCrypt-hashed password and issues a signed JWT. All subsequent requests from the React client carry this token via Axios interceptors. The Spring Security JwtFilter validates the signature and expiry on every request, then sets the authenticated user in SecurityContextHolder — enabling stateless, scalable authentication.</w:t>
      </w:r>
    </w:p>
    <w:p>
      <w:pPr>
        <w:spacing w:after="80" w:before="120"/>
        <w:jc w:val="center"/>
      </w:pPr>
      <w:r>
        <w:drawing>
          <wp:inline distT="0" distB="0" distL="0" distR="0">
            <wp:extent cx="5905500" cy="2305050"/>
            <wp:effectExtent t="0" r="0" b="0" l="0"/>
            <wp:docPr id="1" name="Figure 2: JWT Authentication Flow — 6-Step Lifecycle" descr="Figure 2: JWT Authentication Flow — 6-Step Lifecycle" title="Figure 2: JWT Authentication Flow — 6-Step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050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 JWT Authentication Flow — 6-Step Lifecycle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4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20"/>
            </w:tcMar>
          </w:tcPr>
          <w:p>
            <w:r>
              <w:rPr>
                <w:rFonts w:ascii="Arial" w:cs="Arial" w:eastAsia="Arial" w:hAnsi="Arial"/>
                <w:b/>
                <w:bCs/>
                <w:color w:val="FFFFFF"/>
                <w:sz w:val="20"/>
                <w:szCs w:val="20"/>
              </w:rPr>
              <w:t xml:space="preserve">What Happens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User Login Request</w:t>
            </w:r>
          </w:p>
        </w:tc>
        <w:tc>
          <w:tcPr>
            <w:tcW w:type="dxa" w:w="6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1"/>
                <w:szCs w:val="21"/>
              </w:rPr>
              <w:t xml:space="preserve">User submits credentials (email + password) over HTTPS to the /auth/login endpoint.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BCrypt Password Check</w:t>
            </w:r>
          </w:p>
        </w:tc>
        <w:tc>
          <w:tcPr>
            <w:tcW w:type="dxa" w:w="6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Spring Security loads the user from DB and compares the submitted password against the BCrypt hash. No plaintext ever stored.</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JWT Issued</w:t>
            </w:r>
          </w:p>
        </w:tc>
        <w:tc>
          <w:tcPr>
            <w:tcW w:type="dxa" w:w="6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1"/>
                <w:szCs w:val="21"/>
              </w:rPr>
              <w:t xml:space="preserve">On successful validation, a signed JWT (HS256) is generated containing user ID, role, and expiry. Returned to frontend.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Axios Injects Header</w:t>
            </w:r>
          </w:p>
        </w:tc>
        <w:tc>
          <w:tcPr>
            <w:tcW w:type="dxa" w:w="6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Every subsequent request is intercepted by Axios and the Authorization: Bearer &lt;token&gt; header is injected automatically.</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JwtFilter Validates Token</w:t>
            </w:r>
          </w:p>
        </w:tc>
        <w:tc>
          <w:tcPr>
            <w:tcW w:type="dxa" w:w="64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1"/>
                <w:szCs w:val="21"/>
              </w:rPr>
              <w:t xml:space="preserve">Spring Security's JwtFilter parses the token, validates signature and checks expiry. Rejects expired/tampered tokens with 401.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Controller Authenticated</w:t>
            </w:r>
          </w:p>
        </w:tc>
        <w:tc>
          <w:tcPr>
            <w:tcW w:type="dxa" w:w="6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1"/>
                <w:szCs w:val="21"/>
              </w:rPr>
              <w:t xml:space="preserve">Valid token → user context set in SecurityContextHolder. Request proceeds to Controller → Service → Repository.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2acd97cda8ce9ca72a1fbe8f496d81e8f62e89.png"/><Relationship Id="rId8" Type="http://schemas.openxmlformats.org/officeDocument/2006/relationships/image" Target="media/35411e553d819a975a64d9fff19bffef76ef756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2026-06-04T06:41:05.973Z</dcterms:created>
  <dcterms:modified xsi:type="dcterms:W3CDTF">2026-06-04T06:41:05.973Z</dcterms:modified>
</cp:coreProperties>
</file>

<file path=docProps/custom.xml><?xml version="1.0" encoding="utf-8"?>
<Properties xmlns="http://schemas.openxmlformats.org/officeDocument/2006/custom-properties" xmlns:vt="http://schemas.openxmlformats.org/officeDocument/2006/docPropsVTypes"/>
</file>