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upplementary-materials"/>
    <w:p>
      <w:pPr>
        <w:pStyle w:val="Heading1"/>
      </w:pPr>
      <w:r>
        <w:t xml:space="preserve">Supplementary Materials</w:t>
      </w:r>
    </w:p>
    <w:bookmarkStart w:id="9" w:name="Xb30851337e253c923155eb45eabead188eef2da"/>
    <w:p>
      <w:pPr>
        <w:pStyle w:val="Heading2"/>
      </w:pPr>
      <w:r>
        <w:t xml:space="preserve">Integrative Transcriptomic Analysis of Foreskin-derived vs Breast-derived Mast Cells: FANTOM5 and FANTOM6 Cross-Platform Integration</w:t>
      </w:r>
    </w:p>
    <w:p>
      <w:r>
        <w:pict>
          <v:rect style="width:0;height:1.5pt" o:hralign="center" o:hrstd="t" o:hr="t"/>
        </w:pict>
      </w:r>
    </w:p>
    <w:bookmarkEnd w:id="9"/>
    <w:bookmarkStart w:id="17" w:name="supplementary-tables"/>
    <w:p>
      <w:pPr>
        <w:pStyle w:val="Heading2"/>
      </w:pPr>
      <w:r>
        <w:t xml:space="preserve">Supplementary Tables</w:t>
      </w:r>
    </w:p>
    <w:bookmarkStart w:id="10" w:name="table-s1.-sample-metadata"/>
    <w:p>
      <w:pPr>
        <w:pStyle w:val="Heading3"/>
      </w:pPr>
      <w:r>
        <w:t xml:space="preserve">Table S1. Sample Metadata</w:t>
      </w:r>
    </w:p>
    <w:p>
      <w:pPr>
        <w:pStyle w:val="FirstParagraph"/>
      </w:pPr>
      <w:r>
        <w:t xml:space="preserve">Complete metadata for all 21 biological samples included in the integrative analysis. Technical replicates from FANTOM6 (2–3 per biological sample) were summed prior to analysis.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894"/>
        <w:gridCol w:w="1021"/>
        <w:gridCol w:w="894"/>
        <w:gridCol w:w="114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 ID</w:t>
            </w:r>
          </w:p>
        </w:tc>
        <w:tc>
          <w:tcPr/>
          <w:p>
            <w:pPr>
              <w:pStyle w:val="Compact"/>
            </w:pPr>
            <w:r>
              <w:t xml:space="preserve">Donor</w:t>
            </w:r>
          </w:p>
        </w:tc>
        <w:tc>
          <w:tcPr/>
          <w:p>
            <w:pPr>
              <w:pStyle w:val="Compact"/>
            </w:pPr>
            <w:r>
              <w:t xml:space="preserve">Tissue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Original Tech Reps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BR1_aso_NC</w:t>
            </w:r>
          </w:p>
        </w:tc>
        <w:tc>
          <w:tcPr/>
          <w:p>
            <w:pPr>
              <w:pStyle w:val="Compact"/>
            </w:pPr>
            <w:r>
              <w:t xml:space="preserve">BR1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BR2_aso_NC</w:t>
            </w:r>
          </w:p>
        </w:tc>
        <w:tc>
          <w:tcPr/>
          <w:p>
            <w:pPr>
              <w:pStyle w:val="Compact"/>
            </w:pPr>
            <w:r>
              <w:t xml:space="preserve">BR2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BR5_aso_NC</w:t>
            </w:r>
          </w:p>
        </w:tc>
        <w:tc>
          <w:tcPr/>
          <w:p>
            <w:pPr>
              <w:pStyle w:val="Compact"/>
            </w:pPr>
            <w:r>
              <w:t xml:space="preserve">BR5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BR5_AER_aso_NC</w:t>
            </w:r>
          </w:p>
        </w:tc>
        <w:tc>
          <w:tcPr/>
          <w:p>
            <w:pPr>
              <w:pStyle w:val="Compact"/>
            </w:pPr>
            <w:r>
              <w:t xml:space="preserve">BR5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BR6_aso_NC</w:t>
            </w:r>
          </w:p>
        </w:tc>
        <w:tc>
          <w:tcPr/>
          <w:p>
            <w:pPr>
              <w:pStyle w:val="Compact"/>
            </w:pPr>
            <w:r>
              <w:t xml:space="preserve">BR6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BR6_AER_aso_NC</w:t>
            </w:r>
          </w:p>
        </w:tc>
        <w:tc>
          <w:tcPr/>
          <w:p>
            <w:pPr>
              <w:pStyle w:val="Compact"/>
            </w:pPr>
            <w:r>
              <w:t xml:space="preserve">BR6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BR7_aso_NC</w:t>
            </w:r>
          </w:p>
        </w:tc>
        <w:tc>
          <w:tcPr/>
          <w:p>
            <w:pPr>
              <w:pStyle w:val="Compact"/>
            </w:pPr>
            <w:r>
              <w:t xml:space="preserve">BR7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BR7_AER_aso_NC</w:t>
            </w:r>
          </w:p>
        </w:tc>
        <w:tc>
          <w:tcPr/>
          <w:p>
            <w:pPr>
              <w:pStyle w:val="Compact"/>
            </w:pPr>
            <w:r>
              <w:t xml:space="preserve">BR7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BR8_aso_NC</w:t>
            </w:r>
          </w:p>
        </w:tc>
        <w:tc>
          <w:tcPr/>
          <w:p>
            <w:pPr>
              <w:pStyle w:val="Compact"/>
            </w:pPr>
            <w:r>
              <w:t xml:space="preserve">BR8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BR8_AER_aso_NC</w:t>
            </w:r>
          </w:p>
        </w:tc>
        <w:tc>
          <w:tcPr/>
          <w:p>
            <w:pPr>
              <w:pStyle w:val="Compact"/>
            </w:pPr>
            <w:r>
              <w:t xml:space="preserve">BR8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BR9_aso_NC</w:t>
            </w:r>
          </w:p>
        </w:tc>
        <w:tc>
          <w:tcPr/>
          <w:p>
            <w:pPr>
              <w:pStyle w:val="Compact"/>
            </w:pPr>
            <w:r>
              <w:t xml:space="preserve">BR9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BR9_AER_aso_NC</w:t>
            </w:r>
          </w:p>
        </w:tc>
        <w:tc>
          <w:tcPr/>
          <w:p>
            <w:pPr>
              <w:pStyle w:val="Compact"/>
            </w:pPr>
            <w:r>
              <w:t xml:space="preserve">BR9</w:t>
            </w:r>
          </w:p>
        </w:tc>
        <w:tc>
          <w:tcPr/>
          <w:p>
            <w:pPr>
              <w:pStyle w:val="Compact"/>
            </w:pPr>
            <w:r>
              <w:t xml:space="preserve">Foreskin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donor 1 (native)</w:t>
            </w:r>
          </w:p>
        </w:tc>
        <w:tc>
          <w:tcPr/>
          <w:p>
            <w:pPr>
              <w:pStyle w:val="Compact"/>
            </w:pPr>
            <w:r>
              <w:t xml:space="preserve">F5_D1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 – stimulated, donor 1</w:t>
            </w:r>
          </w:p>
        </w:tc>
        <w:tc>
          <w:tcPr/>
          <w:p>
            <w:pPr>
              <w:pStyle w:val="Compact"/>
            </w:pPr>
            <w:r>
              <w:t xml:space="preserve">F5_D1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donor 2</w:t>
            </w:r>
          </w:p>
        </w:tc>
        <w:tc>
          <w:tcPr/>
          <w:p>
            <w:pPr>
              <w:pStyle w:val="Compact"/>
            </w:pPr>
            <w:r>
              <w:t xml:space="preserve">F5_D2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donor 3</w:t>
            </w:r>
          </w:p>
        </w:tc>
        <w:tc>
          <w:tcPr/>
          <w:p>
            <w:pPr>
              <w:pStyle w:val="Compact"/>
            </w:pPr>
            <w:r>
              <w:t xml:space="preserve">F5_D3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donor 4</w:t>
            </w:r>
          </w:p>
        </w:tc>
        <w:tc>
          <w:tcPr/>
          <w:p>
            <w:pPr>
              <w:pStyle w:val="Compact"/>
            </w:pPr>
            <w:r>
              <w:t xml:space="preserve">F5_D4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expanded, donor 5</w:t>
            </w:r>
          </w:p>
        </w:tc>
        <w:tc>
          <w:tcPr/>
          <w:p>
            <w:pPr>
              <w:pStyle w:val="Compact"/>
            </w:pPr>
            <w:r>
              <w:t xml:space="preserve">F5_D5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expanded and stimulated, donor 5</w:t>
            </w:r>
          </w:p>
        </w:tc>
        <w:tc>
          <w:tcPr/>
          <w:p>
            <w:pPr>
              <w:pStyle w:val="Compact"/>
            </w:pPr>
            <w:r>
              <w:t xml:space="preserve">F5_D5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expanded, donor 8</w:t>
            </w:r>
          </w:p>
        </w:tc>
        <w:tc>
          <w:tcPr/>
          <w:p>
            <w:pPr>
              <w:pStyle w:val="Compact"/>
            </w:pPr>
            <w:r>
              <w:t xml:space="preserve">F5_D8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 cell, expanded and stimulated, donor 8</w:t>
            </w:r>
          </w:p>
        </w:tc>
        <w:tc>
          <w:tcPr/>
          <w:p>
            <w:pPr>
              <w:pStyle w:val="Compact"/>
            </w:pPr>
            <w:r>
              <w:t xml:space="preserve">F5_D8</w:t>
            </w:r>
          </w:p>
        </w:tc>
        <w:tc>
          <w:tcPr/>
          <w:p>
            <w:pPr>
              <w:pStyle w:val="Compact"/>
            </w:pPr>
            <w:r>
              <w:t xml:space="preserve">Breast</w:t>
            </w:r>
          </w:p>
        </w:tc>
        <w:tc>
          <w:tcPr/>
          <w:p>
            <w:pPr>
              <w:pStyle w:val="Compact"/>
            </w:pPr>
            <w:r>
              <w:t xml:space="preserve">Stimulated</w:t>
            </w:r>
          </w:p>
        </w:tc>
        <w:tc>
          <w:tcPr/>
          <w:p>
            <w:pPr>
              <w:pStyle w:val="Compact"/>
            </w:pPr>
            <w:r>
              <w:t xml:space="preserve">FANTOM5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FANTOM6 biological replicate naming: BR = biological replicate; AER = anti-IgE receptor (IgE-mediated stimulation); aso_NC = antisense oligonucleotide negative control.</w:t>
      </w:r>
      <w:r>
        <w:t xml:space="preserve"> </w:t>
      </w:r>
      <w:r>
        <w:t xml:space="preserve">- FANTOM5 expanded samples:</w:t>
      </w:r>
      <w:r>
        <w:t xml:space="preserve"> </w:t>
      </w:r>
      <w:r>
        <w:t xml:space="preserve">“expanded”</w:t>
      </w:r>
      <w:r>
        <w:t xml:space="preserve"> </w:t>
      </w:r>
      <w:r>
        <w:t xml:space="preserve">cultures were mapped to</w:t>
      </w:r>
      <w:r>
        <w:t xml:space="preserve"> </w:t>
      </w:r>
      <w:r>
        <w:t xml:space="preserve">“Native”</w:t>
      </w:r>
      <w:r>
        <w:t xml:space="preserve"> </w:t>
      </w:r>
      <w:r>
        <w:t xml:space="preserve">state (baseline),</w:t>
      </w:r>
      <w:r>
        <w:t xml:space="preserve"> </w:t>
      </w:r>
      <w:r>
        <w:t xml:space="preserve">“expanded and stimulated”</w:t>
      </w:r>
      <w:r>
        <w:t xml:space="preserve"> </w:t>
      </w:r>
      <w:r>
        <w:t xml:space="preserve">to</w:t>
      </w:r>
      <w:r>
        <w:t xml:space="preserve"> </w:t>
      </w:r>
      <w:r>
        <w:t xml:space="preserve">“Stimulated”</w:t>
      </w:r>
      <w:r>
        <w:t xml:space="preserve"> </w:t>
      </w:r>
      <w:r>
        <w:t xml:space="preserve">state.</w:t>
      </w:r>
      <w:r>
        <w:t xml:space="preserve"> </w:t>
      </w:r>
      <w:r>
        <w:t xml:space="preserve">- Tissue assignment was verified against the official sampleinfo file: BR6, BR7, BR9 = Foreskin (male donors); BR5, BR8 = Breast (female donors).</w:t>
      </w:r>
    </w:p>
    <w:p>
      <w:r>
        <w:pict>
          <v:rect style="width:0;height:1.5pt" o:hralign="center" o:hrstd="t" o:hr="t"/>
        </w:pict>
      </w:r>
    </w:p>
    <w:bookmarkEnd w:id="10"/>
    <w:bookmarkStart w:id="11" w:name="X63057afc0b69c6128e49a3091de20b2b35d93e0"/>
    <w:p>
      <w:pPr>
        <w:pStyle w:val="Heading3"/>
      </w:pPr>
      <w:r>
        <w:t xml:space="preserve">Table S2. Differentially Expressed Genes — Tissue Contrast (FsMC vs BsMC)</w:t>
      </w:r>
    </w:p>
    <w:p>
      <w:pPr>
        <w:pStyle w:val="FirstParagraph"/>
      </w:pPr>
      <w:r>
        <w:t xml:space="preserve">All 11 significant genes (Benjamini–Hochberg adjusted P &lt; 0.05) from the tissue contrast using limma-voom with model</w:t>
      </w:r>
      <w:r>
        <w:t xml:space="preserve"> </w:t>
      </w:r>
      <w:r>
        <w:rPr>
          <w:rStyle w:val="VerbatimChar"/>
        </w:rPr>
        <w:t xml:space="preserve">~ Tissue + State + Dataset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duplicateCorrelation(block=Donor)</w:t>
      </w:r>
      <w:r>
        <w:t xml:space="preserve">.</w:t>
      </w:r>
    </w:p>
    <w:p>
      <w:pPr>
        <w:pStyle w:val="BodyText"/>
      </w:pPr>
      <w:r>
        <w:t xml:space="preserve">1 | RPS4Y1 | +9.61 | 1.61 | — | — | 2.43e-09 | Y-chromosome |</w:t>
      </w:r>
      <w:r>
        <w:br/>
      </w:r>
      <w:r>
        <w:t xml:space="preserve">2 | EIF1AY | +8.22 | 0.85 | — | — | 7.88e-08 | Y-chromosome |</w:t>
      </w:r>
      <w:r>
        <w:br/>
      </w:r>
      <w:r>
        <w:t xml:space="preserve">3 | TXLNGY | +7.42 | 0.57 | — | — | 1.22e-07 | Y-chromosome |</w:t>
      </w:r>
      <w:r>
        <w:br/>
      </w:r>
      <w:r>
        <w:t xml:space="preserve">4 | DDX3Y | +7.72 | 0.91 | — | — | 9.27e-07 | Y-chromosome |</w:t>
      </w:r>
      <w:r>
        <w:br/>
      </w:r>
      <w:r>
        <w:t xml:space="preserve">5 | KDM5D | +7.11 | 0.46 | — | — | 3.33e-06 | Y-chromosome |</w:t>
      </w:r>
      <w:r>
        <w:br/>
      </w:r>
      <w:r>
        <w:t xml:space="preserve">6 | UTY | +5.94 | −0.03 | — | — | 5.26e-06 | Y-chromosome |</w:t>
      </w:r>
      <w:r>
        <w:br/>
      </w:r>
      <w:r>
        <w:t xml:space="preserve">7 | TTTY14 | +5.28 | −0.17 | — | — | 6.47e-06 | Y-chromosome |</w:t>
      </w:r>
      <w:r>
        <w:br/>
      </w:r>
      <w:r>
        <w:t xml:space="preserve">8 | ZFY | +5.24 | −0.05 | — | — | 7.80e-05 | Y-chromosome |</w:t>
      </w:r>
      <w:r>
        <w:br/>
      </w:r>
      <w:r>
        <w:t xml:space="preserve">9 | PPIAP29 | +5.02 | −0.13 | — | — | 7.80e-05 | Y-chromosome |</w:t>
      </w:r>
      <w:r>
        <w:br/>
      </w:r>
      <w:r>
        <w:t xml:space="preserve">10 | TPSD1 | +3.86 | 11.57 | — | — | 4.39e-03 | Tissue-specific |</w:t>
      </w:r>
      <w:r>
        <w:br/>
      </w:r>
      <w:r>
        <w:t xml:space="preserve">11 | XIST | −4.41 | 3.30 | — | — | 1.16e-02 | X-inactivation |</w:t>
      </w:r>
    </w:p>
    <w:p>
      <w:pPr>
        <w:pStyle w:val="BodyText"/>
      </w:pPr>
      <w:r>
        <w:t xml:space="preserve">The complete table with all 10,047 tested genes is available as</w:t>
      </w:r>
      <w:r>
        <w:t xml:space="preserve"> </w:t>
      </w:r>
      <w:r>
        <w:rPr>
          <w:rStyle w:val="VerbatimChar"/>
        </w:rPr>
        <w:t xml:space="preserve">DE_FsMC_vs_BsMC.tsv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1332ecc4c2a6d4bf934f4bbb4062d5733920883"/>
    <w:p>
      <w:pPr>
        <w:pStyle w:val="Heading3"/>
      </w:pPr>
      <w:r>
        <w:t xml:space="preserve">Table S3. Mast Cell Core Signature Genes — No Tissue Difference</w:t>
      </w:r>
    </w:p>
    <w:p>
      <w:pPr>
        <w:pStyle w:val="FirstParagraph"/>
      </w:pPr>
      <w:r>
        <w:t xml:space="preserve">Expression of canonical mast cell markers showing no significant tissue-dependent differences, confirming a conserved mast cell identity across tissue origins.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815"/>
        <w:gridCol w:w="1650"/>
        <w:gridCol w:w="132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log₂FC</w:t>
            </w:r>
          </w:p>
        </w:tc>
        <w:tc>
          <w:tcPr/>
          <w:p>
            <w:pPr>
              <w:pStyle w:val="Compact"/>
            </w:pPr>
            <w:r>
              <w:t xml:space="preserve">adj. 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</w:t>
            </w:r>
          </w:p>
        </w:tc>
        <w:tc>
          <w:tcPr/>
          <w:p>
            <w:pPr>
              <w:pStyle w:val="Compact"/>
            </w:pPr>
            <w:r>
              <w:t xml:space="preserve">KIT Proto-Oncogene</w:t>
            </w:r>
          </w:p>
        </w:tc>
        <w:tc>
          <w:tcPr/>
          <w:p>
            <w:pPr>
              <w:pStyle w:val="Compact"/>
            </w:pPr>
            <w:r>
              <w:t xml:space="preserve">SCF receptor, MC development</w:t>
            </w:r>
          </w:p>
        </w:tc>
        <w:tc>
          <w:tcPr/>
          <w:p>
            <w:pPr>
              <w:pStyle w:val="Compact"/>
            </w:pPr>
            <w:r>
              <w:t xml:space="preserve">−0.04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CPA3</w:t>
            </w:r>
          </w:p>
        </w:tc>
        <w:tc>
          <w:tcPr/>
          <w:p>
            <w:pPr>
              <w:pStyle w:val="Compact"/>
            </w:pPr>
            <w:r>
              <w:t xml:space="preserve">Carboxypeptidase A3</w:t>
            </w:r>
          </w:p>
        </w:tc>
        <w:tc>
          <w:tcPr/>
          <w:p>
            <w:pPr>
              <w:pStyle w:val="Compact"/>
            </w:pPr>
            <w:r>
              <w:t xml:space="preserve">Secretory granule protease</w:t>
            </w:r>
          </w:p>
        </w:tc>
        <w:tc>
          <w:tcPr/>
          <w:p>
            <w:pPr>
              <w:pStyle w:val="Compact"/>
            </w:pPr>
            <w:r>
              <w:t xml:space="preserve">−0.13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TPSAB1</w:t>
            </w:r>
          </w:p>
        </w:tc>
        <w:tc>
          <w:tcPr/>
          <w:p>
            <w:pPr>
              <w:pStyle w:val="Compact"/>
            </w:pPr>
            <w:r>
              <w:t xml:space="preserve">Tryptase Alpha/Beta 1</w:t>
            </w:r>
          </w:p>
        </w:tc>
        <w:tc>
          <w:tcPr/>
          <w:p>
            <w:pPr>
              <w:pStyle w:val="Compact"/>
            </w:pPr>
            <w:r>
              <w:t xml:space="preserve">Major MC tryptase</w:t>
            </w:r>
          </w:p>
        </w:tc>
        <w:tc>
          <w:tcPr/>
          <w:p>
            <w:pPr>
              <w:pStyle w:val="Compact"/>
            </w:pPr>
            <w:r>
              <w:t xml:space="preserve">−0.61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TPSB2</w:t>
            </w:r>
          </w:p>
        </w:tc>
        <w:tc>
          <w:tcPr/>
          <w:p>
            <w:pPr>
              <w:pStyle w:val="Compact"/>
            </w:pPr>
            <w:r>
              <w:t xml:space="preserve">Tryptase Beta 2</w:t>
            </w:r>
          </w:p>
        </w:tc>
        <w:tc>
          <w:tcPr/>
          <w:p>
            <w:pPr>
              <w:pStyle w:val="Compact"/>
            </w:pPr>
            <w:r>
              <w:t xml:space="preserve">Major MC tryptase</w:t>
            </w:r>
          </w:p>
        </w:tc>
        <w:tc>
          <w:tcPr/>
          <w:p>
            <w:pPr>
              <w:pStyle w:val="Compact"/>
            </w:pPr>
            <w:r>
              <w:t xml:space="preserve">+0.25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TPSG1</w:t>
            </w:r>
          </w:p>
        </w:tc>
        <w:tc>
          <w:tcPr/>
          <w:p>
            <w:pPr>
              <w:pStyle w:val="Compact"/>
            </w:pPr>
            <w:r>
              <w:t xml:space="preserve">Tryptase Gamma 1</w:t>
            </w:r>
          </w:p>
        </w:tc>
        <w:tc>
          <w:tcPr/>
          <w:p>
            <w:pPr>
              <w:pStyle w:val="Compact"/>
            </w:pPr>
            <w:r>
              <w:t xml:space="preserve">Membrane-bound tryptase</w:t>
            </w:r>
          </w:p>
        </w:tc>
        <w:tc>
          <w:tcPr/>
          <w:p>
            <w:pPr>
              <w:pStyle w:val="Compact"/>
            </w:pPr>
            <w:r>
              <w:t xml:space="preserve">−0.63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FCER1A</w:t>
            </w:r>
          </w:p>
        </w:tc>
        <w:tc>
          <w:tcPr/>
          <w:p>
            <w:pPr>
              <w:pStyle w:val="Compact"/>
            </w:pPr>
            <w:r>
              <w:t xml:space="preserve">Fc Epsilon Receptor Ia</w:t>
            </w:r>
          </w:p>
        </w:tc>
        <w:tc>
          <w:tcPr/>
          <w:p>
            <w:pPr>
              <w:pStyle w:val="Compact"/>
            </w:pPr>
            <w:r>
              <w:t xml:space="preserve">High-affinity IgE receptor α</w:t>
            </w:r>
          </w:p>
        </w:tc>
        <w:tc>
          <w:tcPr/>
          <w:p>
            <w:pPr>
              <w:pStyle w:val="Compact"/>
            </w:pPr>
            <w:r>
              <w:t xml:space="preserve">−0.48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FCER1G</w:t>
            </w:r>
          </w:p>
        </w:tc>
        <w:tc>
          <w:tcPr/>
          <w:p>
            <w:pPr>
              <w:pStyle w:val="Compact"/>
            </w:pPr>
            <w:r>
              <w:t xml:space="preserve">Fc Epsilon Receptor Ig</w:t>
            </w:r>
          </w:p>
        </w:tc>
        <w:tc>
          <w:tcPr/>
          <w:p>
            <w:pPr>
              <w:pStyle w:val="Compact"/>
            </w:pPr>
            <w:r>
              <w:t xml:space="preserve">High-affinity IgE receptor γ</w:t>
            </w:r>
          </w:p>
        </w:tc>
        <w:tc>
          <w:tcPr/>
          <w:p>
            <w:pPr>
              <w:pStyle w:val="Compact"/>
            </w:pPr>
            <w:r>
              <w:t xml:space="preserve">−0.51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HDC</w:t>
            </w:r>
          </w:p>
        </w:tc>
        <w:tc>
          <w:tcPr/>
          <w:p>
            <w:pPr>
              <w:pStyle w:val="Compact"/>
            </w:pPr>
            <w:r>
              <w:t xml:space="preserve">Histidine Decarboxylase</w:t>
            </w:r>
          </w:p>
        </w:tc>
        <w:tc>
          <w:tcPr/>
          <w:p>
            <w:pPr>
              <w:pStyle w:val="Compact"/>
            </w:pPr>
            <w:r>
              <w:t xml:space="preserve">Histamine synthesis</w:t>
            </w:r>
          </w:p>
        </w:tc>
        <w:tc>
          <w:tcPr/>
          <w:p>
            <w:pPr>
              <w:pStyle w:val="Compact"/>
            </w:pPr>
            <w:r>
              <w:t xml:space="preserve">+0.24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CMA1</w:t>
            </w:r>
          </w:p>
        </w:tc>
        <w:tc>
          <w:tcPr/>
          <w:p>
            <w:pPr>
              <w:pStyle w:val="Compact"/>
            </w:pPr>
            <w:r>
              <w:t xml:space="preserve">Chymase 1</w:t>
            </w:r>
          </w:p>
        </w:tc>
        <w:tc>
          <w:tcPr/>
          <w:p>
            <w:pPr>
              <w:pStyle w:val="Compact"/>
            </w:pPr>
            <w:r>
              <w:t xml:space="preserve">Serine protease (MC_TC)</w:t>
            </w:r>
          </w:p>
        </w:tc>
        <w:tc>
          <w:tcPr/>
          <w:p>
            <w:pPr>
              <w:pStyle w:val="Compact"/>
            </w:pPr>
            <w:r>
              <w:t xml:space="preserve">+1.39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CCL1</w:t>
            </w:r>
          </w:p>
        </w:tc>
        <w:tc>
          <w:tcPr/>
          <w:p>
            <w:pPr>
              <w:pStyle w:val="Compact"/>
            </w:pPr>
            <w:r>
              <w:t xml:space="preserve">C-C Motif Chemokine Ligand 1</w:t>
            </w:r>
          </w:p>
        </w:tc>
        <w:tc>
          <w:tcPr/>
          <w:p>
            <w:pPr>
              <w:pStyle w:val="Compact"/>
            </w:pPr>
            <w:r>
              <w:t xml:space="preserve">T cell chemoattractant</w:t>
            </w:r>
          </w:p>
        </w:tc>
        <w:tc>
          <w:tcPr/>
          <w:p>
            <w:pPr>
              <w:pStyle w:val="Compact"/>
            </w:pPr>
            <w:r>
              <w:t xml:space="preserve">+0.20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Xa4af48e2ea4ebffa7913c8251ac3f2b90b57b82"/>
    <w:p>
      <w:pPr>
        <w:pStyle w:val="Heading3"/>
      </w:pPr>
      <w:r>
        <w:t xml:space="preserve">Table S4. Top Differentially Expressed Genes — Activation Contrast (Stimulated vs Native)</w:t>
      </w:r>
    </w:p>
    <w:p>
      <w:pPr>
        <w:pStyle w:val="FirstParagraph"/>
      </w:pPr>
      <w:r>
        <w:t xml:space="preserve">Top 20 upregulated and top 20 downregulated genes upon IgE-mediated stimulation. Total: 3,456 DE genes (adj.P &lt; 0.05).</w:t>
      </w:r>
    </w:p>
    <w:bookmarkStart w:id="13" w:name="upregulated-upon-stimulation"/>
    <w:p>
      <w:pPr>
        <w:pStyle w:val="Heading4"/>
      </w:pPr>
      <w:r>
        <w:t xml:space="preserve">Upregulated upon stimulation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log₂FC</w:t>
            </w:r>
          </w:p>
        </w:tc>
        <w:tc>
          <w:tcPr/>
          <w:p>
            <w:pPr>
              <w:pStyle w:val="Compact"/>
            </w:pPr>
            <w:r>
              <w:t xml:space="preserve">adj. P-value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CCL1</w:t>
            </w:r>
          </w:p>
        </w:tc>
        <w:tc>
          <w:tcPr/>
          <w:p>
            <w:pPr>
              <w:pStyle w:val="Compact"/>
            </w:pPr>
            <w:r>
              <w:t xml:space="preserve">+10.78</w:t>
            </w:r>
          </w:p>
        </w:tc>
        <w:tc>
          <w:tcPr/>
          <w:p>
            <w:pPr>
              <w:pStyle w:val="Compact"/>
            </w:pPr>
            <w:r>
              <w:t xml:space="preserve">3.69e-09</w:t>
            </w:r>
          </w:p>
        </w:tc>
        <w:tc>
          <w:tcPr/>
          <w:p>
            <w:pPr>
              <w:pStyle w:val="Compact"/>
            </w:pPr>
            <w:r>
              <w:t xml:space="preserve">Chemokine, T cell recruitment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AQP2</w:t>
            </w:r>
          </w:p>
        </w:tc>
        <w:tc>
          <w:tcPr/>
          <w:p>
            <w:pPr>
              <w:pStyle w:val="Compact"/>
            </w:pPr>
            <w:r>
              <w:t xml:space="preserve">+8.26</w:t>
            </w:r>
          </w:p>
        </w:tc>
        <w:tc>
          <w:tcPr/>
          <w:p>
            <w:pPr>
              <w:pStyle w:val="Compact"/>
            </w:pPr>
            <w:r>
              <w:t xml:space="preserve">3.69e-09</w:t>
            </w:r>
          </w:p>
        </w:tc>
        <w:tc>
          <w:tcPr/>
          <w:p>
            <w:pPr>
              <w:pStyle w:val="Compact"/>
            </w:pPr>
            <w:r>
              <w:t xml:space="preserve">Aquaporin, water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XIRP1</w:t>
            </w:r>
          </w:p>
        </w:tc>
        <w:tc>
          <w:tcPr/>
          <w:p>
            <w:pPr>
              <w:pStyle w:val="Compact"/>
            </w:pPr>
            <w:r>
              <w:t xml:space="preserve">+10.06</w:t>
            </w:r>
          </w:p>
        </w:tc>
        <w:tc>
          <w:tcPr/>
          <w:p>
            <w:pPr>
              <w:pStyle w:val="Compact"/>
            </w:pPr>
            <w:r>
              <w:t xml:space="preserve">1.22e-07</w:t>
            </w:r>
          </w:p>
        </w:tc>
        <w:tc>
          <w:tcPr/>
          <w:p>
            <w:pPr>
              <w:pStyle w:val="Compact"/>
            </w:pPr>
            <w:r>
              <w:t xml:space="preserve">Actin-binding, cytoskeletal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GBP2</w:t>
            </w:r>
          </w:p>
        </w:tc>
        <w:tc>
          <w:tcPr/>
          <w:p>
            <w:pPr>
              <w:pStyle w:val="Compact"/>
            </w:pPr>
            <w:r>
              <w:t xml:space="preserve">+4.61</w:t>
            </w:r>
          </w:p>
        </w:tc>
        <w:tc>
          <w:tcPr/>
          <w:p>
            <w:pPr>
              <w:pStyle w:val="Compact"/>
            </w:pPr>
            <w:r>
              <w:t xml:space="preserve">2.51e-07</w:t>
            </w:r>
          </w:p>
        </w:tc>
        <w:tc>
          <w:tcPr/>
          <w:p>
            <w:pPr>
              <w:pStyle w:val="Compact"/>
            </w:pPr>
            <w:r>
              <w:t xml:space="preserve">Guanylate-binding protein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NRP2</w:t>
            </w:r>
          </w:p>
        </w:tc>
        <w:tc>
          <w:tcPr/>
          <w:p>
            <w:pPr>
              <w:pStyle w:val="Compact"/>
            </w:pPr>
            <w:r>
              <w:t xml:space="preserve">+2.31</w:t>
            </w:r>
          </w:p>
        </w:tc>
        <w:tc>
          <w:tcPr/>
          <w:p>
            <w:pPr>
              <w:pStyle w:val="Compact"/>
            </w:pPr>
            <w:r>
              <w:t xml:space="preserve">4.15e-07</w:t>
            </w:r>
          </w:p>
        </w:tc>
        <w:tc>
          <w:tcPr/>
          <w:p>
            <w:pPr>
              <w:pStyle w:val="Compact"/>
            </w:pPr>
            <w:r>
              <w:t xml:space="preserve">Neuropilin-2, VEGF co-receptor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GZMB</w:t>
            </w:r>
          </w:p>
        </w:tc>
        <w:tc>
          <w:tcPr/>
          <w:p>
            <w:pPr>
              <w:pStyle w:val="Compact"/>
            </w:pPr>
            <w:r>
              <w:t xml:space="preserve">+8.27</w:t>
            </w:r>
          </w:p>
        </w:tc>
        <w:tc>
          <w:tcPr/>
          <w:p>
            <w:pPr>
              <w:pStyle w:val="Compact"/>
            </w:pPr>
            <w:r>
              <w:t xml:space="preserve">4.15e-07</w:t>
            </w:r>
          </w:p>
        </w:tc>
        <w:tc>
          <w:tcPr/>
          <w:p>
            <w:pPr>
              <w:pStyle w:val="Compact"/>
            </w:pPr>
            <w:r>
              <w:t xml:space="preserve">Granzyme B, cytotoxic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RASA1</w:t>
            </w:r>
          </w:p>
        </w:tc>
        <w:tc>
          <w:tcPr/>
          <w:p>
            <w:pPr>
              <w:pStyle w:val="Compact"/>
            </w:pPr>
            <w:r>
              <w:t xml:space="preserve">+1.50</w:t>
            </w:r>
          </w:p>
        </w:tc>
        <w:tc>
          <w:tcPr/>
          <w:p>
            <w:pPr>
              <w:pStyle w:val="Compact"/>
            </w:pPr>
            <w:r>
              <w:t xml:space="preserve">1.42e-06</w:t>
            </w:r>
          </w:p>
        </w:tc>
        <w:tc>
          <w:tcPr/>
          <w:p>
            <w:pPr>
              <w:pStyle w:val="Compact"/>
            </w:pPr>
            <w:r>
              <w:t xml:space="preserve">Ras GTPase-activating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FDX1P1</w:t>
            </w:r>
          </w:p>
        </w:tc>
        <w:tc>
          <w:tcPr/>
          <w:p>
            <w:pPr>
              <w:pStyle w:val="Compact"/>
            </w:pPr>
            <w:r>
              <w:t xml:space="preserve">+2.35</w:t>
            </w:r>
          </w:p>
        </w:tc>
        <w:tc>
          <w:tcPr/>
          <w:p>
            <w:pPr>
              <w:pStyle w:val="Compact"/>
            </w:pPr>
            <w:r>
              <w:t xml:space="preserve">1.42e-06</w:t>
            </w:r>
          </w:p>
        </w:tc>
        <w:tc>
          <w:tcPr/>
          <w:p>
            <w:pPr>
              <w:pStyle w:val="Compact"/>
            </w:pPr>
            <w:r>
              <w:t xml:space="preserve">Ferredoxin pseudogene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ARMC9</w:t>
            </w:r>
          </w:p>
        </w:tc>
        <w:tc>
          <w:tcPr/>
          <w:p>
            <w:pPr>
              <w:pStyle w:val="Compact"/>
            </w:pPr>
            <w:r>
              <w:t xml:space="preserve">+3.38</w:t>
            </w:r>
          </w:p>
        </w:tc>
        <w:tc>
          <w:tcPr/>
          <w:p>
            <w:pPr>
              <w:pStyle w:val="Compact"/>
            </w:pPr>
            <w:r>
              <w:t xml:space="preserve">2.80e-06</w:t>
            </w:r>
          </w:p>
        </w:tc>
        <w:tc>
          <w:tcPr/>
          <w:p>
            <w:pPr>
              <w:pStyle w:val="Compact"/>
            </w:pPr>
            <w:r>
              <w:t xml:space="preserve">Armadillo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ACSL1</w:t>
            </w:r>
          </w:p>
        </w:tc>
        <w:tc>
          <w:tcPr/>
          <w:p>
            <w:pPr>
              <w:pStyle w:val="Compact"/>
            </w:pPr>
            <w:r>
              <w:t xml:space="preserve">+2.80</w:t>
            </w:r>
          </w:p>
        </w:tc>
        <w:tc>
          <w:tcPr/>
          <w:p>
            <w:pPr>
              <w:pStyle w:val="Compact"/>
            </w:pPr>
            <w:r>
              <w:t xml:space="preserve">3.74e-06</w:t>
            </w:r>
          </w:p>
        </w:tc>
        <w:tc>
          <w:tcPr/>
          <w:p>
            <w:pPr>
              <w:pStyle w:val="Compact"/>
            </w:pPr>
            <w:r>
              <w:t xml:space="preserve">Fatty acid CoA ligase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IL3</w:t>
            </w:r>
          </w:p>
        </w:tc>
        <w:tc>
          <w:tcPr/>
          <w:p>
            <w:pPr>
              <w:pStyle w:val="Compact"/>
            </w:pPr>
            <w:r>
              <w:t xml:space="preserve">+8.59</w:t>
            </w:r>
          </w:p>
        </w:tc>
        <w:tc>
          <w:tcPr/>
          <w:p>
            <w:pPr>
              <w:pStyle w:val="Compact"/>
            </w:pPr>
            <w:r>
              <w:t xml:space="preserve">5.92e-06</w:t>
            </w:r>
          </w:p>
        </w:tc>
        <w:tc>
          <w:tcPr/>
          <w:p>
            <w:pPr>
              <w:pStyle w:val="Compact"/>
            </w:pPr>
            <w:r>
              <w:t xml:space="preserve">Interleukin-3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CCL2</w:t>
            </w:r>
          </w:p>
        </w:tc>
        <w:tc>
          <w:tcPr/>
          <w:p>
            <w:pPr>
              <w:pStyle w:val="Compact"/>
            </w:pPr>
            <w:r>
              <w:t xml:space="preserve">+6.22</w:t>
            </w:r>
          </w:p>
        </w:tc>
        <w:tc>
          <w:tcPr/>
          <w:p>
            <w:pPr>
              <w:pStyle w:val="Compact"/>
            </w:pPr>
            <w:r>
              <w:t xml:space="preserve">6.03e-06</w:t>
            </w:r>
          </w:p>
        </w:tc>
        <w:tc>
          <w:tcPr/>
          <w:p>
            <w:pPr>
              <w:pStyle w:val="Compact"/>
            </w:pPr>
            <w:r>
              <w:t xml:space="preserve">MCP-1, monocyte recruitment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FASLG</w:t>
            </w:r>
          </w:p>
        </w:tc>
        <w:tc>
          <w:tcPr/>
          <w:p>
            <w:pPr>
              <w:pStyle w:val="Compact"/>
            </w:pPr>
            <w:r>
              <w:t xml:space="preserve">+5.80</w:t>
            </w:r>
          </w:p>
        </w:tc>
        <w:tc>
          <w:tcPr/>
          <w:p>
            <w:pPr>
              <w:pStyle w:val="Compact"/>
            </w:pPr>
            <w:r>
              <w:t xml:space="preserve">6.03e-06</w:t>
            </w:r>
          </w:p>
        </w:tc>
        <w:tc>
          <w:tcPr/>
          <w:p>
            <w:pPr>
              <w:pStyle w:val="Compact"/>
            </w:pPr>
            <w:r>
              <w:t xml:space="preserve">Fas ligand, apoptosis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SMOX</w:t>
            </w:r>
          </w:p>
        </w:tc>
        <w:tc>
          <w:tcPr/>
          <w:p>
            <w:pPr>
              <w:pStyle w:val="Compact"/>
            </w:pPr>
            <w:r>
              <w:t xml:space="preserve">+4.20</w:t>
            </w:r>
          </w:p>
        </w:tc>
        <w:tc>
          <w:tcPr/>
          <w:p>
            <w:pPr>
              <w:pStyle w:val="Compact"/>
            </w:pPr>
            <w:r>
              <w:t xml:space="preserve">8.23e-06</w:t>
            </w:r>
          </w:p>
        </w:tc>
        <w:tc>
          <w:tcPr/>
          <w:p>
            <w:pPr>
              <w:pStyle w:val="Compact"/>
            </w:pPr>
            <w:r>
              <w:t xml:space="preserve">Spermine oxidase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ANGPTL4</w:t>
            </w:r>
          </w:p>
        </w:tc>
        <w:tc>
          <w:tcPr/>
          <w:p>
            <w:pPr>
              <w:pStyle w:val="Compact"/>
            </w:pPr>
            <w:r>
              <w:t xml:space="preserve">+4.88</w:t>
            </w:r>
          </w:p>
        </w:tc>
        <w:tc>
          <w:tcPr/>
          <w:p>
            <w:pPr>
              <w:pStyle w:val="Compact"/>
            </w:pPr>
            <w:r>
              <w:t xml:space="preserve">8.23e-06</w:t>
            </w:r>
          </w:p>
        </w:tc>
        <w:tc>
          <w:tcPr/>
          <w:p>
            <w:pPr>
              <w:pStyle w:val="Compact"/>
            </w:pPr>
            <w:r>
              <w:t xml:space="preserve">Angiopoietin-like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CXCL8</w:t>
            </w:r>
          </w:p>
        </w:tc>
        <w:tc>
          <w:tcPr/>
          <w:p>
            <w:pPr>
              <w:pStyle w:val="Compact"/>
            </w:pPr>
            <w:r>
              <w:t xml:space="preserve">+5.50</w:t>
            </w:r>
          </w:p>
        </w:tc>
        <w:tc>
          <w:tcPr/>
          <w:p>
            <w:pPr>
              <w:pStyle w:val="Compact"/>
            </w:pPr>
            <w:r>
              <w:t xml:space="preserve">5.29e-03</w:t>
            </w:r>
          </w:p>
        </w:tc>
        <w:tc>
          <w:tcPr/>
          <w:p>
            <w:pPr>
              <w:pStyle w:val="Compact"/>
            </w:pPr>
            <w:r>
              <w:t xml:space="preserve">IL-8, neutrophil recruitment</w:t>
            </w:r>
          </w:p>
        </w:tc>
      </w:tr>
    </w:tbl>
    <w:bookmarkEnd w:id="13"/>
    <w:bookmarkStart w:id="14" w:name="downregulated-upon-stimulation"/>
    <w:p>
      <w:pPr>
        <w:pStyle w:val="Heading4"/>
      </w:pPr>
      <w:r>
        <w:t xml:space="preserve">Downregulated upon stimulation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log₂FC</w:t>
            </w:r>
          </w:p>
        </w:tc>
        <w:tc>
          <w:tcPr/>
          <w:p>
            <w:pPr>
              <w:pStyle w:val="Compact"/>
            </w:pPr>
            <w:r>
              <w:t xml:space="preserve">adj. P-value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FLI1</w:t>
            </w:r>
          </w:p>
        </w:tc>
        <w:tc>
          <w:tcPr/>
          <w:p>
            <w:pPr>
              <w:pStyle w:val="Compact"/>
            </w:pPr>
            <w:r>
              <w:t xml:space="preserve">−1.59</w:t>
            </w:r>
          </w:p>
        </w:tc>
        <w:tc>
          <w:tcPr/>
          <w:p>
            <w:pPr>
              <w:pStyle w:val="Compact"/>
            </w:pPr>
            <w:r>
              <w:t xml:space="preserve">3.74e-06</w:t>
            </w:r>
          </w:p>
        </w:tc>
        <w:tc>
          <w:tcPr/>
          <w:p>
            <w:pPr>
              <w:pStyle w:val="Compact"/>
            </w:pPr>
            <w:r>
              <w:t xml:space="preserve">ETS transcription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STX3</w:t>
            </w:r>
          </w:p>
        </w:tc>
        <w:tc>
          <w:tcPr/>
          <w:p>
            <w:pPr>
              <w:pStyle w:val="Compact"/>
            </w:pPr>
            <w:r>
              <w:t xml:space="preserve">−1.51</w:t>
            </w:r>
          </w:p>
        </w:tc>
        <w:tc>
          <w:tcPr/>
          <w:p>
            <w:pPr>
              <w:pStyle w:val="Compact"/>
            </w:pPr>
            <w:r>
              <w:t xml:space="preserve">3.74e-06</w:t>
            </w:r>
          </w:p>
        </w:tc>
        <w:tc>
          <w:tcPr/>
          <w:p>
            <w:pPr>
              <w:pStyle w:val="Compact"/>
            </w:pPr>
            <w:r>
              <w:t xml:space="preserve">Syntaxin-3, vesicle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ARRB1</w:t>
            </w:r>
          </w:p>
        </w:tc>
        <w:tc>
          <w:tcPr/>
          <w:p>
            <w:pPr>
              <w:pStyle w:val="Compact"/>
            </w:pPr>
            <w:r>
              <w:t xml:space="preserve">−1.34</w:t>
            </w:r>
          </w:p>
        </w:tc>
        <w:tc>
          <w:tcPr/>
          <w:p>
            <w:pPr>
              <w:pStyle w:val="Compact"/>
            </w:pPr>
            <w:r>
              <w:t xml:space="preserve">2.11e-05</w:t>
            </w:r>
          </w:p>
        </w:tc>
        <w:tc>
          <w:tcPr/>
          <w:p>
            <w:pPr>
              <w:pStyle w:val="Compact"/>
            </w:pPr>
            <w:r>
              <w:t xml:space="preserve">β-Arrestin 1, GPCR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RASSF1</w:t>
            </w:r>
          </w:p>
        </w:tc>
        <w:tc>
          <w:tcPr/>
          <w:p>
            <w:pPr>
              <w:pStyle w:val="Compact"/>
            </w:pPr>
            <w:r>
              <w:t xml:space="preserve">−1.81</w:t>
            </w:r>
          </w:p>
        </w:tc>
        <w:tc>
          <w:tcPr/>
          <w:p>
            <w:pPr>
              <w:pStyle w:val="Compact"/>
            </w:pPr>
            <w:r>
              <w:t xml:space="preserve">2.51e-05</w:t>
            </w:r>
          </w:p>
        </w:tc>
        <w:tc>
          <w:tcPr/>
          <w:p>
            <w:pPr>
              <w:pStyle w:val="Compact"/>
            </w:pPr>
            <w:r>
              <w:t xml:space="preserve">Tumor suppressor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RAP1GAP2</w:t>
            </w:r>
          </w:p>
        </w:tc>
        <w:tc>
          <w:tcPr/>
          <w:p>
            <w:pPr>
              <w:pStyle w:val="Compact"/>
            </w:pPr>
            <w:r>
              <w:t xml:space="preserve">−1.32</w:t>
            </w:r>
          </w:p>
        </w:tc>
        <w:tc>
          <w:tcPr/>
          <w:p>
            <w:pPr>
              <w:pStyle w:val="Compact"/>
            </w:pPr>
            <w:r>
              <w:t xml:space="preserve">4.29e-05</w:t>
            </w:r>
          </w:p>
        </w:tc>
        <w:tc>
          <w:tcPr/>
          <w:p>
            <w:pPr>
              <w:pStyle w:val="Compact"/>
            </w:pPr>
            <w:r>
              <w:t xml:space="preserve">GTPase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LAIR1</w:t>
            </w:r>
          </w:p>
        </w:tc>
        <w:tc>
          <w:tcPr/>
          <w:p>
            <w:pPr>
              <w:pStyle w:val="Compact"/>
            </w:pPr>
            <w:r>
              <w:t xml:space="preserve">−1.60</w:t>
            </w:r>
          </w:p>
        </w:tc>
        <w:tc>
          <w:tcPr/>
          <w:p>
            <w:pPr>
              <w:pStyle w:val="Compact"/>
            </w:pPr>
            <w:r>
              <w:t xml:space="preserve">6.38e-05</w:t>
            </w:r>
          </w:p>
        </w:tc>
        <w:tc>
          <w:tcPr/>
          <w:p>
            <w:pPr>
              <w:pStyle w:val="Compact"/>
            </w:pPr>
            <w:r>
              <w:t xml:space="preserve">Inhibitory immune receptor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SELPLG</w:t>
            </w:r>
          </w:p>
        </w:tc>
        <w:tc>
          <w:tcPr/>
          <w:p>
            <w:pPr>
              <w:pStyle w:val="Compact"/>
            </w:pPr>
            <w:r>
              <w:t xml:space="preserve">−2.02</w:t>
            </w:r>
          </w:p>
        </w:tc>
        <w:tc>
          <w:tcPr/>
          <w:p>
            <w:pPr>
              <w:pStyle w:val="Compact"/>
            </w:pPr>
            <w:r>
              <w:t xml:space="preserve">1.01e-04</w:t>
            </w:r>
          </w:p>
        </w:tc>
        <w:tc>
          <w:tcPr/>
          <w:p>
            <w:pPr>
              <w:pStyle w:val="Compact"/>
            </w:pPr>
            <w:r>
              <w:t xml:space="preserve">P-selectin ligand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INPP5D</w:t>
            </w:r>
          </w:p>
        </w:tc>
        <w:tc>
          <w:tcPr/>
          <w:p>
            <w:pPr>
              <w:pStyle w:val="Compact"/>
            </w:pPr>
            <w:r>
              <w:t xml:space="preserve">−1.08</w:t>
            </w:r>
          </w:p>
        </w:tc>
        <w:tc>
          <w:tcPr/>
          <w:p>
            <w:pPr>
              <w:pStyle w:val="Compact"/>
            </w:pPr>
            <w:r>
              <w:t xml:space="preserve">1.56e-04</w:t>
            </w:r>
          </w:p>
        </w:tc>
        <w:tc>
          <w:tcPr/>
          <w:p>
            <w:pPr>
              <w:pStyle w:val="Compact"/>
            </w:pPr>
            <w:r>
              <w:t xml:space="preserve">SHIP-1, PI3K inhibitor</w:t>
            </w:r>
          </w:p>
        </w:tc>
      </w:tr>
    </w:tbl>
    <w:p>
      <w:pPr>
        <w:pStyle w:val="BodyText"/>
      </w:pPr>
      <w:r>
        <w:t xml:space="preserve">The complete table with all 10,047 tested genes is available as</w:t>
      </w:r>
      <w:r>
        <w:t xml:space="preserve"> </w:t>
      </w:r>
      <w:r>
        <w:rPr>
          <w:rStyle w:val="VerbatimChar"/>
        </w:rPr>
        <w:t xml:space="preserve">DE_Stimulated_vs_Native.tsv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c0cee82edec5d4c67e0654bd9c955c3a6e6e1b"/>
    <w:p>
      <w:pPr>
        <w:pStyle w:val="Heading3"/>
      </w:pPr>
      <w:r>
        <w:t xml:space="preserve">Table S5. Tissue × State Interaction Analysis</w:t>
      </w:r>
    </w:p>
    <w:p>
      <w:pPr>
        <w:pStyle w:val="FirstParagraph"/>
      </w:pPr>
      <w:r>
        <w:t xml:space="preserve">No significant interaction genes were detected (0 genes with adj.P &lt; 0.05), indicating that the mast cell activation response is tissue-independent.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Interaction log₂FC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adj. P-value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GZMB</w:t>
            </w:r>
          </w:p>
        </w:tc>
        <w:tc>
          <w:tcPr/>
          <w:p>
            <w:pPr>
              <w:pStyle w:val="Compact"/>
            </w:pPr>
            <w:r>
              <w:t xml:space="preserve">−4.94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TNFRSF4</w:t>
            </w:r>
          </w:p>
        </w:tc>
        <w:tc>
          <w:tcPr/>
          <w:p>
            <w:pPr>
              <w:pStyle w:val="Compact"/>
            </w:pPr>
            <w:r>
              <w:t xml:space="preserve">+3.53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CCL1</w:t>
            </w:r>
          </w:p>
        </w:tc>
        <w:tc>
          <w:tcPr/>
          <w:p>
            <w:pPr>
              <w:pStyle w:val="Compact"/>
            </w:pPr>
            <w:r>
              <w:t xml:space="preserve">−3.58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FASLG</w:t>
            </w:r>
          </w:p>
        </w:tc>
        <w:tc>
          <w:tcPr/>
          <w:p>
            <w:pPr>
              <w:pStyle w:val="Compact"/>
            </w:pPr>
            <w:r>
              <w:t xml:space="preserve">−3.46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TPSD1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CXCL8</w:t>
            </w:r>
          </w:p>
        </w:tc>
        <w:tc>
          <w:tcPr/>
          <w:p>
            <w:pPr>
              <w:pStyle w:val="Compact"/>
            </w:pPr>
            <w:r>
              <w:t xml:space="preserve">−1.27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</w:tbl>
    <w:p>
      <w:pPr>
        <w:pStyle w:val="BodyText"/>
      </w:pPr>
      <w:r>
        <w:t xml:space="preserve">The complete interaction results are available as</w:t>
      </w:r>
      <w:r>
        <w:t xml:space="preserve"> </w:t>
      </w:r>
      <w:r>
        <w:rPr>
          <w:rStyle w:val="VerbatimChar"/>
        </w:rPr>
        <w:t xml:space="preserve">DE_Interaction_Tissue_x_State.tsv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upplementary-figures"/>
    <w:p>
      <w:pPr>
        <w:pStyle w:val="Heading2"/>
      </w:pPr>
      <w:r>
        <w:t xml:space="preserve">Supplementary Figures</w:t>
      </w:r>
    </w:p>
    <w:bookmarkStart w:id="18" w:name="figure-s1.-batch-corrected-pca"/>
    <w:p>
      <w:pPr>
        <w:pStyle w:val="Heading3"/>
      </w:pPr>
      <w:r>
        <w:t xml:space="preserve">Figure S1. Batch-Corrected PCA</w:t>
      </w:r>
    </w:p>
    <w:p>
      <w:pPr>
        <w:pStyle w:val="FirstParagraph"/>
      </w:pPr>
      <w:r>
        <w:t xml:space="preserve">Principal component analysis of all 21 biological samples after batch correction for the Dataset effect (FANTOM5 vs FANTOM6) using</w:t>
      </w:r>
      <w:r>
        <w:t xml:space="preserve"> </w:t>
      </w:r>
      <w:r>
        <w:rPr>
          <w:rStyle w:val="VerbatimChar"/>
        </w:rPr>
        <w:t xml:space="preserve">removeBatchEffect()</w:t>
      </w:r>
      <w:r>
        <w:t xml:space="preserve">. Colors indicate tissue origin (red = Breast, blue = Foreskin); shapes indicate activation state (circle = Native, triangle = Stimulated).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PCA_batch_corrected.png</w:t>
      </w:r>
    </w:p>
    <w:p>
      <w:r>
        <w:pict>
          <v:rect style="width:0;height:1.5pt" o:hralign="center" o:hrstd="t" o:hr="t"/>
        </w:pict>
      </w:r>
    </w:p>
    <w:bookmarkEnd w:id="18"/>
    <w:bookmarkStart w:id="19" w:name="figure-s2.-volcano-plot-tissue-contrast"/>
    <w:p>
      <w:pPr>
        <w:pStyle w:val="Heading3"/>
      </w:pPr>
      <w:r>
        <w:t xml:space="preserve">Figure S2. Volcano Plot — Tissue Contrast</w:t>
      </w:r>
    </w:p>
    <w:p>
      <w:pPr>
        <w:pStyle w:val="FirstParagraph"/>
      </w:pPr>
      <w:r>
        <w:t xml:space="preserve">Volcano plot showing log₂ fold change (x-axis) vs −log₁₀ adjusted P-value (y-axis) for the tissue contrast (Foreskin vs Breast). Dashed lines indicate significance thresholds (adj.P &lt; 0.05 and |log₂FC| &gt; 1). Red points denote significant genes.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Volcano_FsMC_vs_BsMC.png</w:t>
      </w:r>
    </w:p>
    <w:p>
      <w:r>
        <w:pict>
          <v:rect style="width:0;height:1.5pt" o:hralign="center" o:hrstd="t" o:hr="t"/>
        </w:pict>
      </w:r>
    </w:p>
    <w:bookmarkEnd w:id="19"/>
    <w:bookmarkStart w:id="20" w:name="figure-s3.-key-gene-expression-boxplots"/>
    <w:p>
      <w:pPr>
        <w:pStyle w:val="Heading3"/>
      </w:pPr>
      <w:r>
        <w:t xml:space="preserve">Figure S3. Key Gene Expression Boxplots</w:t>
      </w:r>
    </w:p>
    <w:p>
      <w:pPr>
        <w:pStyle w:val="FirstParagraph"/>
      </w:pPr>
      <w:r>
        <w:t xml:space="preserve">Boxplots of 12 key mast cell genes showing batch-corrected logCPM expression across tissue origins and activation states. Points are colored by state (blue = Native, red = Stimulated) and shaped by dataset (circle = FANTOM6, triangle = FANTOM5).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Boxplots_KeyGenes_Panel.png</w:t>
      </w:r>
    </w:p>
    <w:p>
      <w:r>
        <w:pict>
          <v:rect style="width:0;height:1.5pt" o:hralign="center" o:hrstd="t" o:hr="t"/>
        </w:pict>
      </w:r>
    </w:p>
    <w:bookmarkEnd w:id="20"/>
    <w:bookmarkStart w:id="21" w:name="X22da38f270bf8bfc0ab72144a29f0ed858b0f90"/>
    <w:p>
      <w:pPr>
        <w:pStyle w:val="Heading3"/>
      </w:pPr>
      <w:r>
        <w:t xml:space="preserve">Figure S4. Heatmap — Top 40 Activation DE Genes</w:t>
      </w:r>
    </w:p>
    <w:p>
      <w:pPr>
        <w:pStyle w:val="FirstParagraph"/>
      </w:pPr>
      <w:r>
        <w:t xml:space="preserve">Hierarchical clustering heatmap (Ward’s method) of the top 40 differentially expressed genes upon IgE-mediated stimulation. Z-scored, batch-corrected logCPM values. Column annotations indicate Tissue, State, and Dataset.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Heatmap_Top40_Activation_DE.png</w:t>
      </w:r>
    </w:p>
    <w:p>
      <w:r>
        <w:pict>
          <v:rect style="width:0;height:1.5pt" o:hralign="center" o:hrstd="t" o:hr="t"/>
        </w:pict>
      </w:r>
    </w:p>
    <w:bookmarkEnd w:id="21"/>
    <w:bookmarkStart w:id="22" w:name="figure-s5.-variance-partition-analysis"/>
    <w:p>
      <w:pPr>
        <w:pStyle w:val="Heading3"/>
      </w:pPr>
      <w:r>
        <w:t xml:space="preserve">Figure S5. Variance Partition Analysis</w:t>
      </w:r>
    </w:p>
    <w:p>
      <w:pPr>
        <w:pStyle w:val="FirstParagraph"/>
      </w:pPr>
      <w:r>
        <w:t xml:space="preserve">Violin plot showing the proportion of variance explained by each factor (Dataset, Donor, State, Tissue, Residuals) across all 10,047 expressed genes. Analysis performed using</w:t>
      </w:r>
      <w:r>
        <w:t xml:space="preserve"> </w:t>
      </w:r>
      <w:r>
        <w:rPr>
          <w:rStyle w:val="VerbatimChar"/>
        </w:rPr>
        <w:t xml:space="preserve">variancePartition::fitExtractVarPartModel</w:t>
      </w:r>
      <w:r>
        <w:t xml:space="preserve"> </w:t>
      </w:r>
      <w:r>
        <w:t xml:space="preserve">with formula</w:t>
      </w:r>
      <w:r>
        <w:t xml:space="preserve"> </w:t>
      </w:r>
      <w:r>
        <w:rPr>
          <w:rStyle w:val="VerbatimChar"/>
        </w:rPr>
        <w:t xml:space="preserve">~ (1|Tissue) + (1|State) + (1|Dataset) + (1|Donor)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VariancePartition_violin.png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upplementary-methods"/>
    <w:p>
      <w:pPr>
        <w:pStyle w:val="Heading2"/>
      </w:pPr>
      <w:r>
        <w:t xml:space="preserve">Supplementary Methods</w:t>
      </w:r>
    </w:p>
    <w:bookmarkStart w:id="24" w:name="data-processing-pipeline"/>
    <w:p>
      <w:pPr>
        <w:pStyle w:val="Heading3"/>
      </w:pPr>
      <w:r>
        <w:t xml:space="preserve">Data Processing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counts</w:t>
      </w:r>
      <w:r>
        <w:t xml:space="preserve">: CAGE-seq gene-level counts from FANTOM6 (CAT gene annotation) and FANTOM5 (remapped to hg38 using STAR aligner).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 ID mapping</w:t>
      </w:r>
      <w:r>
        <w:t xml:space="preserve">: FANTOM6 CAT gene IDs were mapped to HGNC symbols using the F6_CAT.gene.info annotation file. Multi-mapping genes were aggregated by summing 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replicate handling</w:t>
      </w:r>
      <w:r>
        <w:t xml:space="preserve">: FANTOM6 technical replicates (2–3 per biological sample) were summed to produce a single count vector per biological sample.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merging</w:t>
      </w:r>
      <w:r>
        <w:t xml:space="preserve">: Intersection of genes present in both datasets (10,047 genes retained).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Filtering</w:t>
      </w:r>
      <w:r>
        <w:t xml:space="preserve">: Genes with low counts were removed using</w:t>
      </w:r>
      <w:r>
        <w:t xml:space="preserve"> </w:t>
      </w:r>
      <w:r>
        <w:rPr>
          <w:rStyle w:val="VerbatimChar"/>
        </w:rPr>
        <w:t xml:space="preserve">edgeR::filterByExpr()</w:t>
      </w:r>
      <w:r>
        <w:t xml:space="preserve"> </w:t>
      </w:r>
      <w:r>
        <w:t xml:space="preserve">with tissue as the grouping factor.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Normalization</w:t>
      </w:r>
      <w:r>
        <w:t xml:space="preserve">: TMM normalization (</w:t>
      </w:r>
      <w:r>
        <w:rPr>
          <w:rStyle w:val="VerbatimChar"/>
        </w:rPr>
        <w:t xml:space="preserve">edgeR::calcNormFactors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limma::voom()</w:t>
      </w:r>
      <w:r>
        <w:t xml:space="preserve"> </w:t>
      </w:r>
      <w:r>
        <w:t xml:space="preserve">with the design matrix for precision-weighted logCPM.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Differential expression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limma::lmFit()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limma::eBayes()</w:t>
      </w:r>
      <w:r>
        <w:t xml:space="preserve">. To correctly handle the paired nature of 8 donors while incorporating the 5 unpaired donors,</w:t>
      </w:r>
      <w:r>
        <w:t xml:space="preserve"> </w:t>
      </w:r>
      <w:r>
        <w:rPr>
          <w:rStyle w:val="VerbatimChar"/>
        </w:rPr>
        <w:t xml:space="preserve">limma::duplicateCorrelation()</w:t>
      </w:r>
      <w:r>
        <w:t xml:space="preserve"> </w:t>
      </w:r>
      <w:r>
        <w:t xml:space="preserve">was used with</w:t>
      </w:r>
      <w:r>
        <w:t xml:space="preserve"> </w:t>
      </w:r>
      <w:r>
        <w:rPr>
          <w:rStyle w:val="VerbatimChar"/>
        </w:rPr>
        <w:t xml:space="preserve">block = Donor</w:t>
      </w:r>
      <w:r>
        <w:t xml:space="preserve"> </w:t>
      </w:r>
      <w:r>
        <w:t xml:space="preserve">to estimate intra-donor consensus correlation (r = 0.433) and penalize between-donor variance.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testing correction</w:t>
      </w:r>
      <w:r>
        <w:t xml:space="preserve">: Benjamini–Hochberg FDR.</w:t>
      </w:r>
    </w:p>
    <w:bookmarkEnd w:id="24"/>
    <w:bookmarkStart w:id="25" w:name="statistical-model-justification"/>
    <w:p>
      <w:pPr>
        <w:pStyle w:val="Heading3"/>
      </w:pPr>
      <w:r>
        <w:t xml:space="preserve">Statistical Model Justification</w:t>
      </w:r>
    </w:p>
    <w:p>
      <w:pPr>
        <w:pStyle w:val="FirstParagraph"/>
      </w:pPr>
      <w:r>
        <w:t xml:space="preserve">A mixed-design linear model (</w:t>
      </w:r>
      <w:r>
        <w:rPr>
          <w:rStyle w:val="VerbatimChar"/>
        </w:rPr>
        <w:t xml:space="preserve">~ Tissue + State + Dataset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duplicateCorrelation</w:t>
      </w:r>
      <w:r>
        <w:t xml:space="preserve"> </w:t>
      </w:r>
      <w:r>
        <w:t xml:space="preserve">on the Donor block) was chosen over a naive fixed-effects model or a fully random mixed-effects model. A strict</w:t>
      </w:r>
      <w:r>
        <w:t xml:space="preserve"> </w:t>
      </w:r>
      <w:r>
        <w:rPr>
          <w:rStyle w:val="VerbatimChar"/>
        </w:rPr>
        <w:t xml:space="preserve">variancePartition::dream</w:t>
      </w:r>
      <w:r>
        <w:t xml:space="preserve"> </w:t>
      </w:r>
      <w:r>
        <w:t xml:space="preserve">mixed-effects model with</w:t>
      </w:r>
      <w:r>
        <w:t xml:space="preserve"> </w:t>
      </w:r>
      <w:r>
        <w:rPr>
          <w:rStyle w:val="VerbatimChar"/>
        </w:rPr>
        <w:t xml:space="preserve">(1|Donor)</w:t>
      </w:r>
      <w:r>
        <w:t xml:space="preserve"> </w:t>
      </w:r>
      <w:r>
        <w:t xml:space="preserve">was rejected because the random effect could not reduce variance for the cross-tissue comparison (since donors are perfectly nested within tissue) and artificially constrained degrees of freedom. However, ignoring the paired structure entirely underpowered the within-subject activation effect. Using</w:t>
      </w:r>
      <w:r>
        <w:t xml:space="preserve"> </w:t>
      </w:r>
      <w:r>
        <w:rPr>
          <w:rStyle w:val="VerbatimChar"/>
        </w:rPr>
        <w:t xml:space="preserve">duplicateCorrelation</w:t>
      </w:r>
      <w:r>
        <w:t xml:space="preserve"> </w:t>
      </w:r>
      <w:r>
        <w:t xml:space="preserve">elegantly solved this by recovering the massive statistical power of a paired design for the State effect (&gt;1,000 additional activation genes) while safely estimating the Tissue effect across all samples.</w:t>
      </w:r>
    </w:p>
    <w:bookmarkEnd w:id="25"/>
    <w:bookmarkStart w:id="26" w:name="software-versions"/>
    <w:p>
      <w:pPr>
        <w:pStyle w:val="Heading3"/>
      </w:pPr>
      <w:r>
        <w:t xml:space="preserve">Software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limma</w:t>
            </w:r>
          </w:p>
        </w:tc>
        <w:tc>
          <w:tcPr/>
          <w:p>
            <w:pPr>
              <w:pStyle w:val="Compact"/>
            </w:pPr>
            <w:r>
              <w:t xml:space="preserve">≥3.60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edgeR</w:t>
            </w:r>
          </w:p>
        </w:tc>
        <w:tc>
          <w:tcPr/>
          <w:p>
            <w:pPr>
              <w:pStyle w:val="Compact"/>
            </w:pPr>
            <w:r>
              <w:t xml:space="preserve">≥4.2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variancePartition</w:t>
            </w:r>
          </w:p>
        </w:tc>
        <w:tc>
          <w:tcPr/>
          <w:p>
            <w:pPr>
              <w:pStyle w:val="Compact"/>
            </w:pPr>
            <w:r>
              <w:t xml:space="preserve">≥1.34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ggplot2</w:t>
            </w:r>
          </w:p>
        </w:tc>
        <w:tc>
          <w:tcPr/>
          <w:p>
            <w:pPr>
              <w:pStyle w:val="Compact"/>
            </w:pPr>
            <w:r>
              <w:t xml:space="preserve">≥3.5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pheatmap</w:t>
            </w:r>
          </w:p>
        </w:tc>
        <w:tc>
          <w:tcPr/>
          <w:p>
            <w:pPr>
              <w:pStyle w:val="Compact"/>
            </w:pPr>
            <w:r>
              <w:t xml:space="preserve">≥1.0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data.table</w:t>
            </w:r>
          </w:p>
        </w:tc>
        <w:tc>
          <w:tcPr/>
          <w:p>
            <w:pPr>
              <w:pStyle w:val="Compact"/>
            </w:pPr>
            <w:r>
              <w:t xml:space="preserve">≥1.15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analysis code is available on GitHub:</w:t>
      </w:r>
      <w:r>
        <w:t xml:space="preserve"> </w:t>
      </w:r>
      <w:hyperlink r:id="rId28">
        <w:r>
          <w:rPr>
            <w:rStyle w:val="Hyperlink"/>
          </w:rPr>
          <w:t xml:space="preserve">Fantom-Integration-F5-F6</w:t>
        </w:r>
      </w:hyperlink>
    </w:p>
    <w:bookmarkStart w:id="29" w:name="repository-contents"/>
    <w:p>
      <w:pPr>
        <w:pStyle w:val="Heading3"/>
      </w:pPr>
      <w:r>
        <w:t xml:space="preserve">Repository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run_limma_integration.R</w:t>
            </w:r>
          </w:p>
        </w:tc>
        <w:tc>
          <w:tcPr/>
          <w:p>
            <w:pPr>
              <w:pStyle w:val="Compact"/>
            </w:pPr>
            <w:r>
              <w:t xml:space="preserve">Main differential expression analysis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run_extended_analysis.R</w:t>
            </w:r>
          </w:p>
        </w:tc>
        <w:tc>
          <w:tcPr/>
          <w:p>
            <w:pPr>
              <w:pStyle w:val="Compact"/>
            </w:pPr>
            <w:r>
              <w:t xml:space="preserve">Extended analyses: boxplots, heatmaps, interaction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run_dream_analysis.R</w:t>
            </w:r>
          </w:p>
        </w:tc>
        <w:tc>
          <w:tcPr/>
          <w:p>
            <w:pPr>
              <w:pStyle w:val="Compact"/>
            </w:pPr>
            <w:r>
              <w:t xml:space="preserve">Exploratory mixed-effects analysis (not used for final results)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Repository documentation</w:t>
            </w:r>
          </w:p>
        </w:tc>
      </w:tr>
    </w:tbl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git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2026-08-12T00:47:40Z</dcterms:created>
  <dcterms:modified xsi:type="dcterms:W3CDTF">2026-08-12T00:47:40Z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