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upplementary-materials"/>
    <w:p>
      <w:pPr>
        <w:pStyle w:val="Heading1"/>
      </w:pPr>
      <w:r>
        <w:t xml:space="preserve">Supplementary Materials</w:t>
      </w:r>
    </w:p>
    <w:bookmarkStart w:id="9" w:name="Xb30851337e253c923155eb45eabead188eef2da"/>
    <w:p>
      <w:pPr>
        <w:pStyle w:val="Heading2"/>
      </w:pPr>
      <w:r>
        <w:t xml:space="preserve">Integrative Transcriptomic Analysis of Foreskin-derived vs Breast-derived Mast Cells: FANTOM5 and FANTOM6 Cross-Platform Integration</w:t>
      </w:r>
    </w:p>
    <w:p>
      <w:r>
        <w:pict>
          <v:rect style="width:0;height:1.5pt" o:hralign="center" o:hrstd="t" o:hr="t"/>
        </w:pict>
      </w:r>
    </w:p>
    <w:bookmarkEnd w:id="9"/>
    <w:bookmarkStart w:id="17" w:name="supplementary-tables"/>
    <w:p>
      <w:pPr>
        <w:pStyle w:val="Heading2"/>
      </w:pPr>
      <w:r>
        <w:t xml:space="preserve">Supplementary Tables</w:t>
      </w:r>
    </w:p>
    <w:bookmarkStart w:id="10" w:name="table-s1.-sample-metadata"/>
    <w:p>
      <w:pPr>
        <w:pStyle w:val="Heading3"/>
      </w:pPr>
      <w:r>
        <w:t xml:space="preserve">Table S1. Sample Metadata</w:t>
      </w:r>
    </w:p>
    <w:p>
      <w:pPr>
        <w:pStyle w:val="FirstParagraph"/>
      </w:pPr>
      <w:r>
        <w:t xml:space="preserve">Complete metadata for all 21 biological samples included in the integrative analysis. Technical replicates from FANTOM6 (2–3 per biological sample) were summed prior to analysis.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5"/>
        <w:gridCol w:w="894"/>
        <w:gridCol w:w="1021"/>
        <w:gridCol w:w="894"/>
        <w:gridCol w:w="1149"/>
        <w:gridCol w:w="2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Sample ID</w:t>
            </w:r>
          </w:p>
        </w:tc>
        <w:tc>
          <w:tcPr/>
          <w:p>
            <w:pPr>
              <w:pStyle w:val="Compact"/>
            </w:pPr>
            <w:r>
              <w:t xml:space="preserve">Donor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Original Tech Reps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BR1_aso_NC</w:t>
            </w:r>
          </w:p>
        </w:tc>
        <w:tc>
          <w:tcPr/>
          <w:p>
            <w:pPr>
              <w:pStyle w:val="Compact"/>
            </w:pPr>
            <w:r>
              <w:t xml:space="preserve">BR1</w:t>
            </w:r>
          </w:p>
        </w:tc>
        <w:tc>
          <w:tcPr/>
          <w:p>
            <w:pPr>
              <w:pStyle w:val="Compact"/>
            </w:pPr>
            <w:r>
              <w:t xml:space="preserve">Foreskin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FANTOM6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BR2_aso_NC</w:t>
            </w:r>
          </w:p>
        </w:tc>
        <w:tc>
          <w:tcPr/>
          <w:p>
            <w:pPr>
              <w:pStyle w:val="Compact"/>
            </w:pPr>
            <w:r>
              <w:t xml:space="preserve">BR2</w:t>
            </w:r>
          </w:p>
        </w:tc>
        <w:tc>
          <w:tcPr/>
          <w:p>
            <w:pPr>
              <w:pStyle w:val="Compact"/>
            </w:pPr>
            <w:r>
              <w:t xml:space="preserve">Foreskin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FANTOM6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BR5_aso_NC</w:t>
            </w:r>
          </w:p>
        </w:tc>
        <w:tc>
          <w:tcPr/>
          <w:p>
            <w:pPr>
              <w:pStyle w:val="Compact"/>
            </w:pPr>
            <w:r>
              <w:t xml:space="preserve">BR5</w:t>
            </w:r>
          </w:p>
        </w:tc>
        <w:tc>
          <w:tcPr/>
          <w:p>
            <w:pPr>
              <w:pStyle w:val="Compact"/>
            </w:pPr>
            <w:r>
              <w:t xml:space="preserve">Breast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FANTOM6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BR5_AER_aso_NC</w:t>
            </w:r>
          </w:p>
        </w:tc>
        <w:tc>
          <w:tcPr/>
          <w:p>
            <w:pPr>
              <w:pStyle w:val="Compact"/>
            </w:pPr>
            <w:r>
              <w:t xml:space="preserve">BR5</w:t>
            </w:r>
          </w:p>
        </w:tc>
        <w:tc>
          <w:tcPr/>
          <w:p>
            <w:pPr>
              <w:pStyle w:val="Compact"/>
            </w:pPr>
            <w:r>
              <w:t xml:space="preserve">Breast</w:t>
            </w:r>
          </w:p>
        </w:tc>
        <w:tc>
          <w:tcPr/>
          <w:p>
            <w:pPr>
              <w:pStyle w:val="Compact"/>
            </w:pPr>
            <w:r>
              <w:t xml:space="preserve">Stimulated</w:t>
            </w:r>
          </w:p>
        </w:tc>
        <w:tc>
          <w:tcPr/>
          <w:p>
            <w:pPr>
              <w:pStyle w:val="Compact"/>
            </w:pPr>
            <w:r>
              <w:t xml:space="preserve">FANTOM6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BR6_aso_NC</w:t>
            </w:r>
          </w:p>
        </w:tc>
        <w:tc>
          <w:tcPr/>
          <w:p>
            <w:pPr>
              <w:pStyle w:val="Compact"/>
            </w:pPr>
            <w:r>
              <w:t xml:space="preserve">BR6</w:t>
            </w:r>
          </w:p>
        </w:tc>
        <w:tc>
          <w:tcPr/>
          <w:p>
            <w:pPr>
              <w:pStyle w:val="Compact"/>
            </w:pPr>
            <w:r>
              <w:t xml:space="preserve">Foreskin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FANTOM6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BR6_AER_aso_NC</w:t>
            </w:r>
          </w:p>
        </w:tc>
        <w:tc>
          <w:tcPr/>
          <w:p>
            <w:pPr>
              <w:pStyle w:val="Compact"/>
            </w:pPr>
            <w:r>
              <w:t xml:space="preserve">BR6</w:t>
            </w:r>
          </w:p>
        </w:tc>
        <w:tc>
          <w:tcPr/>
          <w:p>
            <w:pPr>
              <w:pStyle w:val="Compact"/>
            </w:pPr>
            <w:r>
              <w:t xml:space="preserve">Foreskin</w:t>
            </w:r>
          </w:p>
        </w:tc>
        <w:tc>
          <w:tcPr/>
          <w:p>
            <w:pPr>
              <w:pStyle w:val="Compact"/>
            </w:pPr>
            <w:r>
              <w:t xml:space="preserve">Stimulated</w:t>
            </w:r>
          </w:p>
        </w:tc>
        <w:tc>
          <w:tcPr/>
          <w:p>
            <w:pPr>
              <w:pStyle w:val="Compact"/>
            </w:pPr>
            <w:r>
              <w:t xml:space="preserve">FANTOM6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BR7_aso_NC</w:t>
            </w:r>
          </w:p>
        </w:tc>
        <w:tc>
          <w:tcPr/>
          <w:p>
            <w:pPr>
              <w:pStyle w:val="Compact"/>
            </w:pPr>
            <w:r>
              <w:t xml:space="preserve">BR7</w:t>
            </w:r>
          </w:p>
        </w:tc>
        <w:tc>
          <w:tcPr/>
          <w:p>
            <w:pPr>
              <w:pStyle w:val="Compact"/>
            </w:pPr>
            <w:r>
              <w:t xml:space="preserve">Foreskin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FANTOM6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BR7_AER_aso_NC</w:t>
            </w:r>
          </w:p>
        </w:tc>
        <w:tc>
          <w:tcPr/>
          <w:p>
            <w:pPr>
              <w:pStyle w:val="Compact"/>
            </w:pPr>
            <w:r>
              <w:t xml:space="preserve">BR7</w:t>
            </w:r>
          </w:p>
        </w:tc>
        <w:tc>
          <w:tcPr/>
          <w:p>
            <w:pPr>
              <w:pStyle w:val="Compact"/>
            </w:pPr>
            <w:r>
              <w:t xml:space="preserve">Foreskin</w:t>
            </w:r>
          </w:p>
        </w:tc>
        <w:tc>
          <w:tcPr/>
          <w:p>
            <w:pPr>
              <w:pStyle w:val="Compact"/>
            </w:pPr>
            <w:r>
              <w:t xml:space="preserve">Stimulated</w:t>
            </w:r>
          </w:p>
        </w:tc>
        <w:tc>
          <w:tcPr/>
          <w:p>
            <w:pPr>
              <w:pStyle w:val="Compact"/>
            </w:pPr>
            <w:r>
              <w:t xml:space="preserve">FANTOM6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BR8_aso_NC</w:t>
            </w:r>
          </w:p>
        </w:tc>
        <w:tc>
          <w:tcPr/>
          <w:p>
            <w:pPr>
              <w:pStyle w:val="Compact"/>
            </w:pPr>
            <w:r>
              <w:t xml:space="preserve">BR8</w:t>
            </w:r>
          </w:p>
        </w:tc>
        <w:tc>
          <w:tcPr/>
          <w:p>
            <w:pPr>
              <w:pStyle w:val="Compact"/>
            </w:pPr>
            <w:r>
              <w:t xml:space="preserve">Breast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FANTOM6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BR8_AER_aso_NC</w:t>
            </w:r>
          </w:p>
        </w:tc>
        <w:tc>
          <w:tcPr/>
          <w:p>
            <w:pPr>
              <w:pStyle w:val="Compact"/>
            </w:pPr>
            <w:r>
              <w:t xml:space="preserve">BR8</w:t>
            </w:r>
          </w:p>
        </w:tc>
        <w:tc>
          <w:tcPr/>
          <w:p>
            <w:pPr>
              <w:pStyle w:val="Compact"/>
            </w:pPr>
            <w:r>
              <w:t xml:space="preserve">Breast</w:t>
            </w:r>
          </w:p>
        </w:tc>
        <w:tc>
          <w:tcPr/>
          <w:p>
            <w:pPr>
              <w:pStyle w:val="Compact"/>
            </w:pPr>
            <w:r>
              <w:t xml:space="preserve">Stimulated</w:t>
            </w:r>
          </w:p>
        </w:tc>
        <w:tc>
          <w:tcPr/>
          <w:p>
            <w:pPr>
              <w:pStyle w:val="Compact"/>
            </w:pPr>
            <w:r>
              <w:t xml:space="preserve">FANTOM6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BR9_aso_NC</w:t>
            </w:r>
          </w:p>
        </w:tc>
        <w:tc>
          <w:tcPr/>
          <w:p>
            <w:pPr>
              <w:pStyle w:val="Compact"/>
            </w:pPr>
            <w:r>
              <w:t xml:space="preserve">BR9</w:t>
            </w:r>
          </w:p>
        </w:tc>
        <w:tc>
          <w:tcPr/>
          <w:p>
            <w:pPr>
              <w:pStyle w:val="Compact"/>
            </w:pPr>
            <w:r>
              <w:t xml:space="preserve">Foreskin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FANTOM6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BR9_AER_aso_NC</w:t>
            </w:r>
          </w:p>
        </w:tc>
        <w:tc>
          <w:tcPr/>
          <w:p>
            <w:pPr>
              <w:pStyle w:val="Compact"/>
            </w:pPr>
            <w:r>
              <w:t xml:space="preserve">BR9</w:t>
            </w:r>
          </w:p>
        </w:tc>
        <w:tc>
          <w:tcPr/>
          <w:p>
            <w:pPr>
              <w:pStyle w:val="Compact"/>
            </w:pPr>
            <w:r>
              <w:t xml:space="preserve">Foreskin</w:t>
            </w:r>
          </w:p>
        </w:tc>
        <w:tc>
          <w:tcPr/>
          <w:p>
            <w:pPr>
              <w:pStyle w:val="Compact"/>
            </w:pPr>
            <w:r>
              <w:t xml:space="preserve">Stimulated</w:t>
            </w:r>
          </w:p>
        </w:tc>
        <w:tc>
          <w:tcPr/>
          <w:p>
            <w:pPr>
              <w:pStyle w:val="Compact"/>
            </w:pPr>
            <w:r>
              <w:t xml:space="preserve">FANTOM6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 cell, donor 1 (native)</w:t>
            </w:r>
          </w:p>
        </w:tc>
        <w:tc>
          <w:tcPr/>
          <w:p>
            <w:pPr>
              <w:pStyle w:val="Compact"/>
            </w:pPr>
            <w:r>
              <w:t xml:space="preserve">F5_D1</w:t>
            </w:r>
          </w:p>
        </w:tc>
        <w:tc>
          <w:tcPr/>
          <w:p>
            <w:pPr>
              <w:pStyle w:val="Compact"/>
            </w:pPr>
            <w:r>
              <w:t xml:space="preserve">Breast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FANTOM5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 cell – stimulated, donor 1</w:t>
            </w:r>
          </w:p>
        </w:tc>
        <w:tc>
          <w:tcPr/>
          <w:p>
            <w:pPr>
              <w:pStyle w:val="Compact"/>
            </w:pPr>
            <w:r>
              <w:t xml:space="preserve">F5_D1</w:t>
            </w:r>
          </w:p>
        </w:tc>
        <w:tc>
          <w:tcPr/>
          <w:p>
            <w:pPr>
              <w:pStyle w:val="Compact"/>
            </w:pPr>
            <w:r>
              <w:t xml:space="preserve">Breast</w:t>
            </w:r>
          </w:p>
        </w:tc>
        <w:tc>
          <w:tcPr/>
          <w:p>
            <w:pPr>
              <w:pStyle w:val="Compact"/>
            </w:pPr>
            <w:r>
              <w:t xml:space="preserve">Stimulated</w:t>
            </w:r>
          </w:p>
        </w:tc>
        <w:tc>
          <w:tcPr/>
          <w:p>
            <w:pPr>
              <w:pStyle w:val="Compact"/>
            </w:pPr>
            <w:r>
              <w:t xml:space="preserve">FANTOM5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 cell, donor 2</w:t>
            </w:r>
          </w:p>
        </w:tc>
        <w:tc>
          <w:tcPr/>
          <w:p>
            <w:pPr>
              <w:pStyle w:val="Compact"/>
            </w:pPr>
            <w:r>
              <w:t xml:space="preserve">F5_D2</w:t>
            </w:r>
          </w:p>
        </w:tc>
        <w:tc>
          <w:tcPr/>
          <w:p>
            <w:pPr>
              <w:pStyle w:val="Compact"/>
            </w:pPr>
            <w:r>
              <w:t xml:space="preserve">Breast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FANTOM5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 cell, donor 3</w:t>
            </w:r>
          </w:p>
        </w:tc>
        <w:tc>
          <w:tcPr/>
          <w:p>
            <w:pPr>
              <w:pStyle w:val="Compact"/>
            </w:pPr>
            <w:r>
              <w:t xml:space="preserve">F5_D3</w:t>
            </w:r>
          </w:p>
        </w:tc>
        <w:tc>
          <w:tcPr/>
          <w:p>
            <w:pPr>
              <w:pStyle w:val="Compact"/>
            </w:pPr>
            <w:r>
              <w:t xml:space="preserve">Breast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FANTOM5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 cell, donor 4</w:t>
            </w:r>
          </w:p>
        </w:tc>
        <w:tc>
          <w:tcPr/>
          <w:p>
            <w:pPr>
              <w:pStyle w:val="Compact"/>
            </w:pPr>
            <w:r>
              <w:t xml:space="preserve">F5_D4</w:t>
            </w:r>
          </w:p>
        </w:tc>
        <w:tc>
          <w:tcPr/>
          <w:p>
            <w:pPr>
              <w:pStyle w:val="Compact"/>
            </w:pPr>
            <w:r>
              <w:t xml:space="preserve">Breast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FANTOM5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 cell, expanded, donor 5</w:t>
            </w:r>
          </w:p>
        </w:tc>
        <w:tc>
          <w:tcPr/>
          <w:p>
            <w:pPr>
              <w:pStyle w:val="Compact"/>
            </w:pPr>
            <w:r>
              <w:t xml:space="preserve">F5_D5</w:t>
            </w:r>
          </w:p>
        </w:tc>
        <w:tc>
          <w:tcPr/>
          <w:p>
            <w:pPr>
              <w:pStyle w:val="Compact"/>
            </w:pPr>
            <w:r>
              <w:t xml:space="preserve">Breast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FANTOM5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 cell, expanded and stimulated, donor 5</w:t>
            </w:r>
          </w:p>
        </w:tc>
        <w:tc>
          <w:tcPr/>
          <w:p>
            <w:pPr>
              <w:pStyle w:val="Compact"/>
            </w:pPr>
            <w:r>
              <w:t xml:space="preserve">F5_D5</w:t>
            </w:r>
          </w:p>
        </w:tc>
        <w:tc>
          <w:tcPr/>
          <w:p>
            <w:pPr>
              <w:pStyle w:val="Compact"/>
            </w:pPr>
            <w:r>
              <w:t xml:space="preserve">Breast</w:t>
            </w:r>
          </w:p>
        </w:tc>
        <w:tc>
          <w:tcPr/>
          <w:p>
            <w:pPr>
              <w:pStyle w:val="Compact"/>
            </w:pPr>
            <w:r>
              <w:t xml:space="preserve">Stimulated</w:t>
            </w:r>
          </w:p>
        </w:tc>
        <w:tc>
          <w:tcPr/>
          <w:p>
            <w:pPr>
              <w:pStyle w:val="Compact"/>
            </w:pPr>
            <w:r>
              <w:t xml:space="preserve">FANTOM5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 cell, expanded, donor 8</w:t>
            </w:r>
          </w:p>
        </w:tc>
        <w:tc>
          <w:tcPr/>
          <w:p>
            <w:pPr>
              <w:pStyle w:val="Compact"/>
            </w:pPr>
            <w:r>
              <w:t xml:space="preserve">F5_D8</w:t>
            </w:r>
          </w:p>
        </w:tc>
        <w:tc>
          <w:tcPr/>
          <w:p>
            <w:pPr>
              <w:pStyle w:val="Compact"/>
            </w:pPr>
            <w:r>
              <w:t xml:space="preserve">Breast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FANTOM5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 cell, expanded and stimulated, donor 8</w:t>
            </w:r>
          </w:p>
        </w:tc>
        <w:tc>
          <w:tcPr/>
          <w:p>
            <w:pPr>
              <w:pStyle w:val="Compact"/>
            </w:pPr>
            <w:r>
              <w:t xml:space="preserve">F5_D8</w:t>
            </w:r>
          </w:p>
        </w:tc>
        <w:tc>
          <w:tcPr/>
          <w:p>
            <w:pPr>
              <w:pStyle w:val="Compact"/>
            </w:pPr>
            <w:r>
              <w:t xml:space="preserve">Breast</w:t>
            </w:r>
          </w:p>
        </w:tc>
        <w:tc>
          <w:tcPr/>
          <w:p>
            <w:pPr>
              <w:pStyle w:val="Compact"/>
            </w:pPr>
            <w:r>
              <w:t xml:space="preserve">Stimulated</w:t>
            </w:r>
          </w:p>
        </w:tc>
        <w:tc>
          <w:tcPr/>
          <w:p>
            <w:pPr>
              <w:pStyle w:val="Compact"/>
            </w:pPr>
            <w:r>
              <w:t xml:space="preserve">FANTOM5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FANTOM6 biological replicate naming: BR = biological replicate; AER = anti-IgE receptor (IgE-mediated stimulation); aso_NC = antisense oligonucleotide negative control.</w:t>
      </w:r>
      <w:r>
        <w:t xml:space="preserve"> </w:t>
      </w:r>
      <w:r>
        <w:t xml:space="preserve">- FANTOM5 expanded samples:</w:t>
      </w:r>
      <w:r>
        <w:t xml:space="preserve"> </w:t>
      </w:r>
      <w:r>
        <w:t xml:space="preserve">“expanded”</w:t>
      </w:r>
      <w:r>
        <w:t xml:space="preserve"> </w:t>
      </w:r>
      <w:r>
        <w:t xml:space="preserve">cultures were mapped to</w:t>
      </w:r>
      <w:r>
        <w:t xml:space="preserve"> </w:t>
      </w:r>
      <w:r>
        <w:t xml:space="preserve">“Native”</w:t>
      </w:r>
      <w:r>
        <w:t xml:space="preserve"> </w:t>
      </w:r>
      <w:r>
        <w:t xml:space="preserve">state (baseline),</w:t>
      </w:r>
      <w:r>
        <w:t xml:space="preserve"> </w:t>
      </w:r>
      <w:r>
        <w:t xml:space="preserve">“expanded and stimulated”</w:t>
      </w:r>
      <w:r>
        <w:t xml:space="preserve"> </w:t>
      </w:r>
      <w:r>
        <w:t xml:space="preserve">to</w:t>
      </w:r>
      <w:r>
        <w:t xml:space="preserve"> </w:t>
      </w:r>
      <w:r>
        <w:t xml:space="preserve">“Stimulated”</w:t>
      </w:r>
      <w:r>
        <w:t xml:space="preserve"> </w:t>
      </w:r>
      <w:r>
        <w:t xml:space="preserve">state.</w:t>
      </w:r>
      <w:r>
        <w:t xml:space="preserve"> </w:t>
      </w:r>
      <w:r>
        <w:t xml:space="preserve">- Tissue assignment was verified against the official sampleinfo file: BR6, BR7, BR9 = Foreskin (male donors); BR5, BR8 = Breast (female donors).</w:t>
      </w:r>
    </w:p>
    <w:p>
      <w:r>
        <w:pict>
          <v:rect style="width:0;height:1.5pt" o:hralign="center" o:hrstd="t" o:hr="t"/>
        </w:pict>
      </w:r>
    </w:p>
    <w:bookmarkEnd w:id="10"/>
    <w:bookmarkStart w:id="11" w:name="X63057afc0b69c6128e49a3091de20b2b35d93e0"/>
    <w:p>
      <w:pPr>
        <w:pStyle w:val="Heading3"/>
      </w:pPr>
      <w:r>
        <w:t xml:space="preserve">Table S2. Differentially Expressed Genes — Tissue Contrast (FsMC vs BsMC)</w:t>
      </w:r>
    </w:p>
    <w:p>
      <w:pPr>
        <w:pStyle w:val="FirstParagraph"/>
      </w:pPr>
      <w:r>
        <w:t xml:space="preserve">All 17 significant genes (Benjamini–Hochberg adjusted P &lt; 0.05) from the tissue contrast using limma-voom with model</w:t>
      </w:r>
      <w:r>
        <w:t xml:space="preserve"> </w:t>
      </w:r>
      <w:r>
        <w:rPr>
          <w:rStyle w:val="VerbatimChar"/>
        </w:rPr>
        <w:t xml:space="preserve">~ Tissue + State + Dataset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559"/>
        <w:gridCol w:w="745"/>
        <w:gridCol w:w="1863"/>
        <w:gridCol w:w="1211"/>
        <w:gridCol w:w="838"/>
        <w:gridCol w:w="1211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Gene</w:t>
            </w:r>
          </w:p>
        </w:tc>
        <w:tc>
          <w:tcPr/>
          <w:p>
            <w:pPr>
              <w:pStyle w:val="Compact"/>
            </w:pPr>
            <w:r>
              <w:t xml:space="preserve">log₂FC</w:t>
            </w:r>
          </w:p>
        </w:tc>
        <w:tc>
          <w:tcPr/>
          <w:p>
            <w:pPr>
              <w:pStyle w:val="Compact"/>
            </w:pPr>
            <w:r>
              <w:t xml:space="preserve">Average Expression</w:t>
            </w:r>
          </w:p>
        </w:tc>
        <w:tc>
          <w:tcPr/>
          <w:p>
            <w:pPr>
              <w:pStyle w:val="Compact"/>
            </w:pPr>
            <w:r>
              <w:t xml:space="preserve">t-statistic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adj. P-value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RPS4Y1</w:t>
            </w:r>
          </w:p>
        </w:tc>
        <w:tc>
          <w:tcPr/>
          <w:p>
            <w:pPr>
              <w:pStyle w:val="Compact"/>
            </w:pPr>
            <w:r>
              <w:t xml:space="preserve">+9.60</w:t>
            </w:r>
          </w:p>
        </w:tc>
        <w:tc>
          <w:tcPr/>
          <w:p>
            <w:pPr>
              <w:pStyle w:val="Compact"/>
            </w:pPr>
            <w:r>
              <w:t xml:space="preserve">1.61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8.29e-12</w:t>
            </w:r>
          </w:p>
        </w:tc>
        <w:tc>
          <w:tcPr/>
          <w:p>
            <w:pPr>
              <w:pStyle w:val="Compact"/>
            </w:pPr>
            <w:r>
              <w:t xml:space="preserve">Y-chromosome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EIF1AY</w:t>
            </w:r>
          </w:p>
        </w:tc>
        <w:tc>
          <w:tcPr/>
          <w:p>
            <w:pPr>
              <w:pStyle w:val="Compact"/>
            </w:pPr>
            <w:r>
              <w:t xml:space="preserve">+8.26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4.41e-10</w:t>
            </w:r>
          </w:p>
        </w:tc>
        <w:tc>
          <w:tcPr/>
          <w:p>
            <w:pPr>
              <w:pStyle w:val="Compact"/>
            </w:pPr>
            <w:r>
              <w:t xml:space="preserve">Y-chromosome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TXLNGY</w:t>
            </w:r>
          </w:p>
        </w:tc>
        <w:tc>
          <w:tcPr/>
          <w:p>
            <w:pPr>
              <w:pStyle w:val="Compact"/>
            </w:pPr>
            <w:r>
              <w:t xml:space="preserve">+7.45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4.41e-10</w:t>
            </w:r>
          </w:p>
        </w:tc>
        <w:tc>
          <w:tcPr/>
          <w:p>
            <w:pPr>
              <w:pStyle w:val="Compact"/>
            </w:pPr>
            <w:r>
              <w:t xml:space="preserve">Y-chromosome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DDX3Y</w:t>
            </w:r>
          </w:p>
        </w:tc>
        <w:tc>
          <w:tcPr/>
          <w:p>
            <w:pPr>
              <w:pStyle w:val="Compact"/>
            </w:pPr>
            <w:r>
              <w:t xml:space="preserve">+7.68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1.08e-08</w:t>
            </w:r>
          </w:p>
        </w:tc>
        <w:tc>
          <w:tcPr/>
          <w:p>
            <w:pPr>
              <w:pStyle w:val="Compact"/>
            </w:pPr>
            <w:r>
              <w:t xml:space="preserve">Y-chromosome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KDM5D</w:t>
            </w:r>
          </w:p>
        </w:tc>
        <w:tc>
          <w:tcPr/>
          <w:p>
            <w:pPr>
              <w:pStyle w:val="Compact"/>
            </w:pPr>
            <w:r>
              <w:t xml:space="preserve">+7.14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1.35e-08</w:t>
            </w:r>
          </w:p>
        </w:tc>
        <w:tc>
          <w:tcPr/>
          <w:p>
            <w:pPr>
              <w:pStyle w:val="Compact"/>
            </w:pPr>
            <w:r>
              <w:t xml:space="preserve">Y-chromosome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UTY</w:t>
            </w:r>
          </w:p>
        </w:tc>
        <w:tc>
          <w:tcPr/>
          <w:p>
            <w:pPr>
              <w:pStyle w:val="Compact"/>
            </w:pPr>
            <w:r>
              <w:t xml:space="preserve">+5.90</w:t>
            </w:r>
          </w:p>
        </w:tc>
        <w:tc>
          <w:tcPr/>
          <w:p>
            <w:pPr>
              <w:pStyle w:val="Compact"/>
            </w:pPr>
            <w:r>
              <w:t xml:space="preserve">−0.03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6.71e-08</w:t>
            </w:r>
          </w:p>
        </w:tc>
        <w:tc>
          <w:tcPr/>
          <w:p>
            <w:pPr>
              <w:pStyle w:val="Compact"/>
            </w:pPr>
            <w:r>
              <w:t xml:space="preserve">Y-chromosome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TTTY14</w:t>
            </w:r>
          </w:p>
        </w:tc>
        <w:tc>
          <w:tcPr/>
          <w:p>
            <w:pPr>
              <w:pStyle w:val="Compact"/>
            </w:pPr>
            <w:r>
              <w:t xml:space="preserve">+5.34</w:t>
            </w:r>
          </w:p>
        </w:tc>
        <w:tc>
          <w:tcPr/>
          <w:p>
            <w:pPr>
              <w:pStyle w:val="Compact"/>
            </w:pPr>
            <w:r>
              <w:t xml:space="preserve">−0.17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2.37e-07</w:t>
            </w:r>
          </w:p>
        </w:tc>
        <w:tc>
          <w:tcPr/>
          <w:p>
            <w:pPr>
              <w:pStyle w:val="Compact"/>
            </w:pPr>
            <w:r>
              <w:t xml:space="preserve">Y-chromosome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ZFY</w:t>
            </w:r>
          </w:p>
        </w:tc>
        <w:tc>
          <w:tcPr/>
          <w:p>
            <w:pPr>
              <w:pStyle w:val="Compact"/>
            </w:pPr>
            <w:r>
              <w:t xml:space="preserve">+5.25</w:t>
            </w:r>
          </w:p>
        </w:tc>
        <w:tc>
          <w:tcPr/>
          <w:p>
            <w:pPr>
              <w:pStyle w:val="Compact"/>
            </w:pPr>
            <w:r>
              <w:t xml:space="preserve">−0.05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7.26e-07</w:t>
            </w:r>
          </w:p>
        </w:tc>
        <w:tc>
          <w:tcPr/>
          <w:p>
            <w:pPr>
              <w:pStyle w:val="Compact"/>
            </w:pPr>
            <w:r>
              <w:t xml:space="preserve">Y-chromosome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PPIAP29</w:t>
            </w:r>
          </w:p>
        </w:tc>
        <w:tc>
          <w:tcPr/>
          <w:p>
            <w:pPr>
              <w:pStyle w:val="Compact"/>
            </w:pPr>
            <w:r>
              <w:t xml:space="preserve">+5.02</w:t>
            </w:r>
          </w:p>
        </w:tc>
        <w:tc>
          <w:tcPr/>
          <w:p>
            <w:pPr>
              <w:pStyle w:val="Compact"/>
            </w:pPr>
            <w:r>
              <w:t xml:space="preserve">−0.13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7.26e-07</w:t>
            </w:r>
          </w:p>
        </w:tc>
        <w:tc>
          <w:tcPr/>
          <w:p>
            <w:pPr>
              <w:pStyle w:val="Compact"/>
            </w:pPr>
            <w:r>
              <w:t xml:space="preserve">Y-chromosome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XIST</w:t>
            </w:r>
          </w:p>
        </w:tc>
        <w:tc>
          <w:tcPr/>
          <w:p>
            <w:pPr>
              <w:pStyle w:val="Compact"/>
            </w:pPr>
            <w:r>
              <w:t xml:space="preserve">−4.36</w:t>
            </w:r>
          </w:p>
        </w:tc>
        <w:tc>
          <w:tcPr/>
          <w:p>
            <w:pPr>
              <w:pStyle w:val="Compact"/>
            </w:pPr>
            <w:r>
              <w:t xml:space="preserve">3.30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3.28e-04</w:t>
            </w:r>
          </w:p>
        </w:tc>
        <w:tc>
          <w:tcPr/>
          <w:p>
            <w:pPr>
              <w:pStyle w:val="Compact"/>
            </w:pPr>
            <w:r>
              <w:t xml:space="preserve">X-inactivation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TPSD1</w:t>
            </w:r>
          </w:p>
        </w:tc>
        <w:tc>
          <w:tcPr/>
          <w:p>
            <w:pPr>
              <w:pStyle w:val="Compact"/>
            </w:pPr>
            <w:r>
              <w:t xml:space="preserve">+3.76</w:t>
            </w:r>
          </w:p>
        </w:tc>
        <w:tc>
          <w:tcPr/>
          <w:p>
            <w:pPr>
              <w:pStyle w:val="Compact"/>
            </w:pPr>
            <w:r>
              <w:t xml:space="preserve">11.57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1.94e-03</w:t>
            </w:r>
          </w:p>
        </w:tc>
        <w:tc>
          <w:tcPr/>
          <w:p>
            <w:pPr>
              <w:pStyle w:val="Compact"/>
            </w:pPr>
            <w:r>
              <w:t xml:space="preserve">Tissue-specific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MPDZ</w:t>
            </w:r>
          </w:p>
        </w:tc>
        <w:tc>
          <w:tcPr/>
          <w:p>
            <w:pPr>
              <w:pStyle w:val="Compact"/>
            </w:pPr>
            <w:r>
              <w:t xml:space="preserve">+4.97</w:t>
            </w:r>
          </w:p>
        </w:tc>
        <w:tc>
          <w:tcPr/>
          <w:p>
            <w:pPr>
              <w:pStyle w:val="Compact"/>
            </w:pPr>
            <w:r>
              <w:t xml:space="preserve">1.42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8.86e-03</w:t>
            </w:r>
          </w:p>
        </w:tc>
        <w:tc>
          <w:tcPr/>
          <w:p>
            <w:pPr>
              <w:pStyle w:val="Compact"/>
            </w:pPr>
            <w:r>
              <w:t xml:space="preserve">Cell junction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PRKY</w:t>
            </w:r>
          </w:p>
        </w:tc>
        <w:tc>
          <w:tcPr/>
          <w:p>
            <w:pPr>
              <w:pStyle w:val="Compact"/>
            </w:pPr>
            <w:r>
              <w:t xml:space="preserve">+4.57</w:t>
            </w:r>
          </w:p>
        </w:tc>
        <w:tc>
          <w:tcPr/>
          <w:p>
            <w:pPr>
              <w:pStyle w:val="Compact"/>
            </w:pPr>
            <w:r>
              <w:t xml:space="preserve">−0.27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9.13e-03</w:t>
            </w:r>
          </w:p>
        </w:tc>
        <w:tc>
          <w:tcPr/>
          <w:p>
            <w:pPr>
              <w:pStyle w:val="Compact"/>
            </w:pPr>
            <w:r>
              <w:t xml:space="preserve">Y-chromosome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GPX1</w:t>
            </w:r>
          </w:p>
        </w:tc>
        <w:tc>
          <w:tcPr/>
          <w:p>
            <w:pPr>
              <w:pStyle w:val="Compact"/>
            </w:pPr>
            <w:r>
              <w:t xml:space="preserve">−1.21</w:t>
            </w:r>
          </w:p>
        </w:tc>
        <w:tc>
          <w:tcPr/>
          <w:p>
            <w:pPr>
              <w:pStyle w:val="Compact"/>
            </w:pPr>
            <w:r>
              <w:t xml:space="preserve">7.44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2.18e-02</w:t>
            </w:r>
          </w:p>
        </w:tc>
        <w:tc>
          <w:tcPr/>
          <w:p>
            <w:pPr>
              <w:pStyle w:val="Compact"/>
            </w:pPr>
            <w:r>
              <w:t xml:space="preserve">Antioxidant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EIF1AX</w:t>
            </w:r>
          </w:p>
        </w:tc>
        <w:tc>
          <w:tcPr/>
          <w:p>
            <w:pPr>
              <w:pStyle w:val="Compact"/>
            </w:pPr>
            <w:r>
              <w:t xml:space="preserve">−0.89</w:t>
            </w:r>
          </w:p>
        </w:tc>
        <w:tc>
          <w:tcPr/>
          <w:p>
            <w:pPr>
              <w:pStyle w:val="Compact"/>
            </w:pPr>
            <w:r>
              <w:t xml:space="preserve">6.07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2.29e-02</w:t>
            </w:r>
          </w:p>
        </w:tc>
        <w:tc>
          <w:tcPr/>
          <w:p>
            <w:pPr>
              <w:pStyle w:val="Compact"/>
            </w:pPr>
            <w:r>
              <w:t xml:space="preserve">X-linked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CLDN23</w:t>
            </w:r>
          </w:p>
        </w:tc>
        <w:tc>
          <w:tcPr/>
          <w:p>
            <w:pPr>
              <w:pStyle w:val="Compact"/>
            </w:pPr>
            <w:r>
              <w:t xml:space="preserve">−1.93</w:t>
            </w:r>
          </w:p>
        </w:tc>
        <w:tc>
          <w:tcPr/>
          <w:p>
            <w:pPr>
              <w:pStyle w:val="Compact"/>
            </w:pPr>
            <w:r>
              <w:t xml:space="preserve">1.78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3.43e-02</w:t>
            </w:r>
          </w:p>
        </w:tc>
        <w:tc>
          <w:tcPr/>
          <w:p>
            <w:pPr>
              <w:pStyle w:val="Compact"/>
            </w:pPr>
            <w:r>
              <w:t xml:space="preserve">Tight junction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+2.35</w:t>
            </w:r>
          </w:p>
        </w:tc>
        <w:tc>
          <w:tcPr/>
          <w:p>
            <w:pPr>
              <w:pStyle w:val="Compact"/>
            </w:pPr>
            <w:r>
              <w:t xml:space="preserve">3.33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3.43e-02</w:t>
            </w:r>
          </w:p>
        </w:tc>
        <w:tc>
          <w:tcPr/>
          <w:p>
            <w:pPr>
              <w:pStyle w:val="Compact"/>
            </w:pPr>
            <w:r>
              <w:t xml:space="preserve">Complement</w:t>
            </w:r>
          </w:p>
        </w:tc>
      </w:tr>
    </w:tbl>
    <w:p>
      <w:pPr>
        <w:pStyle w:val="BodyText"/>
      </w:pPr>
      <w:r>
        <w:t xml:space="preserve">The complete table with all 10,047 tested genes is available as</w:t>
      </w:r>
      <w:r>
        <w:t xml:space="preserve"> </w:t>
      </w:r>
      <w:r>
        <w:rPr>
          <w:rStyle w:val="VerbatimChar"/>
        </w:rPr>
        <w:t xml:space="preserve">DE_FsMC_vs_BsMC.tsv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1332ecc4c2a6d4bf934f4bbb4062d5733920883"/>
    <w:p>
      <w:pPr>
        <w:pStyle w:val="Heading3"/>
      </w:pPr>
      <w:r>
        <w:t xml:space="preserve">Table S3. Mast Cell Core Signature Genes — No Tissue Difference</w:t>
      </w:r>
    </w:p>
    <w:p>
      <w:pPr>
        <w:pStyle w:val="FirstParagraph"/>
      </w:pPr>
      <w:r>
        <w:t xml:space="preserve">Expression of canonical mast cell markers showing no significant tissue-dependent differences, confirming a conserved mast cell identity across tissue origins.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815"/>
        <w:gridCol w:w="1650"/>
        <w:gridCol w:w="1320"/>
        <w:gridCol w:w="21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log₂FC</w:t>
            </w:r>
          </w:p>
        </w:tc>
        <w:tc>
          <w:tcPr/>
          <w:p>
            <w:pPr>
              <w:pStyle w:val="Compact"/>
            </w:pPr>
            <w:r>
              <w:t xml:space="preserve">adj. P-value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KIT Proto-Oncogene</w:t>
            </w:r>
          </w:p>
        </w:tc>
        <w:tc>
          <w:tcPr/>
          <w:p>
            <w:pPr>
              <w:pStyle w:val="Compact"/>
            </w:pPr>
            <w:r>
              <w:t xml:space="preserve">SCF receptor, MC development</w:t>
            </w:r>
          </w:p>
        </w:tc>
        <w:tc>
          <w:tcPr/>
          <w:p>
            <w:pPr>
              <w:pStyle w:val="Compact"/>
            </w:pPr>
            <w:r>
              <w:t xml:space="preserve">−0.04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CPA3</w:t>
            </w:r>
          </w:p>
        </w:tc>
        <w:tc>
          <w:tcPr/>
          <w:p>
            <w:pPr>
              <w:pStyle w:val="Compact"/>
            </w:pPr>
            <w:r>
              <w:t xml:space="preserve">Carboxypeptidase A3</w:t>
            </w:r>
          </w:p>
        </w:tc>
        <w:tc>
          <w:tcPr/>
          <w:p>
            <w:pPr>
              <w:pStyle w:val="Compact"/>
            </w:pPr>
            <w:r>
              <w:t xml:space="preserve">Secretory granule protease</w:t>
            </w:r>
          </w:p>
        </w:tc>
        <w:tc>
          <w:tcPr/>
          <w:p>
            <w:pPr>
              <w:pStyle w:val="Compact"/>
            </w:pPr>
            <w:r>
              <w:t xml:space="preserve">−0.13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TPSAB1</w:t>
            </w:r>
          </w:p>
        </w:tc>
        <w:tc>
          <w:tcPr/>
          <w:p>
            <w:pPr>
              <w:pStyle w:val="Compact"/>
            </w:pPr>
            <w:r>
              <w:t xml:space="preserve">Tryptase Alpha/Beta 1</w:t>
            </w:r>
          </w:p>
        </w:tc>
        <w:tc>
          <w:tcPr/>
          <w:p>
            <w:pPr>
              <w:pStyle w:val="Compact"/>
            </w:pPr>
            <w:r>
              <w:t xml:space="preserve">Major MC tryptase</w:t>
            </w:r>
          </w:p>
        </w:tc>
        <w:tc>
          <w:tcPr/>
          <w:p>
            <w:pPr>
              <w:pStyle w:val="Compact"/>
            </w:pPr>
            <w:r>
              <w:t xml:space="preserve">−0.61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TPSB2</w:t>
            </w:r>
          </w:p>
        </w:tc>
        <w:tc>
          <w:tcPr/>
          <w:p>
            <w:pPr>
              <w:pStyle w:val="Compact"/>
            </w:pPr>
            <w:r>
              <w:t xml:space="preserve">Tryptase Beta 2</w:t>
            </w:r>
          </w:p>
        </w:tc>
        <w:tc>
          <w:tcPr/>
          <w:p>
            <w:pPr>
              <w:pStyle w:val="Compact"/>
            </w:pPr>
            <w:r>
              <w:t xml:space="preserve">Major MC tryptase</w:t>
            </w:r>
          </w:p>
        </w:tc>
        <w:tc>
          <w:tcPr/>
          <w:p>
            <w:pPr>
              <w:pStyle w:val="Compact"/>
            </w:pPr>
            <w:r>
              <w:t xml:space="preserve">+0.25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TPSG1</w:t>
            </w:r>
          </w:p>
        </w:tc>
        <w:tc>
          <w:tcPr/>
          <w:p>
            <w:pPr>
              <w:pStyle w:val="Compact"/>
            </w:pPr>
            <w:r>
              <w:t xml:space="preserve">Tryptase Gamma 1</w:t>
            </w:r>
          </w:p>
        </w:tc>
        <w:tc>
          <w:tcPr/>
          <w:p>
            <w:pPr>
              <w:pStyle w:val="Compact"/>
            </w:pPr>
            <w:r>
              <w:t xml:space="preserve">Membrane-bound tryptase</w:t>
            </w:r>
          </w:p>
        </w:tc>
        <w:tc>
          <w:tcPr/>
          <w:p>
            <w:pPr>
              <w:pStyle w:val="Compact"/>
            </w:pPr>
            <w:r>
              <w:t xml:space="preserve">−0.63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FCER1A</w:t>
            </w:r>
          </w:p>
        </w:tc>
        <w:tc>
          <w:tcPr/>
          <w:p>
            <w:pPr>
              <w:pStyle w:val="Compact"/>
            </w:pPr>
            <w:r>
              <w:t xml:space="preserve">Fc Epsilon Receptor Ia</w:t>
            </w:r>
          </w:p>
        </w:tc>
        <w:tc>
          <w:tcPr/>
          <w:p>
            <w:pPr>
              <w:pStyle w:val="Compact"/>
            </w:pPr>
            <w:r>
              <w:t xml:space="preserve">High-affinity IgE receptor α</w:t>
            </w:r>
          </w:p>
        </w:tc>
        <w:tc>
          <w:tcPr/>
          <w:p>
            <w:pPr>
              <w:pStyle w:val="Compact"/>
            </w:pPr>
            <w:r>
              <w:t xml:space="preserve">−0.48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FCER1G</w:t>
            </w:r>
          </w:p>
        </w:tc>
        <w:tc>
          <w:tcPr/>
          <w:p>
            <w:pPr>
              <w:pStyle w:val="Compact"/>
            </w:pPr>
            <w:r>
              <w:t xml:space="preserve">Fc Epsilon Receptor Ig</w:t>
            </w:r>
          </w:p>
        </w:tc>
        <w:tc>
          <w:tcPr/>
          <w:p>
            <w:pPr>
              <w:pStyle w:val="Compact"/>
            </w:pPr>
            <w:r>
              <w:t xml:space="preserve">High-affinity IgE receptor γ</w:t>
            </w:r>
          </w:p>
        </w:tc>
        <w:tc>
          <w:tcPr/>
          <w:p>
            <w:pPr>
              <w:pStyle w:val="Compact"/>
            </w:pPr>
            <w:r>
              <w:t xml:space="preserve">−0.51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HDC</w:t>
            </w:r>
          </w:p>
        </w:tc>
        <w:tc>
          <w:tcPr/>
          <w:p>
            <w:pPr>
              <w:pStyle w:val="Compact"/>
            </w:pPr>
            <w:r>
              <w:t xml:space="preserve">Histidine Decarboxylase</w:t>
            </w:r>
          </w:p>
        </w:tc>
        <w:tc>
          <w:tcPr/>
          <w:p>
            <w:pPr>
              <w:pStyle w:val="Compact"/>
            </w:pPr>
            <w:r>
              <w:t xml:space="preserve">Histamine synthesis</w:t>
            </w:r>
          </w:p>
        </w:tc>
        <w:tc>
          <w:tcPr/>
          <w:p>
            <w:pPr>
              <w:pStyle w:val="Compact"/>
            </w:pPr>
            <w:r>
              <w:t xml:space="preserve">+0.24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CMA1</w:t>
            </w:r>
          </w:p>
        </w:tc>
        <w:tc>
          <w:tcPr/>
          <w:p>
            <w:pPr>
              <w:pStyle w:val="Compact"/>
            </w:pPr>
            <w:r>
              <w:t xml:space="preserve">Chymase 1</w:t>
            </w:r>
          </w:p>
        </w:tc>
        <w:tc>
          <w:tcPr/>
          <w:p>
            <w:pPr>
              <w:pStyle w:val="Compact"/>
            </w:pPr>
            <w:r>
              <w:t xml:space="preserve">Serine protease (MC_TC)</w:t>
            </w:r>
          </w:p>
        </w:tc>
        <w:tc>
          <w:tcPr/>
          <w:p>
            <w:pPr>
              <w:pStyle w:val="Compact"/>
            </w:pPr>
            <w:r>
              <w:t xml:space="preserve">+1.39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CCL1</w:t>
            </w:r>
          </w:p>
        </w:tc>
        <w:tc>
          <w:tcPr/>
          <w:p>
            <w:pPr>
              <w:pStyle w:val="Compact"/>
            </w:pPr>
            <w:r>
              <w:t xml:space="preserve">C-C Motif Chemokine Ligand 1</w:t>
            </w:r>
          </w:p>
        </w:tc>
        <w:tc>
          <w:tcPr/>
          <w:p>
            <w:pPr>
              <w:pStyle w:val="Compact"/>
            </w:pPr>
            <w:r>
              <w:t xml:space="preserve">T cell chemoattractant</w:t>
            </w:r>
          </w:p>
        </w:tc>
        <w:tc>
          <w:tcPr/>
          <w:p>
            <w:pPr>
              <w:pStyle w:val="Compact"/>
            </w:pPr>
            <w:r>
              <w:t xml:space="preserve">+0.20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5" w:name="Xa4af48e2ea4ebffa7913c8251ac3f2b90b57b82"/>
    <w:p>
      <w:pPr>
        <w:pStyle w:val="Heading3"/>
      </w:pPr>
      <w:r>
        <w:t xml:space="preserve">Table S4. Top Differentially Expressed Genes — Activation Contrast (Stimulated vs Native)</w:t>
      </w:r>
    </w:p>
    <w:p>
      <w:pPr>
        <w:pStyle w:val="FirstParagraph"/>
      </w:pPr>
      <w:r>
        <w:t xml:space="preserve">Top 20 upregulated and top 20 downregulated genes upon IgE-mediated stimulation. Total: 2,349 DE genes (adj.P &lt; 0.05); 1,224 upregulated, 1,125 downregulated.</w:t>
      </w:r>
    </w:p>
    <w:bookmarkStart w:id="13" w:name="upregulated-upon-stimulation"/>
    <w:p>
      <w:pPr>
        <w:pStyle w:val="Heading4"/>
      </w:pPr>
      <w:r>
        <w:t xml:space="preserve">Upregulated upon stimulation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Gene</w:t>
            </w:r>
          </w:p>
        </w:tc>
        <w:tc>
          <w:tcPr/>
          <w:p>
            <w:pPr>
              <w:pStyle w:val="Compact"/>
            </w:pPr>
            <w:r>
              <w:t xml:space="preserve">log₂FC</w:t>
            </w:r>
          </w:p>
        </w:tc>
        <w:tc>
          <w:tcPr/>
          <w:p>
            <w:pPr>
              <w:pStyle w:val="Compact"/>
            </w:pPr>
            <w:r>
              <w:t xml:space="preserve">adj. P-value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CCL1</w:t>
            </w:r>
          </w:p>
        </w:tc>
        <w:tc>
          <w:tcPr/>
          <w:p>
            <w:pPr>
              <w:pStyle w:val="Compact"/>
            </w:pPr>
            <w:r>
              <w:t xml:space="preserve">+10.78</w:t>
            </w:r>
          </w:p>
        </w:tc>
        <w:tc>
          <w:tcPr/>
          <w:p>
            <w:pPr>
              <w:pStyle w:val="Compact"/>
            </w:pPr>
            <w:r>
              <w:t xml:space="preserve">3.69e-09</w:t>
            </w:r>
          </w:p>
        </w:tc>
        <w:tc>
          <w:tcPr/>
          <w:p>
            <w:pPr>
              <w:pStyle w:val="Compact"/>
            </w:pPr>
            <w:r>
              <w:t xml:space="preserve">Chemokine, T cell recruitment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AQP2</w:t>
            </w:r>
          </w:p>
        </w:tc>
        <w:tc>
          <w:tcPr/>
          <w:p>
            <w:pPr>
              <w:pStyle w:val="Compact"/>
            </w:pPr>
            <w:r>
              <w:t xml:space="preserve">+8.26</w:t>
            </w:r>
          </w:p>
        </w:tc>
        <w:tc>
          <w:tcPr/>
          <w:p>
            <w:pPr>
              <w:pStyle w:val="Compact"/>
            </w:pPr>
            <w:r>
              <w:t xml:space="preserve">3.69e-09</w:t>
            </w:r>
          </w:p>
        </w:tc>
        <w:tc>
          <w:tcPr/>
          <w:p>
            <w:pPr>
              <w:pStyle w:val="Compact"/>
            </w:pPr>
            <w:r>
              <w:t xml:space="preserve">Aquaporin, water 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XIRP1</w:t>
            </w:r>
          </w:p>
        </w:tc>
        <w:tc>
          <w:tcPr/>
          <w:p>
            <w:pPr>
              <w:pStyle w:val="Compact"/>
            </w:pPr>
            <w:r>
              <w:t xml:space="preserve">+10.06</w:t>
            </w:r>
          </w:p>
        </w:tc>
        <w:tc>
          <w:tcPr/>
          <w:p>
            <w:pPr>
              <w:pStyle w:val="Compact"/>
            </w:pPr>
            <w:r>
              <w:t xml:space="preserve">1.22e-07</w:t>
            </w:r>
          </w:p>
        </w:tc>
        <w:tc>
          <w:tcPr/>
          <w:p>
            <w:pPr>
              <w:pStyle w:val="Compact"/>
            </w:pPr>
            <w:r>
              <w:t xml:space="preserve">Actin-binding, cytoskeletal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GBP2</w:t>
            </w:r>
          </w:p>
        </w:tc>
        <w:tc>
          <w:tcPr/>
          <w:p>
            <w:pPr>
              <w:pStyle w:val="Compact"/>
            </w:pPr>
            <w:r>
              <w:t xml:space="preserve">+4.61</w:t>
            </w:r>
          </w:p>
        </w:tc>
        <w:tc>
          <w:tcPr/>
          <w:p>
            <w:pPr>
              <w:pStyle w:val="Compact"/>
            </w:pPr>
            <w:r>
              <w:t xml:space="preserve">2.51e-07</w:t>
            </w:r>
          </w:p>
        </w:tc>
        <w:tc>
          <w:tcPr/>
          <w:p>
            <w:pPr>
              <w:pStyle w:val="Compact"/>
            </w:pPr>
            <w:r>
              <w:t xml:space="preserve">Guanylate-binding protein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NRP2</w:t>
            </w:r>
          </w:p>
        </w:tc>
        <w:tc>
          <w:tcPr/>
          <w:p>
            <w:pPr>
              <w:pStyle w:val="Compact"/>
            </w:pPr>
            <w:r>
              <w:t xml:space="preserve">+2.31</w:t>
            </w:r>
          </w:p>
        </w:tc>
        <w:tc>
          <w:tcPr/>
          <w:p>
            <w:pPr>
              <w:pStyle w:val="Compact"/>
            </w:pPr>
            <w:r>
              <w:t xml:space="preserve">4.15e-07</w:t>
            </w:r>
          </w:p>
        </w:tc>
        <w:tc>
          <w:tcPr/>
          <w:p>
            <w:pPr>
              <w:pStyle w:val="Compact"/>
            </w:pPr>
            <w:r>
              <w:t xml:space="preserve">Neuropilin-2, VEGF co-receptor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GZMB</w:t>
            </w:r>
          </w:p>
        </w:tc>
        <w:tc>
          <w:tcPr/>
          <w:p>
            <w:pPr>
              <w:pStyle w:val="Compact"/>
            </w:pPr>
            <w:r>
              <w:t xml:space="preserve">+8.27</w:t>
            </w:r>
          </w:p>
        </w:tc>
        <w:tc>
          <w:tcPr/>
          <w:p>
            <w:pPr>
              <w:pStyle w:val="Compact"/>
            </w:pPr>
            <w:r>
              <w:t xml:space="preserve">4.15e-07</w:t>
            </w:r>
          </w:p>
        </w:tc>
        <w:tc>
          <w:tcPr/>
          <w:p>
            <w:pPr>
              <w:pStyle w:val="Compact"/>
            </w:pPr>
            <w:r>
              <w:t xml:space="preserve">Granzyme B, cytotoxic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RASA1</w:t>
            </w:r>
          </w:p>
        </w:tc>
        <w:tc>
          <w:tcPr/>
          <w:p>
            <w:pPr>
              <w:pStyle w:val="Compact"/>
            </w:pPr>
            <w:r>
              <w:t xml:space="preserve">+1.50</w:t>
            </w:r>
          </w:p>
        </w:tc>
        <w:tc>
          <w:tcPr/>
          <w:p>
            <w:pPr>
              <w:pStyle w:val="Compact"/>
            </w:pPr>
            <w:r>
              <w:t xml:space="preserve">1.42e-06</w:t>
            </w:r>
          </w:p>
        </w:tc>
        <w:tc>
          <w:tcPr/>
          <w:p>
            <w:pPr>
              <w:pStyle w:val="Compact"/>
            </w:pPr>
            <w:r>
              <w:t xml:space="preserve">Ras GTPase-activating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FDX1P1</w:t>
            </w:r>
          </w:p>
        </w:tc>
        <w:tc>
          <w:tcPr/>
          <w:p>
            <w:pPr>
              <w:pStyle w:val="Compact"/>
            </w:pPr>
            <w:r>
              <w:t xml:space="preserve">+2.35</w:t>
            </w:r>
          </w:p>
        </w:tc>
        <w:tc>
          <w:tcPr/>
          <w:p>
            <w:pPr>
              <w:pStyle w:val="Compact"/>
            </w:pPr>
            <w:r>
              <w:t xml:space="preserve">1.42e-06</w:t>
            </w:r>
          </w:p>
        </w:tc>
        <w:tc>
          <w:tcPr/>
          <w:p>
            <w:pPr>
              <w:pStyle w:val="Compact"/>
            </w:pPr>
            <w:r>
              <w:t xml:space="preserve">Ferredoxin pseudogene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ARMC9</w:t>
            </w:r>
          </w:p>
        </w:tc>
        <w:tc>
          <w:tcPr/>
          <w:p>
            <w:pPr>
              <w:pStyle w:val="Compact"/>
            </w:pPr>
            <w:r>
              <w:t xml:space="preserve">+3.38</w:t>
            </w:r>
          </w:p>
        </w:tc>
        <w:tc>
          <w:tcPr/>
          <w:p>
            <w:pPr>
              <w:pStyle w:val="Compact"/>
            </w:pPr>
            <w:r>
              <w:t xml:space="preserve">2.80e-06</w:t>
            </w:r>
          </w:p>
        </w:tc>
        <w:tc>
          <w:tcPr/>
          <w:p>
            <w:pPr>
              <w:pStyle w:val="Compact"/>
            </w:pPr>
            <w:r>
              <w:t xml:space="preserve">Armadillo repeat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ACSL1</w:t>
            </w:r>
          </w:p>
        </w:tc>
        <w:tc>
          <w:tcPr/>
          <w:p>
            <w:pPr>
              <w:pStyle w:val="Compact"/>
            </w:pPr>
            <w:r>
              <w:t xml:space="preserve">+2.80</w:t>
            </w:r>
          </w:p>
        </w:tc>
        <w:tc>
          <w:tcPr/>
          <w:p>
            <w:pPr>
              <w:pStyle w:val="Compact"/>
            </w:pPr>
            <w:r>
              <w:t xml:space="preserve">3.74e-06</w:t>
            </w:r>
          </w:p>
        </w:tc>
        <w:tc>
          <w:tcPr/>
          <w:p>
            <w:pPr>
              <w:pStyle w:val="Compact"/>
            </w:pPr>
            <w:r>
              <w:t xml:space="preserve">Fatty acid CoA ligase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IL3</w:t>
            </w:r>
          </w:p>
        </w:tc>
        <w:tc>
          <w:tcPr/>
          <w:p>
            <w:pPr>
              <w:pStyle w:val="Compact"/>
            </w:pPr>
            <w:r>
              <w:t xml:space="preserve">+8.59</w:t>
            </w:r>
          </w:p>
        </w:tc>
        <w:tc>
          <w:tcPr/>
          <w:p>
            <w:pPr>
              <w:pStyle w:val="Compact"/>
            </w:pPr>
            <w:r>
              <w:t xml:space="preserve">5.92e-06</w:t>
            </w:r>
          </w:p>
        </w:tc>
        <w:tc>
          <w:tcPr/>
          <w:p>
            <w:pPr>
              <w:pStyle w:val="Compact"/>
            </w:pPr>
            <w:r>
              <w:t xml:space="preserve">Interleukin-3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CCL2</w:t>
            </w:r>
          </w:p>
        </w:tc>
        <w:tc>
          <w:tcPr/>
          <w:p>
            <w:pPr>
              <w:pStyle w:val="Compact"/>
            </w:pPr>
            <w:r>
              <w:t xml:space="preserve">+6.22</w:t>
            </w:r>
          </w:p>
        </w:tc>
        <w:tc>
          <w:tcPr/>
          <w:p>
            <w:pPr>
              <w:pStyle w:val="Compact"/>
            </w:pPr>
            <w:r>
              <w:t xml:space="preserve">6.03e-06</w:t>
            </w:r>
          </w:p>
        </w:tc>
        <w:tc>
          <w:tcPr/>
          <w:p>
            <w:pPr>
              <w:pStyle w:val="Compact"/>
            </w:pPr>
            <w:r>
              <w:t xml:space="preserve">MCP-1, monocyte recruitment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FASLG</w:t>
            </w:r>
          </w:p>
        </w:tc>
        <w:tc>
          <w:tcPr/>
          <w:p>
            <w:pPr>
              <w:pStyle w:val="Compact"/>
            </w:pPr>
            <w:r>
              <w:t xml:space="preserve">+5.80</w:t>
            </w:r>
          </w:p>
        </w:tc>
        <w:tc>
          <w:tcPr/>
          <w:p>
            <w:pPr>
              <w:pStyle w:val="Compact"/>
            </w:pPr>
            <w:r>
              <w:t xml:space="preserve">6.03e-06</w:t>
            </w:r>
          </w:p>
        </w:tc>
        <w:tc>
          <w:tcPr/>
          <w:p>
            <w:pPr>
              <w:pStyle w:val="Compact"/>
            </w:pPr>
            <w:r>
              <w:t xml:space="preserve">Fas ligand, apoptosis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SMOX</w:t>
            </w:r>
          </w:p>
        </w:tc>
        <w:tc>
          <w:tcPr/>
          <w:p>
            <w:pPr>
              <w:pStyle w:val="Compact"/>
            </w:pPr>
            <w:r>
              <w:t xml:space="preserve">+4.20</w:t>
            </w:r>
          </w:p>
        </w:tc>
        <w:tc>
          <w:tcPr/>
          <w:p>
            <w:pPr>
              <w:pStyle w:val="Compact"/>
            </w:pPr>
            <w:r>
              <w:t xml:space="preserve">8.23e-06</w:t>
            </w:r>
          </w:p>
        </w:tc>
        <w:tc>
          <w:tcPr/>
          <w:p>
            <w:pPr>
              <w:pStyle w:val="Compact"/>
            </w:pPr>
            <w:r>
              <w:t xml:space="preserve">Spermine oxidase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ANGPTL4</w:t>
            </w:r>
          </w:p>
        </w:tc>
        <w:tc>
          <w:tcPr/>
          <w:p>
            <w:pPr>
              <w:pStyle w:val="Compact"/>
            </w:pPr>
            <w:r>
              <w:t xml:space="preserve">+4.88</w:t>
            </w:r>
          </w:p>
        </w:tc>
        <w:tc>
          <w:tcPr/>
          <w:p>
            <w:pPr>
              <w:pStyle w:val="Compact"/>
            </w:pPr>
            <w:r>
              <w:t xml:space="preserve">8.23e-06</w:t>
            </w:r>
          </w:p>
        </w:tc>
        <w:tc>
          <w:tcPr/>
          <w:p>
            <w:pPr>
              <w:pStyle w:val="Compact"/>
            </w:pPr>
            <w:r>
              <w:t xml:space="preserve">Angiopoietin-like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CXCL8</w:t>
            </w:r>
          </w:p>
        </w:tc>
        <w:tc>
          <w:tcPr/>
          <w:p>
            <w:pPr>
              <w:pStyle w:val="Compact"/>
            </w:pPr>
            <w:r>
              <w:t xml:space="preserve">+5.50</w:t>
            </w:r>
          </w:p>
        </w:tc>
        <w:tc>
          <w:tcPr/>
          <w:p>
            <w:pPr>
              <w:pStyle w:val="Compact"/>
            </w:pPr>
            <w:r>
              <w:t xml:space="preserve">5.29e-03</w:t>
            </w:r>
          </w:p>
        </w:tc>
        <w:tc>
          <w:tcPr/>
          <w:p>
            <w:pPr>
              <w:pStyle w:val="Compact"/>
            </w:pPr>
            <w:r>
              <w:t xml:space="preserve">IL-8, neutrophil recruitment</w:t>
            </w:r>
          </w:p>
        </w:tc>
      </w:tr>
    </w:tbl>
    <w:bookmarkEnd w:id="13"/>
    <w:bookmarkStart w:id="14" w:name="downregulated-upon-stimulation"/>
    <w:p>
      <w:pPr>
        <w:pStyle w:val="Heading4"/>
      </w:pPr>
      <w:r>
        <w:t xml:space="preserve">Downregulated upon stimulation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Gene</w:t>
            </w:r>
          </w:p>
        </w:tc>
        <w:tc>
          <w:tcPr/>
          <w:p>
            <w:pPr>
              <w:pStyle w:val="Compact"/>
            </w:pPr>
            <w:r>
              <w:t xml:space="preserve">log₂FC</w:t>
            </w:r>
          </w:p>
        </w:tc>
        <w:tc>
          <w:tcPr/>
          <w:p>
            <w:pPr>
              <w:pStyle w:val="Compact"/>
            </w:pPr>
            <w:r>
              <w:t xml:space="preserve">adj. P-value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FLI1</w:t>
            </w:r>
          </w:p>
        </w:tc>
        <w:tc>
          <w:tcPr/>
          <w:p>
            <w:pPr>
              <w:pStyle w:val="Compact"/>
            </w:pPr>
            <w:r>
              <w:t xml:space="preserve">−1.59</w:t>
            </w:r>
          </w:p>
        </w:tc>
        <w:tc>
          <w:tcPr/>
          <w:p>
            <w:pPr>
              <w:pStyle w:val="Compact"/>
            </w:pPr>
            <w:r>
              <w:t xml:space="preserve">3.74e-06</w:t>
            </w:r>
          </w:p>
        </w:tc>
        <w:tc>
          <w:tcPr/>
          <w:p>
            <w:pPr>
              <w:pStyle w:val="Compact"/>
            </w:pPr>
            <w:r>
              <w:t xml:space="preserve">ETS transcription 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STX3</w:t>
            </w:r>
          </w:p>
        </w:tc>
        <w:tc>
          <w:tcPr/>
          <w:p>
            <w:pPr>
              <w:pStyle w:val="Compact"/>
            </w:pPr>
            <w:r>
              <w:t xml:space="preserve">−1.51</w:t>
            </w:r>
          </w:p>
        </w:tc>
        <w:tc>
          <w:tcPr/>
          <w:p>
            <w:pPr>
              <w:pStyle w:val="Compact"/>
            </w:pPr>
            <w:r>
              <w:t xml:space="preserve">3.74e-06</w:t>
            </w:r>
          </w:p>
        </w:tc>
        <w:tc>
          <w:tcPr/>
          <w:p>
            <w:pPr>
              <w:pStyle w:val="Compact"/>
            </w:pPr>
            <w:r>
              <w:t xml:space="preserve">Syntaxin-3, vesicle fusion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ARRB1</w:t>
            </w:r>
          </w:p>
        </w:tc>
        <w:tc>
          <w:tcPr/>
          <w:p>
            <w:pPr>
              <w:pStyle w:val="Compact"/>
            </w:pPr>
            <w:r>
              <w:t xml:space="preserve">−1.34</w:t>
            </w:r>
          </w:p>
        </w:tc>
        <w:tc>
          <w:tcPr/>
          <w:p>
            <w:pPr>
              <w:pStyle w:val="Compact"/>
            </w:pPr>
            <w:r>
              <w:t xml:space="preserve">2.11e-05</w:t>
            </w:r>
          </w:p>
        </w:tc>
        <w:tc>
          <w:tcPr/>
          <w:p>
            <w:pPr>
              <w:pStyle w:val="Compact"/>
            </w:pPr>
            <w:r>
              <w:t xml:space="preserve">β-Arrestin 1, GPCR signaling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RASSF1</w:t>
            </w:r>
          </w:p>
        </w:tc>
        <w:tc>
          <w:tcPr/>
          <w:p>
            <w:pPr>
              <w:pStyle w:val="Compact"/>
            </w:pPr>
            <w:r>
              <w:t xml:space="preserve">−1.81</w:t>
            </w:r>
          </w:p>
        </w:tc>
        <w:tc>
          <w:tcPr/>
          <w:p>
            <w:pPr>
              <w:pStyle w:val="Compact"/>
            </w:pPr>
            <w:r>
              <w:t xml:space="preserve">2.51e-05</w:t>
            </w:r>
          </w:p>
        </w:tc>
        <w:tc>
          <w:tcPr/>
          <w:p>
            <w:pPr>
              <w:pStyle w:val="Compact"/>
            </w:pPr>
            <w:r>
              <w:t xml:space="preserve">Tumor suppressor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RAP1GAP2</w:t>
            </w:r>
          </w:p>
        </w:tc>
        <w:tc>
          <w:tcPr/>
          <w:p>
            <w:pPr>
              <w:pStyle w:val="Compact"/>
            </w:pPr>
            <w:r>
              <w:t xml:space="preserve">−1.32</w:t>
            </w:r>
          </w:p>
        </w:tc>
        <w:tc>
          <w:tcPr/>
          <w:p>
            <w:pPr>
              <w:pStyle w:val="Compact"/>
            </w:pPr>
            <w:r>
              <w:t xml:space="preserve">4.29e-05</w:t>
            </w:r>
          </w:p>
        </w:tc>
        <w:tc>
          <w:tcPr/>
          <w:p>
            <w:pPr>
              <w:pStyle w:val="Compact"/>
            </w:pPr>
            <w:r>
              <w:t xml:space="preserve">GTPase regulation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LAIR1</w:t>
            </w:r>
          </w:p>
        </w:tc>
        <w:tc>
          <w:tcPr/>
          <w:p>
            <w:pPr>
              <w:pStyle w:val="Compact"/>
            </w:pPr>
            <w:r>
              <w:t xml:space="preserve">−1.60</w:t>
            </w:r>
          </w:p>
        </w:tc>
        <w:tc>
          <w:tcPr/>
          <w:p>
            <w:pPr>
              <w:pStyle w:val="Compact"/>
            </w:pPr>
            <w:r>
              <w:t xml:space="preserve">6.38e-05</w:t>
            </w:r>
          </w:p>
        </w:tc>
        <w:tc>
          <w:tcPr/>
          <w:p>
            <w:pPr>
              <w:pStyle w:val="Compact"/>
            </w:pPr>
            <w:r>
              <w:t xml:space="preserve">Inhibitory immune receptor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SELPLG</w:t>
            </w:r>
          </w:p>
        </w:tc>
        <w:tc>
          <w:tcPr/>
          <w:p>
            <w:pPr>
              <w:pStyle w:val="Compact"/>
            </w:pPr>
            <w:r>
              <w:t xml:space="preserve">−2.02</w:t>
            </w:r>
          </w:p>
        </w:tc>
        <w:tc>
          <w:tcPr/>
          <w:p>
            <w:pPr>
              <w:pStyle w:val="Compact"/>
            </w:pPr>
            <w:r>
              <w:t xml:space="preserve">1.01e-04</w:t>
            </w:r>
          </w:p>
        </w:tc>
        <w:tc>
          <w:tcPr/>
          <w:p>
            <w:pPr>
              <w:pStyle w:val="Compact"/>
            </w:pPr>
            <w:r>
              <w:t xml:space="preserve">P-selectin ligand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INPP5D</w:t>
            </w:r>
          </w:p>
        </w:tc>
        <w:tc>
          <w:tcPr/>
          <w:p>
            <w:pPr>
              <w:pStyle w:val="Compact"/>
            </w:pPr>
            <w:r>
              <w:t xml:space="preserve">−1.08</w:t>
            </w:r>
          </w:p>
        </w:tc>
        <w:tc>
          <w:tcPr/>
          <w:p>
            <w:pPr>
              <w:pStyle w:val="Compact"/>
            </w:pPr>
            <w:r>
              <w:t xml:space="preserve">1.56e-04</w:t>
            </w:r>
          </w:p>
        </w:tc>
        <w:tc>
          <w:tcPr/>
          <w:p>
            <w:pPr>
              <w:pStyle w:val="Compact"/>
            </w:pPr>
            <w:r>
              <w:t xml:space="preserve">SHIP-1, PI3K inhibitor</w:t>
            </w:r>
          </w:p>
        </w:tc>
      </w:tr>
    </w:tbl>
    <w:p>
      <w:pPr>
        <w:pStyle w:val="BodyText"/>
      </w:pPr>
      <w:r>
        <w:t xml:space="preserve">The complete table with all 10,047 tested genes is available as</w:t>
      </w:r>
      <w:r>
        <w:t xml:space="preserve"> </w:t>
      </w:r>
      <w:r>
        <w:rPr>
          <w:rStyle w:val="VerbatimChar"/>
        </w:rPr>
        <w:t xml:space="preserve">DE_Stimulated_vs_Native.tsv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2c0cee82edec5d4c67e0654bd9c955c3a6e6e1b"/>
    <w:p>
      <w:pPr>
        <w:pStyle w:val="Heading3"/>
      </w:pPr>
      <w:r>
        <w:t xml:space="preserve">Table S5. Tissue × State Interaction Analysis</w:t>
      </w:r>
    </w:p>
    <w:p>
      <w:pPr>
        <w:pStyle w:val="FirstParagraph"/>
      </w:pPr>
      <w:r>
        <w:t xml:space="preserve">No significant interaction genes were detected (0 genes with adj.P &lt; 0.05), indicating that the mast cell activation response is tissue-independent.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</w:t>
            </w:r>
          </w:p>
        </w:tc>
        <w:tc>
          <w:tcPr/>
          <w:p>
            <w:pPr>
              <w:pStyle w:val="Compact"/>
            </w:pPr>
            <w:r>
              <w:t xml:space="preserve">Interaction log₂FC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adj. P-value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GZMB</w:t>
            </w:r>
          </w:p>
        </w:tc>
        <w:tc>
          <w:tcPr/>
          <w:p>
            <w:pPr>
              <w:pStyle w:val="Compact"/>
            </w:pPr>
            <w:r>
              <w:t xml:space="preserve">−4.94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TNFRSF4</w:t>
            </w:r>
          </w:p>
        </w:tc>
        <w:tc>
          <w:tcPr/>
          <w:p>
            <w:pPr>
              <w:pStyle w:val="Compact"/>
            </w:pPr>
            <w:r>
              <w:t xml:space="preserve">+3.53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CCL1</w:t>
            </w:r>
          </w:p>
        </w:tc>
        <w:tc>
          <w:tcPr/>
          <w:p>
            <w:pPr>
              <w:pStyle w:val="Compact"/>
            </w:pPr>
            <w:r>
              <w:t xml:space="preserve">−3.58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FASLG</w:t>
            </w:r>
          </w:p>
        </w:tc>
        <w:tc>
          <w:tcPr/>
          <w:p>
            <w:pPr>
              <w:pStyle w:val="Compact"/>
            </w:pPr>
            <w:r>
              <w:t xml:space="preserve">−3.46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TPSD1</w:t>
            </w:r>
          </w:p>
        </w:tc>
        <w:tc>
          <w:tcPr/>
          <w:p>
            <w:pPr>
              <w:pStyle w:val="Compact"/>
            </w:pPr>
            <w:r>
              <w:t xml:space="preserve">+0.32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CXCL8</w:t>
            </w:r>
          </w:p>
        </w:tc>
        <w:tc>
          <w:tcPr/>
          <w:p>
            <w:pPr>
              <w:pStyle w:val="Compact"/>
            </w:pPr>
            <w:r>
              <w:t xml:space="preserve">−1.27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</w:tbl>
    <w:p>
      <w:pPr>
        <w:pStyle w:val="BodyText"/>
      </w:pPr>
      <w:r>
        <w:t xml:space="preserve">The complete interaction results are available as</w:t>
      </w:r>
      <w:r>
        <w:t xml:space="preserve"> </w:t>
      </w:r>
      <w:r>
        <w:rPr>
          <w:rStyle w:val="VerbatimChar"/>
        </w:rPr>
        <w:t xml:space="preserve">DE_Interaction_Tissue_x_State.tsv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upplementary-figures"/>
    <w:p>
      <w:pPr>
        <w:pStyle w:val="Heading2"/>
      </w:pPr>
      <w:r>
        <w:t xml:space="preserve">Supplementary Figures</w:t>
      </w:r>
    </w:p>
    <w:bookmarkStart w:id="18" w:name="figure-s1.-batch-corrected-pca"/>
    <w:p>
      <w:pPr>
        <w:pStyle w:val="Heading3"/>
      </w:pPr>
      <w:r>
        <w:t xml:space="preserve">Figure S1. Batch-Corrected PCA</w:t>
      </w:r>
    </w:p>
    <w:p>
      <w:pPr>
        <w:pStyle w:val="FirstParagraph"/>
      </w:pPr>
      <w:r>
        <w:t xml:space="preserve">Principal component analysis of all 21 biological samples after batch correction for the Dataset effect (FANTOM5 vs FANTOM6) using</w:t>
      </w:r>
      <w:r>
        <w:t xml:space="preserve"> </w:t>
      </w:r>
      <w:r>
        <w:rPr>
          <w:rStyle w:val="VerbatimChar"/>
        </w:rPr>
        <w:t xml:space="preserve">removeBatchEffect()</w:t>
      </w:r>
      <w:r>
        <w:t xml:space="preserve">. Colors indicate tissue origin (red = Breast, blue = Foreskin); shapes indicate activation state (circle = Native, triangle = Stimulated).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PCA_batch_corrected.png</w:t>
      </w:r>
    </w:p>
    <w:p>
      <w:r>
        <w:pict>
          <v:rect style="width:0;height:1.5pt" o:hralign="center" o:hrstd="t" o:hr="t"/>
        </w:pict>
      </w:r>
    </w:p>
    <w:bookmarkEnd w:id="18"/>
    <w:bookmarkStart w:id="19" w:name="figure-s2.-volcano-plot-tissue-contrast"/>
    <w:p>
      <w:pPr>
        <w:pStyle w:val="Heading3"/>
      </w:pPr>
      <w:r>
        <w:t xml:space="preserve">Figure S2. Volcano Plot — Tissue Contrast</w:t>
      </w:r>
    </w:p>
    <w:p>
      <w:pPr>
        <w:pStyle w:val="FirstParagraph"/>
      </w:pPr>
      <w:r>
        <w:t xml:space="preserve">Volcano plot showing log₂ fold change (x-axis) vs −log₁₀ adjusted P-value (y-axis) for the tissue contrast (Foreskin vs Breast). Dashed lines indicate significance thresholds (adj.P &lt; 0.05 and |log₂FC| &gt; 1). Red points denote significant genes.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Volcano_FsMC_vs_BsMC.png</w:t>
      </w:r>
    </w:p>
    <w:p>
      <w:r>
        <w:pict>
          <v:rect style="width:0;height:1.5pt" o:hralign="center" o:hrstd="t" o:hr="t"/>
        </w:pict>
      </w:r>
    </w:p>
    <w:bookmarkEnd w:id="19"/>
    <w:bookmarkStart w:id="20" w:name="figure-s3.-key-gene-expression-boxplots"/>
    <w:p>
      <w:pPr>
        <w:pStyle w:val="Heading3"/>
      </w:pPr>
      <w:r>
        <w:t xml:space="preserve">Figure S3. Key Gene Expression Boxplots</w:t>
      </w:r>
    </w:p>
    <w:p>
      <w:pPr>
        <w:pStyle w:val="FirstParagraph"/>
      </w:pPr>
      <w:r>
        <w:t xml:space="preserve">Boxplots of 12 key mast cell genes showing batch-corrected logCPM expression across tissue origins and activation states. Points are colored by state (blue = Native, red = Stimulated) and shaped by dataset (circle = FANTOM6, triangle = FANTOM5).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Boxplots_KeyGenes_Panel.png</w:t>
      </w:r>
    </w:p>
    <w:p>
      <w:r>
        <w:pict>
          <v:rect style="width:0;height:1.5pt" o:hralign="center" o:hrstd="t" o:hr="t"/>
        </w:pict>
      </w:r>
    </w:p>
    <w:bookmarkEnd w:id="20"/>
    <w:bookmarkStart w:id="21" w:name="X22da38f270bf8bfc0ab72144a29f0ed858b0f90"/>
    <w:p>
      <w:pPr>
        <w:pStyle w:val="Heading3"/>
      </w:pPr>
      <w:r>
        <w:t xml:space="preserve">Figure S4. Heatmap — Top 40 Activation DE Genes</w:t>
      </w:r>
    </w:p>
    <w:p>
      <w:pPr>
        <w:pStyle w:val="FirstParagraph"/>
      </w:pPr>
      <w:r>
        <w:t xml:space="preserve">Hierarchical clustering heatmap (Ward’s method) of the top 40 differentially expressed genes upon IgE-mediated stimulation. Z-scored, batch-corrected logCPM values. Column annotations indicate Tissue, State, and Dataset.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Heatmap_Top40_Activation_DE.png</w:t>
      </w:r>
    </w:p>
    <w:p>
      <w:r>
        <w:pict>
          <v:rect style="width:0;height:1.5pt" o:hralign="center" o:hrstd="t" o:hr="t"/>
        </w:pict>
      </w:r>
    </w:p>
    <w:bookmarkEnd w:id="21"/>
    <w:bookmarkStart w:id="22" w:name="figure-s5.-variance-partition-analysis"/>
    <w:p>
      <w:pPr>
        <w:pStyle w:val="Heading3"/>
      </w:pPr>
      <w:r>
        <w:t xml:space="preserve">Figure S5. Variance Partition Analysis</w:t>
      </w:r>
    </w:p>
    <w:p>
      <w:pPr>
        <w:pStyle w:val="FirstParagraph"/>
      </w:pPr>
      <w:r>
        <w:t xml:space="preserve">Violin plot showing the proportion of variance explained by each factor (Dataset, Donor, State, Tissue, Residuals) across all 10,047 expressed genes. Analysis performed using</w:t>
      </w:r>
      <w:r>
        <w:t xml:space="preserve"> </w:t>
      </w:r>
      <w:r>
        <w:rPr>
          <w:rStyle w:val="VerbatimChar"/>
        </w:rPr>
        <w:t xml:space="preserve">variancePartition::fitExtractVarPartModel</w:t>
      </w:r>
      <w:r>
        <w:t xml:space="preserve"> </w:t>
      </w:r>
      <w:r>
        <w:t xml:space="preserve">with formula</w:t>
      </w:r>
      <w:r>
        <w:t xml:space="preserve"> </w:t>
      </w:r>
      <w:r>
        <w:rPr>
          <w:rStyle w:val="VerbatimChar"/>
        </w:rPr>
        <w:t xml:space="preserve">~ (1|Tissue) + (1|State) + (1|Dataset) + (1|Donor)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VariancePartition_violin.png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supplementary-methods"/>
    <w:p>
      <w:pPr>
        <w:pStyle w:val="Heading2"/>
      </w:pPr>
      <w:r>
        <w:t xml:space="preserve">Supplementary Methods</w:t>
      </w:r>
    </w:p>
    <w:bookmarkStart w:id="24" w:name="data-processing-pipeline"/>
    <w:p>
      <w:pPr>
        <w:pStyle w:val="Heading3"/>
      </w:pPr>
      <w:r>
        <w:t xml:space="preserve">Data Processing Pipeline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Raw counts</w:t>
      </w:r>
      <w:r>
        <w:t xml:space="preserve">: CAGE-seq gene-level counts from FANTOM6 (CAT gene annotation) and FANTOM5 (remapped to hg38 using STAR aligner).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 ID mapping</w:t>
      </w:r>
      <w:r>
        <w:t xml:space="preserve">: FANTOM6 CAT gene IDs were mapped to HGNC symbols using the F6_CAT.gene.info annotation file. Multi-mapping genes were aggregated by summing counts.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Technical replicate handling</w:t>
      </w:r>
      <w:r>
        <w:t xml:space="preserve">: FANTOM6 technical replicates (2–3 per biological sample) were summed to produce a single count vector per biological sample.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merging</w:t>
      </w:r>
      <w:r>
        <w:t xml:space="preserve">: Intersection of genes present in both datasets (10,047 genes retained).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Filtering</w:t>
      </w:r>
      <w:r>
        <w:t xml:space="preserve">: Genes with low counts were removed using</w:t>
      </w:r>
      <w:r>
        <w:t xml:space="preserve"> </w:t>
      </w:r>
      <w:r>
        <w:rPr>
          <w:rStyle w:val="VerbatimChar"/>
        </w:rPr>
        <w:t xml:space="preserve">edgeR::filterByExpr()</w:t>
      </w:r>
      <w:r>
        <w:t xml:space="preserve"> </w:t>
      </w:r>
      <w:r>
        <w:t xml:space="preserve">with tissue as the grouping factor.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Normalization</w:t>
      </w:r>
      <w:r>
        <w:t xml:space="preserve">: TMM normalization (</w:t>
      </w:r>
      <w:r>
        <w:rPr>
          <w:rStyle w:val="VerbatimChar"/>
        </w:rPr>
        <w:t xml:space="preserve">edgeR::calcNormFactors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limma::voom()</w:t>
      </w:r>
      <w:r>
        <w:t xml:space="preserve"> </w:t>
      </w:r>
      <w:r>
        <w:t xml:space="preserve">with the design matrix for precision-weighted logCPM.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Differential expression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limma::lmFit()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limma::eBayes()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testing correction</w:t>
      </w:r>
      <w:r>
        <w:t xml:space="preserve">: Benjamini–Hochberg FDR.</w:t>
      </w:r>
    </w:p>
    <w:bookmarkEnd w:id="24"/>
    <w:bookmarkStart w:id="25" w:name="statistical-model-justification"/>
    <w:p>
      <w:pPr>
        <w:pStyle w:val="Heading3"/>
      </w:pPr>
      <w:r>
        <w:t xml:space="preserve">Statistical Model Justification</w:t>
      </w:r>
    </w:p>
    <w:p>
      <w:pPr>
        <w:pStyle w:val="FirstParagraph"/>
      </w:pPr>
      <w:r>
        <w:t xml:space="preserve">An unpaired (independent samples) design was chosen because donors are completely nested within tissue: no donor contributes both foreskin and breast tissue. A mixed-effects model with</w:t>
      </w:r>
      <w:r>
        <w:t xml:space="preserve"> </w:t>
      </w:r>
      <w:r>
        <w:rPr>
          <w:rStyle w:val="VerbatimChar"/>
        </w:rPr>
        <w:t xml:space="preserve">(1|Donor)</w:t>
      </w:r>
      <w:r>
        <w:t xml:space="preserve"> </w:t>
      </w:r>
      <w:r>
        <w:t xml:space="preserve">random effect was evaluated but rejected because the Donor term cannot reduce variance for the cross-tissue comparison and artificially constrained the effective degrees of freedom (yielding only 14 vs 17 DE genes).</w:t>
      </w:r>
    </w:p>
    <w:bookmarkEnd w:id="25"/>
    <w:bookmarkStart w:id="26" w:name="software-versions"/>
    <w:p>
      <w:pPr>
        <w:pStyle w:val="Heading3"/>
      </w:pPr>
      <w:r>
        <w:t xml:space="preserve">Software Versions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limma</w:t>
            </w:r>
          </w:p>
        </w:tc>
        <w:tc>
          <w:tcPr/>
          <w:p>
            <w:pPr>
              <w:pStyle w:val="Compact"/>
            </w:pPr>
            <w:r>
              <w:t xml:space="preserve">≥3.60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edgeR</w:t>
            </w:r>
          </w:p>
        </w:tc>
        <w:tc>
          <w:tcPr/>
          <w:p>
            <w:pPr>
              <w:pStyle w:val="Compact"/>
            </w:pPr>
            <w:r>
              <w:t xml:space="preserve">≥4.2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variancePartition</w:t>
            </w:r>
          </w:p>
        </w:tc>
        <w:tc>
          <w:tcPr/>
          <w:p>
            <w:pPr>
              <w:pStyle w:val="Compact"/>
            </w:pPr>
            <w:r>
              <w:t xml:space="preserve">≥1.34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  <w:r>
              <w:t xml:space="preserve">≥3.5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pheatmap</w:t>
            </w:r>
          </w:p>
        </w:tc>
        <w:tc>
          <w:tcPr/>
          <w:p>
            <w:pPr>
              <w:pStyle w:val="Compact"/>
            </w:pPr>
            <w:r>
              <w:t xml:space="preserve">≥1.0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data.table</w:t>
            </w:r>
          </w:p>
        </w:tc>
        <w:tc>
          <w:tcPr/>
          <w:p>
            <w:pPr>
              <w:pStyle w:val="Compact"/>
            </w:pPr>
            <w:r>
              <w:t xml:space="preserve">≥1.15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analysis code is available on GitHub:</w:t>
      </w:r>
      <w:r>
        <w:t xml:space="preserve"> </w:t>
      </w:r>
      <w:hyperlink r:id="rId28">
        <w:r>
          <w:rPr>
            <w:rStyle w:val="Hyperlink"/>
          </w:rPr>
          <w:t xml:space="preserve">Fantom-Integration-F5-F6</w:t>
        </w:r>
      </w:hyperlink>
    </w:p>
    <w:bookmarkStart w:id="29" w:name="repository-contents"/>
    <w:p>
      <w:pPr>
        <w:pStyle w:val="Heading3"/>
      </w:pPr>
      <w:r>
        <w:t xml:space="preserve">Repository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run_limma_integration.R</w:t>
            </w:r>
          </w:p>
        </w:tc>
        <w:tc>
          <w:tcPr/>
          <w:p>
            <w:pPr>
              <w:pStyle w:val="Compact"/>
            </w:pPr>
            <w:r>
              <w:t xml:space="preserve">Main differential expression analysis 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run_extended_analysis.R</w:t>
            </w:r>
          </w:p>
        </w:tc>
        <w:tc>
          <w:tcPr/>
          <w:p>
            <w:pPr>
              <w:pStyle w:val="Compact"/>
            </w:pPr>
            <w:r>
              <w:t xml:space="preserve">Extended analyses: boxplots, heatmaps, interaction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run_dream_analysis.R</w:t>
            </w:r>
          </w:p>
        </w:tc>
        <w:tc>
          <w:tcPr/>
          <w:p>
            <w:pPr>
              <w:pStyle w:val="Compact"/>
            </w:pPr>
            <w:r>
              <w:t xml:space="preserve">Exploratory mixed-effects analysis (not used for final results)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Repository documentation</w:t>
            </w:r>
          </w:p>
        </w:tc>
      </w:tr>
    </w:tbl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github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github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2026-06-21T02:27:45Z</dcterms:created>
  <dcterms:modified xsi:type="dcterms:W3CDTF">2026-06-21T02:27:45Z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