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9704" w14:textId="5590C804" w:rsidR="00661C97" w:rsidRDefault="00661C97">
      <w:r>
        <w:rPr>
          <w:noProof/>
        </w:rPr>
        <w:drawing>
          <wp:inline distT="0" distB="0" distL="0" distR="0" wp14:anchorId="2E562376" wp14:editId="03597A16">
            <wp:extent cx="6101697" cy="2803021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101E08-D2C4-45D7-A1A9-CEC7250A5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9B77FF" w14:textId="77777777" w:rsidR="00661C97" w:rsidRDefault="00661C97"/>
    <w:p w14:paraId="5FE3BC6D" w14:textId="77777777" w:rsidR="00661C97" w:rsidRDefault="00661C97"/>
    <w:p w14:paraId="7BB92D6C" w14:textId="77777777" w:rsidR="00661C97" w:rsidRDefault="00661C97"/>
    <w:p w14:paraId="3612D0A9" w14:textId="1A30A842" w:rsidR="00661C97" w:rsidRPr="00BE49CE" w:rsidRDefault="00BE49CE" w:rsidP="00BE49C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0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TOTAL FOODGRAIN ALLOCATIONS REACHED A RECORD HIGH OF 1,002 LAKH TONS IN 2021-22 </w:t>
      </w:r>
    </w:p>
    <w:p w14:paraId="2BC2C64B" w14:textId="77777777" w:rsidR="00661C97" w:rsidRDefault="00661C97"/>
    <w:p w14:paraId="014C1C26" w14:textId="13D9F619" w:rsidR="00661C97" w:rsidRDefault="00661C97">
      <w:r>
        <w:rPr>
          <w:noProof/>
        </w:rPr>
        <w:drawing>
          <wp:anchor distT="0" distB="0" distL="114300" distR="114300" simplePos="0" relativeHeight="251658240" behindDoc="0" locked="0" layoutInCell="1" allowOverlap="1" wp14:anchorId="073F40D0" wp14:editId="1AAD40C3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6836410" cy="3204210"/>
            <wp:effectExtent l="0" t="0" r="254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029D97E-ECDC-4D49-A859-0F9ED1F1B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269F0" w14:textId="77777777" w:rsidR="00661C97" w:rsidRDefault="00661C97"/>
    <w:p w14:paraId="7ACFEA4F" w14:textId="77777777" w:rsidR="00661C97" w:rsidRDefault="00661C97"/>
    <w:p w14:paraId="7B05FB8F" w14:textId="32609495" w:rsidR="00AD78E5" w:rsidRDefault="00AD78E5"/>
    <w:p w14:paraId="63C2A816" w14:textId="3DB7383F" w:rsidR="00661C97" w:rsidRDefault="00661C97"/>
    <w:p w14:paraId="38F5A413" w14:textId="530A8325" w:rsidR="00661C97" w:rsidRDefault="00A74B40">
      <w:r>
        <w:rPr>
          <w:noProof/>
        </w:rPr>
        <w:drawing>
          <wp:inline distT="0" distB="0" distL="0" distR="0" wp14:anchorId="5555FFA7" wp14:editId="02F268BB">
            <wp:extent cx="6298250" cy="2640651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6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97"/>
    <w:rsid w:val="00661C97"/>
    <w:rsid w:val="00A74B40"/>
    <w:rsid w:val="00AD78E5"/>
    <w:rsid w:val="00BE49CE"/>
    <w:rsid w:val="00C965EF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2E1"/>
  <w15:chartTrackingRefBased/>
  <w15:docId w15:val="{20EDBAC9-75CE-46E6-9C93-4E13AFD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nny\Downloads\FS-NFSA%20BB%202022-23%20Analysis_v5c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nny\Downloads\FS-NFSA%20BB%202022-23%20Analysis_v5c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enny\Downloads\FS-NFSA%20BB%202022-23%20Analysis_v5c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r>
              <a:rPr lang="en-IN" sz="1000" b="1" i="0" baseline="0">
                <a:effectLst/>
              </a:rPr>
              <a:t>IN 2022 TOTAL STOCK OF FOODGRAINS IN CENTRAL POOL WAS HIGHER THAN THE REQUIRED STOCKING NORMS , BUT  LOWER THAN IN 2020 AND 2021</a:t>
            </a:r>
            <a:endParaRPr lang="en-I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Alegreya Sans" panose="00000500000000000000" pitchFamily="2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'Graph stocking norms'!$A$4</c:f>
              <c:strCache>
                <c:ptCount val="1"/>
                <c:pt idx="0">
                  <c:v>Stocking Norms (in lakh tons)</c:v>
                </c:pt>
              </c:strCache>
            </c:strRef>
          </c:tx>
          <c:spPr>
            <a:solidFill>
              <a:srgbClr val="8A8C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Alegreya Sans" panose="000005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'Graph stocking norms'!$B$2:$M$3</c:f>
              <c:multiLvlStrCache>
                <c:ptCount val="12"/>
                <c:lvl>
                  <c:pt idx="0">
                    <c:v>Wheat</c:v>
                  </c:pt>
                  <c:pt idx="1">
                    <c:v>Rice</c:v>
                  </c:pt>
                  <c:pt idx="2">
                    <c:v>Total</c:v>
                  </c:pt>
                  <c:pt idx="3">
                    <c:v>Wheat</c:v>
                  </c:pt>
                  <c:pt idx="4">
                    <c:v>Rice</c:v>
                  </c:pt>
                  <c:pt idx="5">
                    <c:v>Total</c:v>
                  </c:pt>
                  <c:pt idx="6">
                    <c:v>Wheat</c:v>
                  </c:pt>
                  <c:pt idx="7">
                    <c:v>Rice</c:v>
                  </c:pt>
                  <c:pt idx="8">
                    <c:v>Total</c:v>
                  </c:pt>
                  <c:pt idx="9">
                    <c:v>Wheat</c:v>
                  </c:pt>
                  <c:pt idx="10">
                    <c:v>Rice</c:v>
                  </c:pt>
                  <c:pt idx="11">
                    <c:v>Total</c:v>
                  </c:pt>
                </c:lvl>
                <c:lvl>
                  <c:pt idx="0">
                    <c:v>Stock till 1 January </c:v>
                  </c:pt>
                  <c:pt idx="3">
                    <c:v>Stock till 1 April</c:v>
                  </c:pt>
                  <c:pt idx="6">
                    <c:v>Stock till 1 July</c:v>
                  </c:pt>
                  <c:pt idx="9">
                    <c:v>Stock till 1 October</c:v>
                  </c:pt>
                </c:lvl>
              </c:multiLvlStrCache>
            </c:multiLvlStrRef>
          </c:cat>
          <c:val>
            <c:numRef>
              <c:f>'Graph stocking norms'!$B$4:$M$4</c:f>
              <c:numCache>
                <c:formatCode>0</c:formatCode>
                <c:ptCount val="12"/>
                <c:pt idx="0">
                  <c:v>138</c:v>
                </c:pt>
                <c:pt idx="1">
                  <c:v>76.099999999999994</c:v>
                </c:pt>
                <c:pt idx="2">
                  <c:v>214.1</c:v>
                </c:pt>
                <c:pt idx="3">
                  <c:v>74.599999999999994</c:v>
                </c:pt>
                <c:pt idx="4">
                  <c:v>135.80000000000001</c:v>
                </c:pt>
                <c:pt idx="5">
                  <c:v>210.4</c:v>
                </c:pt>
                <c:pt idx="6">
                  <c:v>275.8</c:v>
                </c:pt>
                <c:pt idx="7">
                  <c:v>135.4</c:v>
                </c:pt>
                <c:pt idx="8">
                  <c:v>411.20000000000005</c:v>
                </c:pt>
                <c:pt idx="9">
                  <c:v>205.2</c:v>
                </c:pt>
                <c:pt idx="10">
                  <c:v>102.5</c:v>
                </c:pt>
                <c:pt idx="11">
                  <c:v>307.7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31-415A-924E-2B562DABFC65}"/>
            </c:ext>
          </c:extLst>
        </c:ser>
        <c:ser>
          <c:idx val="1"/>
          <c:order val="1"/>
          <c:tx>
            <c:strRef>
              <c:f>'Graph stocking norms'!$A$5</c:f>
              <c:strCache>
                <c:ptCount val="1"/>
                <c:pt idx="0">
                  <c:v>Stock Position in the Central Pool in 2022 (in lakh tons)</c:v>
                </c:pt>
              </c:strCache>
            </c:strRef>
          </c:tx>
          <c:spPr>
            <a:solidFill>
              <a:srgbClr val="CE182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Alegreya Sans" panose="000005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'Graph stocking norms'!$B$2:$M$3</c:f>
              <c:multiLvlStrCache>
                <c:ptCount val="12"/>
                <c:lvl>
                  <c:pt idx="0">
                    <c:v>Wheat</c:v>
                  </c:pt>
                  <c:pt idx="1">
                    <c:v>Rice</c:v>
                  </c:pt>
                  <c:pt idx="2">
                    <c:v>Total</c:v>
                  </c:pt>
                  <c:pt idx="3">
                    <c:v>Wheat</c:v>
                  </c:pt>
                  <c:pt idx="4">
                    <c:v>Rice</c:v>
                  </c:pt>
                  <c:pt idx="5">
                    <c:v>Total</c:v>
                  </c:pt>
                  <c:pt idx="6">
                    <c:v>Wheat</c:v>
                  </c:pt>
                  <c:pt idx="7">
                    <c:v>Rice</c:v>
                  </c:pt>
                  <c:pt idx="8">
                    <c:v>Total</c:v>
                  </c:pt>
                  <c:pt idx="9">
                    <c:v>Wheat</c:v>
                  </c:pt>
                  <c:pt idx="10">
                    <c:v>Rice</c:v>
                  </c:pt>
                  <c:pt idx="11">
                    <c:v>Total</c:v>
                  </c:pt>
                </c:lvl>
                <c:lvl>
                  <c:pt idx="0">
                    <c:v>Stock till 1 January </c:v>
                  </c:pt>
                  <c:pt idx="3">
                    <c:v>Stock till 1 April</c:v>
                  </c:pt>
                  <c:pt idx="6">
                    <c:v>Stock till 1 July</c:v>
                  </c:pt>
                  <c:pt idx="9">
                    <c:v>Stock till 1 October</c:v>
                  </c:pt>
                </c:lvl>
              </c:multiLvlStrCache>
            </c:multiLvlStrRef>
          </c:cat>
          <c:val>
            <c:numRef>
              <c:f>'Graph stocking norms'!$B$5:$M$5</c:f>
              <c:numCache>
                <c:formatCode>0</c:formatCode>
                <c:ptCount val="12"/>
                <c:pt idx="0">
                  <c:v>223.75</c:v>
                </c:pt>
                <c:pt idx="1">
                  <c:v>330.12</c:v>
                </c:pt>
                <c:pt idx="2">
                  <c:v>553.87</c:v>
                </c:pt>
                <c:pt idx="3">
                  <c:v>323.22000000000003</c:v>
                </c:pt>
                <c:pt idx="4">
                  <c:v>189.9</c:v>
                </c:pt>
                <c:pt idx="5">
                  <c:v>513.12</c:v>
                </c:pt>
                <c:pt idx="6">
                  <c:v>317.07</c:v>
                </c:pt>
                <c:pt idx="7">
                  <c:v>285.10000000000002</c:v>
                </c:pt>
                <c:pt idx="8">
                  <c:v>602.16999999999996</c:v>
                </c:pt>
                <c:pt idx="9">
                  <c:v>204.67</c:v>
                </c:pt>
                <c:pt idx="10">
                  <c:v>227.46</c:v>
                </c:pt>
                <c:pt idx="11">
                  <c:v>432.13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31-415A-924E-2B562DABFC6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31"/>
        <c:overlap val="100"/>
        <c:axId val="222303672"/>
        <c:axId val="222300144"/>
      </c:barChart>
      <c:catAx>
        <c:axId val="222303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222300144"/>
        <c:crosses val="autoZero"/>
        <c:auto val="1"/>
        <c:lblAlgn val="ctr"/>
        <c:lblOffset val="100"/>
        <c:noMultiLvlLbl val="0"/>
      </c:catAx>
      <c:valAx>
        <c:axId val="222300144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222303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Alegreya Sans" panose="00000500000000000000" pitchFamily="2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legreya Sans" panose="00000500000000000000" pitchFamily="2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428000953716935E-2"/>
          <c:y val="6.8645313509414163E-2"/>
          <c:w val="0.87403555545968448"/>
          <c:h val="0.6225403453581380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'Graph Foodgrains'!$A$48</c:f>
              <c:strCache>
                <c:ptCount val="1"/>
                <c:pt idx="0">
                  <c:v>NFSA (in lakh tons)</c:v>
                </c:pt>
              </c:strCache>
            </c:strRef>
          </c:tx>
          <c:spPr>
            <a:solidFill>
              <a:srgbClr val="8A8C8E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chemeClr val="bg1"/>
                    </a:solidFill>
                    <a:latin typeface="Alegreya Sans" panose="000005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'Graph Foodgrains'!$D$46:$M$47</c:f>
              <c:multiLvlStrCache>
                <c:ptCount val="10"/>
                <c:lvl>
                  <c:pt idx="0">
                    <c:v>Allocations 
</c:v>
                  </c:pt>
                  <c:pt idx="1">
                    <c:v>Offtake 
</c:v>
                  </c:pt>
                  <c:pt idx="2">
                    <c:v>Allocations 
</c:v>
                  </c:pt>
                  <c:pt idx="3">
                    <c:v>Offtake 
</c:v>
                  </c:pt>
                  <c:pt idx="4">
                    <c:v>Allocations 
</c:v>
                  </c:pt>
                  <c:pt idx="5">
                    <c:v>Offtake 
</c:v>
                  </c:pt>
                  <c:pt idx="6">
                    <c:v>Allocations 
</c:v>
                  </c:pt>
                  <c:pt idx="7">
                    <c:v>Offtake 
</c:v>
                  </c:pt>
                  <c:pt idx="8">
                    <c:v>Allocations 
</c:v>
                  </c:pt>
                  <c:pt idx="9">
                    <c:v>Offtake 
</c:v>
                  </c:pt>
                </c:lvl>
                <c:lvl>
                  <c:pt idx="0">
                    <c:v>2018-19</c:v>
                  </c:pt>
                  <c:pt idx="2">
                    <c:v>2019-20</c:v>
                  </c:pt>
                  <c:pt idx="4">
                    <c:v>2020-21</c:v>
                  </c:pt>
                  <c:pt idx="6">
                    <c:v>2021-22 
</c:v>
                  </c:pt>
                  <c:pt idx="8">
                    <c:v>2022-23
(till November)
</c:v>
                  </c:pt>
                </c:lvl>
              </c:multiLvlStrCache>
            </c:multiLvlStrRef>
          </c:cat>
          <c:val>
            <c:numRef>
              <c:f>'Graph Foodgrains'!$D$48:$M$48</c:f>
              <c:numCache>
                <c:formatCode>0</c:formatCode>
                <c:ptCount val="10"/>
                <c:pt idx="0">
                  <c:v>552.96496999999999</c:v>
                </c:pt>
                <c:pt idx="1">
                  <c:v>524.00390999999991</c:v>
                </c:pt>
                <c:pt idx="2">
                  <c:v>549.25973000000022</c:v>
                </c:pt>
                <c:pt idx="3">
                  <c:v>528.46856000000014</c:v>
                </c:pt>
                <c:pt idx="4">
                  <c:v>548.15411999999992</c:v>
                </c:pt>
                <c:pt idx="5">
                  <c:v>518.04174</c:v>
                </c:pt>
                <c:pt idx="6">
                  <c:v>548.66713000000004</c:v>
                </c:pt>
                <c:pt idx="7">
                  <c:v>485.60548999999997</c:v>
                </c:pt>
                <c:pt idx="8">
                  <c:v>366.66271999999998</c:v>
                </c:pt>
                <c:pt idx="9">
                  <c:v>322.12385999999998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41-47C3-BBB8-3123BA239E03}"/>
            </c:ext>
          </c:extLst>
        </c:ser>
        <c:ser>
          <c:idx val="1"/>
          <c:order val="1"/>
          <c:tx>
            <c:strRef>
              <c:f>'Graph Foodgrains'!$A$49</c:f>
              <c:strCache>
                <c:ptCount val="1"/>
                <c:pt idx="0">
                  <c:v>COVID-19 and non-NFSA (in lakh tons)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chemeClr val="bg2"/>
                    </a:solidFill>
                    <a:latin typeface="Alegreya Sans" panose="000005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'Graph Foodgrains'!$D$46:$M$47</c:f>
              <c:multiLvlStrCache>
                <c:ptCount val="10"/>
                <c:lvl>
                  <c:pt idx="0">
                    <c:v>Allocations 
</c:v>
                  </c:pt>
                  <c:pt idx="1">
                    <c:v>Offtake 
</c:v>
                  </c:pt>
                  <c:pt idx="2">
                    <c:v>Allocations 
</c:v>
                  </c:pt>
                  <c:pt idx="3">
                    <c:v>Offtake 
</c:v>
                  </c:pt>
                  <c:pt idx="4">
                    <c:v>Allocations 
</c:v>
                  </c:pt>
                  <c:pt idx="5">
                    <c:v>Offtake 
</c:v>
                  </c:pt>
                  <c:pt idx="6">
                    <c:v>Allocations 
</c:v>
                  </c:pt>
                  <c:pt idx="7">
                    <c:v>Offtake 
</c:v>
                  </c:pt>
                  <c:pt idx="8">
                    <c:v>Allocations 
</c:v>
                  </c:pt>
                  <c:pt idx="9">
                    <c:v>Offtake 
</c:v>
                  </c:pt>
                </c:lvl>
                <c:lvl>
                  <c:pt idx="0">
                    <c:v>2018-19</c:v>
                  </c:pt>
                  <c:pt idx="2">
                    <c:v>2019-20</c:v>
                  </c:pt>
                  <c:pt idx="4">
                    <c:v>2020-21</c:v>
                  </c:pt>
                  <c:pt idx="6">
                    <c:v>2021-22 
</c:v>
                  </c:pt>
                  <c:pt idx="8">
                    <c:v>2022-23
(till November)
</c:v>
                  </c:pt>
                </c:lvl>
              </c:multiLvlStrCache>
            </c:multiLvlStrRef>
          </c:cat>
          <c:val>
            <c:numRef>
              <c:f>'Graph Foodgrains'!$D$49:$M$49</c:f>
              <c:numCache>
                <c:formatCode>General</c:formatCode>
                <c:ptCount val="10"/>
                <c:pt idx="4">
                  <c:v>338.71677000000005</c:v>
                </c:pt>
                <c:pt idx="5">
                  <c:v>315.15853000000004</c:v>
                </c:pt>
                <c:pt idx="6" formatCode="0">
                  <c:v>453.80300999999997</c:v>
                </c:pt>
                <c:pt idx="7" formatCode="0">
                  <c:v>407.05134999999996</c:v>
                </c:pt>
                <c:pt idx="8" formatCode="0">
                  <c:v>364.36637999999999</c:v>
                </c:pt>
                <c:pt idx="9" formatCode="0">
                  <c:v>262.58476999999999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41-47C3-BBB8-3123BA239E0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100"/>
        <c:axId val="222306024"/>
        <c:axId val="222304456"/>
      </c:barChart>
      <c:scatterChart>
        <c:scatterStyle val="smoothMarker"/>
        <c:varyColors val="0"/>
        <c:ser>
          <c:idx val="2"/>
          <c:order val="2"/>
          <c:tx>
            <c:strRef>
              <c:f>'Graph Foodgrains'!$A$50</c:f>
              <c:strCache>
                <c:ptCount val="1"/>
                <c:pt idx="0">
                  <c:v>Percentage of offtake out of allocations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FFCB05"/>
              </a:solidFill>
              <a:ln w="9525">
                <a:solidFill>
                  <a:srgbClr val="FFCB05"/>
                </a:solidFill>
              </a:ln>
              <a:effectLst/>
            </c:spPr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2-BC41-47C3-BBB8-3123BA239E03}"/>
              </c:ext>
            </c:extLst>
          </c:dPt>
          <c:dPt>
            <c:idx val="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BC41-47C3-BBB8-3123BA239E03}"/>
              </c:ext>
            </c:extLst>
          </c:dPt>
          <c:dPt>
            <c:idx val="5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BC41-47C3-BBB8-3123BA239E03}"/>
              </c:ext>
            </c:extLst>
          </c:dPt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5-BC41-47C3-BBB8-3123BA239E03}"/>
              </c:ext>
            </c:extLst>
          </c:dPt>
          <c:dPt>
            <c:idx val="9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BC41-47C3-BBB8-3123BA239E03}"/>
              </c:ext>
            </c:extLst>
          </c:dPt>
          <c:dLbls>
            <c:dLbl>
              <c:idx val="0"/>
              <c:layout>
                <c:manualLayout>
                  <c:x val="-2.5777157643622609E-2"/>
                  <c:y val="-3.02702664051585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C41-47C3-BBB8-3123BA239E0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C41-47C3-BBB8-3123BA239E03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C41-47C3-BBB8-3123BA239E03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C41-47C3-BBB8-3123BA239E0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C41-47C3-BBB8-3123BA239E03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C41-47C3-BBB8-3123BA239E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216000" tIns="0" rIns="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ysClr val="windowText" lastClr="000000"/>
                    </a:solidFill>
                    <a:latin typeface="Alegreya Sans" panose="000005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multiLvlStrRef>
              <c:f>'Graph Foodgrains'!$D$46:$M$47</c:f>
              <c:multiLvlStrCache>
                <c:ptCount val="10"/>
                <c:lvl>
                  <c:pt idx="0">
                    <c:v>Allocations 
</c:v>
                  </c:pt>
                  <c:pt idx="1">
                    <c:v>Offtake 
</c:v>
                  </c:pt>
                  <c:pt idx="2">
                    <c:v>Allocations 
</c:v>
                  </c:pt>
                  <c:pt idx="3">
                    <c:v>Offtake 
</c:v>
                  </c:pt>
                  <c:pt idx="4">
                    <c:v>Allocations 
</c:v>
                  </c:pt>
                  <c:pt idx="5">
                    <c:v>Offtake 
</c:v>
                  </c:pt>
                  <c:pt idx="6">
                    <c:v>Allocations 
</c:v>
                  </c:pt>
                  <c:pt idx="7">
                    <c:v>Offtake 
</c:v>
                  </c:pt>
                  <c:pt idx="8">
                    <c:v>Allocations 
</c:v>
                  </c:pt>
                  <c:pt idx="9">
                    <c:v>Offtake 
</c:v>
                  </c:pt>
                </c:lvl>
                <c:lvl>
                  <c:pt idx="0">
                    <c:v>2018-19</c:v>
                  </c:pt>
                  <c:pt idx="2">
                    <c:v>2019-20</c:v>
                  </c:pt>
                  <c:pt idx="4">
                    <c:v>2020-21</c:v>
                  </c:pt>
                  <c:pt idx="6">
                    <c:v>2021-22 
</c:v>
                  </c:pt>
                  <c:pt idx="8">
                    <c:v>2022-23
(till November)
</c:v>
                  </c:pt>
                </c:lvl>
              </c:multiLvlStrCache>
            </c:multiLvlStrRef>
          </c:xVal>
          <c:yVal>
            <c:numRef>
              <c:f>'Graph Foodgrains'!$D$50:$M$50</c:f>
              <c:numCache>
                <c:formatCode>0</c:formatCode>
                <c:ptCount val="10"/>
                <c:pt idx="0">
                  <c:v>94.762586859706488</c:v>
                </c:pt>
                <c:pt idx="1">
                  <c:v>95</c:v>
                </c:pt>
                <c:pt idx="2">
                  <c:v>96.214692455243338</c:v>
                </c:pt>
                <c:pt idx="3">
                  <c:v>96</c:v>
                </c:pt>
                <c:pt idx="4">
                  <c:v>93.948316422923767</c:v>
                </c:pt>
                <c:pt idx="5">
                  <c:v>94</c:v>
                </c:pt>
                <c:pt idx="6">
                  <c:v>89.045728583995526</c:v>
                </c:pt>
                <c:pt idx="7">
                  <c:v>89</c:v>
                </c:pt>
                <c:pt idx="8">
                  <c:v>79.984316629803104</c:v>
                </c:pt>
                <c:pt idx="9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C41-47C3-BBB8-3123BA239E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252992"/>
        <c:axId val="222305240"/>
      </c:scatterChart>
      <c:catAx>
        <c:axId val="222306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222304456"/>
        <c:crosses val="autoZero"/>
        <c:auto val="1"/>
        <c:lblAlgn val="ctr"/>
        <c:lblOffset val="100"/>
        <c:noMultiLvlLbl val="0"/>
      </c:catAx>
      <c:valAx>
        <c:axId val="222304456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222306024"/>
        <c:crosses val="autoZero"/>
        <c:crossBetween val="between"/>
        <c:majorUnit val="200"/>
      </c:valAx>
      <c:valAx>
        <c:axId val="222305240"/>
        <c:scaling>
          <c:orientation val="minMax"/>
          <c:max val="100"/>
          <c:min val="0"/>
        </c:scaling>
        <c:delete val="0"/>
        <c:axPos val="r"/>
        <c:numFmt formatCode="0#&quot;%&quot;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ysClr val="windowText" lastClr="000000"/>
                </a:solidFill>
                <a:latin typeface="Alegreya Sans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227252992"/>
        <c:crosses val="max"/>
        <c:crossBetween val="midCat"/>
        <c:majorUnit val="20"/>
      </c:valAx>
      <c:valAx>
        <c:axId val="2272529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22305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7799396495102469E-2"/>
          <c:y val="0.91721082138189125"/>
          <c:w val="0.8999999294262282"/>
          <c:h val="7.46110598354571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ysClr val="windowText" lastClr="000000"/>
              </a:solidFill>
              <a:latin typeface="Alegreya Sans" panose="00000500000000000000" pitchFamily="2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en-US" sz="1000" b="0" i="0" u="none" strike="noStrike" kern="1200" baseline="0">
          <a:solidFill>
            <a:sysClr val="windowText" lastClr="000000"/>
          </a:solidFill>
          <a:latin typeface="Alegreya Sans" panose="00000500000000000000" pitchFamily="2" charset="0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4.8131881277106839E-2"/>
          <c:y val="5.2034058656575212E-2"/>
          <c:w val="0.88081478523868562"/>
          <c:h val="0.68854840992558053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Aadhar!$C$3</c:f>
              <c:strCache>
                <c:ptCount val="1"/>
                <c:pt idx="0">
                  <c:v>Percentage of Aadhaar transactions</c:v>
                </c:pt>
              </c:strCache>
            </c:strRef>
          </c:tx>
          <c:spPr>
            <a:solidFill>
              <a:srgbClr val="FFCB05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 w="12700" cap="flat" cmpd="sng" algn="ctr">
                <a:solidFill>
                  <a:sysClr val="windowText" lastClr="000000"/>
                </a:solidFill>
                <a:prstDash val="solid"/>
                <a:miter lim="800000"/>
              </a:ln>
              <a:effectLst/>
            </c:spPr>
            <c:txPr>
              <a:bodyPr rot="0" spcFirstLastPara="1" vertOverflow="overflow" horzOverflow="overflow" vert="horz" wrap="square" lIns="36000" tIns="0" rIns="360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Aadhar!$A$7:$A$26</c:f>
              <c:numCache>
                <c:formatCode>mmm\-yy</c:formatCode>
                <c:ptCount val="20"/>
                <c:pt idx="0">
                  <c:v>44287</c:v>
                </c:pt>
                <c:pt idx="1">
                  <c:v>44317</c:v>
                </c:pt>
                <c:pt idx="2">
                  <c:v>44348</c:v>
                </c:pt>
                <c:pt idx="3">
                  <c:v>44378</c:v>
                </c:pt>
                <c:pt idx="4">
                  <c:v>44409</c:v>
                </c:pt>
                <c:pt idx="5">
                  <c:v>44440</c:v>
                </c:pt>
                <c:pt idx="6">
                  <c:v>44470</c:v>
                </c:pt>
                <c:pt idx="7">
                  <c:v>44501</c:v>
                </c:pt>
                <c:pt idx="8">
                  <c:v>44531</c:v>
                </c:pt>
                <c:pt idx="9">
                  <c:v>44562</c:v>
                </c:pt>
                <c:pt idx="10">
                  <c:v>44593</c:v>
                </c:pt>
                <c:pt idx="11">
                  <c:v>44621</c:v>
                </c:pt>
                <c:pt idx="12">
                  <c:v>44652</c:v>
                </c:pt>
                <c:pt idx="13">
                  <c:v>44682</c:v>
                </c:pt>
                <c:pt idx="14">
                  <c:v>44713</c:v>
                </c:pt>
                <c:pt idx="15">
                  <c:v>44743</c:v>
                </c:pt>
                <c:pt idx="16">
                  <c:v>44774</c:v>
                </c:pt>
                <c:pt idx="17">
                  <c:v>44805</c:v>
                </c:pt>
                <c:pt idx="18">
                  <c:v>44835</c:v>
                </c:pt>
                <c:pt idx="19">
                  <c:v>44866</c:v>
                </c:pt>
              </c:numCache>
              <c:extLst/>
            </c:numRef>
          </c:cat>
          <c:val>
            <c:numRef>
              <c:f>Aadhar!$C$7:$C$26</c:f>
              <c:numCache>
                <c:formatCode>0</c:formatCode>
                <c:ptCount val="20"/>
                <c:pt idx="0">
                  <c:v>88.759999999999991</c:v>
                </c:pt>
                <c:pt idx="1">
                  <c:v>74.72999999999999</c:v>
                </c:pt>
                <c:pt idx="2">
                  <c:v>71.73</c:v>
                </c:pt>
                <c:pt idx="3">
                  <c:v>82.54</c:v>
                </c:pt>
                <c:pt idx="4">
                  <c:v>81.789999999999992</c:v>
                </c:pt>
                <c:pt idx="5">
                  <c:v>80.47</c:v>
                </c:pt>
                <c:pt idx="6">
                  <c:v>83.05</c:v>
                </c:pt>
                <c:pt idx="7">
                  <c:v>86.5</c:v>
                </c:pt>
                <c:pt idx="8">
                  <c:v>91.59</c:v>
                </c:pt>
                <c:pt idx="9">
                  <c:v>88.13</c:v>
                </c:pt>
                <c:pt idx="10">
                  <c:v>92.27</c:v>
                </c:pt>
                <c:pt idx="11">
                  <c:v>95.850000000000009</c:v>
                </c:pt>
                <c:pt idx="12">
                  <c:v>95</c:v>
                </c:pt>
                <c:pt idx="13">
                  <c:v>96.399999999999991</c:v>
                </c:pt>
                <c:pt idx="14">
                  <c:v>96.82</c:v>
                </c:pt>
                <c:pt idx="15">
                  <c:v>96.87</c:v>
                </c:pt>
                <c:pt idx="16">
                  <c:v>93.52000000000001</c:v>
                </c:pt>
                <c:pt idx="17">
                  <c:v>96.61999999999999</c:v>
                </c:pt>
                <c:pt idx="18">
                  <c:v>96.92</c:v>
                </c:pt>
                <c:pt idx="19">
                  <c:v>97.27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7A1-405F-8601-9E2FFC121D68}"/>
            </c:ext>
          </c:extLst>
        </c:ser>
        <c:ser>
          <c:idx val="2"/>
          <c:order val="1"/>
          <c:tx>
            <c:strRef>
              <c:f>Aadhar!$D$3</c:f>
              <c:strCache>
                <c:ptCount val="1"/>
                <c:pt idx="0">
                  <c:v>Percentage of non-authenticated transactions</c:v>
                </c:pt>
              </c:strCache>
            </c:strRef>
          </c:tx>
          <c:spPr>
            <a:solidFill>
              <a:srgbClr val="8A8C8E"/>
            </a:solidFill>
            <a:ln>
              <a:noFill/>
            </a:ln>
            <a:effectLst/>
          </c:spPr>
          <c:invertIfNegative val="0"/>
          <c:cat>
            <c:numRef>
              <c:f>Aadhar!$A$7:$A$26</c:f>
              <c:numCache>
                <c:formatCode>mmm\-yy</c:formatCode>
                <c:ptCount val="20"/>
                <c:pt idx="0">
                  <c:v>44287</c:v>
                </c:pt>
                <c:pt idx="1">
                  <c:v>44317</c:v>
                </c:pt>
                <c:pt idx="2">
                  <c:v>44348</c:v>
                </c:pt>
                <c:pt idx="3">
                  <c:v>44378</c:v>
                </c:pt>
                <c:pt idx="4">
                  <c:v>44409</c:v>
                </c:pt>
                <c:pt idx="5">
                  <c:v>44440</c:v>
                </c:pt>
                <c:pt idx="6">
                  <c:v>44470</c:v>
                </c:pt>
                <c:pt idx="7">
                  <c:v>44501</c:v>
                </c:pt>
                <c:pt idx="8">
                  <c:v>44531</c:v>
                </c:pt>
                <c:pt idx="9">
                  <c:v>44562</c:v>
                </c:pt>
                <c:pt idx="10">
                  <c:v>44593</c:v>
                </c:pt>
                <c:pt idx="11">
                  <c:v>44621</c:v>
                </c:pt>
                <c:pt idx="12">
                  <c:v>44652</c:v>
                </c:pt>
                <c:pt idx="13">
                  <c:v>44682</c:v>
                </c:pt>
                <c:pt idx="14">
                  <c:v>44713</c:v>
                </c:pt>
                <c:pt idx="15">
                  <c:v>44743</c:v>
                </c:pt>
                <c:pt idx="16">
                  <c:v>44774</c:v>
                </c:pt>
                <c:pt idx="17">
                  <c:v>44805</c:v>
                </c:pt>
                <c:pt idx="18">
                  <c:v>44835</c:v>
                </c:pt>
                <c:pt idx="19">
                  <c:v>44866</c:v>
                </c:pt>
              </c:numCache>
              <c:extLst/>
            </c:numRef>
          </c:cat>
          <c:val>
            <c:numRef>
              <c:f>Aadhar!$D$7:$D$26</c:f>
              <c:numCache>
                <c:formatCode>0</c:formatCode>
                <c:ptCount val="20"/>
                <c:pt idx="0">
                  <c:v>8.129999999999999</c:v>
                </c:pt>
                <c:pt idx="1">
                  <c:v>22.08</c:v>
                </c:pt>
                <c:pt idx="2">
                  <c:v>27.97</c:v>
                </c:pt>
                <c:pt idx="3">
                  <c:v>17.29</c:v>
                </c:pt>
                <c:pt idx="4">
                  <c:v>18.07</c:v>
                </c:pt>
                <c:pt idx="5">
                  <c:v>19.32</c:v>
                </c:pt>
                <c:pt idx="6">
                  <c:v>15.559999999999999</c:v>
                </c:pt>
                <c:pt idx="7">
                  <c:v>13.34</c:v>
                </c:pt>
                <c:pt idx="8">
                  <c:v>8.17</c:v>
                </c:pt>
                <c:pt idx="9">
                  <c:v>8.49</c:v>
                </c:pt>
                <c:pt idx="10">
                  <c:v>6.79</c:v>
                </c:pt>
                <c:pt idx="11">
                  <c:v>3.62</c:v>
                </c:pt>
                <c:pt idx="12">
                  <c:v>3.17</c:v>
                </c:pt>
                <c:pt idx="13">
                  <c:v>3.2300000000000004</c:v>
                </c:pt>
                <c:pt idx="14">
                  <c:v>2.9000000000000004</c:v>
                </c:pt>
                <c:pt idx="15">
                  <c:v>2.86</c:v>
                </c:pt>
                <c:pt idx="16">
                  <c:v>6.21</c:v>
                </c:pt>
                <c:pt idx="17">
                  <c:v>3.08</c:v>
                </c:pt>
                <c:pt idx="18">
                  <c:v>2.6</c:v>
                </c:pt>
                <c:pt idx="19">
                  <c:v>2.3800000000000003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7A1-405F-8601-9E2FFC121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72270768"/>
        <c:axId val="472264104"/>
      </c:barChart>
      <c:lineChart>
        <c:grouping val="standard"/>
        <c:varyColors val="0"/>
        <c:ser>
          <c:idx val="0"/>
          <c:order val="2"/>
          <c:tx>
            <c:strRef>
              <c:f>Aadhar!$B$3</c:f>
              <c:strCache>
                <c:ptCount val="1"/>
                <c:pt idx="0">
                  <c:v>Total e-transactions (in crore)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rgbClr val="C000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Aadhar!$A$7:$A$26</c:f>
              <c:numCache>
                <c:formatCode>mmm\-yy</c:formatCode>
                <c:ptCount val="20"/>
                <c:pt idx="0">
                  <c:v>44287</c:v>
                </c:pt>
                <c:pt idx="1">
                  <c:v>44317</c:v>
                </c:pt>
                <c:pt idx="2">
                  <c:v>44348</c:v>
                </c:pt>
                <c:pt idx="3">
                  <c:v>44378</c:v>
                </c:pt>
                <c:pt idx="4">
                  <c:v>44409</c:v>
                </c:pt>
                <c:pt idx="5">
                  <c:v>44440</c:v>
                </c:pt>
                <c:pt idx="6">
                  <c:v>44470</c:v>
                </c:pt>
                <c:pt idx="7">
                  <c:v>44501</c:v>
                </c:pt>
                <c:pt idx="8">
                  <c:v>44531</c:v>
                </c:pt>
                <c:pt idx="9">
                  <c:v>44562</c:v>
                </c:pt>
                <c:pt idx="10">
                  <c:v>44593</c:v>
                </c:pt>
                <c:pt idx="11">
                  <c:v>44621</c:v>
                </c:pt>
                <c:pt idx="12">
                  <c:v>44652</c:v>
                </c:pt>
                <c:pt idx="13">
                  <c:v>44682</c:v>
                </c:pt>
                <c:pt idx="14">
                  <c:v>44713</c:v>
                </c:pt>
                <c:pt idx="15">
                  <c:v>44743</c:v>
                </c:pt>
                <c:pt idx="16">
                  <c:v>44774</c:v>
                </c:pt>
                <c:pt idx="17">
                  <c:v>44805</c:v>
                </c:pt>
                <c:pt idx="18">
                  <c:v>44835</c:v>
                </c:pt>
                <c:pt idx="19">
                  <c:v>44866</c:v>
                </c:pt>
              </c:numCache>
              <c:extLst/>
            </c:numRef>
          </c:cat>
          <c:val>
            <c:numRef>
              <c:f>Aadhar!$B$7:$B$26</c:f>
              <c:numCache>
                <c:formatCode>#,##0</c:formatCode>
                <c:ptCount val="20"/>
                <c:pt idx="0">
                  <c:v>18.401045799999999</c:v>
                </c:pt>
                <c:pt idx="1">
                  <c:v>16.619150900000001</c:v>
                </c:pt>
                <c:pt idx="2">
                  <c:v>17.517537300000001</c:v>
                </c:pt>
                <c:pt idx="3">
                  <c:v>16.440175</c:v>
                </c:pt>
                <c:pt idx="4">
                  <c:v>18.281179399999999</c:v>
                </c:pt>
                <c:pt idx="5">
                  <c:v>16.827648</c:v>
                </c:pt>
                <c:pt idx="6">
                  <c:v>18.063728399999999</c:v>
                </c:pt>
                <c:pt idx="7">
                  <c:v>16.813152599999999</c:v>
                </c:pt>
                <c:pt idx="8">
                  <c:v>16.888746000000001</c:v>
                </c:pt>
                <c:pt idx="9">
                  <c:v>16.930567799999999</c:v>
                </c:pt>
                <c:pt idx="10">
                  <c:v>16.3746358</c:v>
                </c:pt>
                <c:pt idx="11">
                  <c:v>15.945316699999999</c:v>
                </c:pt>
                <c:pt idx="12">
                  <c:v>16.035122600000001</c:v>
                </c:pt>
                <c:pt idx="13">
                  <c:v>16.533671999999999</c:v>
                </c:pt>
                <c:pt idx="14">
                  <c:v>16.0880543</c:v>
                </c:pt>
                <c:pt idx="15">
                  <c:v>15.4443474</c:v>
                </c:pt>
                <c:pt idx="16">
                  <c:v>14.0515907</c:v>
                </c:pt>
                <c:pt idx="17">
                  <c:v>13.7162106</c:v>
                </c:pt>
                <c:pt idx="18">
                  <c:v>9.9330991999999991</c:v>
                </c:pt>
                <c:pt idx="19">
                  <c:v>8.1194194999999993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17A1-405F-8601-9E2FFC121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035192"/>
        <c:axId val="472263320"/>
      </c:lineChart>
      <c:dateAx>
        <c:axId val="47303519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63320"/>
        <c:crosses val="autoZero"/>
        <c:auto val="1"/>
        <c:lblOffset val="100"/>
        <c:baseTimeUnit val="months"/>
      </c:dateAx>
      <c:valAx>
        <c:axId val="472263320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35192"/>
        <c:crosses val="autoZero"/>
        <c:crossBetween val="between"/>
      </c:valAx>
      <c:valAx>
        <c:axId val="472264104"/>
        <c:scaling>
          <c:orientation val="minMax"/>
          <c:max val="100"/>
        </c:scaling>
        <c:delete val="0"/>
        <c:axPos val="r"/>
        <c:numFmt formatCode="0#&quot;%&quot;" sourceLinked="0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70768"/>
        <c:crosses val="max"/>
        <c:crossBetween val="between"/>
        <c:majorUnit val="20"/>
      </c:valAx>
      <c:dateAx>
        <c:axId val="472270768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472264104"/>
        <c:crosses val="autoZero"/>
        <c:auto val="1"/>
        <c:lblOffset val="100"/>
        <c:baseTimeUnit val="months"/>
        <c:majorUnit val="1"/>
        <c:minorUnit val="1"/>
      </c:date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7012716876815085E-5"/>
          <c:y val="0.90982490825010509"/>
          <c:w val="0.98653094908671535"/>
          <c:h val="8.66832086659353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AI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CE181E"/>
    </a:accent1>
    <a:accent2>
      <a:srgbClr val="8A8C8E"/>
    </a:accent2>
    <a:accent3>
      <a:srgbClr val="FFCB05"/>
    </a:accent3>
    <a:accent4>
      <a:srgbClr val="757949"/>
    </a:accent4>
    <a:accent5>
      <a:srgbClr val="DF6D27"/>
    </a:accent5>
    <a:accent6>
      <a:srgbClr val="208197"/>
    </a:accent6>
    <a:hlink>
      <a:srgbClr val="0563C1"/>
    </a:hlink>
    <a:folHlink>
      <a:srgbClr val="954F72"/>
    </a:folHlink>
  </a:clrScheme>
  <a:fontScheme name="Custom 1">
    <a:majorFont>
      <a:latin typeface="Alegreya Sans"/>
      <a:ea typeface=""/>
      <a:cs typeface=""/>
    </a:majorFont>
    <a:minorFont>
      <a:latin typeface="Alegreya Sans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jjohn@accountabilityindia.org</dc:creator>
  <cp:keywords/>
  <dc:description/>
  <cp:lastModifiedBy>jjohn@accountabilityindia.org</cp:lastModifiedBy>
  <cp:revision>3</cp:revision>
  <dcterms:created xsi:type="dcterms:W3CDTF">2023-01-18T07:04:00Z</dcterms:created>
  <dcterms:modified xsi:type="dcterms:W3CDTF">2023-01-18T07:07:00Z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c4ffb552-bb51-4060-a4cf-612bac557632</vt:lpwstr>
  </property>
</Properties>
</file>