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0C2340"/>
          <w:sz w:val="52"/>
          <w:szCs w:val="52"/>
        </w:rPr>
        <w:t xml:space="preserve">Financial &amp; Accounting</w:t>
      </w:r>
    </w:p>
    <w:p>
      <w:pPr>
        <w:spacing w:after="100"/>
        <w:jc w:val="center"/>
      </w:pPr>
      <w:r>
        <w:rPr>
          <w:rFonts w:ascii="Arial" w:cs="Arial" w:eastAsia="Arial" w:hAnsi="Arial"/>
          <w:color w:val="1A5296"/>
          <w:sz w:val="38"/>
          <w:szCs w:val="38"/>
        </w:rPr>
        <w:t xml:space="preserve">Module Specification</w:t>
      </w:r>
    </w:p>
    <w:p>
      <w:pPr>
        <w:pBdr>
          <w:top w:val="single" w:color="1A5296" w:sz="6" w:space="12"/>
        </w:pBdr>
        <w:spacing w:before="300"/>
        <w:jc w:val="center"/>
      </w:pPr>
      <w:r>
        <w:rPr>
          <w:rFonts w:ascii="Arial" w:cs="Arial" w:eastAsia="Arial" w:hAnsi="Arial"/>
          <w:color w:val="667085"/>
          <w:sz w:val="21"/>
          <w:szCs w:val="21"/>
        </w:rPr>
        <w:t xml:space="preserve">Double-Entry Accounting Layer for Transport &amp; Logistics</w:t>
      </w:r>
    </w:p>
    <w:p>
      <w:pPr>
        <w:spacing w:before="80"/>
        <w:jc w:val="center"/>
      </w:pPr>
      <w:r>
        <w:rPr>
          <w:rFonts w:ascii="Arial" w:cs="Arial" w:eastAsia="Arial" w:hAnsi="Arial"/>
          <w:color w:val="98A2B3"/>
          <w:sz w:val="19"/>
          <w:szCs w:val="19"/>
        </w:rPr>
        <w:t xml:space="preserve">With Tally, SAP, Zoho Books, and Busy export mappings</w:t>
      </w:r>
    </w:p>
    <w:p>
      <w:pPr>
        <w:spacing w:before="100"/>
        <w:jc w:val="center"/>
      </w:pPr>
      <w:r>
        <w:rPr>
          <w:rFonts w:ascii="Arial" w:cs="Arial" w:eastAsia="Arial" w:hAnsi="Arial"/>
          <w:color w:val="98A2B3"/>
          <w:sz w:val="19"/>
          <w:szCs w:val="19"/>
        </w:rPr>
        <w:t xml:space="preserve">v1.0  |  March 2026</w:t>
      </w:r>
    </w:p>
    <w:p>
      <w:r>
        <w:br w:type="page"/>
      </w:r>
    </w:p>
    <w:p>
      <w:pPr>
        <w:pStyle w:val="Heading1"/>
        <w:spacing w:before="360" w:after="160"/>
      </w:pPr>
      <w:r>
        <w:rPr>
          <w:rFonts w:ascii="Arial" w:cs="Arial" w:eastAsia="Arial" w:hAnsi="Arial"/>
          <w:b/>
          <w:bCs/>
          <w:color w:val="0C2340"/>
          <w:sz w:val="30"/>
          <w:szCs w:val="30"/>
        </w:rPr>
        <w:t xml:space="preserve">1. Design philosophy</w:t>
      </w:r>
    </w:p>
    <w:p>
      <w:pPr>
        <w:spacing w:after="100"/>
      </w:pPr>
      <w:r>
        <w:rPr>
          <w:rFonts w:ascii="Arial" w:cs="Arial" w:eastAsia="Arial" w:hAnsi="Arial"/>
          <w:sz w:val="20"/>
          <w:szCs w:val="20"/>
        </w:rPr>
        <w:t xml:space="preserve">This module implements a proper double-entry accounting sub-ledger within the TMS. The goal is not to replace Tally/SAP — it is to ensure that every financial event in the TMS (trip settlement, invoice generation, payment receipt, driver advance, fuel purchase, toll payment, vendor payout) automatically produces correct journal entries that can be exported to any accounting software in a single click.</w:t>
      </w:r>
    </w:p>
    <w:p>
      <w:pPr>
        <w:spacing w:after="160"/>
      </w:pPr>
    </w:p>
    <w:p>
      <w:pPr>
        <w:spacing w:before="180" w:after="80"/>
      </w:pPr>
      <w:r>
        <w:rPr>
          <w:rFonts w:ascii="Arial" w:cs="Arial" w:eastAsia="Arial" w:hAnsi="Arial"/>
          <w:b/>
          <w:bCs/>
          <w:color w:val="344054"/>
          <w:sz w:val="21"/>
          <w:szCs w:val="21"/>
        </w:rPr>
        <w:t xml:space="preserve">1.1 Core principles</w:t>
      </w:r>
    </w:p>
    <w:p>
      <w:pPr>
        <w:pStyle w:val="ListParagraph"/>
        <w:numPr>
          <w:ilvl w:val="0"/>
          <w:numId w:val="2"/>
        </w:numPr>
        <w:spacing w:after="50"/>
      </w:pPr>
      <w:r>
        <w:rPr>
          <w:rFonts w:ascii="Arial" w:cs="Arial" w:eastAsia="Arial" w:hAnsi="Arial"/>
          <w:sz w:val="20"/>
          <w:szCs w:val="20"/>
        </w:rPr>
        <w:t xml:space="preserve">Every rupee in, every rupee out has two sides — a debit and a credit. No exceptions.</w:t>
      </w:r>
    </w:p>
    <w:p>
      <w:pPr>
        <w:pStyle w:val="ListParagraph"/>
        <w:numPr>
          <w:ilvl w:val="0"/>
          <w:numId w:val="2"/>
        </w:numPr>
        <w:spacing w:after="50"/>
      </w:pPr>
      <w:r>
        <w:rPr>
          <w:rFonts w:ascii="Arial" w:cs="Arial" w:eastAsia="Arial" w:hAnsi="Arial"/>
          <w:sz w:val="20"/>
          <w:szCs w:val="20"/>
        </w:rPr>
        <w:t xml:space="preserve">The TMS is the sub-ledger; the accounting software is the general ledger. The TMS owns transaction-level detail (per-trip, per-invoice); the accounting software owns consolidated reporting (trial balance, P&amp;L, balance sheet, tax returns).</w:t>
      </w:r>
    </w:p>
    <w:p>
      <w:pPr>
        <w:pStyle w:val="ListParagraph"/>
        <w:numPr>
          <w:ilvl w:val="0"/>
          <w:numId w:val="2"/>
        </w:numPr>
        <w:spacing w:after="50"/>
      </w:pPr>
      <w:r>
        <w:rPr>
          <w:rFonts w:ascii="Arial" w:cs="Arial" w:eastAsia="Arial" w:hAnsi="Arial"/>
          <w:sz w:val="20"/>
          <w:szCs w:val="20"/>
        </w:rPr>
        <w:t xml:space="preserve">Journal entries are auto-generated by business events. No manual journal entry is required for standard operations. Manual JVs are supported for adjustments and corrections only.</w:t>
      </w:r>
    </w:p>
    <w:p>
      <w:pPr>
        <w:pStyle w:val="ListParagraph"/>
        <w:numPr>
          <w:ilvl w:val="0"/>
          <w:numId w:val="2"/>
        </w:numPr>
        <w:spacing w:after="50"/>
      </w:pPr>
      <w:r>
        <w:rPr>
          <w:rFonts w:ascii="Arial" w:cs="Arial" w:eastAsia="Arial" w:hAnsi="Arial"/>
          <w:sz w:val="20"/>
          <w:szCs w:val="20"/>
        </w:rPr>
        <w:t xml:space="preserve">The Chart of Accounts (COA) is pre-configured for transport logistics but fully customizable. COA structure maps to Tally groups, SAP cost centers, and Zoho Books categories.</w:t>
      </w:r>
    </w:p>
    <w:p>
      <w:pPr>
        <w:pStyle w:val="ListParagraph"/>
        <w:numPr>
          <w:ilvl w:val="0"/>
          <w:numId w:val="2"/>
        </w:numPr>
        <w:spacing w:after="50"/>
      </w:pPr>
      <w:r>
        <w:rPr>
          <w:rFonts w:ascii="Arial" w:cs="Arial" w:eastAsia="Arial" w:hAnsi="Arial"/>
          <w:sz w:val="20"/>
          <w:szCs w:val="20"/>
        </w:rPr>
        <w:t xml:space="preserve">Financial year is April 1 to March 31 (Indian standard). Multi-year support with opening balances.</w:t>
      </w:r>
    </w:p>
    <w:p>
      <w:pPr>
        <w:pStyle w:val="ListParagraph"/>
        <w:numPr>
          <w:ilvl w:val="0"/>
          <w:numId w:val="2"/>
        </w:numPr>
        <w:spacing w:after="50"/>
      </w:pPr>
      <w:r>
        <w:rPr>
          <w:rFonts w:ascii="Arial" w:cs="Arial" w:eastAsia="Arial" w:hAnsi="Arial"/>
          <w:sz w:val="20"/>
          <w:szCs w:val="20"/>
        </w:rPr>
        <w:t xml:space="preserve">All amounts are in INR with 2-decimal precision. Foreign currency is out of scope.</w:t>
      </w:r>
    </w:p>
    <w:p>
      <w:pPr>
        <w:pStyle w:val="ListParagraph"/>
        <w:numPr>
          <w:ilvl w:val="0"/>
          <w:numId w:val="2"/>
        </w:numPr>
        <w:spacing w:after="50"/>
      </w:pPr>
      <w:r>
        <w:rPr>
          <w:rFonts w:ascii="Arial" w:cs="Arial" w:eastAsia="Arial" w:hAnsi="Arial"/>
          <w:sz w:val="20"/>
          <w:szCs w:val="20"/>
        </w:rPr>
        <w:t xml:space="preserve">Immutable audit trail: journal entries cannot be deleted, only reversed via contra entries.</w:t>
      </w:r>
    </w:p>
    <w:p>
      <w:r>
        <w:br w:type="page"/>
      </w:r>
    </w:p>
    <w:p>
      <w:pPr>
        <w:pStyle w:val="Heading1"/>
        <w:spacing w:before="360" w:after="160"/>
      </w:pPr>
      <w:r>
        <w:rPr>
          <w:rFonts w:ascii="Arial" w:cs="Arial" w:eastAsia="Arial" w:hAnsi="Arial"/>
          <w:b/>
          <w:bCs/>
          <w:color w:val="0C2340"/>
          <w:sz w:val="30"/>
          <w:szCs w:val="30"/>
        </w:rPr>
        <w:t xml:space="preserve">2. Chart of accounts (COA)</w:t>
      </w:r>
    </w:p>
    <w:p>
      <w:pPr>
        <w:spacing w:after="100"/>
      </w:pPr>
      <w:r>
        <w:rPr>
          <w:rFonts w:ascii="Arial" w:cs="Arial" w:eastAsia="Arial" w:hAnsi="Arial"/>
          <w:sz w:val="20"/>
          <w:szCs w:val="20"/>
        </w:rPr>
        <w:t xml:space="preserve">The COA follows Tally's group hierarchy structure. Each account belongs to a group, which belongs to a primary group (Assets, Liabilities, Income, Expenses). Accounts are identified by a code (for machine use) and a name (for human use). The code structure encodes the hierarchy.</w:t>
      </w:r>
    </w:p>
    <w:p>
      <w:pPr>
        <w:pStyle w:val="Heading2"/>
        <w:spacing w:before="260" w:after="120"/>
      </w:pPr>
      <w:r>
        <w:rPr>
          <w:rFonts w:ascii="Arial" w:cs="Arial" w:eastAsia="Arial" w:hAnsi="Arial"/>
          <w:b/>
          <w:bCs/>
          <w:color w:val="1A5296"/>
          <w:sz w:val="24"/>
          <w:szCs w:val="24"/>
        </w:rPr>
        <w:t xml:space="preserve">2.1 Account code structure</w:t>
      </w:r>
    </w:p>
    <w:p>
      <w:pPr>
        <w:spacing w:after="100"/>
      </w:pPr>
      <w:r>
        <w:rPr>
          <w:rFonts w:ascii="Arial" w:cs="Arial" w:eastAsia="Arial" w:hAnsi="Arial"/>
          <w:sz w:val="20"/>
          <w:szCs w:val="20"/>
        </w:rPr>
        <w:t xml:space="preserve">Format: GGG-SSS-NNN where GGG = primary group (100=Assets, 200=Liabilities, 300=Income, 400=Expenses), SSS = sub-group, NNN = account number.</w:t>
      </w:r>
    </w:p>
    <w:p>
      <w:pPr>
        <w:pStyle w:val="Heading2"/>
        <w:spacing w:before="260" w:after="120"/>
      </w:pPr>
      <w:r>
        <w:rPr>
          <w:rFonts w:ascii="Arial" w:cs="Arial" w:eastAsia="Arial" w:hAnsi="Arial"/>
          <w:b/>
          <w:bCs/>
          <w:color w:val="1A5296"/>
          <w:sz w:val="24"/>
          <w:szCs w:val="24"/>
        </w:rPr>
        <w:t xml:space="preserve">2.2 Transport logistics chart of accounts</w:t>
      </w:r>
    </w:p>
    <w:p>
      <w:pPr>
        <w:spacing w:after="100"/>
      </w:pPr>
      <w:r>
        <w:rPr>
          <w:rFonts w:ascii="Arial" w:cs="Arial" w:eastAsia="Arial" w:hAnsi="Arial"/>
          <w:i/>
          <w:iCs/>
          <w:color w:val="667085"/>
          <w:sz w:val="20"/>
          <w:szCs w:val="20"/>
        </w:rPr>
        <w:t xml:space="preserve">Pre-seeded accounts specific to freight and logistics operations. Customers can add more but cannot delete system accounts.</w:t>
      </w:r>
    </w:p>
    <w:p>
      <w:pPr>
        <w:spacing w:before="180" w:after="80"/>
      </w:pPr>
      <w:r>
        <w:rPr>
          <w:rFonts w:ascii="Arial" w:cs="Arial" w:eastAsia="Arial" w:hAnsi="Arial"/>
          <w:b/>
          <w:bCs/>
          <w:color w:val="344054"/>
          <w:sz w:val="21"/>
          <w:szCs w:val="21"/>
        </w:rPr>
        <w:t xml:space="preserve">ASSETS (100-xxx)</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3440"/>
      </w:tblGrid>
      <w:tr>
        <w:tc>
          <w:tcPr>
            <w:tcW w:type="dxa" w:w="12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Code</w:t>
            </w:r>
          </w:p>
        </w:tc>
        <w:tc>
          <w:tcPr>
            <w:tcW w:type="dxa" w:w="32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Account name</w:t>
            </w:r>
          </w:p>
        </w:tc>
        <w:tc>
          <w:tcPr>
            <w:tcW w:type="dxa" w:w="22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Tally group</w:t>
            </w:r>
          </w:p>
        </w:tc>
        <w:tc>
          <w:tcPr>
            <w:tcW w:type="dxa" w:w="344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Purpose in TMS</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100-001-001</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HDFC Bank — Current A/c</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Bank Accounts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Primary operating account. Receives client payments, disburses vendor payments.</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100-001-002</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ICICI Bank — Savings A/c</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Bank Accounts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Reserve / sweep account.</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100-001-003</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Fuel Card Account</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Bank Accounts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Balance on fuel cards (IOCL/BPCL/HP). Debited when driver swipes at pump.</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100-001-004</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FASTag Account</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Bank Accounts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FASTag wallet balance. Debited on toll deduction.</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100-002-001</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Petty Cash — HQ</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Cash-in-Hand</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Office petty cash float.</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100-002-002</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Petty Cash — Branch</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Cash-in-Hand</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Branch-level petty cash.</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100-003-001</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Accounts Receivable</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Sundry Debtors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Total outstanding from all clients. Sub-ledger is the client master.</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100-003-002</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Unbilled Revenue</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Sundry Debtors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Trips delivered but not yet invoiced. Cleared when invoice is generated.</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100-004-001</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Driver Advance — Outstanding</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Loans &amp; Advances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Cash advances given to drivers for trips. Cleared on trip settlement.</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100-004-002</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Vendor Advance — Outstanding</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Loans &amp; Advances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Advances to vehicle owners / brokers.</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100-004-003</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TDS Receivable</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Loans &amp; Advances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TDS deducted by clients. Reconciled quarterly against Form 26AS.</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100-004-004</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GST Input Credit — CGST</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Duties &amp; Taxes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CGST paid on purchases (fuel, tyres, repairs). Claimed as input credit.</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100-004-005</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GST Input Credit — SGST</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Duties &amp; Taxes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SGST paid on intrastate purchases.</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100-004-006</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GST Input Credit — IGST</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Duties &amp; Taxes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IGST paid on interstate purchases.</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100-005-001</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Fixed Assets — Vehicles</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Fixed Assets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Owned vehicles at book value.</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100-005-002</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Fixed Assets — Office Equipment</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Fixed Assets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Computers, furniture, etc.</w:t>
            </w:r>
          </w:p>
        </w:tc>
      </w:tr>
    </w:tbl>
    <w:p>
      <w:pPr>
        <w:spacing w:after="160"/>
      </w:pPr>
    </w:p>
    <w:p>
      <w:pPr>
        <w:spacing w:before="180" w:after="80"/>
      </w:pPr>
      <w:r>
        <w:rPr>
          <w:rFonts w:ascii="Arial" w:cs="Arial" w:eastAsia="Arial" w:hAnsi="Arial"/>
          <w:b/>
          <w:bCs/>
          <w:color w:val="344054"/>
          <w:sz w:val="21"/>
          <w:szCs w:val="21"/>
        </w:rPr>
        <w:t xml:space="preserve">LIABILITIES (200-xxx)</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3440"/>
      </w:tblGrid>
      <w:tr>
        <w:tc>
          <w:tcPr>
            <w:tcW w:type="dxa" w:w="12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Code</w:t>
            </w:r>
          </w:p>
        </w:tc>
        <w:tc>
          <w:tcPr>
            <w:tcW w:type="dxa" w:w="32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Account name</w:t>
            </w:r>
          </w:p>
        </w:tc>
        <w:tc>
          <w:tcPr>
            <w:tcW w:type="dxa" w:w="22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Tally group</w:t>
            </w:r>
          </w:p>
        </w:tc>
        <w:tc>
          <w:tcPr>
            <w:tcW w:type="dxa" w:w="344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Purpose in TMS</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200-001-001</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Accounts Payable — Vendors</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Sundry Creditors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Total outstanding to vehicle owners, brokers, sub-contractors.</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200-001-002</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Accounts Payable — Drivers</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Sundry Creditors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Driver settlement dues (trip balance after advance deduction).</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200-001-003</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Salary Payable</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Sundry Creditors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Employee salary accruals.</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200-002-001</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GST Output Liability — CGST</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Duties &amp; Taxes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CGST collected from clients on invoices. Payable to government.</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200-002-002</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GST Output Liability — SGST</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Duties &amp; Taxes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SGST collected on intrastate invoices.</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200-002-003</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GST Output Liability — IGST</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Duties &amp; Taxes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IGST collected on interstate invoices.</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200-002-004</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TDS Payable</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Duties &amp; Taxes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TDS deducted on vendor/contractor payments. Payable to government.</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200-003-001</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Client Advance Received</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Current Liabilities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Advance payments from clients. Adjusted against invoices.</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200-003-002</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Security Deposits Received</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Current Liabilities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Deposits from drivers / vendors.</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200-004-001</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Vehicle Loan — HDFC</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Secured Loans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Vehicle financing EMI.</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200-005-001</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Owner Capital</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Capital Account</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Proprietor / partner capital.</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200-005-002</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Retained Earnings</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Reserves &amp; Surplus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Accumulated profits.</w:t>
            </w:r>
          </w:p>
        </w:tc>
      </w:tr>
    </w:tbl>
    <w:p>
      <w:r>
        <w:br w:type="page"/>
      </w:r>
    </w:p>
    <w:p>
      <w:pPr>
        <w:spacing w:before="180" w:after="80"/>
      </w:pPr>
      <w:r>
        <w:rPr>
          <w:rFonts w:ascii="Arial" w:cs="Arial" w:eastAsia="Arial" w:hAnsi="Arial"/>
          <w:b/>
          <w:bCs/>
          <w:color w:val="344054"/>
          <w:sz w:val="21"/>
          <w:szCs w:val="21"/>
        </w:rPr>
        <w:t xml:space="preserve">INCOME (300-xxx)</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3440"/>
      </w:tblGrid>
      <w:tr>
        <w:tc>
          <w:tcPr>
            <w:tcW w:type="dxa" w:w="12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Code</w:t>
            </w:r>
          </w:p>
        </w:tc>
        <w:tc>
          <w:tcPr>
            <w:tcW w:type="dxa" w:w="32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Account name</w:t>
            </w:r>
          </w:p>
        </w:tc>
        <w:tc>
          <w:tcPr>
            <w:tcW w:type="dxa" w:w="22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Tally group</w:t>
            </w:r>
          </w:p>
        </w:tc>
        <w:tc>
          <w:tcPr>
            <w:tcW w:type="dxa" w:w="344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Purpose in TMS</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300-001-001</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Freight Revenue</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Sales Accounts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Core freight charges billed to clients. The main revenue line.</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300-001-002</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Fuel Surcharge Revenue</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Sales Accounts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Fuel surcharge component billed to clients.</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300-001-003</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Loading/Unloading Revenue</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Sales Accounts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Loading &amp; unloading charges billed.</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300-001-004</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Detention Revenue</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Sales Accounts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Detention charges billed for loading/unloading delays.</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300-001-005</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ODA / Multi-Drop Revenue</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Sales Accounts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Surcharges for out-of-delivery-area and multi-drop.</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300-002-001</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Penalty Income</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Direct Income</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SLA penalty deductions from vendors. Income for the company.</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300-002-002</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Shortage Recovery Income</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Direct Income</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Recovery from vendors for cargo shortages.</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300-003-001</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Interest Income</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Indirect Income</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Bank interest on savings / FD.</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300-003-002</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Other Income</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Indirect Income</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Miscellaneous non-freight income.</w:t>
            </w:r>
          </w:p>
        </w:tc>
      </w:tr>
    </w:tbl>
    <w:p>
      <w:pPr>
        <w:spacing w:after="160"/>
      </w:pPr>
    </w:p>
    <w:p>
      <w:pPr>
        <w:spacing w:before="180" w:after="80"/>
      </w:pPr>
      <w:r>
        <w:rPr>
          <w:rFonts w:ascii="Arial" w:cs="Arial" w:eastAsia="Arial" w:hAnsi="Arial"/>
          <w:b/>
          <w:bCs/>
          <w:color w:val="344054"/>
          <w:sz w:val="21"/>
          <w:szCs w:val="21"/>
        </w:rPr>
        <w:t xml:space="preserve">EXPENSES (400-xxx)</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3440"/>
      </w:tblGrid>
      <w:tr>
        <w:tc>
          <w:tcPr>
            <w:tcW w:type="dxa" w:w="12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Code</w:t>
            </w:r>
          </w:p>
        </w:tc>
        <w:tc>
          <w:tcPr>
            <w:tcW w:type="dxa" w:w="32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Account name</w:t>
            </w:r>
          </w:p>
        </w:tc>
        <w:tc>
          <w:tcPr>
            <w:tcW w:type="dxa" w:w="22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Tally group</w:t>
            </w:r>
          </w:p>
        </w:tc>
        <w:tc>
          <w:tcPr>
            <w:tcW w:type="dxa" w:w="344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Purpose in TMS</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400-001-001</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Diesel / Fuel Expense</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Direct Expenses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Fuel consumed on trips. The single largest cost (~35-40% of revenue).</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400-001-002</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Toll Expense</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Direct Expenses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Toll charges from FASTag / manual.</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400-001-003</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Driver Allowance Expense</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Direct Expenses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Daily allowance paid to drivers on trips.</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400-001-004</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Driver Food Expense</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Direct Expenses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Meal expenses during trips.</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400-001-005</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Loading/Unloading Expense</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Direct Expenses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Labour charges for loading and unloading cargo.</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400-001-006</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Vehicle Hire Charges</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Direct Expenses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Payment to attached vehicle owners / market vehicles.</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400-001-007</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Broker Commission</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Direct Expenses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Commission to freight brokers.</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400-002-001</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Vehicle Maintenance</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Direct Expenses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Repair, servicing, tyres, spare parts for fleet.</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400-002-002</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Vehicle Insurance</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Direct Expenses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Annual vehicle insurance premium.</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400-002-003</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Vehicle Depreciation</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Depreciation</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Depreciation on owned vehicles.</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400-003-001</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Salary &amp; Wages</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Indirect Expenses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Staff salaries (admin, ops, finance).</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400-003-002</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Office Rent</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Indirect Expenses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Rent for offices, warehouse.</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400-003-003</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Telephone &amp; Internet</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Indirect Expenses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Communication costs.</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400-003-004</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GPS / Tracking Charges</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Indirect Expenses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GPS device and tracking subscription.</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400-003-005</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Software / SaaS</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Indirect Expenses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TMS, accounting software, etc.</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400-004-001</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SLA Penalty Expense</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Indirect Expenses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Penalties paid for late delivery (to clients).</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400-004-002</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Shortage / Damage Expense</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Indirect Expenses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Losses from cargo shortage or damage not recovered from vendor.</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400-004-003</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Interest on Loan</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Indirect Expenses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Interest on vehicle loans or working capital.</w:t>
            </w:r>
          </w:p>
        </w:tc>
      </w:tr>
      <w:tr>
        <w:tc>
          <w:tcPr>
            <w:tcW w:type="dxa" w:w="1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400-004-004</w:t>
            </w:r>
          </w:p>
        </w:tc>
        <w:tc>
          <w:tcPr>
            <w:tcW w:type="dxa" w:w="3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Bank Charges</w:t>
            </w:r>
          </w:p>
        </w:tc>
        <w:tc>
          <w:tcPr>
            <w:tcW w:type="dxa" w:w="22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Indirect Expenses</w:t>
            </w:r>
          </w:p>
        </w:tc>
        <w:tc>
          <w:tcPr>
            <w:tcW w:type="dxa" w:w="34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Bank transaction fees, NEFT charges, etc.</w:t>
            </w:r>
          </w:p>
        </w:tc>
      </w:tr>
      <w:tr>
        <w:tc>
          <w:tcPr>
            <w:tcW w:type="dxa" w:w="1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400-004-005</w:t>
            </w:r>
          </w:p>
        </w:tc>
        <w:tc>
          <w:tcPr>
            <w:tcW w:type="dxa" w:w="3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Miscellaneous Expense</w:t>
            </w:r>
          </w:p>
        </w:tc>
        <w:tc>
          <w:tcPr>
            <w:tcW w:type="dxa" w:w="22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Indirect Expenses</w:t>
            </w:r>
          </w:p>
        </w:tc>
        <w:tc>
          <w:tcPr>
            <w:tcW w:type="dxa" w:w="34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Any other unclassified expenses.</w:t>
            </w:r>
          </w:p>
        </w:tc>
      </w:tr>
    </w:tbl>
    <w:p>
      <w:r>
        <w:br w:type="page"/>
      </w:r>
    </w:p>
    <w:p>
      <w:pPr>
        <w:pStyle w:val="Heading1"/>
        <w:spacing w:before="360" w:after="160"/>
      </w:pPr>
      <w:r>
        <w:rPr>
          <w:rFonts w:ascii="Arial" w:cs="Arial" w:eastAsia="Arial" w:hAnsi="Arial"/>
          <w:b/>
          <w:bCs/>
          <w:color w:val="0C2340"/>
          <w:sz w:val="30"/>
          <w:szCs w:val="30"/>
        </w:rPr>
        <w:t xml:space="preserve">3. Automatic journal entries — event mapping</w:t>
      </w:r>
    </w:p>
    <w:p>
      <w:pPr>
        <w:spacing w:after="100"/>
      </w:pPr>
      <w:r>
        <w:rPr>
          <w:rFonts w:ascii="Arial" w:cs="Arial" w:eastAsia="Arial" w:hAnsi="Arial"/>
          <w:sz w:val="20"/>
          <w:szCs w:val="20"/>
        </w:rPr>
        <w:t xml:space="preserve">Every business event in the TMS auto-generates a journal entry. Below is the complete mapping of TMS events to double-entry journal entries. This is the core of the accounting layer — these mappings determine the correctness of all downstream reports (trial balance, P&amp;L, balance sheet).</w:t>
      </w:r>
    </w:p>
    <w:p>
      <w:pPr>
        <w:pStyle w:val="Heading2"/>
        <w:spacing w:before="260" w:after="120"/>
      </w:pPr>
      <w:r>
        <w:rPr>
          <w:rFonts w:ascii="Arial" w:cs="Arial" w:eastAsia="Arial" w:hAnsi="Arial"/>
          <w:b/>
          <w:bCs/>
          <w:color w:val="1A5296"/>
          <w:sz w:val="24"/>
          <w:szCs w:val="24"/>
        </w:rPr>
        <w:t xml:space="preserve">3.1 Trip lifecycle events</w:t>
      </w:r>
    </w:p>
    <w:p>
      <w:pPr>
        <w:spacing w:before="180" w:after="80"/>
      </w:pPr>
      <w:r>
        <w:rPr>
          <w:rFonts w:ascii="Arial" w:cs="Arial" w:eastAsia="Arial" w:hAnsi="Arial"/>
          <w:b/>
          <w:bCs/>
          <w:color w:val="344054"/>
          <w:sz w:val="21"/>
          <w:szCs w:val="21"/>
        </w:rPr>
        <w:t xml:space="preserve">JE-01: Driver advance disbursement</w:t>
      </w:r>
    </w:p>
    <w:p>
      <w:pPr>
        <w:spacing w:after="100"/>
      </w:pPr>
      <w:r>
        <w:rPr>
          <w:rFonts w:ascii="Arial" w:cs="Arial" w:eastAsia="Arial" w:hAnsi="Arial"/>
          <w:i/>
          <w:iCs/>
          <w:color w:val="667085"/>
          <w:sz w:val="20"/>
          <w:szCs w:val="20"/>
        </w:rPr>
        <w:t xml:space="preserve">When: Dispatcher gives cash/transfer to driver before trip start.</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4000"/>
        <w:gridCol w:w="3020"/>
        <w:gridCol w:w="3020"/>
      </w:tblGrid>
      <w:tr>
        <w:tc>
          <w:tcPr>
            <w:tcW w:type="dxa" w:w="40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Account</w:t>
            </w:r>
          </w:p>
        </w:tc>
        <w:tc>
          <w:tcPr>
            <w:tcW w:type="dxa" w:w="302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Debit (₹)</w:t>
            </w:r>
          </w:p>
        </w:tc>
        <w:tc>
          <w:tcPr>
            <w:tcW w:type="dxa" w:w="302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Credit (₹)</w:t>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Driver Advance — Outstanding (100-004-001)</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5,000</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HDFC Bank — Current A/c (100-001-001)</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5,000</w:t>
            </w:r>
          </w:p>
        </w:tc>
      </w:tr>
    </w:tbl>
    <w:p>
      <w:pPr>
        <w:spacing w:after="100"/>
      </w:pPr>
      <w:r>
        <w:rPr>
          <w:rFonts w:ascii="Arial" w:cs="Arial" w:eastAsia="Arial" w:hAnsi="Arial"/>
          <w:i/>
          <w:iCs/>
          <w:color w:val="667085"/>
          <w:sz w:val="20"/>
          <w:szCs w:val="20"/>
        </w:rPr>
        <w:t xml:space="preserve">Effect: Asset (advance) increases, asset (bank) decreases. Net assets unchanged.</w:t>
      </w:r>
    </w:p>
    <w:p>
      <w:pPr>
        <w:spacing w:after="160"/>
      </w:pPr>
    </w:p>
    <w:p>
      <w:pPr>
        <w:spacing w:before="180" w:after="80"/>
      </w:pPr>
      <w:r>
        <w:rPr>
          <w:rFonts w:ascii="Arial" w:cs="Arial" w:eastAsia="Arial" w:hAnsi="Arial"/>
          <w:b/>
          <w:bCs/>
          <w:color w:val="344054"/>
          <w:sz w:val="21"/>
          <w:szCs w:val="21"/>
        </w:rPr>
        <w:t xml:space="preserve">JE-02: Fuel purchased on trip (company fuel card)</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4000"/>
        <w:gridCol w:w="3020"/>
        <w:gridCol w:w="3020"/>
      </w:tblGrid>
      <w:tr>
        <w:tc>
          <w:tcPr>
            <w:tcW w:type="dxa" w:w="40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Account</w:t>
            </w:r>
          </w:p>
        </w:tc>
        <w:tc>
          <w:tcPr>
            <w:tcW w:type="dxa" w:w="302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Debit (₹)</w:t>
            </w:r>
          </w:p>
        </w:tc>
        <w:tc>
          <w:tcPr>
            <w:tcW w:type="dxa" w:w="302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Credit (₹)</w:t>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Diesel / Fuel Expense (400-001-001)</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4,200</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GST Input Credit — CGST (100-004-004)</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378</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GST Input Credit — SGST (100-004-005)</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378</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Fuel Card Account (100-001-003)</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4,956</w:t>
            </w:r>
          </w:p>
        </w:tc>
      </w:tr>
    </w:tbl>
    <w:p>
      <w:pPr>
        <w:spacing w:after="160"/>
      </w:pPr>
    </w:p>
    <w:p>
      <w:pPr>
        <w:spacing w:before="180" w:after="80"/>
      </w:pPr>
      <w:r>
        <w:rPr>
          <w:rFonts w:ascii="Arial" w:cs="Arial" w:eastAsia="Arial" w:hAnsi="Arial"/>
          <w:b/>
          <w:bCs/>
          <w:color w:val="344054"/>
          <w:sz w:val="21"/>
          <w:szCs w:val="21"/>
        </w:rPr>
        <w:t xml:space="preserve">JE-03: Toll paid (FASTag deduction)</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4000"/>
        <w:gridCol w:w="3020"/>
        <w:gridCol w:w="3020"/>
      </w:tblGrid>
      <w:tr>
        <w:tc>
          <w:tcPr>
            <w:tcW w:type="dxa" w:w="40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Account</w:t>
            </w:r>
          </w:p>
        </w:tc>
        <w:tc>
          <w:tcPr>
            <w:tcW w:type="dxa" w:w="302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Debit (₹)</w:t>
            </w:r>
          </w:p>
        </w:tc>
        <w:tc>
          <w:tcPr>
            <w:tcW w:type="dxa" w:w="302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Credit (₹)</w:t>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Toll Expense (400-001-002)</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1,850</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FASTag Account (100-001-004)</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1,850</w:t>
            </w:r>
          </w:p>
        </w:tc>
      </w:tr>
    </w:tbl>
    <w:p>
      <w:pPr>
        <w:spacing w:after="160"/>
      </w:pPr>
    </w:p>
    <w:p>
      <w:pPr>
        <w:spacing w:before="180" w:after="80"/>
      </w:pPr>
      <w:r>
        <w:rPr>
          <w:rFonts w:ascii="Arial" w:cs="Arial" w:eastAsia="Arial" w:hAnsi="Arial"/>
          <w:b/>
          <w:bCs/>
          <w:color w:val="344054"/>
          <w:sz w:val="21"/>
          <w:szCs w:val="21"/>
        </w:rPr>
        <w:t xml:space="preserve">JE-04: Trip delivery — revenue recognition (on POD verification)</w:t>
      </w:r>
    </w:p>
    <w:p>
      <w:pPr>
        <w:spacing w:after="100"/>
      </w:pPr>
      <w:r>
        <w:rPr>
          <w:rFonts w:ascii="Arial" w:cs="Arial" w:eastAsia="Arial" w:hAnsi="Arial"/>
          <w:i/>
          <w:iCs/>
          <w:color w:val="667085"/>
          <w:sz w:val="20"/>
          <w:szCs w:val="20"/>
        </w:rPr>
        <w:t xml:space="preserve">Revenue is recognized when POD is verified, not when invoice is generated. This follows accrual accounting and Ind AS 115.</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4000"/>
        <w:gridCol w:w="3020"/>
        <w:gridCol w:w="3020"/>
      </w:tblGrid>
      <w:tr>
        <w:tc>
          <w:tcPr>
            <w:tcW w:type="dxa" w:w="40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Account</w:t>
            </w:r>
          </w:p>
        </w:tc>
        <w:tc>
          <w:tcPr>
            <w:tcW w:type="dxa" w:w="302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Debit (₹)</w:t>
            </w:r>
          </w:p>
        </w:tc>
        <w:tc>
          <w:tcPr>
            <w:tcW w:type="dxa" w:w="302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Credit (₹)</w:t>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Unbilled Revenue (100-003-002)</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42,800</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Freight Revenue (300-001-001)</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38,000</w:t>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Fuel Surcharge Revenue (300-001-002)</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2,400</w:t>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Loading/Unloading Revenue (300-001-003)</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2,400</w:t>
            </w:r>
          </w:p>
        </w:tc>
      </w:tr>
    </w:tbl>
    <w:p>
      <w:pPr>
        <w:spacing w:after="160"/>
      </w:pPr>
    </w:p>
    <w:p>
      <w:pPr>
        <w:spacing w:before="180" w:after="80"/>
      </w:pPr>
      <w:r>
        <w:rPr>
          <w:rFonts w:ascii="Arial" w:cs="Arial" w:eastAsia="Arial" w:hAnsi="Arial"/>
          <w:b/>
          <w:bCs/>
          <w:color w:val="344054"/>
          <w:sz w:val="21"/>
          <w:szCs w:val="21"/>
        </w:rPr>
        <w:t xml:space="preserve">JE-05: Invoice generation (moves from unbilled to billed receivable)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4000"/>
        <w:gridCol w:w="3020"/>
        <w:gridCol w:w="3020"/>
      </w:tblGrid>
      <w:tr>
        <w:tc>
          <w:tcPr>
            <w:tcW w:type="dxa" w:w="40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Account</w:t>
            </w:r>
          </w:p>
        </w:tc>
        <w:tc>
          <w:tcPr>
            <w:tcW w:type="dxa" w:w="302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Debit (₹)</w:t>
            </w:r>
          </w:p>
        </w:tc>
        <w:tc>
          <w:tcPr>
            <w:tcW w:type="dxa" w:w="302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Credit (₹)</w:t>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Accounts Receivable (100-003-001)</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50,504</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Unbilled Revenue (100-003-002)</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42,800</w:t>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GST Output Liability — IGST (200-002-003)</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7,704</w:t>
            </w:r>
          </w:p>
        </w:tc>
      </w:tr>
    </w:tbl>
    <w:p>
      <w:pPr>
        <w:spacing w:after="100"/>
      </w:pPr>
      <w:r>
        <w:rPr>
          <w:rFonts w:ascii="Arial" w:cs="Arial" w:eastAsia="Arial" w:hAnsi="Arial"/>
          <w:i/>
          <w:iCs/>
          <w:color w:val="667085"/>
          <w:sz w:val="20"/>
          <w:szCs w:val="20"/>
        </w:rPr>
        <w:t xml:space="preserve">Note: Unbilled Revenue is cleared. Receivable now reflects the total including GST. GST liability is created.</w:t>
      </w:r>
    </w:p>
    <w:p>
      <w:pPr>
        <w:spacing w:after="160"/>
      </w:pPr>
    </w:p>
    <w:p>
      <w:pPr>
        <w:spacing w:before="180" w:after="80"/>
      </w:pPr>
      <w:r>
        <w:rPr>
          <w:rFonts w:ascii="Arial" w:cs="Arial" w:eastAsia="Arial" w:hAnsi="Arial"/>
          <w:b/>
          <w:bCs/>
          <w:color w:val="344054"/>
          <w:sz w:val="21"/>
          <w:szCs w:val="21"/>
        </w:rPr>
        <w:t xml:space="preserve">JE-06: Client payment received</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4000"/>
        <w:gridCol w:w="3020"/>
        <w:gridCol w:w="3020"/>
      </w:tblGrid>
      <w:tr>
        <w:tc>
          <w:tcPr>
            <w:tcW w:type="dxa" w:w="40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Account</w:t>
            </w:r>
          </w:p>
        </w:tc>
        <w:tc>
          <w:tcPr>
            <w:tcW w:type="dxa" w:w="302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Debit (₹)</w:t>
            </w:r>
          </w:p>
        </w:tc>
        <w:tc>
          <w:tcPr>
            <w:tcW w:type="dxa" w:w="302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Credit (₹)</w:t>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HDFC Bank — Current A/c (100-001-001)</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49,494</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TDS Receivable (100-004-003)</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1,010</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Accounts Receivable (100-003-001)</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50,504</w:t>
            </w:r>
          </w:p>
        </w:tc>
      </w:tr>
    </w:tbl>
    <w:p>
      <w:pPr>
        <w:spacing w:after="100"/>
      </w:pPr>
      <w:r>
        <w:rPr>
          <w:rFonts w:ascii="Arial" w:cs="Arial" w:eastAsia="Arial" w:hAnsi="Arial"/>
          <w:i/>
          <w:iCs/>
          <w:color w:val="667085"/>
          <w:sz w:val="20"/>
          <w:szCs w:val="20"/>
        </w:rPr>
        <w:t xml:space="preserve">Client paid ₹49,494 after deducting 2% TDS (₹1,010). Total receivable of ₹50,504 is cleared.</w:t>
      </w:r>
    </w:p>
    <w:p>
      <w:pPr>
        <w:spacing w:after="160"/>
      </w:pPr>
    </w:p>
    <w:p>
      <w:pPr>
        <w:spacing w:before="180" w:after="80"/>
      </w:pPr>
      <w:r>
        <w:rPr>
          <w:rFonts w:ascii="Arial" w:cs="Arial" w:eastAsia="Arial" w:hAnsi="Arial"/>
          <w:b/>
          <w:bCs/>
          <w:color w:val="344054"/>
          <w:sz w:val="21"/>
          <w:szCs w:val="21"/>
        </w:rPr>
        <w:t xml:space="preserve">JE-07: Vendor / driver settlement payment</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4000"/>
        <w:gridCol w:w="3020"/>
        <w:gridCol w:w="3020"/>
      </w:tblGrid>
      <w:tr>
        <w:tc>
          <w:tcPr>
            <w:tcW w:type="dxa" w:w="40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Account</w:t>
            </w:r>
          </w:p>
        </w:tc>
        <w:tc>
          <w:tcPr>
            <w:tcW w:type="dxa" w:w="302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Debit (₹)</w:t>
            </w:r>
          </w:p>
        </w:tc>
        <w:tc>
          <w:tcPr>
            <w:tcW w:type="dxa" w:w="302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Credit (₹)</w:t>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Vehicle Hire Charges (400-001-006)</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31,450</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Driver Advance — Outstanding (100-004-001)</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5,000</w:t>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TDS Payable (200-002-004)</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315</w:t>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HDFC Bank — Current A/c (100-001-001)</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26,135</w:t>
            </w:r>
          </w:p>
        </w:tc>
      </w:tr>
    </w:tbl>
    <w:p>
      <w:pPr>
        <w:spacing w:after="100"/>
      </w:pPr>
      <w:r>
        <w:rPr>
          <w:rFonts w:ascii="Arial" w:cs="Arial" w:eastAsia="Arial" w:hAnsi="Arial"/>
          <w:i/>
          <w:iCs/>
          <w:color w:val="667085"/>
          <w:sz w:val="20"/>
          <w:szCs w:val="20"/>
        </w:rPr>
        <w:t xml:space="preserve">Vendor earned ₹31,450. Minus ₹5,000 advance already given, minus ₹315 TDS deducted = ₹26,135 net bank transfer.</w:t>
      </w:r>
    </w:p>
    <w:p>
      <w:pPr>
        <w:spacing w:after="160"/>
      </w:pPr>
    </w:p>
    <w:p>
      <w:pPr>
        <w:spacing w:before="180" w:after="80"/>
      </w:pPr>
      <w:r>
        <w:rPr>
          <w:rFonts w:ascii="Arial" w:cs="Arial" w:eastAsia="Arial" w:hAnsi="Arial"/>
          <w:b/>
          <w:bCs/>
          <w:color w:val="344054"/>
          <w:sz w:val="21"/>
          <w:szCs w:val="21"/>
        </w:rPr>
        <w:t xml:space="preserve">JE-08: Credit note (shortage deduction on client)</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4000"/>
        <w:gridCol w:w="3020"/>
        <w:gridCol w:w="3020"/>
      </w:tblGrid>
      <w:tr>
        <w:tc>
          <w:tcPr>
            <w:tcW w:type="dxa" w:w="40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Account</w:t>
            </w:r>
          </w:p>
        </w:tc>
        <w:tc>
          <w:tcPr>
            <w:tcW w:type="dxa" w:w="302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Debit (₹)</w:t>
            </w:r>
          </w:p>
        </w:tc>
        <w:tc>
          <w:tcPr>
            <w:tcW w:type="dxa" w:w="302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Credit (₹)</w:t>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Freight Revenue (300-001-001)</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3,600</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GST Output Liability — IGST (200-002-003)</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648</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Accounts Receivable (100-003-001)</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4,248</w:t>
            </w:r>
          </w:p>
        </w:tc>
      </w:tr>
    </w:tbl>
    <w:p>
      <w:pPr>
        <w:spacing w:after="160"/>
      </w:pPr>
    </w:p>
    <w:p>
      <w:pPr>
        <w:spacing w:before="180" w:after="80"/>
      </w:pPr>
      <w:r>
        <w:rPr>
          <w:rFonts w:ascii="Arial" w:cs="Arial" w:eastAsia="Arial" w:hAnsi="Arial"/>
          <w:b/>
          <w:bCs/>
          <w:color w:val="344054"/>
          <w:sz w:val="21"/>
          <w:szCs w:val="21"/>
        </w:rPr>
        <w:t xml:space="preserve">JE-09: GST payment to government</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4000"/>
        <w:gridCol w:w="3020"/>
        <w:gridCol w:w="3020"/>
      </w:tblGrid>
      <w:tr>
        <w:tc>
          <w:tcPr>
            <w:tcW w:type="dxa" w:w="40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Account</w:t>
            </w:r>
          </w:p>
        </w:tc>
        <w:tc>
          <w:tcPr>
            <w:tcW w:type="dxa" w:w="302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Debit (₹)</w:t>
            </w:r>
          </w:p>
        </w:tc>
        <w:tc>
          <w:tcPr>
            <w:tcW w:type="dxa" w:w="302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Credit (₹)</w:t>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GST Output Liability — IGST (200-002-003)</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7,056</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GST Input Credit — IGST (100-004-006)</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2,800</w:t>
            </w:r>
          </w:p>
        </w:tc>
      </w:tr>
      <w:tr>
        <w:tc>
          <w:tcPr>
            <w:tcW w:type="dxa" w:w="4000"/>
            <w:tcBorders>
              <w:top w:val="single" w:color="D0D5DD" w:sz="1"/>
              <w:left w:val="single" w:color="D0D5DD" w:sz="1"/>
              <w:bottom w:val="single" w:color="D0D5DD" w:sz="1"/>
              <w:right w:val="single" w:color="D0D5DD" w:sz="1"/>
            </w:tcBorders>
            <w:tcMar>
              <w:top w:type="dxa" w:w="70"/>
              <w:left w:type="dxa" w:w="110"/>
              <w:bottom w:type="dxa" w:w="70"/>
              <w:right w:type="dxa" w:w="110"/>
            </w:tcMar>
          </w:tcPr>
          <w:p>
            <w:r>
              <w:rPr>
                <w:rFonts w:ascii="Arial" w:cs="Arial" w:eastAsia="Arial" w:hAnsi="Arial"/>
                <w:b/>
                <w:bCs/>
                <w:sz w:val="18"/>
                <w:szCs w:val="18"/>
              </w:rPr>
              <w:t xml:space="preserve">HDFC Bank — Current A/c (100-001-001)</w:t>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
            </w:r>
          </w:p>
        </w:tc>
        <w:tc>
          <w:tcPr>
            <w:tcW w:type="dxa" w:w="302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4,256</w:t>
            </w:r>
          </w:p>
        </w:tc>
      </w:tr>
    </w:tbl>
    <w:p>
      <w:pPr>
        <w:spacing w:after="100"/>
      </w:pPr>
      <w:r>
        <w:rPr>
          <w:rFonts w:ascii="Arial" w:cs="Arial" w:eastAsia="Arial" w:hAnsi="Arial"/>
          <w:i/>
          <w:iCs/>
          <w:color w:val="667085"/>
          <w:sz w:val="20"/>
          <w:szCs w:val="20"/>
        </w:rPr>
        <w:t xml:space="preserve">Output liability netted against input credit. Difference paid to government.</w:t>
      </w:r>
    </w:p>
    <w:p>
      <w:r>
        <w:br w:type="page"/>
      </w:r>
    </w:p>
    <w:p>
      <w:pPr>
        <w:pStyle w:val="Heading1"/>
        <w:spacing w:before="360" w:after="160"/>
      </w:pPr>
      <w:r>
        <w:rPr>
          <w:rFonts w:ascii="Arial" w:cs="Arial" w:eastAsia="Arial" w:hAnsi="Arial"/>
          <w:b/>
          <w:bCs/>
          <w:color w:val="0C2340"/>
          <w:sz w:val="30"/>
          <w:szCs w:val="30"/>
        </w:rPr>
        <w:t xml:space="preserve">4. Ledger views &amp; financial reports</w:t>
      </w:r>
    </w:p>
    <w:p>
      <w:pPr>
        <w:pStyle w:val="Heading2"/>
        <w:spacing w:before="260" w:after="120"/>
      </w:pPr>
      <w:r>
        <w:rPr>
          <w:rFonts w:ascii="Arial" w:cs="Arial" w:eastAsia="Arial" w:hAnsi="Arial"/>
          <w:b/>
          <w:bCs/>
          <w:color w:val="1A5296"/>
          <w:sz w:val="24"/>
          <w:szCs w:val="24"/>
        </w:rPr>
        <w:t xml:space="preserve">4.1 Account ledger</w:t>
      </w:r>
    </w:p>
    <w:p>
      <w:pPr>
        <w:spacing w:after="100"/>
      </w:pPr>
      <w:r>
        <w:rPr>
          <w:rFonts w:ascii="Arial" w:cs="Arial" w:eastAsia="Arial" w:hAnsi="Arial"/>
          <w:sz w:val="20"/>
          <w:szCs w:val="20"/>
        </w:rPr>
        <w:t xml:space="preserve">Each account has a ledger view showing all journal entry lines that touch it, in chronological order, with running balance. This is the Tally 'ledger voucher' view.</w:t>
      </w:r>
    </w:p>
    <w:p>
      <w:pPr>
        <w:pStyle w:val="ListParagraph"/>
        <w:numPr>
          <w:ilvl w:val="0"/>
          <w:numId w:val="2"/>
        </w:numPr>
        <w:spacing w:after="50"/>
      </w:pPr>
      <w:r>
        <w:rPr>
          <w:rFonts w:ascii="Arial" w:cs="Arial" w:eastAsia="Arial" w:hAnsi="Arial"/>
          <w:sz w:val="20"/>
          <w:szCs w:val="20"/>
        </w:rPr>
        <w:t xml:space="preserve">Date, Voucher No, Narration, Debit, Credit, Running Balance</w:t>
      </w:r>
    </w:p>
    <w:p>
      <w:pPr>
        <w:pStyle w:val="ListParagraph"/>
        <w:numPr>
          <w:ilvl w:val="0"/>
          <w:numId w:val="2"/>
        </w:numPr>
        <w:spacing w:after="50"/>
      </w:pPr>
      <w:r>
        <w:rPr>
          <w:rFonts w:ascii="Arial" w:cs="Arial" w:eastAsia="Arial" w:hAnsi="Arial"/>
          <w:sz w:val="20"/>
          <w:szCs w:val="20"/>
        </w:rPr>
        <w:t xml:space="preserve">Filter by date range, voucher type</w:t>
      </w:r>
    </w:p>
    <w:p>
      <w:pPr>
        <w:pStyle w:val="ListParagraph"/>
        <w:numPr>
          <w:ilvl w:val="0"/>
          <w:numId w:val="2"/>
        </w:numPr>
        <w:spacing w:after="50"/>
      </w:pPr>
      <w:r>
        <w:rPr>
          <w:rFonts w:ascii="Arial" w:cs="Arial" w:eastAsia="Arial" w:hAnsi="Arial"/>
          <w:sz w:val="20"/>
          <w:szCs w:val="20"/>
        </w:rPr>
        <w:t xml:space="preserve">Opening balance carried forward from previous period</w:t>
      </w:r>
    </w:p>
    <w:p>
      <w:pPr>
        <w:pStyle w:val="ListParagraph"/>
        <w:numPr>
          <w:ilvl w:val="0"/>
          <w:numId w:val="2"/>
        </w:numPr>
        <w:spacing w:after="50"/>
      </w:pPr>
      <w:r>
        <w:rPr>
          <w:rFonts w:ascii="Arial" w:cs="Arial" w:eastAsia="Arial" w:hAnsi="Arial"/>
          <w:sz w:val="20"/>
          <w:szCs w:val="20"/>
        </w:rPr>
        <w:t xml:space="preserve">Drill-down: click any entry → view full journal entry with both sides</w:t>
      </w:r>
    </w:p>
    <w:p>
      <w:pPr>
        <w:pStyle w:val="Heading2"/>
        <w:spacing w:before="260" w:after="120"/>
      </w:pPr>
      <w:r>
        <w:rPr>
          <w:rFonts w:ascii="Arial" w:cs="Arial" w:eastAsia="Arial" w:hAnsi="Arial"/>
          <w:b/>
          <w:bCs/>
          <w:color w:val="1A5296"/>
          <w:sz w:val="24"/>
          <w:szCs w:val="24"/>
        </w:rPr>
        <w:t xml:space="preserve">4.2 Day book / journal register</w:t>
      </w:r>
    </w:p>
    <w:p>
      <w:pPr>
        <w:spacing w:after="100"/>
      </w:pPr>
      <w:r>
        <w:rPr>
          <w:rFonts w:ascii="Arial" w:cs="Arial" w:eastAsia="Arial" w:hAnsi="Arial"/>
          <w:sz w:val="20"/>
          <w:szCs w:val="20"/>
        </w:rPr>
        <w:t xml:space="preserve">Chronological list of all journal entries. Shows date, voucher number, voucher type, narration, debit total, credit total. Equivalent to Tally Day Book.</w:t>
      </w:r>
    </w:p>
    <w:p>
      <w:pPr>
        <w:pStyle w:val="Heading2"/>
        <w:spacing w:before="260" w:after="120"/>
      </w:pPr>
      <w:r>
        <w:rPr>
          <w:rFonts w:ascii="Arial" w:cs="Arial" w:eastAsia="Arial" w:hAnsi="Arial"/>
          <w:b/>
          <w:bCs/>
          <w:color w:val="1A5296"/>
          <w:sz w:val="24"/>
          <w:szCs w:val="24"/>
        </w:rPr>
        <w:t xml:space="preserve">4.3 Trial balance</w:t>
      </w:r>
    </w:p>
    <w:p>
      <w:pPr>
        <w:spacing w:after="100"/>
      </w:pPr>
      <w:r>
        <w:rPr>
          <w:rFonts w:ascii="Arial" w:cs="Arial" w:eastAsia="Arial" w:hAnsi="Arial"/>
          <w:sz w:val="20"/>
          <w:szCs w:val="20"/>
        </w:rPr>
        <w:t xml:space="preserve">Shows all accounts with their closing debit or credit balances for a selected period. Debit total must equal credit total. This is the primary reconciliation report. Groups accounts by primary group and sub-group.</w:t>
      </w:r>
    </w:p>
    <w:p>
      <w:pPr>
        <w:pStyle w:val="Heading2"/>
        <w:spacing w:before="260" w:after="120"/>
      </w:pPr>
      <w:r>
        <w:rPr>
          <w:rFonts w:ascii="Arial" w:cs="Arial" w:eastAsia="Arial" w:hAnsi="Arial"/>
          <w:b/>
          <w:bCs/>
          <w:color w:val="1A5296"/>
          <w:sz w:val="24"/>
          <w:szCs w:val="24"/>
        </w:rPr>
        <w:t xml:space="preserve">4.4 Profit &amp; Loss statement</w:t>
      </w:r>
    </w:p>
    <w:p>
      <w:pPr>
        <w:spacing w:after="100"/>
      </w:pPr>
      <w:r>
        <w:rPr>
          <w:rFonts w:ascii="Arial" w:cs="Arial" w:eastAsia="Arial" w:hAnsi="Arial"/>
          <w:sz w:val="20"/>
          <w:szCs w:val="20"/>
        </w:rPr>
        <w:t xml:space="preserve">Income accounts (300-xxx) minus Expense accounts (400-xxx) for a period. Shows gross profit (freight revenue minus direct trip expenses), operating profit (gross profit minus indirect expenses), and net profit. Transport-specific sections:</w:t>
      </w:r>
    </w:p>
    <w:p>
      <w:pPr>
        <w:pStyle w:val="ListParagraph"/>
        <w:numPr>
          <w:ilvl w:val="0"/>
          <w:numId w:val="2"/>
        </w:numPr>
        <w:spacing w:after="50"/>
      </w:pPr>
      <w:r>
        <w:rPr>
          <w:rFonts w:ascii="Arial" w:cs="Arial" w:eastAsia="Arial" w:hAnsi="Arial"/>
          <w:sz w:val="20"/>
          <w:szCs w:val="20"/>
        </w:rPr>
        <w:t xml:space="preserve">Revenue: Freight + Surcharges + Loading/Unloading + Detention + Other</w:t>
      </w:r>
    </w:p>
    <w:p>
      <w:pPr>
        <w:pStyle w:val="ListParagraph"/>
        <w:numPr>
          <w:ilvl w:val="0"/>
          <w:numId w:val="2"/>
        </w:numPr>
        <w:spacing w:after="50"/>
      </w:pPr>
      <w:r>
        <w:rPr>
          <w:rFonts w:ascii="Arial" w:cs="Arial" w:eastAsia="Arial" w:hAnsi="Arial"/>
          <w:sz w:val="20"/>
          <w:szCs w:val="20"/>
        </w:rPr>
        <w:t xml:space="preserve">Direct costs: Fuel + Toll + Driver allowance + Food + Vehicle hire + Loading labour</w:t>
      </w:r>
    </w:p>
    <w:p>
      <w:pPr>
        <w:pStyle w:val="ListParagraph"/>
        <w:numPr>
          <w:ilvl w:val="0"/>
          <w:numId w:val="2"/>
        </w:numPr>
        <w:spacing w:after="50"/>
      </w:pPr>
      <w:r>
        <w:rPr>
          <w:rFonts w:ascii="Arial" w:cs="Arial" w:eastAsia="Arial" w:hAnsi="Arial"/>
          <w:sz w:val="20"/>
          <w:szCs w:val="20"/>
        </w:rPr>
        <w:t xml:space="preserve">Gross margin: Revenue minus Direct costs (target: 18-25%)</w:t>
      </w:r>
    </w:p>
    <w:p>
      <w:pPr>
        <w:pStyle w:val="ListParagraph"/>
        <w:numPr>
          <w:ilvl w:val="0"/>
          <w:numId w:val="2"/>
        </w:numPr>
        <w:spacing w:after="50"/>
      </w:pPr>
      <w:r>
        <w:rPr>
          <w:rFonts w:ascii="Arial" w:cs="Arial" w:eastAsia="Arial" w:hAnsi="Arial"/>
          <w:sz w:val="20"/>
          <w:szCs w:val="20"/>
        </w:rPr>
        <w:t xml:space="preserve">Overheads: Salary + Rent + Insurance + Depreciation + GPS + Software + Misc</w:t>
      </w:r>
    </w:p>
    <w:p>
      <w:pPr>
        <w:pStyle w:val="ListParagraph"/>
        <w:numPr>
          <w:ilvl w:val="0"/>
          <w:numId w:val="2"/>
        </w:numPr>
        <w:spacing w:after="50"/>
      </w:pPr>
      <w:r>
        <w:rPr>
          <w:rFonts w:ascii="Arial" w:cs="Arial" w:eastAsia="Arial" w:hAnsi="Arial"/>
          <w:sz w:val="20"/>
          <w:szCs w:val="20"/>
        </w:rPr>
        <w:t xml:space="preserve">Operating profit: Gross margin minus Overheads</w:t>
      </w:r>
    </w:p>
    <w:p>
      <w:pPr>
        <w:pStyle w:val="ListParagraph"/>
        <w:numPr>
          <w:ilvl w:val="0"/>
          <w:numId w:val="2"/>
        </w:numPr>
        <w:spacing w:after="50"/>
      </w:pPr>
      <w:r>
        <w:rPr>
          <w:rFonts w:ascii="Arial" w:cs="Arial" w:eastAsia="Arial" w:hAnsi="Arial"/>
          <w:sz w:val="20"/>
          <w:szCs w:val="20"/>
        </w:rPr>
        <w:t xml:space="preserve">Other items: Interest income/expense, penalties, bank charges</w:t>
      </w:r>
    </w:p>
    <w:p>
      <w:pPr>
        <w:pStyle w:val="ListParagraph"/>
        <w:numPr>
          <w:ilvl w:val="0"/>
          <w:numId w:val="2"/>
        </w:numPr>
        <w:spacing w:after="50"/>
      </w:pPr>
      <w:r>
        <w:rPr>
          <w:rFonts w:ascii="Arial" w:cs="Arial" w:eastAsia="Arial" w:hAnsi="Arial"/>
          <w:sz w:val="20"/>
          <w:szCs w:val="20"/>
        </w:rPr>
        <w:t xml:space="preserve">Net profit: Operating profit +/- Other items</w:t>
      </w:r>
    </w:p>
    <w:p>
      <w:pPr>
        <w:pStyle w:val="Heading2"/>
        <w:spacing w:before="260" w:after="120"/>
      </w:pPr>
      <w:r>
        <w:rPr>
          <w:rFonts w:ascii="Arial" w:cs="Arial" w:eastAsia="Arial" w:hAnsi="Arial"/>
          <w:b/>
          <w:bCs/>
          <w:color w:val="1A5296"/>
          <w:sz w:val="24"/>
          <w:szCs w:val="24"/>
        </w:rPr>
        <w:t xml:space="preserve">4.5 Balance sheet</w:t>
      </w:r>
    </w:p>
    <w:p>
      <w:pPr>
        <w:spacing w:after="100"/>
      </w:pPr>
      <w:r>
        <w:rPr>
          <w:rFonts w:ascii="Arial" w:cs="Arial" w:eastAsia="Arial" w:hAnsi="Arial"/>
          <w:sz w:val="20"/>
          <w:szCs w:val="20"/>
        </w:rPr>
        <w:t xml:space="preserve">Assets = Liabilities + Equity at a point in time. Shows current assets (bank, cash, receivables, advances, GST credit), fixed assets (vehicles, equipment), current liabilities (payables, GST liability, TDS payable), long-term liabilities (loans), and equity (capital, retained earnings).</w:t>
      </w:r>
    </w:p>
    <w:p>
      <w:pPr>
        <w:pStyle w:val="Heading2"/>
        <w:spacing w:before="260" w:after="120"/>
      </w:pPr>
      <w:r>
        <w:rPr>
          <w:rFonts w:ascii="Arial" w:cs="Arial" w:eastAsia="Arial" w:hAnsi="Arial"/>
          <w:b/>
          <w:bCs/>
          <w:color w:val="1A5296"/>
          <w:sz w:val="24"/>
          <w:szCs w:val="24"/>
        </w:rPr>
        <w:t xml:space="preserve">4.6 Cash flow statement</w:t>
      </w:r>
    </w:p>
    <w:p>
      <w:pPr>
        <w:spacing w:after="100"/>
      </w:pPr>
      <w:r>
        <w:rPr>
          <w:rFonts w:ascii="Arial" w:cs="Arial" w:eastAsia="Arial" w:hAnsi="Arial"/>
          <w:sz w:val="20"/>
          <w:szCs w:val="20"/>
        </w:rPr>
        <w:t xml:space="preserve">Shows cash movement: operating activities (collections, payments, fuel, toll, wages), investing activities (vehicle purchase/sale), financing activities (loan disbursement/repayment, capital injection).</w:t>
      </w:r>
    </w:p>
    <w:p>
      <w:r>
        <w:br w:type="page"/>
      </w:r>
    </w:p>
    <w:p>
      <w:pPr>
        <w:pStyle w:val="Heading1"/>
        <w:spacing w:before="360" w:after="160"/>
      </w:pPr>
      <w:r>
        <w:rPr>
          <w:rFonts w:ascii="Arial" w:cs="Arial" w:eastAsia="Arial" w:hAnsi="Arial"/>
          <w:b/>
          <w:bCs/>
          <w:color w:val="0C2340"/>
          <w:sz w:val="30"/>
          <w:szCs w:val="30"/>
        </w:rPr>
        <w:t xml:space="preserve">5. Accounting software export mappings</w:t>
      </w:r>
    </w:p>
    <w:p>
      <w:pPr>
        <w:pStyle w:val="Heading2"/>
        <w:spacing w:before="260" w:after="120"/>
      </w:pPr>
      <w:r>
        <w:rPr>
          <w:rFonts w:ascii="Arial" w:cs="Arial" w:eastAsia="Arial" w:hAnsi="Arial"/>
          <w:b/>
          <w:bCs/>
          <w:color w:val="1A5296"/>
          <w:sz w:val="24"/>
          <w:szCs w:val="24"/>
        </w:rPr>
        <w:t xml:space="preserve">5.1 Tally Prime export</w:t>
      </w:r>
    </w:p>
    <w:p>
      <w:pPr>
        <w:spacing w:after="100"/>
      </w:pPr>
      <w:r>
        <w:rPr>
          <w:rFonts w:ascii="Arial" w:cs="Arial" w:eastAsia="Arial" w:hAnsi="Arial"/>
          <w:sz w:val="20"/>
          <w:szCs w:val="20"/>
        </w:rPr>
        <w:t xml:space="preserve">Export format: Tally XML import format (Masters + Vouchers).</w:t>
      </w:r>
    </w:p>
    <w:p>
      <w:pPr>
        <w:pStyle w:val="ListParagraph"/>
        <w:numPr>
          <w:ilvl w:val="0"/>
          <w:numId w:val="2"/>
        </w:numPr>
        <w:spacing w:after="50"/>
      </w:pPr>
      <w:r>
        <w:rPr>
          <w:rFonts w:ascii="Arial" w:cs="Arial" w:eastAsia="Arial" w:hAnsi="Arial"/>
          <w:sz w:val="20"/>
          <w:szCs w:val="20"/>
        </w:rPr>
        <w:t xml:space="preserve">Masters export: All accounts → Tally Ledger masters with correct Group assignment</w:t>
      </w:r>
    </w:p>
    <w:p>
      <w:pPr>
        <w:pStyle w:val="ListParagraph"/>
        <w:numPr>
          <w:ilvl w:val="0"/>
          <w:numId w:val="2"/>
        </w:numPr>
        <w:spacing w:after="50"/>
      </w:pPr>
      <w:r>
        <w:rPr>
          <w:rFonts w:ascii="Arial" w:cs="Arial" w:eastAsia="Arial" w:hAnsi="Arial"/>
          <w:sz w:val="20"/>
          <w:szCs w:val="20"/>
        </w:rPr>
        <w:t xml:space="preserve">Vouchers export: Journal entries → Tally vouchers with correct type mapping:</w:t>
      </w:r>
    </w:p>
    <w:p>
      <w:pPr>
        <w:pStyle w:val="ListParagraph"/>
        <w:numPr>
          <w:ilvl w:val="1"/>
          <w:numId w:val="2"/>
        </w:numPr>
        <w:spacing w:after="40"/>
      </w:pPr>
      <w:r>
        <w:rPr>
          <w:rFonts w:ascii="Arial" w:cs="Arial" w:eastAsia="Arial" w:hAnsi="Arial"/>
          <w:sz w:val="19"/>
          <w:szCs w:val="19"/>
        </w:rPr>
        <w:t xml:space="preserve">Sales Invoice → Tally 'Sales' voucher type</w:t>
      </w:r>
    </w:p>
    <w:p>
      <w:pPr>
        <w:pStyle w:val="ListParagraph"/>
        <w:numPr>
          <w:ilvl w:val="1"/>
          <w:numId w:val="2"/>
        </w:numPr>
        <w:spacing w:after="40"/>
      </w:pPr>
      <w:r>
        <w:rPr>
          <w:rFonts w:ascii="Arial" w:cs="Arial" w:eastAsia="Arial" w:hAnsi="Arial"/>
          <w:sz w:val="19"/>
          <w:szCs w:val="19"/>
        </w:rPr>
        <w:t xml:space="preserve">Payment Receipt → Tally 'Receipt' voucher type</w:t>
      </w:r>
    </w:p>
    <w:p>
      <w:pPr>
        <w:pStyle w:val="ListParagraph"/>
        <w:numPr>
          <w:ilvl w:val="1"/>
          <w:numId w:val="2"/>
        </w:numPr>
        <w:spacing w:after="40"/>
      </w:pPr>
      <w:r>
        <w:rPr>
          <w:rFonts w:ascii="Arial" w:cs="Arial" w:eastAsia="Arial" w:hAnsi="Arial"/>
          <w:sz w:val="19"/>
          <w:szCs w:val="19"/>
        </w:rPr>
        <w:t xml:space="preserve">Vendor Payment → Tally 'Payment' voucher type</w:t>
      </w:r>
    </w:p>
    <w:p>
      <w:pPr>
        <w:pStyle w:val="ListParagraph"/>
        <w:numPr>
          <w:ilvl w:val="1"/>
          <w:numId w:val="2"/>
        </w:numPr>
        <w:spacing w:after="40"/>
      </w:pPr>
      <w:r>
        <w:rPr>
          <w:rFonts w:ascii="Arial" w:cs="Arial" w:eastAsia="Arial" w:hAnsi="Arial"/>
          <w:sz w:val="19"/>
          <w:szCs w:val="19"/>
        </w:rPr>
        <w:t xml:space="preserve">Journal Entry → Tally 'Journal' voucher type</w:t>
      </w:r>
    </w:p>
    <w:p>
      <w:pPr>
        <w:pStyle w:val="ListParagraph"/>
        <w:numPr>
          <w:ilvl w:val="1"/>
          <w:numId w:val="2"/>
        </w:numPr>
        <w:spacing w:after="40"/>
      </w:pPr>
      <w:r>
        <w:rPr>
          <w:rFonts w:ascii="Arial" w:cs="Arial" w:eastAsia="Arial" w:hAnsi="Arial"/>
          <w:sz w:val="19"/>
          <w:szCs w:val="19"/>
        </w:rPr>
        <w:t xml:space="preserve">Credit Note → Tally 'Credit Note' voucher type</w:t>
      </w:r>
    </w:p>
    <w:p>
      <w:pPr>
        <w:pStyle w:val="ListParagraph"/>
        <w:numPr>
          <w:ilvl w:val="1"/>
          <w:numId w:val="2"/>
        </w:numPr>
        <w:spacing w:after="40"/>
      </w:pPr>
      <w:r>
        <w:rPr>
          <w:rFonts w:ascii="Arial" w:cs="Arial" w:eastAsia="Arial" w:hAnsi="Arial"/>
          <w:sz w:val="19"/>
          <w:szCs w:val="19"/>
        </w:rPr>
        <w:t xml:space="preserve">Debit Note → Tally 'Debit Note' voucher type</w:t>
      </w:r>
    </w:p>
    <w:p>
      <w:pPr>
        <w:pStyle w:val="ListParagraph"/>
        <w:numPr>
          <w:ilvl w:val="0"/>
          <w:numId w:val="2"/>
        </w:numPr>
        <w:spacing w:after="50"/>
      </w:pPr>
      <w:r>
        <w:rPr>
          <w:rFonts w:ascii="Arial" w:cs="Arial" w:eastAsia="Arial" w:hAnsi="Arial"/>
          <w:sz w:val="20"/>
          <w:szCs w:val="20"/>
        </w:rPr>
        <w:t xml:space="preserve">GST details embedded in voucher: HSN code, tax rate, place of supply</w:t>
      </w:r>
    </w:p>
    <w:p>
      <w:pPr>
        <w:pStyle w:val="ListParagraph"/>
        <w:numPr>
          <w:ilvl w:val="0"/>
          <w:numId w:val="2"/>
        </w:numPr>
        <w:spacing w:after="50"/>
      </w:pPr>
      <w:r>
        <w:rPr>
          <w:rFonts w:ascii="Arial" w:cs="Arial" w:eastAsia="Arial" w:hAnsi="Arial"/>
          <w:sz w:val="20"/>
          <w:szCs w:val="20"/>
        </w:rPr>
        <w:t xml:space="preserve">Party ledger mapping: each client → Tally 'Sundry Debtor', each vendor → Tally 'Sundry Creditor'</w:t>
      </w:r>
    </w:p>
    <w:p>
      <w:pPr>
        <w:pStyle w:val="Heading2"/>
        <w:spacing w:before="260" w:after="120"/>
      </w:pPr>
      <w:r>
        <w:rPr>
          <w:rFonts w:ascii="Arial" w:cs="Arial" w:eastAsia="Arial" w:hAnsi="Arial"/>
          <w:b/>
          <w:bCs/>
          <w:color w:val="1A5296"/>
          <w:sz w:val="24"/>
          <w:szCs w:val="24"/>
        </w:rPr>
        <w:t xml:space="preserve">5.2 SAP B1 export</w:t>
      </w:r>
    </w:p>
    <w:p>
      <w:pPr>
        <w:spacing w:after="100"/>
      </w:pPr>
      <w:r>
        <w:rPr>
          <w:rFonts w:ascii="Arial" w:cs="Arial" w:eastAsia="Arial" w:hAnsi="Arial"/>
          <w:sz w:val="20"/>
          <w:szCs w:val="20"/>
        </w:rPr>
        <w:t xml:space="preserve">Export format: SAP DI API or CSV import format.</w:t>
      </w:r>
    </w:p>
    <w:p>
      <w:pPr>
        <w:pStyle w:val="ListParagraph"/>
        <w:numPr>
          <w:ilvl w:val="0"/>
          <w:numId w:val="2"/>
        </w:numPr>
        <w:spacing w:after="50"/>
      </w:pPr>
      <w:r>
        <w:rPr>
          <w:rFonts w:ascii="Arial" w:cs="Arial" w:eastAsia="Arial" w:hAnsi="Arial"/>
          <w:sz w:val="20"/>
          <w:szCs w:val="20"/>
        </w:rPr>
        <w:t xml:space="preserve">COA mapping: TMS accounts → SAP G/L accounts with cost center assignment</w:t>
      </w:r>
    </w:p>
    <w:p>
      <w:pPr>
        <w:pStyle w:val="ListParagraph"/>
        <w:numPr>
          <w:ilvl w:val="0"/>
          <w:numId w:val="2"/>
        </w:numPr>
        <w:spacing w:after="50"/>
      </w:pPr>
      <w:r>
        <w:rPr>
          <w:rFonts w:ascii="Arial" w:cs="Arial" w:eastAsia="Arial" w:hAnsi="Arial"/>
          <w:sz w:val="20"/>
          <w:szCs w:val="20"/>
        </w:rPr>
        <w:t xml:space="preserve">Business partner mapping: clients → SAP customers, vendors → SAP suppliers</w:t>
      </w:r>
    </w:p>
    <w:p>
      <w:pPr>
        <w:pStyle w:val="ListParagraph"/>
        <w:numPr>
          <w:ilvl w:val="0"/>
          <w:numId w:val="2"/>
        </w:numPr>
        <w:spacing w:after="50"/>
      </w:pPr>
      <w:r>
        <w:rPr>
          <w:rFonts w:ascii="Arial" w:cs="Arial" w:eastAsia="Arial" w:hAnsi="Arial"/>
          <w:sz w:val="20"/>
          <w:szCs w:val="20"/>
        </w:rPr>
        <w:t xml:space="preserve">Document types: Sales Invoice (IN), A/R Credit Memo (CN), Incoming Payment (IP), A/P Invoice (PI), Outgoing Payment (OP), Journal Entry (JE)</w:t>
      </w:r>
    </w:p>
    <w:p>
      <w:pPr>
        <w:pStyle w:val="Heading2"/>
        <w:spacing w:before="260" w:after="120"/>
      </w:pPr>
      <w:r>
        <w:rPr>
          <w:rFonts w:ascii="Arial" w:cs="Arial" w:eastAsia="Arial" w:hAnsi="Arial"/>
          <w:b/>
          <w:bCs/>
          <w:color w:val="1A5296"/>
          <w:sz w:val="24"/>
          <w:szCs w:val="24"/>
        </w:rPr>
        <w:t xml:space="preserve">5.3 Zoho Books export</w:t>
      </w:r>
    </w:p>
    <w:p>
      <w:pPr>
        <w:spacing w:after="100"/>
      </w:pPr>
      <w:r>
        <w:rPr>
          <w:rFonts w:ascii="Arial" w:cs="Arial" w:eastAsia="Arial" w:hAnsi="Arial"/>
          <w:sz w:val="20"/>
          <w:szCs w:val="20"/>
        </w:rPr>
        <w:t xml:space="preserve">Export format: Zoho Books API (REST) or CSV.</w:t>
      </w:r>
    </w:p>
    <w:p>
      <w:pPr>
        <w:pStyle w:val="ListParagraph"/>
        <w:numPr>
          <w:ilvl w:val="0"/>
          <w:numId w:val="2"/>
        </w:numPr>
        <w:spacing w:after="50"/>
      </w:pPr>
      <w:r>
        <w:rPr>
          <w:rFonts w:ascii="Arial" w:cs="Arial" w:eastAsia="Arial" w:hAnsi="Arial"/>
          <w:sz w:val="20"/>
          <w:szCs w:val="20"/>
        </w:rPr>
        <w:t xml:space="preserve">COA mapping: accounts → Zoho COA with category assignment</w:t>
      </w:r>
    </w:p>
    <w:p>
      <w:pPr>
        <w:pStyle w:val="ListParagraph"/>
        <w:numPr>
          <w:ilvl w:val="0"/>
          <w:numId w:val="2"/>
        </w:numPr>
        <w:spacing w:after="50"/>
      </w:pPr>
      <w:r>
        <w:rPr>
          <w:rFonts w:ascii="Arial" w:cs="Arial" w:eastAsia="Arial" w:hAnsi="Arial"/>
          <w:sz w:val="20"/>
          <w:szCs w:val="20"/>
        </w:rPr>
        <w:t xml:space="preserve">Invoice sync: TMS invoices → Zoho invoices with line items and tax</w:t>
      </w:r>
    </w:p>
    <w:p>
      <w:pPr>
        <w:pStyle w:val="ListParagraph"/>
        <w:numPr>
          <w:ilvl w:val="0"/>
          <w:numId w:val="2"/>
        </w:numPr>
        <w:spacing w:after="50"/>
      </w:pPr>
      <w:r>
        <w:rPr>
          <w:rFonts w:ascii="Arial" w:cs="Arial" w:eastAsia="Arial" w:hAnsi="Arial"/>
          <w:sz w:val="20"/>
          <w:szCs w:val="20"/>
        </w:rPr>
        <w:t xml:space="preserve">Payment sync: TMS receipts → Zoho payment receipts</w:t>
      </w:r>
    </w:p>
    <w:p>
      <w:pPr>
        <w:pStyle w:val="Heading2"/>
        <w:spacing w:before="260" w:after="120"/>
      </w:pPr>
      <w:r>
        <w:rPr>
          <w:rFonts w:ascii="Arial" w:cs="Arial" w:eastAsia="Arial" w:hAnsi="Arial"/>
          <w:b/>
          <w:bCs/>
          <w:color w:val="1A5296"/>
          <w:sz w:val="24"/>
          <w:szCs w:val="24"/>
        </w:rPr>
        <w:t xml:space="preserve">5.4 Generic CSV/Excel export</w:t>
      </w:r>
    </w:p>
    <w:p>
      <w:pPr>
        <w:spacing w:after="100"/>
      </w:pPr>
      <w:r>
        <w:rPr>
          <w:rFonts w:ascii="Arial" w:cs="Arial" w:eastAsia="Arial" w:hAnsi="Arial"/>
          <w:sz w:val="20"/>
          <w:szCs w:val="20"/>
        </w:rPr>
        <w:t xml:space="preserve">Universal format that works with any accounting software:</w:t>
      </w:r>
    </w:p>
    <w:p>
      <w:pPr>
        <w:pStyle w:val="ListParagraph"/>
        <w:numPr>
          <w:ilvl w:val="0"/>
          <w:numId w:val="2"/>
        </w:numPr>
        <w:spacing w:after="50"/>
      </w:pPr>
      <w:r>
        <w:rPr>
          <w:rFonts w:ascii="Arial" w:cs="Arial" w:eastAsia="Arial" w:hAnsi="Arial"/>
          <w:sz w:val="20"/>
          <w:szCs w:val="20"/>
        </w:rPr>
        <w:t xml:space="preserve">Journal register: Date, Voucher No, Voucher Type, Account Code, Account Name, Debit, Credit, Narration, Reference (Trip/Invoice/Payment ID)</w:t>
      </w:r>
    </w:p>
    <w:p>
      <w:pPr>
        <w:pStyle w:val="ListParagraph"/>
        <w:numPr>
          <w:ilvl w:val="0"/>
          <w:numId w:val="2"/>
        </w:numPr>
        <w:spacing w:after="50"/>
      </w:pPr>
      <w:r>
        <w:rPr>
          <w:rFonts w:ascii="Arial" w:cs="Arial" w:eastAsia="Arial" w:hAnsi="Arial"/>
          <w:sz w:val="20"/>
          <w:szCs w:val="20"/>
        </w:rPr>
        <w:t xml:space="preserve">Trial balance: Account Code, Account Name, Group, Opening Balance, Debit Movement, Credit Movement, Closing Balance</w:t>
      </w:r>
    </w:p>
    <w:p>
      <w:pPr>
        <w:pStyle w:val="ListParagraph"/>
        <w:numPr>
          <w:ilvl w:val="0"/>
          <w:numId w:val="2"/>
        </w:numPr>
        <w:spacing w:after="50"/>
      </w:pPr>
      <w:r>
        <w:rPr>
          <w:rFonts w:ascii="Arial" w:cs="Arial" w:eastAsia="Arial" w:hAnsi="Arial"/>
          <w:sz w:val="20"/>
          <w:szCs w:val="20"/>
        </w:rPr>
        <w:t xml:space="preserve">Customer outstanding: Client, Invoice#, Date, Amount, Paid, Outstanding, Days Overdue</w:t>
      </w:r>
    </w:p>
    <w:p>
      <w:pPr>
        <w:pStyle w:val="ListParagraph"/>
        <w:numPr>
          <w:ilvl w:val="0"/>
          <w:numId w:val="2"/>
        </w:numPr>
        <w:spacing w:after="50"/>
      </w:pPr>
      <w:r>
        <w:rPr>
          <w:rFonts w:ascii="Arial" w:cs="Arial" w:eastAsia="Arial" w:hAnsi="Arial"/>
          <w:sz w:val="20"/>
          <w:szCs w:val="20"/>
        </w:rPr>
        <w:t xml:space="preserve">Vendor outstanding: Vendor, Trip#, Amount, Paid, Outstanding</w:t>
      </w:r>
    </w:p>
    <w:p>
      <w:r>
        <w:br w:type="page"/>
      </w:r>
    </w:p>
    <w:p>
      <w:pPr>
        <w:pStyle w:val="Heading1"/>
        <w:spacing w:before="360" w:after="160"/>
      </w:pPr>
      <w:r>
        <w:rPr>
          <w:rFonts w:ascii="Arial" w:cs="Arial" w:eastAsia="Arial" w:hAnsi="Arial"/>
          <w:b/>
          <w:bCs/>
          <w:color w:val="0C2340"/>
          <w:sz w:val="30"/>
          <w:szCs w:val="30"/>
        </w:rPr>
        <w:t xml:space="preserve">6. Voucher type definitions</w:t>
      </w:r>
    </w:p>
    <w:p>
      <w:pPr>
        <w:spacing w:after="100"/>
      </w:pPr>
      <w:r>
        <w:rPr>
          <w:rFonts w:ascii="Arial" w:cs="Arial" w:eastAsia="Arial" w:hAnsi="Arial"/>
          <w:sz w:val="20"/>
          <w:szCs w:val="20"/>
        </w:rPr>
        <w:t xml:space="preserve">Every journal entry has a voucher type that classifies the transaction. These map directly to Tally voucher types.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2000"/>
        <w:gridCol w:w="2840"/>
      </w:tblGrid>
      <w:tr>
        <w:tc>
          <w:tcPr>
            <w:tcW w:type="dxa" w:w="14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Code</w:t>
            </w:r>
          </w:p>
        </w:tc>
        <w:tc>
          <w:tcPr>
            <w:tcW w:type="dxa" w:w="20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Voucher type</w:t>
            </w:r>
          </w:p>
        </w:tc>
        <w:tc>
          <w:tcPr>
            <w:tcW w:type="dxa" w:w="18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Tally type</w:t>
            </w:r>
          </w:p>
        </w:tc>
        <w:tc>
          <w:tcPr>
            <w:tcW w:type="dxa" w:w="20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Auto trigger</w:t>
            </w:r>
          </w:p>
        </w:tc>
        <w:tc>
          <w:tcPr>
            <w:tcW w:type="dxa" w:w="284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Numbering</w:t>
            </w:r>
          </w:p>
        </w:tc>
      </w:tr>
      <w:tr>
        <w:tc>
          <w:tcPr>
            <w:tcW w:type="dxa" w:w="14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SLS</w:t>
            </w:r>
          </w:p>
        </w:tc>
        <w:tc>
          <w:tcPr>
            <w:tcW w:type="dxa" w:w="20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Sales Invoice</w:t>
            </w:r>
          </w:p>
        </w:tc>
        <w:tc>
          <w:tcPr>
            <w:tcW w:type="dxa" w:w="18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Sales</w:t>
            </w:r>
          </w:p>
        </w:tc>
        <w:tc>
          <w:tcPr>
            <w:tcW w:type="dxa" w:w="20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Invoice approved</w:t>
            </w:r>
          </w:p>
        </w:tc>
        <w:tc>
          <w:tcPr>
            <w:tcW w:type="dxa" w:w="28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SLS/YY-MM/NNNN</w:t>
            </w:r>
          </w:p>
        </w:tc>
      </w:tr>
      <w:tr>
        <w:tc>
          <w:tcPr>
            <w:tcW w:type="dxa" w:w="14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RCT</w:t>
            </w:r>
          </w:p>
        </w:tc>
        <w:tc>
          <w:tcPr>
            <w:tcW w:type="dxa" w:w="20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Payment Receipt</w:t>
            </w:r>
          </w:p>
        </w:tc>
        <w:tc>
          <w:tcPr>
            <w:tcW w:type="dxa" w:w="18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Receipt</w:t>
            </w:r>
          </w:p>
        </w:tc>
        <w:tc>
          <w:tcPr>
            <w:tcW w:type="dxa" w:w="20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Payment recorded</w:t>
            </w:r>
          </w:p>
        </w:tc>
        <w:tc>
          <w:tcPr>
            <w:tcW w:type="dxa" w:w="28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RCT/YY-MM/NNNN</w:t>
            </w:r>
          </w:p>
        </w:tc>
      </w:tr>
      <w:tr>
        <w:tc>
          <w:tcPr>
            <w:tcW w:type="dxa" w:w="14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PMT</w:t>
            </w:r>
          </w:p>
        </w:tc>
        <w:tc>
          <w:tcPr>
            <w:tcW w:type="dxa" w:w="20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Vendor Payment</w:t>
            </w:r>
          </w:p>
        </w:tc>
        <w:tc>
          <w:tcPr>
            <w:tcW w:type="dxa" w:w="18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Payment</w:t>
            </w:r>
          </w:p>
        </w:tc>
        <w:tc>
          <w:tcPr>
            <w:tcW w:type="dxa" w:w="20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Settlement disbursed</w:t>
            </w:r>
          </w:p>
        </w:tc>
        <w:tc>
          <w:tcPr>
            <w:tcW w:type="dxa" w:w="28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PMT/YY-MM/NNNN</w:t>
            </w:r>
          </w:p>
        </w:tc>
      </w:tr>
      <w:tr>
        <w:tc>
          <w:tcPr>
            <w:tcW w:type="dxa" w:w="14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JRN</w:t>
            </w:r>
          </w:p>
        </w:tc>
        <w:tc>
          <w:tcPr>
            <w:tcW w:type="dxa" w:w="20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Journal Entry</w:t>
            </w:r>
          </w:p>
        </w:tc>
        <w:tc>
          <w:tcPr>
            <w:tcW w:type="dxa" w:w="18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Journal</w:t>
            </w:r>
          </w:p>
        </w:tc>
        <w:tc>
          <w:tcPr>
            <w:tcW w:type="dxa" w:w="20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Manual or system adj.</w:t>
            </w:r>
          </w:p>
        </w:tc>
        <w:tc>
          <w:tcPr>
            <w:tcW w:type="dxa" w:w="28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JRN/YY-MM/NNNN</w:t>
            </w:r>
          </w:p>
        </w:tc>
      </w:tr>
      <w:tr>
        <w:tc>
          <w:tcPr>
            <w:tcW w:type="dxa" w:w="14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CNT</w:t>
            </w:r>
          </w:p>
        </w:tc>
        <w:tc>
          <w:tcPr>
            <w:tcW w:type="dxa" w:w="20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Contra</w:t>
            </w:r>
          </w:p>
        </w:tc>
        <w:tc>
          <w:tcPr>
            <w:tcW w:type="dxa" w:w="18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Contra</w:t>
            </w:r>
          </w:p>
        </w:tc>
        <w:tc>
          <w:tcPr>
            <w:tcW w:type="dxa" w:w="20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Bank transfer, cash deposit</w:t>
            </w:r>
          </w:p>
        </w:tc>
        <w:tc>
          <w:tcPr>
            <w:tcW w:type="dxa" w:w="28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CNT/YY-MM/NNNN</w:t>
            </w:r>
          </w:p>
        </w:tc>
      </w:tr>
      <w:tr>
        <w:tc>
          <w:tcPr>
            <w:tcW w:type="dxa" w:w="14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ADV</w:t>
            </w:r>
          </w:p>
        </w:tc>
        <w:tc>
          <w:tcPr>
            <w:tcW w:type="dxa" w:w="20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Advance Voucher</w:t>
            </w:r>
          </w:p>
        </w:tc>
        <w:tc>
          <w:tcPr>
            <w:tcW w:type="dxa" w:w="18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Payment</w:t>
            </w:r>
          </w:p>
        </w:tc>
        <w:tc>
          <w:tcPr>
            <w:tcW w:type="dxa" w:w="20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Driver advance given</w:t>
            </w:r>
          </w:p>
        </w:tc>
        <w:tc>
          <w:tcPr>
            <w:tcW w:type="dxa" w:w="28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ADV/YY-MM/NNNN</w:t>
            </w:r>
          </w:p>
        </w:tc>
      </w:tr>
      <w:tr>
        <w:tc>
          <w:tcPr>
            <w:tcW w:type="dxa" w:w="14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FUL</w:t>
            </w:r>
          </w:p>
        </w:tc>
        <w:tc>
          <w:tcPr>
            <w:tcW w:type="dxa" w:w="20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Fuel Voucher</w:t>
            </w:r>
          </w:p>
        </w:tc>
        <w:tc>
          <w:tcPr>
            <w:tcW w:type="dxa" w:w="18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Payment</w:t>
            </w:r>
          </w:p>
        </w:tc>
        <w:tc>
          <w:tcPr>
            <w:tcW w:type="dxa" w:w="20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Fuel card debit</w:t>
            </w:r>
          </w:p>
        </w:tc>
        <w:tc>
          <w:tcPr>
            <w:tcW w:type="dxa" w:w="28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FUL/YY-MM/NNNN</w:t>
            </w:r>
          </w:p>
        </w:tc>
      </w:tr>
      <w:tr>
        <w:tc>
          <w:tcPr>
            <w:tcW w:type="dxa" w:w="14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TOL</w:t>
            </w:r>
          </w:p>
        </w:tc>
        <w:tc>
          <w:tcPr>
            <w:tcW w:type="dxa" w:w="20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Toll Voucher</w:t>
            </w:r>
          </w:p>
        </w:tc>
        <w:tc>
          <w:tcPr>
            <w:tcW w:type="dxa" w:w="18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Payment</w:t>
            </w:r>
          </w:p>
        </w:tc>
        <w:tc>
          <w:tcPr>
            <w:tcW w:type="dxa" w:w="20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FASTag deduction</w:t>
            </w:r>
          </w:p>
        </w:tc>
        <w:tc>
          <w:tcPr>
            <w:tcW w:type="dxa" w:w="28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TOL/YY-MM/NNNN</w:t>
            </w:r>
          </w:p>
        </w:tc>
      </w:tr>
      <w:tr>
        <w:tc>
          <w:tcPr>
            <w:tcW w:type="dxa" w:w="14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CRN</w:t>
            </w:r>
          </w:p>
        </w:tc>
        <w:tc>
          <w:tcPr>
            <w:tcW w:type="dxa" w:w="20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Credit Note</w:t>
            </w:r>
          </w:p>
        </w:tc>
        <w:tc>
          <w:tcPr>
            <w:tcW w:type="dxa" w:w="18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Credit Note</w:t>
            </w:r>
          </w:p>
        </w:tc>
        <w:tc>
          <w:tcPr>
            <w:tcW w:type="dxa" w:w="20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CN approved</w:t>
            </w:r>
          </w:p>
        </w:tc>
        <w:tc>
          <w:tcPr>
            <w:tcW w:type="dxa" w:w="28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CRN/YY-MM/NNNN</w:t>
            </w:r>
          </w:p>
        </w:tc>
      </w:tr>
      <w:tr>
        <w:tc>
          <w:tcPr>
            <w:tcW w:type="dxa" w:w="14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DBN</w:t>
            </w:r>
          </w:p>
        </w:tc>
        <w:tc>
          <w:tcPr>
            <w:tcW w:type="dxa" w:w="20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Debit Note</w:t>
            </w:r>
          </w:p>
        </w:tc>
        <w:tc>
          <w:tcPr>
            <w:tcW w:type="dxa" w:w="18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Debit Note</w:t>
            </w:r>
          </w:p>
        </w:tc>
        <w:tc>
          <w:tcPr>
            <w:tcW w:type="dxa" w:w="20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DN approved</w:t>
            </w:r>
          </w:p>
        </w:tc>
        <w:tc>
          <w:tcPr>
            <w:tcW w:type="dxa" w:w="28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DBN/YY-MM/NNNN</w:t>
            </w:r>
          </w:p>
        </w:tc>
      </w:tr>
      <w:tr>
        <w:tc>
          <w:tcPr>
            <w:tcW w:type="dxa" w:w="14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DEP</w:t>
            </w:r>
          </w:p>
        </w:tc>
        <w:tc>
          <w:tcPr>
            <w:tcW w:type="dxa" w:w="20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Depreciation</w:t>
            </w:r>
          </w:p>
        </w:tc>
        <w:tc>
          <w:tcPr>
            <w:tcW w:type="dxa" w:w="18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Journal</w:t>
            </w:r>
          </w:p>
        </w:tc>
        <w:tc>
          <w:tcPr>
            <w:tcW w:type="dxa" w:w="20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Monthly depreciation run</w:t>
            </w:r>
          </w:p>
        </w:tc>
        <w:tc>
          <w:tcPr>
            <w:tcW w:type="dxa" w:w="28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DEP/YY-MM/NNNN</w:t>
            </w:r>
          </w:p>
        </w:tc>
      </w:tr>
      <w:tr>
        <w:tc>
          <w:tcPr>
            <w:tcW w:type="dxa" w:w="14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GST</w:t>
            </w:r>
          </w:p>
        </w:tc>
        <w:tc>
          <w:tcPr>
            <w:tcW w:type="dxa" w:w="20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GST Payment</w:t>
            </w:r>
          </w:p>
        </w:tc>
        <w:tc>
          <w:tcPr>
            <w:tcW w:type="dxa" w:w="18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Payment</w:t>
            </w:r>
          </w:p>
        </w:tc>
        <w:tc>
          <w:tcPr>
            <w:tcW w:type="dxa" w:w="20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Monthly GST filing</w:t>
            </w:r>
          </w:p>
        </w:tc>
        <w:tc>
          <w:tcPr>
            <w:tcW w:type="dxa" w:w="28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GST/YY-MM/NNNN</w:t>
            </w:r>
          </w:p>
        </w:tc>
      </w:tr>
    </w:tbl>
    <w:p>
      <w:r>
        <w:br w:type="page"/>
      </w:r>
    </w:p>
    <w:p>
      <w:pPr>
        <w:pStyle w:val="Heading1"/>
        <w:spacing w:before="360" w:after="160"/>
      </w:pPr>
      <w:r>
        <w:rPr>
          <w:rFonts w:ascii="Arial" w:cs="Arial" w:eastAsia="Arial" w:hAnsi="Arial"/>
          <w:b/>
          <w:bCs/>
          <w:color w:val="0C2340"/>
          <w:sz w:val="30"/>
          <w:szCs w:val="30"/>
        </w:rPr>
        <w:t xml:space="preserve">7. Data model</w:t>
      </w:r>
    </w:p>
    <w:p>
      <w:pPr>
        <w:pStyle w:val="Heading2"/>
        <w:spacing w:before="260" w:after="120"/>
      </w:pPr>
      <w:r>
        <w:rPr>
          <w:rFonts w:ascii="Arial" w:cs="Arial" w:eastAsia="Arial" w:hAnsi="Arial"/>
          <w:b/>
          <w:bCs/>
          <w:color w:val="1A5296"/>
          <w:sz w:val="24"/>
          <w:szCs w:val="24"/>
        </w:rPr>
        <w:t xml:space="preserve">7.1 Core accounting tables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240"/>
      </w:tblGrid>
      <w:tr>
        <w:tc>
          <w:tcPr>
            <w:tcW w:type="dxa" w:w="24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Table</w:t>
            </w:r>
          </w:p>
        </w:tc>
        <w:tc>
          <w:tcPr>
            <w:tcW w:type="dxa" w:w="440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Purpose</w:t>
            </w:r>
          </w:p>
        </w:tc>
        <w:tc>
          <w:tcPr>
            <w:tcW w:type="dxa" w:w="3240"/>
            <w:tcBorders>
              <w:top w:val="single" w:color="D0D5DD" w:sz="1"/>
              <w:left w:val="single" w:color="D0D5DD" w:sz="1"/>
              <w:bottom w:val="single" w:color="D0D5DD" w:sz="1"/>
              <w:right w:val="single" w:color="D0D5DD" w:sz="1"/>
            </w:tcBorders>
            <w:shd w:fill="0C2340" w:val="clear"/>
            <w:tcMar>
              <w:top w:type="dxa" w:w="70"/>
              <w:left w:type="dxa" w:w="110"/>
              <w:bottom w:type="dxa" w:w="70"/>
              <w:right w:type="dxa" w:w="110"/>
            </w:tcMar>
          </w:tcPr>
          <w:p>
            <w:r>
              <w:rPr>
                <w:rFonts w:ascii="Arial" w:cs="Arial" w:eastAsia="Arial" w:hAnsi="Arial"/>
                <w:b/>
                <w:bCs/>
                <w:color w:val="FFFFFF"/>
                <w:sz w:val="18"/>
                <w:szCs w:val="18"/>
              </w:rPr>
              <w:t xml:space="preserve">Key fields</w:t>
            </w:r>
          </w:p>
        </w:tc>
      </w:tr>
      <w:tr>
        <w:tc>
          <w:tcPr>
            <w:tcW w:type="dxa" w:w="24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account_groups</w:t>
            </w:r>
          </w:p>
        </w:tc>
        <w:tc>
          <w:tcPr>
            <w:tcW w:type="dxa" w:w="44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COA group hierarchy (Assets &gt; Bank Accounts &gt; HDFC Current)</w:t>
            </w:r>
          </w:p>
        </w:tc>
        <w:tc>
          <w:tcPr>
            <w:tcW w:type="dxa" w:w="32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id, name, parent_group_id, nature (Asset/Liability/Income/Expense)</w:t>
            </w:r>
          </w:p>
        </w:tc>
      </w:tr>
      <w:tr>
        <w:tc>
          <w:tcPr>
            <w:tcW w:type="dxa" w:w="24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accounts</w:t>
            </w:r>
          </w:p>
        </w:tc>
        <w:tc>
          <w:tcPr>
            <w:tcW w:type="dxa" w:w="44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Individual accounts (ledgers in Tally terms)</w:t>
            </w:r>
          </w:p>
        </w:tc>
        <w:tc>
          <w:tcPr>
            <w:tcW w:type="dxa" w:w="32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id, code, name, group_id, type, opening_balance, is_system, is_active</w:t>
            </w:r>
          </w:p>
        </w:tc>
      </w:tr>
      <w:tr>
        <w:tc>
          <w:tcPr>
            <w:tcW w:type="dxa" w:w="24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financial_years</w:t>
            </w:r>
          </w:p>
        </w:tc>
        <w:tc>
          <w:tcPr>
            <w:tcW w:type="dxa" w:w="44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FY periods (Apr-Mar) with open/closed status</w:t>
            </w:r>
          </w:p>
        </w:tc>
        <w:tc>
          <w:tcPr>
            <w:tcW w:type="dxa" w:w="32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id, name, start_date, end_date, status (Open/Closed)</w:t>
            </w:r>
          </w:p>
        </w:tc>
      </w:tr>
      <w:tr>
        <w:tc>
          <w:tcPr>
            <w:tcW w:type="dxa" w:w="24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voucher_types</w:t>
            </w:r>
          </w:p>
        </w:tc>
        <w:tc>
          <w:tcPr>
            <w:tcW w:type="dxa" w:w="44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Voucher classification definitions</w:t>
            </w:r>
          </w:p>
        </w:tc>
        <w:tc>
          <w:tcPr>
            <w:tcW w:type="dxa" w:w="32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id, code, name, tally_type, numbering_prefix, auto_generated</w:t>
            </w:r>
          </w:p>
        </w:tc>
      </w:tr>
      <w:tr>
        <w:tc>
          <w:tcPr>
            <w:tcW w:type="dxa" w:w="24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journal_entries</w:t>
            </w:r>
          </w:p>
        </w:tc>
        <w:tc>
          <w:tcPr>
            <w:tcW w:type="dxa" w:w="44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The journal header (one per transaction)</w:t>
            </w:r>
          </w:p>
        </w:tc>
        <w:tc>
          <w:tcPr>
            <w:tcW w:type="dxa" w:w="32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id, voucher_no, voucher_type_id, date, narration, reference_type, reference_id, status, created_by</w:t>
            </w:r>
          </w:p>
        </w:tc>
      </w:tr>
      <w:tr>
        <w:tc>
          <w:tcPr>
            <w:tcW w:type="dxa" w:w="24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journal_lines</w:t>
            </w:r>
          </w:p>
        </w:tc>
        <w:tc>
          <w:tcPr>
            <w:tcW w:type="dxa" w:w="44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Individual debit/credit lines (min 2 per JE)</w:t>
            </w:r>
          </w:p>
        </w:tc>
        <w:tc>
          <w:tcPr>
            <w:tcW w:type="dxa" w:w="32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id, journal_entry_id, account_id, debit, credit, narration, sub_ledger_type, sub_ledger_id</w:t>
            </w:r>
          </w:p>
        </w:tc>
      </w:tr>
      <w:tr>
        <w:tc>
          <w:tcPr>
            <w:tcW w:type="dxa" w:w="24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opening_balances</w:t>
            </w:r>
          </w:p>
        </w:tc>
        <w:tc>
          <w:tcPr>
            <w:tcW w:type="dxa" w:w="440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Per-account opening balance per FY</w:t>
            </w:r>
          </w:p>
        </w:tc>
        <w:tc>
          <w:tcPr>
            <w:tcW w:type="dxa" w:w="3240"/>
            <w:tcBorders>
              <w:top w:val="single" w:color="D0D5DD" w:sz="1"/>
              <w:left w:val="single" w:color="D0D5DD" w:sz="1"/>
              <w:bottom w:val="single" w:color="D0D5DD" w:sz="1"/>
              <w:right w:val="single" w:color="D0D5DD" w:sz="1"/>
            </w:tcBorders>
            <w:tcMar>
              <w:top w:type="dxa" w:w="70"/>
              <w:left w:type="dxa" w:w="110"/>
              <w:bottom w:type="dxa" w:w="70"/>
              <w:right w:type="dxa" w:w="110"/>
            </w:tcMar>
          </w:tcPr>
          <w:p>
            <w:pPr>
              <w:spacing w:before="15" w:after="15"/>
            </w:pPr>
            <w:r>
              <w:rPr>
                <w:rFonts w:ascii="Arial" w:cs="Arial" w:eastAsia="Arial" w:hAnsi="Arial"/>
                <w:sz w:val="18"/>
                <w:szCs w:val="18"/>
              </w:rPr>
              <w:t xml:space="preserve">id, account_id, fy_id, debit_balance, credit_balance</w:t>
            </w:r>
          </w:p>
        </w:tc>
      </w:tr>
      <w:tr>
        <w:tc>
          <w:tcPr>
            <w:tcW w:type="dxa" w:w="24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reconciliation_entries</w:t>
            </w:r>
          </w:p>
        </w:tc>
        <w:tc>
          <w:tcPr>
            <w:tcW w:type="dxa" w:w="440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Bank reconciliation status per line</w:t>
            </w:r>
          </w:p>
        </w:tc>
        <w:tc>
          <w:tcPr>
            <w:tcW w:type="dxa" w:w="3240"/>
            <w:tcBorders>
              <w:top w:val="single" w:color="D0D5DD" w:sz="1"/>
              <w:left w:val="single" w:color="D0D5DD" w:sz="1"/>
              <w:bottom w:val="single" w:color="D0D5DD" w:sz="1"/>
              <w:right w:val="single" w:color="D0D5DD" w:sz="1"/>
            </w:tcBorders>
            <w:shd w:fill="F8FAFC" w:val="clear"/>
            <w:tcMar>
              <w:top w:type="dxa" w:w="70"/>
              <w:left w:type="dxa" w:w="110"/>
              <w:bottom w:type="dxa" w:w="70"/>
              <w:right w:type="dxa" w:w="110"/>
            </w:tcMar>
          </w:tcPr>
          <w:p>
            <w:pPr>
              <w:spacing w:before="15" w:after="15"/>
            </w:pPr>
            <w:r>
              <w:rPr>
                <w:rFonts w:ascii="Arial" w:cs="Arial" w:eastAsia="Arial" w:hAnsi="Arial"/>
                <w:sz w:val="18"/>
                <w:szCs w:val="18"/>
              </w:rPr>
              <w:t xml:space="preserve">id, journal_line_id, bank_date, reconciled_at, reconciled_by</w:t>
            </w:r>
          </w:p>
        </w:tc>
      </w:tr>
    </w:tbl>
    <w:p>
      <w:r>
        <w:br w:type="page"/>
      </w:r>
    </w:p>
    <w:p>
      <w:pPr>
        <w:pStyle w:val="Heading1"/>
        <w:spacing w:before="360" w:after="160"/>
      </w:pPr>
      <w:r>
        <w:rPr>
          <w:rFonts w:ascii="Arial" w:cs="Arial" w:eastAsia="Arial" w:hAnsi="Arial"/>
          <w:b/>
          <w:bCs/>
          <w:color w:val="0C2340"/>
          <w:sz w:val="30"/>
          <w:szCs w:val="30"/>
        </w:rPr>
        <w:t xml:space="preserve">8. Screen specifications</w:t>
      </w:r>
    </w:p>
    <w:p>
      <w:pPr>
        <w:spacing w:before="180" w:after="80"/>
      </w:pPr>
      <w:r>
        <w:rPr>
          <w:rFonts w:ascii="Arial" w:cs="Arial" w:eastAsia="Arial" w:hAnsi="Arial"/>
          <w:b/>
          <w:bCs/>
          <w:color w:val="344054"/>
          <w:sz w:val="21"/>
          <w:szCs w:val="21"/>
        </w:rPr>
        <w:t xml:space="preserve">Screen FIN-01: Chart of accounts</w:t>
      </w:r>
    </w:p>
    <w:p>
      <w:pPr>
        <w:spacing w:after="100"/>
      </w:pPr>
      <w:r>
        <w:rPr>
          <w:rFonts w:ascii="Arial" w:cs="Arial" w:eastAsia="Arial" w:hAnsi="Arial"/>
          <w:sz w:val="20"/>
          <w:szCs w:val="20"/>
        </w:rPr>
        <w:t xml:space="preserve">Hierarchical tree view of all accounts grouped by Assets, Liabilities, Income, Expenses. Expandable groups. Shows account code, name, type badge, current balance. Add/edit account. Drag to reorder within group.</w:t>
      </w:r>
    </w:p>
    <w:p>
      <w:pPr>
        <w:spacing w:before="180" w:after="80"/>
      </w:pPr>
      <w:r>
        <w:rPr>
          <w:rFonts w:ascii="Arial" w:cs="Arial" w:eastAsia="Arial" w:hAnsi="Arial"/>
          <w:b/>
          <w:bCs/>
          <w:color w:val="344054"/>
          <w:sz w:val="21"/>
          <w:szCs w:val="21"/>
        </w:rPr>
        <w:t xml:space="preserve">Screen FIN-02: Account ledger</w:t>
      </w:r>
    </w:p>
    <w:p>
      <w:pPr>
        <w:spacing w:after="100"/>
      </w:pPr>
      <w:r>
        <w:rPr>
          <w:rFonts w:ascii="Arial" w:cs="Arial" w:eastAsia="Arial" w:hAnsi="Arial"/>
          <w:sz w:val="20"/>
          <w:szCs w:val="20"/>
        </w:rPr>
        <w:t xml:space="preserve">Selected account's transaction register. Date, Voucher No, Narration, Debit, Credit, Running Balance. Date range filter. Opening balance row. Drill-down to journal entry. Export to CSV/PDF.</w:t>
      </w:r>
    </w:p>
    <w:p>
      <w:pPr>
        <w:spacing w:before="180" w:after="80"/>
      </w:pPr>
      <w:r>
        <w:rPr>
          <w:rFonts w:ascii="Arial" w:cs="Arial" w:eastAsia="Arial" w:hAnsi="Arial"/>
          <w:b/>
          <w:bCs/>
          <w:color w:val="344054"/>
          <w:sz w:val="21"/>
          <w:szCs w:val="21"/>
        </w:rPr>
        <w:t xml:space="preserve">Screen FIN-03: Journal entry creation (manual)</w:t>
      </w:r>
    </w:p>
    <w:p>
      <w:pPr>
        <w:spacing w:after="100"/>
      </w:pPr>
      <w:r>
        <w:rPr>
          <w:rFonts w:ascii="Arial" w:cs="Arial" w:eastAsia="Arial" w:hAnsi="Arial"/>
          <w:sz w:val="20"/>
          <w:szCs w:val="20"/>
        </w:rPr>
        <w:t xml:space="preserve">Date picker, voucher type selector, narration. Dynamic rows: account selector + debit/credit amount. Running debit/credit totals at bottom — must balance. Attach supporting documents. Save as draft or post.</w:t>
      </w:r>
    </w:p>
    <w:p>
      <w:pPr>
        <w:spacing w:before="180" w:after="80"/>
      </w:pPr>
      <w:r>
        <w:rPr>
          <w:rFonts w:ascii="Arial" w:cs="Arial" w:eastAsia="Arial" w:hAnsi="Arial"/>
          <w:b/>
          <w:bCs/>
          <w:color w:val="344054"/>
          <w:sz w:val="21"/>
          <w:szCs w:val="21"/>
        </w:rPr>
        <w:t xml:space="preserve">Screen FIN-04: Day book / journal register</w:t>
      </w:r>
    </w:p>
    <w:p>
      <w:pPr>
        <w:spacing w:after="100"/>
      </w:pPr>
      <w:r>
        <w:rPr>
          <w:rFonts w:ascii="Arial" w:cs="Arial" w:eastAsia="Arial" w:hAnsi="Arial"/>
          <w:sz w:val="20"/>
          <w:szCs w:val="20"/>
        </w:rPr>
        <w:t xml:space="preserve">All journal entries for a date range. Columns: Date, Voucher No, Type, Narration, Debit Total, Credit Total. Filter by voucher type. Color-coded by type. Click → full entry detail.</w:t>
      </w:r>
    </w:p>
    <w:p>
      <w:pPr>
        <w:spacing w:before="180" w:after="80"/>
      </w:pPr>
      <w:r>
        <w:rPr>
          <w:rFonts w:ascii="Arial" w:cs="Arial" w:eastAsia="Arial" w:hAnsi="Arial"/>
          <w:b/>
          <w:bCs/>
          <w:color w:val="344054"/>
          <w:sz w:val="21"/>
          <w:szCs w:val="21"/>
        </w:rPr>
        <w:t xml:space="preserve">Screen FIN-05: Trial balance</w:t>
      </w:r>
    </w:p>
    <w:p>
      <w:pPr>
        <w:spacing w:after="100"/>
      </w:pPr>
      <w:r>
        <w:rPr>
          <w:rFonts w:ascii="Arial" w:cs="Arial" w:eastAsia="Arial" w:hAnsi="Arial"/>
          <w:sz w:val="20"/>
          <w:szCs w:val="20"/>
        </w:rPr>
        <w:t xml:space="preserve">All accounts with closing balances. Grouped hierarchy. Expandable groups. Debit column, Credit column. Totals at bottom (must match). Period selector. Comparative (current vs previous period).</w:t>
      </w:r>
    </w:p>
    <w:p>
      <w:pPr>
        <w:spacing w:before="180" w:after="80"/>
      </w:pPr>
      <w:r>
        <w:rPr>
          <w:rFonts w:ascii="Arial" w:cs="Arial" w:eastAsia="Arial" w:hAnsi="Arial"/>
          <w:b/>
          <w:bCs/>
          <w:color w:val="344054"/>
          <w:sz w:val="21"/>
          <w:szCs w:val="21"/>
        </w:rPr>
        <w:t xml:space="preserve">Screen FIN-06: Profit &amp; Loss</w:t>
      </w:r>
    </w:p>
    <w:p>
      <w:pPr>
        <w:spacing w:after="100"/>
      </w:pPr>
      <w:r>
        <w:rPr>
          <w:rFonts w:ascii="Arial" w:cs="Arial" w:eastAsia="Arial" w:hAnsi="Arial"/>
          <w:sz w:val="20"/>
          <w:szCs w:val="20"/>
        </w:rPr>
        <w:t xml:space="preserve">Income section → Expenses section → Net profit/loss. Transport-specific layout with gross margin line. Period selector. Comparative columns (MTD, QTD, YTD, vs last year). Drill-down from any line item to underlying accounts.</w:t>
      </w:r>
    </w:p>
    <w:p>
      <w:pPr>
        <w:spacing w:before="180" w:after="80"/>
      </w:pPr>
      <w:r>
        <w:rPr>
          <w:rFonts w:ascii="Arial" w:cs="Arial" w:eastAsia="Arial" w:hAnsi="Arial"/>
          <w:b/>
          <w:bCs/>
          <w:color w:val="344054"/>
          <w:sz w:val="21"/>
          <w:szCs w:val="21"/>
        </w:rPr>
        <w:t xml:space="preserve">Screen FIN-07: Balance sheet</w:t>
      </w:r>
    </w:p>
    <w:p>
      <w:pPr>
        <w:spacing w:after="100"/>
      </w:pPr>
      <w:r>
        <w:rPr>
          <w:rFonts w:ascii="Arial" w:cs="Arial" w:eastAsia="Arial" w:hAnsi="Arial"/>
          <w:sz w:val="20"/>
          <w:szCs w:val="20"/>
        </w:rPr>
        <w:t xml:space="preserve">Assets = Liabilities + Equity. As-of-date selector. Grouped by COA hierarchy. Comparative (current vs previous year). Drill-down to account ledger.</w:t>
      </w:r>
    </w:p>
    <w:p>
      <w:pPr>
        <w:spacing w:before="180" w:after="80"/>
      </w:pPr>
      <w:r>
        <w:rPr>
          <w:rFonts w:ascii="Arial" w:cs="Arial" w:eastAsia="Arial" w:hAnsi="Arial"/>
          <w:b/>
          <w:bCs/>
          <w:color w:val="344054"/>
          <w:sz w:val="21"/>
          <w:szCs w:val="21"/>
        </w:rPr>
        <w:t xml:space="preserve">Screen FIN-08: Cash flow</w:t>
      </w:r>
    </w:p>
    <w:p>
      <w:pPr>
        <w:spacing w:after="100"/>
      </w:pPr>
      <w:r>
        <w:rPr>
          <w:rFonts w:ascii="Arial" w:cs="Arial" w:eastAsia="Arial" w:hAnsi="Arial"/>
          <w:sz w:val="20"/>
          <w:szCs w:val="20"/>
        </w:rPr>
        <w:t xml:space="preserve">Operating / Investing / Financing activities. Derived from journal entries by account classification. Period selector. Net cash change.</w:t>
      </w:r>
    </w:p>
    <w:p>
      <w:pPr>
        <w:spacing w:before="180" w:after="80"/>
      </w:pPr>
      <w:r>
        <w:rPr>
          <w:rFonts w:ascii="Arial" w:cs="Arial" w:eastAsia="Arial" w:hAnsi="Arial"/>
          <w:b/>
          <w:bCs/>
          <w:color w:val="344054"/>
          <w:sz w:val="21"/>
          <w:szCs w:val="21"/>
        </w:rPr>
        <w:t xml:space="preserve">Screen FIN-09: Export center</w:t>
      </w:r>
    </w:p>
    <w:p>
      <w:pPr>
        <w:spacing w:after="100"/>
      </w:pPr>
      <w:r>
        <w:rPr>
          <w:rFonts w:ascii="Arial" w:cs="Arial" w:eastAsia="Arial" w:hAnsi="Arial"/>
          <w:sz w:val="20"/>
          <w:szCs w:val="20"/>
        </w:rPr>
        <w:t xml:space="preserve">Export wizard: Select format (Tally XML, SAP CSV, Zoho API, Generic CSV). Select period. Select what to export (masters, vouchers, or both). Preview → Download/Sync. History of past exports.</w:t>
      </w:r>
    </w:p>
    <w:p>
      <w:pPr>
        <w:spacing w:before="180" w:after="80"/>
      </w:pPr>
      <w:r>
        <w:rPr>
          <w:rFonts w:ascii="Arial" w:cs="Arial" w:eastAsia="Arial" w:hAnsi="Arial"/>
          <w:b/>
          <w:bCs/>
          <w:color w:val="344054"/>
          <w:sz w:val="21"/>
          <w:szCs w:val="21"/>
        </w:rPr>
        <w:t xml:space="preserve">Screen FIN-10: Bank reconciliation</w:t>
      </w:r>
    </w:p>
    <w:p>
      <w:pPr>
        <w:spacing w:after="100"/>
      </w:pPr>
      <w:r>
        <w:rPr>
          <w:rFonts w:ascii="Arial" w:cs="Arial" w:eastAsia="Arial" w:hAnsi="Arial"/>
          <w:sz w:val="20"/>
          <w:szCs w:val="20"/>
        </w:rPr>
        <w:t xml:space="preserve">Select bank account. Import bank statement (CSV/PDF). System matches TMS entries with bank entries. Show matched, unmatched (TMS only), unmatched (bank only). Manual match/unmatch. Reconciliation summary.</w:t>
      </w:r>
    </w:p>
    <w:p>
      <w:pPr>
        <w:spacing w:after="160"/>
      </w:pPr>
    </w:p>
    <w:p>
      <w:pPr>
        <w:spacing w:before="400"/>
        <w:jc w:val="center"/>
      </w:pPr>
      <w:r>
        <w:rPr>
          <w:rFonts w:ascii="Arial" w:cs="Arial" w:eastAsia="Arial" w:hAnsi="Arial"/>
          <w:i/>
          <w:iCs/>
          <w:color w:val="98A2B3"/>
          <w:sz w:val="19"/>
          <w:szCs w:val="19"/>
        </w:rPr>
        <w:t xml:space="preserve">— End of specification —</w:t>
      </w:r>
    </w:p>
    <w:sectPr>
      <w:headerReference w:type="default" r:id="rId6"/>
      <w:footerReference w:type="default" r:id="rId7"/>
      <w:pgSz w:w="12240" w:h="15840" w:orient="portrait"/>
      <w:pgMar w:top="1440" w:right="1100" w:bottom="144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8A2B3"/>
        <w:sz w:val="15"/>
        <w:szCs w:val="15"/>
      </w:rPr>
      <w:t xml:space="preserve">Page </w:t>
    </w:r>
    <w:r>
      <w:rPr>
        <w:rFonts w:ascii="Arial" w:cs="Arial" w:eastAsia="Arial" w:hAnsi="Arial"/>
        <w:color w:val="98A2B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7EC" w:sz="4" w:space="6"/>
      </w:pBdr>
      <w:tabs>
        <w:tab w:val="right" w:pos="9026"/>
      </w:tabs>
    </w:pPr>
    <w:r>
      <w:rPr>
        <w:rFonts w:ascii="Arial" w:cs="Arial" w:eastAsia="Arial" w:hAnsi="Arial"/>
        <w:color w:val="98A2B3"/>
        <w:sz w:val="15"/>
        <w:szCs w:val="15"/>
      </w:rPr>
      <w:t xml:space="preserve">Financial &amp; Accounting Module — Technical Specification</w:t>
    </w:r>
    <w:r>
      <w:rPr>
        <w:rFonts w:ascii="Arial" w:cs="Arial" w:eastAsia="Arial" w:hAnsi="Arial"/>
        <w:i/>
        <w:iCs/>
        <w:color w:val="98A2B3"/>
        <w:sz w:val="15"/>
        <w:szCs w:val="15"/>
      </w:rPr>
      <w:t xml:space="preserve">	Goodwill Transport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C2340"/>
      <w:sz w:val="30"/>
      <w:szCs w:val="30"/>
    </w:rPr>
  </w:style>
  <w:style w:type="paragraph" w:styleId="Heading2">
    <w:name w:val="Heading 2"/>
    <w:basedOn w:val="Normal"/>
    <w:next w:val="Normal"/>
    <w:qFormat/>
    <w:pPr>
      <w:spacing w:before="260" w:after="120"/>
      <w:outlineLvl w:val="1"/>
    </w:pPr>
    <w:rPr>
      <w:rFonts w:ascii="Arial" w:cs="Arial" w:eastAsia="Arial" w:hAnsi="Arial"/>
      <w:b/>
      <w:bCs/>
      <w:color w:val="1A52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2026-03-20T12:16:27.484Z</dcterms:created>
  <dcterms:modified xsi:type="dcterms:W3CDTF">2026-03-20T12:16:27.485Z</dcterms:modified>
</cp:coreProperties>
</file>

<file path=docProps/custom.xml><?xml version="1.0" encoding="utf-8"?>
<Properties xmlns="http://schemas.openxmlformats.org/officeDocument/2006/custom-properties" xmlns:vt="http://schemas.openxmlformats.org/officeDocument/2006/docPropsVTypes"/>
</file>