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FE23FA" w:rsidRPr="00D617C0" w:rsidRDefault="00FE23FA" w:rsidP="00FE23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5DB">
        <w:rPr>
          <w:rFonts w:ascii="Times New Roman" w:hAnsi="Times New Roman" w:cs="Times New Roman"/>
          <w:sz w:val="28"/>
          <w:szCs w:val="28"/>
        </w:rPr>
        <w:t>In recent years, the boundaries between e-commerce and social networking have become increasingly blurred. 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e-commerce websites support the mechanism of social login where users can sign on the websites using their social network identities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such as their Facebook or Twitter accounts. Users can also post their newly purchased products on microblogs with links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e-commerce product web pages. In this paper, we propose a novel solution for cross-site cold-start product recommendation,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aims to recommend products from e-commerce websites to users at social networking sites in “cold-start” situations, a problem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has rarely been explored before. A major challenge is how to leverage knowledge extracted from social networking sites for cross-site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cold-start product recommendation. We propose to use the linked users across social networking sites and e-commerce websites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(users who have social networking accounts and have made purchases on e-commerce websites) as a bridge to map users’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networking features to another feature representation for product recommendation. In specific, we propose learning both users’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products’ feature representations (called user embeddings and product embeddings, respectively) from data collected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e-commerce websites using recurrent neural networks and then apply a modified gradient boosting trees method to transform users’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social networking features into user embeddings. We then develop a feature-based matrix factorization approach which can leverage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the learnt user embeddings for cold-start product recommendation. Experimental results on a large dataset constructed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largest Chinese microblogging service SINA WEIBO and the largest Chinese B2C e-commerce website JINGDONG have shown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5DB">
        <w:rPr>
          <w:rFonts w:ascii="Times New Roman" w:hAnsi="Times New Roman" w:cs="Times New Roman"/>
          <w:sz w:val="28"/>
          <w:szCs w:val="28"/>
        </w:rPr>
        <w:t>effectiveness of our proposed framework.</w:t>
      </w:r>
    </w:p>
    <w:p w:rsidR="00D51361" w:rsidRPr="00664EF1" w:rsidRDefault="00D51361" w:rsidP="00D513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D51361" w:rsidRPr="00664EF1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742B"/>
    <w:rsid w:val="001D0C38"/>
    <w:rsid w:val="003B1F4D"/>
    <w:rsid w:val="003C3AD7"/>
    <w:rsid w:val="004F742B"/>
    <w:rsid w:val="005946B3"/>
    <w:rsid w:val="00664EF1"/>
    <w:rsid w:val="008521CA"/>
    <w:rsid w:val="00C5034F"/>
    <w:rsid w:val="00D51361"/>
    <w:rsid w:val="00FE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8</cp:revision>
  <dcterms:created xsi:type="dcterms:W3CDTF">2012-10-10T11:08:00Z</dcterms:created>
  <dcterms:modified xsi:type="dcterms:W3CDTF">2016-12-14T07:50:00Z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