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2C6535" w:rsidRPr="002C6535">
        <w:trPr>
          <w:tblCellSpacing w:w="15" w:type="dxa"/>
          <w:jc w:val="center"/>
        </w:trPr>
        <w:tc>
          <w:tcPr>
            <w:tcW w:w="5000" w:type="pct"/>
            <w:hideMark/>
          </w:tcPr>
          <w:p w:rsidR="002C6535" w:rsidRPr="002C6535" w:rsidRDefault="002C6535" w:rsidP="002C6535">
            <w:pPr>
              <w:jc w:val="lef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2C6535">
              <w:rPr>
                <w:rFonts w:ascii="Verdana" w:eastAsia="Times New Roman" w:hAnsi="Verdana" w:cs="Times New Roman"/>
                <w:b/>
                <w:bCs/>
                <w:color w:val="3451A8"/>
                <w:sz w:val="17"/>
                <w:szCs w:val="17"/>
                <w:lang w:eastAsia="en-IN"/>
              </w:rPr>
              <w:t>Campus  &gt;&gt; How To Get To IITB</w:t>
            </w:r>
            <w:r w:rsidRPr="002C653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 xml:space="preserve"> </w:t>
            </w:r>
          </w:p>
          <w:p w:rsidR="002C6535" w:rsidRPr="002C6535" w:rsidRDefault="002C6535" w:rsidP="002C6535">
            <w:pPr>
              <w:spacing w:before="100" w:beforeAutospacing="1" w:after="100" w:afterAutospacing="1"/>
              <w:jc w:val="lef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2C653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 </w:t>
            </w:r>
          </w:p>
        </w:tc>
      </w:tr>
      <w:tr w:rsidR="002C6535" w:rsidRPr="002C6535">
        <w:trPr>
          <w:tblCellSpacing w:w="15" w:type="dxa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tblCellSpacing w:w="22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2C6535" w:rsidRPr="002C6535">
              <w:trPr>
                <w:tblCellSpacing w:w="22" w:type="dxa"/>
              </w:trPr>
              <w:tc>
                <w:tcPr>
                  <w:tcW w:w="5000" w:type="pct"/>
                  <w:vAlign w:val="center"/>
                  <w:hideMark/>
                </w:tcPr>
                <w:p w:rsidR="002C6535" w:rsidRPr="002C6535" w:rsidRDefault="002C6535" w:rsidP="002C6535">
                  <w:pPr>
                    <w:jc w:val="left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</w:pPr>
                  <w:r w:rsidRPr="002C6535">
                    <w:rPr>
                      <w:rFonts w:ascii="Verdana" w:eastAsia="Times New Roman" w:hAnsi="Verdana" w:cs="Times New Roman"/>
                      <w:b/>
                      <w:bCs/>
                      <w:color w:val="3451A8"/>
                      <w:sz w:val="17"/>
                      <w:szCs w:val="17"/>
                      <w:lang w:eastAsia="en-IN"/>
                    </w:rPr>
                    <w:t>HOW TO GET TO IITB</w:t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</w:t>
                  </w:r>
                </w:p>
              </w:tc>
            </w:tr>
            <w:tr w:rsidR="002C6535" w:rsidRPr="002C6535">
              <w:trPr>
                <w:tblCellSpacing w:w="22" w:type="dxa"/>
              </w:trPr>
              <w:tc>
                <w:tcPr>
                  <w:tcW w:w="5000" w:type="pct"/>
                  <w:vAlign w:val="center"/>
                  <w:hideMark/>
                </w:tcPr>
                <w:p w:rsidR="002C6535" w:rsidRPr="002C6535" w:rsidRDefault="002C6535" w:rsidP="002C6535">
                  <w:pPr>
                    <w:jc w:val="left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</w:pP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IIT Bombay is located at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Powai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, which is an eastern suburb in the North-Eastern part of Mumbai.</w:t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</w:r>
                  <w:hyperlink r:id="rId6" w:history="1">
                    <w:r w:rsidRPr="002C6535">
                      <w:rPr>
                        <w:rFonts w:ascii="Verdana" w:eastAsia="Times New Roman" w:hAnsi="Verdana" w:cs="Times New Roman"/>
                        <w:color w:val="512828"/>
                        <w:sz w:val="17"/>
                        <w:szCs w:val="17"/>
                        <w:lang w:eastAsia="en-IN"/>
                      </w:rPr>
                      <w:t>Mumbai</w:t>
                    </w:r>
                  </w:hyperlink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is in the form of a long narrow island, almost a peninsula, thrusting south wards into the Arabian Sea. It can be broadly divided into four zones. </w:t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  <w:t>South Bombay (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Colaba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CST</w:t>
                  </w:r>
                  <w:proofErr w:type="gram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,Fort</w:t>
                  </w:r>
                  <w:proofErr w:type="spellEnd"/>
                  <w:proofErr w:type="gram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Chruchgate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Nariman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Point etc.) </w:t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  <w:t>Central Bombay (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Dadar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Bombay Central,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Worli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etc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) </w:t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  <w:t>The Western suburbs (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Bandra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Juhu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Andheri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Borivali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etc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) </w:t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  <w:t xml:space="preserve">The Eastern </w:t>
                  </w:r>
                  <w:proofErr w:type="gram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Suburbs(</w:t>
                  </w:r>
                  <w:proofErr w:type="spellStart"/>
                  <w:proofErr w:type="gram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Kurla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Chembur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Ghatkopar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Mulund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Kanjur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Marg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Vikhroli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etc.) </w:t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  <w:t>There is also New Bombay (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Vashi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Turbhe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etc.) across Thane Creek on the mainland. </w:t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</w:r>
                  <w:r w:rsidRPr="002C6535">
                    <w:rPr>
                      <w:rFonts w:ascii="Verdana" w:eastAsia="Times New Roman" w:hAnsi="Verdana" w:cs="Times New Roman"/>
                      <w:b/>
                      <w:bCs/>
                      <w:color w:val="3451A8"/>
                      <w:sz w:val="17"/>
                      <w:szCs w:val="17"/>
                      <w:lang w:eastAsia="en-IN"/>
                    </w:rPr>
                    <w:t>Public Transport</w:t>
                  </w:r>
                  <w:r w:rsidRPr="002C6535">
                    <w:rPr>
                      <w:rFonts w:ascii="Verdana" w:eastAsia="Times New Roman" w:hAnsi="Verdana" w:cs="Times New Roman"/>
                      <w:b/>
                      <w:bCs/>
                      <w:color w:val="3451A8"/>
                      <w:sz w:val="17"/>
                      <w:szCs w:val="17"/>
                      <w:lang w:eastAsia="en-IN"/>
                    </w:rPr>
                    <w:br/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Mumbai has one of the most efficient and reliable public transport </w:t>
                  </w:r>
                  <w:proofErr w:type="gram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network</w:t>
                  </w:r>
                  <w:proofErr w:type="gram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. One can travel by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Autorickshaws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/ Taxis to reach IIT from the nearest </w:t>
                  </w:r>
                  <w:proofErr w:type="gram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stations(</w:t>
                  </w:r>
                  <w:proofErr w:type="spellStart"/>
                  <w:proofErr w:type="gram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Autorickshaws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however do not go further south than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Sion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and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Bandra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). For longer distance, you can use either the BEST Bus Network or the Mumbai </w:t>
                  </w:r>
                  <w:hyperlink r:id="rId7" w:history="1">
                    <w:r w:rsidRPr="002C6535">
                      <w:rPr>
                        <w:rFonts w:ascii="Verdana" w:eastAsia="Times New Roman" w:hAnsi="Verdana" w:cs="Times New Roman"/>
                        <w:color w:val="512828"/>
                        <w:sz w:val="17"/>
                        <w:szCs w:val="17"/>
                        <w:lang w:eastAsia="en-IN"/>
                      </w:rPr>
                      <w:t>Local train System.</w:t>
                    </w:r>
                  </w:hyperlink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</w:r>
                  <w:r w:rsidRPr="002C6535">
                    <w:rPr>
                      <w:rFonts w:ascii="Verdana" w:eastAsia="Times New Roman" w:hAnsi="Verdana" w:cs="Times New Roman"/>
                      <w:b/>
                      <w:bCs/>
                      <w:color w:val="3451A8"/>
                      <w:sz w:val="17"/>
                      <w:szCs w:val="17"/>
                      <w:lang w:eastAsia="en-IN"/>
                    </w:rPr>
                    <w:t>Suburban Railway Transport</w:t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</w:t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  <w:t xml:space="preserve">Those coming by Central Railway Suburban train will have to get down at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Kanjur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Marg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Vikhroli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or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Ghatkopar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which are the nearest stations from IITB. If you are coming by the Western Railway Suburban train you will have to get down at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Andheri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Bandra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,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Goregoan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or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Malad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. We give below the Road Network to reach IITB along with the approximate </w:t>
                  </w:r>
                  <w:hyperlink r:id="rId8" w:anchor="FARE" w:history="1">
                    <w:r w:rsidRPr="002C6535">
                      <w:rPr>
                        <w:rFonts w:ascii="Verdana" w:eastAsia="Times New Roman" w:hAnsi="Verdana" w:cs="Times New Roman"/>
                        <w:color w:val="512828"/>
                        <w:sz w:val="17"/>
                        <w:szCs w:val="17"/>
                        <w:lang w:eastAsia="en-IN"/>
                      </w:rPr>
                      <w:t xml:space="preserve">Bus/ </w:t>
                    </w:r>
                    <w:proofErr w:type="spellStart"/>
                    <w:r w:rsidRPr="002C6535">
                      <w:rPr>
                        <w:rFonts w:ascii="Verdana" w:eastAsia="Times New Roman" w:hAnsi="Verdana" w:cs="Times New Roman"/>
                        <w:color w:val="512828"/>
                        <w:sz w:val="17"/>
                        <w:szCs w:val="17"/>
                        <w:lang w:eastAsia="en-IN"/>
                      </w:rPr>
                      <w:t>Autorickshaws</w:t>
                    </w:r>
                    <w:proofErr w:type="spellEnd"/>
                    <w:r w:rsidRPr="002C6535">
                      <w:rPr>
                        <w:rFonts w:ascii="Verdana" w:eastAsia="Times New Roman" w:hAnsi="Verdana" w:cs="Times New Roman"/>
                        <w:color w:val="512828"/>
                        <w:sz w:val="17"/>
                        <w:szCs w:val="17"/>
                        <w:lang w:eastAsia="en-IN"/>
                      </w:rPr>
                      <w:t>/ Taxi fare</w:t>
                    </w:r>
                  </w:hyperlink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. (Click </w:t>
                  </w:r>
                  <w:hyperlink r:id="rId9" w:anchor="map" w:history="1">
                    <w:r w:rsidRPr="002C6535">
                      <w:rPr>
                        <w:rFonts w:ascii="Verdana" w:eastAsia="Times New Roman" w:hAnsi="Verdana" w:cs="Times New Roman"/>
                        <w:color w:val="512828"/>
                        <w:sz w:val="17"/>
                        <w:szCs w:val="17"/>
                        <w:lang w:eastAsia="en-IN"/>
                      </w:rPr>
                      <w:t>here</w:t>
                    </w:r>
                  </w:hyperlink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to see the Road companion for IITB ) </w:t>
                  </w:r>
                  <w:bookmarkStart w:id="0" w:name="map"/>
                  <w:bookmarkEnd w:id="0"/>
                </w:p>
              </w:tc>
            </w:tr>
            <w:tr w:rsidR="002C6535" w:rsidRPr="002C6535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3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48"/>
                  </w:tblGrid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en-IN"/>
                          </w:rPr>
                          <w:drawing>
                            <wp:inline distT="0" distB="0" distL="0" distR="0" wp14:anchorId="239C5B02" wp14:editId="405C13A0">
                              <wp:extent cx="5716905" cy="8006715"/>
                              <wp:effectExtent l="0" t="0" r="0" b="0"/>
                              <wp:docPr id="13" name="Picture 13" descr="http://www.iitb.ac.in/campus/howto/roadmap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www.iitb.ac.in/campus/howto/roadmap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6905" cy="80067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C6535" w:rsidRPr="002C6535" w:rsidRDefault="002C6535" w:rsidP="002C6535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</w:pPr>
                </w:p>
              </w:tc>
            </w:tr>
            <w:tr w:rsidR="002C6535" w:rsidRPr="002C6535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15"/>
                    <w:gridCol w:w="2200"/>
                    <w:gridCol w:w="1639"/>
                    <w:gridCol w:w="1761"/>
                    <w:gridCol w:w="1690"/>
                  </w:tblGrid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bookmarkStart w:id="1" w:name="FARE"/>
                        <w:bookmarkEnd w:id="1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NAME OF PLACE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BUS NUMBERS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APPROX.BUS FARE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APPROX.AUTO FARE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APPROX.TAXI FARE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Mulund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(W)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307, 346, 425, 396, 398,</w:t>
                        </w: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br/>
                          <w:t xml:space="preserve">460, 422, 424, 461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Rs.10.00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Rs.70.00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Rs.150.00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Bhandup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(W)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SAME AS ABOVE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Rs.7.00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Rs.40.00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Kanjur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 xml:space="preserve"> </w:t>
                        </w: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Marg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(W)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SAME AS ABOVE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Rs.20.00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Vikhroli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(W)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392,382,337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Rs.6.00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Rs.30.00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Ghatkopar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(W)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392,382.337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Rs.10.00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Rs.50.00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Borivali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(E)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461, 398, L1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Rs.18.00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Rs.70.00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Rs.180.00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Goregaon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(E)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460,489,424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Rs.15.00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Rs.70.00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Jogeshwari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(E)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461,445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Rs.12.00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Rs.60.00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9"/>
                            <w:szCs w:val="17"/>
                            <w:lang w:eastAsia="en-IN"/>
                          </w:rPr>
                          <w:t>Andheri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9"/>
                            <w:szCs w:val="17"/>
                            <w:lang w:eastAsia="en-IN"/>
                          </w:rPr>
                          <w:t>(E)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396,336,392,307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Rs.9.00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Rs.65.00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Rs.75.00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Bandra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(E)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422,424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Rs.15.00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Rs.100.00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Rs.125.00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b/>
                            <w:color w:val="FF0000"/>
                            <w:sz w:val="17"/>
                            <w:szCs w:val="17"/>
                            <w:lang w:eastAsia="en-IN"/>
                          </w:rPr>
                        </w:pP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b/>
                            <w:color w:val="FF0000"/>
                            <w:sz w:val="21"/>
                            <w:szCs w:val="17"/>
                            <w:lang w:eastAsia="en-IN"/>
                          </w:rPr>
                          <w:t>Kurla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7"/>
                            <w:szCs w:val="17"/>
                            <w:lang w:eastAsia="en-IN"/>
                          </w:rPr>
                          <w:t>Rs.70.00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7"/>
                            <w:szCs w:val="17"/>
                            <w:lang w:eastAsia="en-IN"/>
                          </w:rPr>
                          <w:t>Rs.130.00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b/>
                            <w:color w:val="FF0000"/>
                            <w:sz w:val="17"/>
                            <w:szCs w:val="17"/>
                            <w:lang w:eastAsia="en-IN"/>
                          </w:rPr>
                        </w:pP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b/>
                            <w:color w:val="FF0000"/>
                            <w:sz w:val="21"/>
                            <w:szCs w:val="17"/>
                            <w:lang w:eastAsia="en-IN"/>
                          </w:rPr>
                          <w:t>Dadar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7"/>
                            <w:szCs w:val="17"/>
                            <w:lang w:eastAsia="en-IN"/>
                          </w:rPr>
                          <w:t>Rs.130.00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b/>
                            <w:color w:val="FF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b/>
                            <w:color w:val="FF0000"/>
                            <w:sz w:val="21"/>
                            <w:szCs w:val="17"/>
                            <w:lang w:eastAsia="en-IN"/>
                          </w:rPr>
                          <w:t>CST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Rs.225.00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Mumbai Central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Rs.230.00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Sahar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 xml:space="preserve"> Air Port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Rs.100.00</w:t>
                        </w:r>
                      </w:p>
                    </w:tc>
                  </w:tr>
                  <w:tr w:rsidR="002C6535" w:rsidRPr="002C653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Santacruz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Rs.150.00</w:t>
                        </w:r>
                      </w:p>
                    </w:tc>
                  </w:tr>
                </w:tbl>
                <w:p w:rsidR="002C6535" w:rsidRPr="002C6535" w:rsidRDefault="002C6535" w:rsidP="002C6535">
                  <w:pPr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</w:pPr>
                </w:p>
              </w:tc>
            </w:tr>
            <w:tr w:rsidR="002C6535" w:rsidRPr="002C6535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2C6535" w:rsidRPr="002C6535" w:rsidRDefault="002C6535" w:rsidP="002C6535">
                  <w:pPr>
                    <w:jc w:val="left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</w:pPr>
                  <w:r w:rsidRPr="002C6535">
                    <w:rPr>
                      <w:rFonts w:ascii="Verdana" w:eastAsia="Times New Roman" w:hAnsi="Verdana" w:cs="Times New Roman"/>
                      <w:b/>
                      <w:bCs/>
                      <w:color w:val="3451A8"/>
                      <w:sz w:val="17"/>
                      <w:szCs w:val="17"/>
                      <w:lang w:eastAsia="en-IN"/>
                    </w:rPr>
                    <w:t>Stations for Through Trains Coming to Mumbai</w:t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</w:t>
                  </w:r>
                </w:p>
              </w:tc>
            </w:tr>
            <w:tr w:rsidR="002C6535" w:rsidRPr="002C6535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0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2"/>
                    <w:gridCol w:w="5406"/>
                  </w:tblGrid>
                  <w:tr w:rsidR="002C6535" w:rsidRPr="002C653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Central Railway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 xml:space="preserve">CST, </w:t>
                        </w: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Dadar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 xml:space="preserve">, </w:t>
                        </w: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Kurla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, Thane.</w:t>
                        </w:r>
                      </w:p>
                    </w:tc>
                  </w:tr>
                  <w:tr w:rsidR="002C6535" w:rsidRPr="002C653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Western Railway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C6535" w:rsidRPr="002C6535" w:rsidRDefault="002C6535" w:rsidP="002C6535">
                        <w:pPr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</w:pPr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 xml:space="preserve">Mumbai Central, </w:t>
                        </w: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Dadar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 xml:space="preserve">, </w:t>
                        </w: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Bandra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 xml:space="preserve">, </w:t>
                        </w: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Andheri,Borivali</w:t>
                        </w:r>
                        <w:proofErr w:type="spellEnd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 xml:space="preserve">, </w:t>
                        </w:r>
                        <w:proofErr w:type="spellStart"/>
                        <w:r w:rsidRPr="002C653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n-IN"/>
                          </w:rPr>
                          <w:t>Kurla</w:t>
                        </w:r>
                        <w:proofErr w:type="spellEnd"/>
                      </w:p>
                    </w:tc>
                  </w:tr>
                </w:tbl>
                <w:p w:rsidR="002C6535" w:rsidRPr="002C6535" w:rsidRDefault="002C6535" w:rsidP="002C6535">
                  <w:pPr>
                    <w:jc w:val="left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</w:pPr>
                </w:p>
              </w:tc>
            </w:tr>
            <w:tr w:rsidR="002C6535" w:rsidRPr="002C6535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:rsidR="002C6535" w:rsidRPr="002C6535" w:rsidRDefault="002C6535" w:rsidP="002C6535">
                  <w:pPr>
                    <w:jc w:val="left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</w:pP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There is a terminus at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Kurla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where some Central as well as Western Railway Trains </w:t>
                  </w:r>
                  <w:proofErr w:type="gram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terminate</w:t>
                  </w:r>
                  <w:proofErr w:type="gram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. There is no convenient bus route from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Kurla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terminus. An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autorickshaw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is the best option. However it would be more economical to take a suburban train from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kurla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to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Kanjur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Marg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and then take an Auto.</w:t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</w:r>
                  <w:r w:rsidRPr="002C6535">
                    <w:rPr>
                      <w:rFonts w:ascii="Verdana" w:eastAsia="Times New Roman" w:hAnsi="Verdana" w:cs="Times New Roman"/>
                      <w:b/>
                      <w:bCs/>
                      <w:color w:val="3451A8"/>
                      <w:sz w:val="17"/>
                      <w:szCs w:val="17"/>
                      <w:lang w:eastAsia="en-IN"/>
                    </w:rPr>
                    <w:t>AIR PORTS</w:t>
                  </w:r>
                  <w:proofErr w:type="gramStart"/>
                  <w:r w:rsidRPr="002C6535">
                    <w:rPr>
                      <w:rFonts w:ascii="Verdana" w:eastAsia="Times New Roman" w:hAnsi="Verdana" w:cs="Times New Roman"/>
                      <w:b/>
                      <w:bCs/>
                      <w:color w:val="3451A8"/>
                      <w:sz w:val="17"/>
                      <w:szCs w:val="17"/>
                      <w:lang w:eastAsia="en-IN"/>
                    </w:rPr>
                    <w:t> </w:t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</w:t>
                  </w:r>
                  <w:proofErr w:type="gram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</w:r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br/>
                    <w:t xml:space="preserve">International flights land at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Sahar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Airport which is about 7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kms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from IIT. The Domestic Airport-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SantaCruz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is about 10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kms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.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Pre paid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taxis are available at the Airports. </w:t>
                  </w:r>
                  <w:proofErr w:type="spellStart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>Autorickshaws</w:t>
                  </w:r>
                  <w:proofErr w:type="spellEnd"/>
                  <w:r w:rsidRPr="002C65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n-IN"/>
                    </w:rPr>
                    <w:t xml:space="preserve"> are also available for IIT.</w:t>
                  </w:r>
                </w:p>
              </w:tc>
            </w:tr>
          </w:tbl>
          <w:p w:rsidR="002C6535" w:rsidRPr="002C6535" w:rsidRDefault="002C6535" w:rsidP="002C6535">
            <w:pPr>
              <w:jc w:val="lef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  <w:bookmarkStart w:id="2" w:name="_GoBack"/>
        <w:bookmarkEnd w:id="2"/>
      </w:tr>
    </w:tbl>
    <w:p w:rsidR="00071A05" w:rsidRDefault="00071A05" w:rsidP="00071A05">
      <w:pPr>
        <w:rPr>
          <w:rStyle w:val="Hyperlink"/>
          <w:b/>
        </w:rPr>
      </w:pPr>
    </w:p>
    <w:p w:rsidR="002C6535" w:rsidRDefault="002C6535" w:rsidP="00071A05">
      <w:pPr>
        <w:rPr>
          <w:rStyle w:val="Hyperlink"/>
          <w:b/>
        </w:rPr>
      </w:pPr>
      <w:r>
        <w:rPr>
          <w:rFonts w:ascii="Verdana" w:hAnsi="Verdana"/>
          <w:noProof/>
          <w:color w:val="000000"/>
          <w:sz w:val="17"/>
          <w:szCs w:val="17"/>
          <w:lang w:eastAsia="en-IN"/>
        </w:rPr>
        <w:drawing>
          <wp:inline distT="0" distB="0" distL="0" distR="0">
            <wp:extent cx="9048750" cy="11433810"/>
            <wp:effectExtent l="0" t="0" r="0" b="0"/>
            <wp:docPr id="14" name="Picture 14" descr="http://www.iitb.ac.in/campus/howto/iitb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iitb.ac.in/campus/howto/iitbma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1143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5D4" w:rsidRDefault="004A65D4" w:rsidP="00071A05">
      <w:pPr>
        <w:rPr>
          <w:rStyle w:val="Hyperlink"/>
          <w:b/>
        </w:rPr>
      </w:pPr>
    </w:p>
    <w:p w:rsidR="004A65D4" w:rsidRDefault="004A65D4" w:rsidP="00071A05">
      <w:pPr>
        <w:rPr>
          <w:rStyle w:val="Hyperlink"/>
          <w:b/>
        </w:rPr>
      </w:pPr>
    </w:p>
    <w:p w:rsidR="00071A05" w:rsidRDefault="00071A05" w:rsidP="00071A05">
      <w:r>
        <w:rPr>
          <w:noProof/>
          <w:lang w:eastAsia="en-IN"/>
        </w:rPr>
        <w:drawing>
          <wp:inline distT="0" distB="0" distL="0" distR="0" wp14:anchorId="2E322F24" wp14:editId="5647319F">
            <wp:extent cx="39624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95" w:rsidRDefault="00156C95"/>
    <w:p w:rsidR="00071A05" w:rsidRDefault="00071A05" w:rsidP="00071A05">
      <w:pPr>
        <w:pStyle w:val="ListParagraph"/>
        <w:numPr>
          <w:ilvl w:val="0"/>
          <w:numId w:val="1"/>
        </w:numPr>
      </w:pPr>
      <w:r>
        <w:t>PASCHIM</w:t>
      </w:r>
    </w:p>
    <w:p w:rsidR="00071A05" w:rsidRDefault="00071A05" w:rsidP="00071A05">
      <w:pPr>
        <w:pStyle w:val="ListParagraph"/>
        <w:numPr>
          <w:ilvl w:val="1"/>
          <w:numId w:val="1"/>
        </w:numPr>
      </w:pPr>
      <w:r>
        <w:t>31 HRS, 1802km</w:t>
      </w:r>
    </w:p>
    <w:p w:rsidR="00071A05" w:rsidRDefault="00071A05" w:rsidP="00071A05">
      <w:pPr>
        <w:pStyle w:val="ListParagraph"/>
        <w:numPr>
          <w:ilvl w:val="1"/>
          <w:numId w:val="1"/>
        </w:numPr>
      </w:pPr>
      <w:r>
        <w:t>Rs.1607</w:t>
      </w:r>
    </w:p>
    <w:p w:rsidR="00071A05" w:rsidRDefault="00071A05" w:rsidP="00071A05">
      <w:pPr>
        <w:pStyle w:val="ListParagraph"/>
        <w:numPr>
          <w:ilvl w:val="0"/>
          <w:numId w:val="1"/>
        </w:numPr>
      </w:pPr>
      <w:r>
        <w:t>ASR DR EXPRESS</w:t>
      </w:r>
    </w:p>
    <w:p w:rsidR="00071A05" w:rsidRDefault="00071A05" w:rsidP="00071A05">
      <w:pPr>
        <w:pStyle w:val="ListParagraph"/>
        <w:numPr>
          <w:ilvl w:val="1"/>
          <w:numId w:val="1"/>
        </w:numPr>
      </w:pPr>
      <w:proofErr w:type="spellStart"/>
      <w:r>
        <w:t>Rs</w:t>
      </w:r>
      <w:proofErr w:type="spellEnd"/>
      <w:r>
        <w:t xml:space="preserve"> 1655</w:t>
      </w:r>
    </w:p>
    <w:p w:rsidR="00071A05" w:rsidRDefault="00071A05" w:rsidP="00071A05">
      <w:pPr>
        <w:pStyle w:val="ListParagraph"/>
        <w:numPr>
          <w:ilvl w:val="1"/>
          <w:numId w:val="1"/>
        </w:numPr>
      </w:pPr>
      <w:r>
        <w:t>1993km</w:t>
      </w:r>
    </w:p>
    <w:p w:rsidR="00071A05" w:rsidRDefault="00071A05" w:rsidP="00071A05">
      <w:pPr>
        <w:pStyle w:val="ListParagraph"/>
        <w:numPr>
          <w:ilvl w:val="1"/>
          <w:numId w:val="1"/>
        </w:numPr>
      </w:pPr>
    </w:p>
    <w:p w:rsidR="00071A05" w:rsidRDefault="00071A05" w:rsidP="00071A05">
      <w:pPr>
        <w:pStyle w:val="ListParagraph"/>
        <w:numPr>
          <w:ilvl w:val="0"/>
          <w:numId w:val="1"/>
        </w:numPr>
      </w:pPr>
      <w:r>
        <w:t>GOLDEN TEMPLE MAIL</w:t>
      </w:r>
    </w:p>
    <w:p w:rsidR="00F03B8C" w:rsidRDefault="00F03B8C" w:rsidP="00F03B8C">
      <w:pPr>
        <w:pStyle w:val="ListParagraph"/>
        <w:numPr>
          <w:ilvl w:val="1"/>
          <w:numId w:val="1"/>
        </w:numPr>
      </w:pPr>
      <w:r>
        <w:t>rs1630</w:t>
      </w:r>
    </w:p>
    <w:p w:rsidR="00F03B8C" w:rsidRDefault="00F03B8C" w:rsidP="00F03B8C">
      <w:pPr>
        <w:pStyle w:val="ListParagraph"/>
        <w:numPr>
          <w:ilvl w:val="1"/>
          <w:numId w:val="1"/>
        </w:numPr>
      </w:pPr>
      <w:r>
        <w:t>1861km</w:t>
      </w:r>
    </w:p>
    <w:p w:rsidR="00F03B8C" w:rsidRDefault="00F03B8C" w:rsidP="00F03B8C">
      <w:pPr>
        <w:pStyle w:val="ListParagraph"/>
        <w:numPr>
          <w:ilvl w:val="1"/>
          <w:numId w:val="1"/>
        </w:numPr>
      </w:pPr>
      <w:r>
        <w:t>31hrs</w:t>
      </w:r>
    </w:p>
    <w:p w:rsidR="00F03B8C" w:rsidRDefault="00F03B8C" w:rsidP="00F03B8C"/>
    <w:p w:rsidR="00F349F5" w:rsidRDefault="00F349F5" w:rsidP="00F03B8C"/>
    <w:p w:rsidR="00F349F5" w:rsidRDefault="00B1543B" w:rsidP="00F03B8C">
      <w:r>
        <w:rPr>
          <w:noProof/>
          <w:lang w:eastAsia="en-IN"/>
        </w:rPr>
        <w:drawing>
          <wp:inline distT="0" distB="0" distL="0" distR="0" wp14:anchorId="5FE4A295" wp14:editId="613E12FB">
            <wp:extent cx="5943600" cy="273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8C" w:rsidRDefault="00F03B8C" w:rsidP="00F03B8C">
      <w:r>
        <w:rPr>
          <w:noProof/>
          <w:lang w:eastAsia="en-IN"/>
        </w:rPr>
        <w:drawing>
          <wp:inline distT="0" distB="0" distL="0" distR="0" wp14:anchorId="6978B6E7" wp14:editId="570DAB43">
            <wp:extent cx="401955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F5" w:rsidRDefault="00F349F5" w:rsidP="00F03B8C">
      <w:r>
        <w:rPr>
          <w:noProof/>
          <w:lang w:eastAsia="en-IN"/>
        </w:rPr>
        <w:drawing>
          <wp:inline distT="0" distB="0" distL="0" distR="0" wp14:anchorId="6354D17D" wp14:editId="31C07558">
            <wp:extent cx="401955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3B" w:rsidRDefault="00B1543B" w:rsidP="00F03B8C"/>
    <w:p w:rsidR="00B1543B" w:rsidRDefault="00B1543B" w:rsidP="00F03B8C"/>
    <w:p w:rsidR="00F349F5" w:rsidRDefault="00F349F5" w:rsidP="00F03B8C"/>
    <w:p w:rsidR="00F349F5" w:rsidRDefault="00F349F5" w:rsidP="00F03B8C"/>
    <w:p w:rsidR="00F03B8C" w:rsidRDefault="00F349F5" w:rsidP="00F03B8C">
      <w:r>
        <w:rPr>
          <w:noProof/>
          <w:lang w:eastAsia="en-IN"/>
        </w:rPr>
        <w:drawing>
          <wp:inline distT="0" distB="0" distL="0" distR="0" wp14:anchorId="12D78EBF" wp14:editId="21CDDF18">
            <wp:extent cx="5943600" cy="342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F5" w:rsidRDefault="00F349F5" w:rsidP="00F03B8C">
      <w:r>
        <w:rPr>
          <w:noProof/>
          <w:lang w:eastAsia="en-IN"/>
        </w:rPr>
        <w:drawing>
          <wp:inline distT="0" distB="0" distL="0" distR="0" wp14:anchorId="411EACD8" wp14:editId="4AB90E71">
            <wp:extent cx="40195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3B" w:rsidRDefault="00B1543B" w:rsidP="00F03B8C"/>
    <w:p w:rsidR="00B1543B" w:rsidRDefault="00B1543B" w:rsidP="00F03B8C"/>
    <w:p w:rsidR="00B1543B" w:rsidRDefault="00B1543B" w:rsidP="00F03B8C"/>
    <w:p w:rsidR="00B1543B" w:rsidRDefault="00B1543B" w:rsidP="00F03B8C">
      <w:r>
        <w:rPr>
          <w:noProof/>
          <w:lang w:eastAsia="en-IN"/>
        </w:rPr>
        <w:drawing>
          <wp:inline distT="0" distB="0" distL="0" distR="0" wp14:anchorId="35A5C43C" wp14:editId="41B4DAA3">
            <wp:extent cx="5943600" cy="337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3B" w:rsidRDefault="00B1543B" w:rsidP="00F03B8C">
      <w:r>
        <w:rPr>
          <w:noProof/>
          <w:lang w:eastAsia="en-IN"/>
        </w:rPr>
        <w:drawing>
          <wp:inline distT="0" distB="0" distL="0" distR="0" wp14:anchorId="1CD4AC71" wp14:editId="55C828A0">
            <wp:extent cx="3971925" cy="2152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3B" w:rsidRDefault="00B1543B" w:rsidP="00F03B8C">
      <w:r>
        <w:rPr>
          <w:noProof/>
          <w:lang w:eastAsia="en-IN"/>
        </w:rPr>
        <w:drawing>
          <wp:inline distT="0" distB="0" distL="0" distR="0" wp14:anchorId="3AC973F9" wp14:editId="1E57BA02">
            <wp:extent cx="3981450" cy="2181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3B" w:rsidRDefault="00B1543B" w:rsidP="00F03B8C"/>
    <w:p w:rsidR="00B1543B" w:rsidRDefault="00B1543B" w:rsidP="00F03B8C"/>
    <w:p w:rsidR="00B1543B" w:rsidRDefault="00B1543B" w:rsidP="00F03B8C"/>
    <w:p w:rsidR="00B1543B" w:rsidRDefault="00B1543B" w:rsidP="00F03B8C"/>
    <w:p w:rsidR="00B1543B" w:rsidRDefault="00B1543B" w:rsidP="00F03B8C">
      <w:r>
        <w:rPr>
          <w:noProof/>
          <w:lang w:eastAsia="en-IN"/>
        </w:rPr>
        <w:drawing>
          <wp:inline distT="0" distB="0" distL="0" distR="0" wp14:anchorId="3131E261" wp14:editId="5D921848">
            <wp:extent cx="9858316" cy="1288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26430" cy="12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43B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11FB3"/>
    <w:multiLevelType w:val="hybridMultilevel"/>
    <w:tmpl w:val="9710B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4A41"/>
    <w:rsid w:val="00071A05"/>
    <w:rsid w:val="00156C95"/>
    <w:rsid w:val="002408F6"/>
    <w:rsid w:val="002C6535"/>
    <w:rsid w:val="00424DDF"/>
    <w:rsid w:val="004A65D4"/>
    <w:rsid w:val="005D14ED"/>
    <w:rsid w:val="00B1543B"/>
    <w:rsid w:val="00E44A41"/>
    <w:rsid w:val="00F03B8C"/>
    <w:rsid w:val="00F3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1A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1A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tb.ac.in/campus/howto/howtoget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hyperlink" Target="http://www.iitb.ac.in/campus/howto/touristmap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iitb.ac.in/campus/howto/railmap.html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iitb.ac.in/campus/howto/howtoget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4</cp:revision>
  <dcterms:created xsi:type="dcterms:W3CDTF">2011-05-23T16:04:00Z</dcterms:created>
  <dcterms:modified xsi:type="dcterms:W3CDTF">2011-05-24T14:42:00Z</dcterms:modified>
</cp:coreProperties>
</file>