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Part 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1663" cy="1726472"/>
                <wp:effectExtent b="0" l="0" r="0" t="0"/>
                <wp:docPr id="1" name=""/>
                <a:graphic>
                  <a:graphicData uri="http://schemas.microsoft.com/office/word/2010/wordprocessingGroup">
                    <wpg:wgp>
                      <wpg:cNvGrpSpPr/>
                      <wpg:grpSpPr>
                        <a:xfrm>
                          <a:off x="469775" y="1790075"/>
                          <a:ext cx="5681663" cy="1726472"/>
                          <a:chOff x="469775" y="1790075"/>
                          <a:chExt cx="5149325" cy="1602675"/>
                        </a:xfrm>
                      </wpg:grpSpPr>
                      <wps:wsp>
                        <wps:cNvCnPr/>
                        <wps:spPr>
                          <a:xfrm>
                            <a:off x="1274550" y="2087375"/>
                            <a:ext cx="0" cy="9282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4650" y="2929775"/>
                            <a:ext cx="1296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22125" y="2087375"/>
                            <a:ext cx="0" cy="9282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32225" y="2929775"/>
                            <a:ext cx="1296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69700" y="2087375"/>
                            <a:ext cx="0" cy="9282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79800" y="2929775"/>
                            <a:ext cx="1296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407700" y="2929775"/>
                            <a:ext cx="751800" cy="35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swald" w:cs="Oswald" w:eastAsia="Oswald" w:hAnsi="Oswald"/>
                                  <w:b w:val="0"/>
                                  <w:i w:val="0"/>
                                  <w:smallCaps w:val="0"/>
                                  <w:strike w:val="0"/>
                                  <w:color w:val="000000"/>
                                  <w:sz w:val="24"/>
                                  <w:vertAlign w:val="baseline"/>
                                </w:rPr>
                                <w:t xml:space="preserve">a</w:t>
                              </w:r>
                              <w:r w:rsidDel="00000000" w:rsidR="00000000" w:rsidRPr="00000000">
                                <w:rPr>
                                  <w:rFonts w:ascii="Oswald" w:cs="Oswald" w:eastAsia="Oswald" w:hAnsi="Oswald"/>
                                  <w:b w:val="0"/>
                                  <w:i w:val="0"/>
                                  <w:smallCaps w:val="0"/>
                                  <w:strike w:val="0"/>
                                  <w:color w:val="000000"/>
                                  <w:sz w:val="24"/>
                                  <w:vertAlign w:val="baseline"/>
                                </w:rPr>
                                <w:t xml:space="preserve">ge [Gyr]</w:t>
                              </w:r>
                            </w:p>
                          </w:txbxContent>
                        </wps:txbx>
                        <wps:bodyPr anchorCtr="0" anchor="t" bIns="91425" lIns="91425" spcFirstLastPara="1" rIns="91425" wrap="square" tIns="91425">
                          <a:noAutofit/>
                        </wps:bodyPr>
                      </wps:wsp>
                      <wps:wsp>
                        <wps:cNvSpPr txBox="1"/>
                        <wps:cNvPr id="9" name="Shape 9"/>
                        <wps:spPr>
                          <a:xfrm>
                            <a:off x="2657200" y="2947475"/>
                            <a:ext cx="1210500" cy="39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swald" w:cs="Oswald" w:eastAsia="Oswald" w:hAnsi="Oswald"/>
                                  <w:b w:val="0"/>
                                  <w:i w:val="0"/>
                                  <w:smallCaps w:val="0"/>
                                  <w:strike w:val="0"/>
                                  <w:color w:val="000000"/>
                                  <w:sz w:val="24"/>
                                  <w:vertAlign w:val="baseline"/>
                                </w:rPr>
                                <w:t xml:space="preserve">metallicity [Fe/H]</w:t>
                              </w:r>
                            </w:p>
                          </w:txbxContent>
                        </wps:txbx>
                        <wps:bodyPr anchorCtr="0" anchor="t" bIns="91425" lIns="91425" spcFirstLastPara="1" rIns="91425" wrap="square" tIns="91425">
                          <a:noAutofit/>
                        </wps:bodyPr>
                      </wps:wsp>
                      <wps:wsp>
                        <wps:cNvSpPr txBox="1"/>
                        <wps:cNvPr id="10" name="Shape 10"/>
                        <wps:spPr>
                          <a:xfrm>
                            <a:off x="4169700" y="2929775"/>
                            <a:ext cx="1259700" cy="35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swald" w:cs="Oswald" w:eastAsia="Oswald" w:hAnsi="Oswald"/>
                                  <w:b w:val="0"/>
                                  <w:i w:val="0"/>
                                  <w:smallCaps w:val="0"/>
                                  <w:strike w:val="0"/>
                                  <w:color w:val="000000"/>
                                  <w:sz w:val="24"/>
                                  <w:vertAlign w:val="baseline"/>
                                </w:rPr>
                                <w:t xml:space="preserve">initial</w:t>
                              </w:r>
                              <w:r w:rsidDel="00000000" w:rsidR="00000000" w:rsidRPr="00000000">
                                <w:rPr>
                                  <w:rFonts w:ascii="Oswald" w:cs="Oswald" w:eastAsia="Oswald" w:hAnsi="Oswald"/>
                                  <w:b w:val="0"/>
                                  <w:i w:val="0"/>
                                  <w:smallCaps w:val="0"/>
                                  <w:strike w:val="0"/>
                                  <w:color w:val="000000"/>
                                  <w:sz w:val="24"/>
                                  <w:vertAlign w:val="baseline"/>
                                </w:rPr>
                                <w:t xml:space="preserve"> radius (kpc)</w:t>
                              </w:r>
                            </w:p>
                          </w:txbxContent>
                        </wps:txbx>
                        <wps:bodyPr anchorCtr="0" anchor="t" bIns="91425" lIns="91425" spcFirstLastPara="1" rIns="91425" wrap="square" tIns="91425">
                          <a:noAutofit/>
                        </wps:bodyPr>
                      </wps:wsp>
                      <wps:wsp>
                        <wps:cNvSpPr txBox="1"/>
                        <wps:cNvPr id="11" name="Shape 11"/>
                        <wps:spPr>
                          <a:xfrm rot="-5400000">
                            <a:off x="35525" y="2224325"/>
                            <a:ext cx="1433700" cy="56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swald" w:cs="Oswald" w:eastAsia="Oswald" w:hAnsi="Oswald"/>
                                  <w:b w:val="0"/>
                                  <w:i w:val="0"/>
                                  <w:smallCaps w:val="0"/>
                                  <w:strike w:val="0"/>
                                  <w:color w:val="000000"/>
                                  <w:sz w:val="28"/>
                                  <w:vertAlign w:val="baseline"/>
                                </w:rPr>
                                <w:t xml:space="preserve">occurance rate, Γ</w:t>
                              </w:r>
                            </w:p>
                          </w:txbxContent>
                        </wps:txbx>
                        <wps:bodyPr anchorCtr="0" anchor="t" bIns="91425" lIns="91425" spcFirstLastPara="1" rIns="91425" wrap="square" tIns="91425">
                          <a:noAutofit/>
                        </wps:bodyPr>
                      </wps:wsp>
                      <wps:wsp>
                        <wps:cNvSpPr txBox="1"/>
                        <wps:cNvPr id="12" name="Shape 12"/>
                        <wps:spPr>
                          <a:xfrm>
                            <a:off x="4854975" y="2122325"/>
                            <a:ext cx="212700" cy="16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wps:cNvPr id="13" name="Shape 13"/>
                        <wps:spPr>
                          <a:xfrm>
                            <a:off x="4586800" y="2261025"/>
                            <a:ext cx="99900" cy="99900"/>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4686700" y="2122325"/>
                            <a:ext cx="932400" cy="23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swald" w:cs="Oswald" w:eastAsia="Oswald" w:hAnsi="Oswald"/>
                                  <w:b w:val="0"/>
                                  <w:i w:val="0"/>
                                  <w:smallCaps w:val="0"/>
                                  <w:strike w:val="0"/>
                                  <w:color w:val="ff0000"/>
                                  <w:sz w:val="28"/>
                                  <w:vertAlign w:val="baseline"/>
                                </w:rPr>
                                <w:t xml:space="preserve">this work</w:t>
                              </w:r>
                            </w:p>
                          </w:txbxContent>
                        </wps:txbx>
                        <wps:bodyPr anchorCtr="0" anchor="t" bIns="91425" lIns="91425" spcFirstLastPara="1" rIns="91425" wrap="square" tIns="91425">
                          <a:noAutofit/>
                        </wps:bodyPr>
                      </wps:wsp>
                      <pic:pic>
                        <pic:nvPicPr>
                          <pic:cNvPr id="15" name="Shape 15" title="Screenshot 2026-02-09 at 3.37.11 PM.png"/>
                          <pic:cNvPicPr preferRelativeResize="0"/>
                        </pic:nvPicPr>
                        <pic:blipFill>
                          <a:blip r:embed="rId6">
                            <a:alphaModFix/>
                          </a:blip>
                          <a:stretch>
                            <a:fillRect/>
                          </a:stretch>
                        </pic:blipFill>
                        <pic:spPr>
                          <a:xfrm>
                            <a:off x="1321650" y="2155854"/>
                            <a:ext cx="1210587" cy="702147"/>
                          </a:xfrm>
                          <a:prstGeom prst="rect">
                            <a:avLst/>
                          </a:prstGeom>
                          <a:noFill/>
                          <a:ln>
                            <a:noFill/>
                          </a:ln>
                        </pic:spPr>
                      </pic:pic>
                      <pic:pic>
                        <pic:nvPicPr>
                          <pic:cNvPr id="16" name="Shape 16" title="Screenshot 2026-02-09 at 3.37.11 PM.png"/>
                          <pic:cNvPicPr preferRelativeResize="0"/>
                        </pic:nvPicPr>
                        <pic:blipFill>
                          <a:blip r:embed="rId6">
                            <a:alphaModFix/>
                          </a:blip>
                          <a:stretch>
                            <a:fillRect/>
                          </a:stretch>
                        </pic:blipFill>
                        <pic:spPr>
                          <a:xfrm rot="10800000">
                            <a:off x="2745675" y="2155854"/>
                            <a:ext cx="1210587" cy="702147"/>
                          </a:xfrm>
                          <a:prstGeom prst="rect">
                            <a:avLst/>
                          </a:prstGeom>
                          <a:noFill/>
                          <a:ln>
                            <a:noFill/>
                          </a:ln>
                        </pic:spPr>
                      </pic:pic>
                      <wps:wsp>
                        <wps:cNvCnPr/>
                        <wps:spPr>
                          <a:xfrm>
                            <a:off x="1285075" y="2541552"/>
                            <a:ext cx="1210500" cy="0"/>
                          </a:xfrm>
                          <a:prstGeom prst="straightConnector1">
                            <a:avLst/>
                          </a:prstGeom>
                          <a:noFill/>
                          <a:ln cap="flat" cmpd="sng" w="2857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a:off x="2737041" y="2528877"/>
                            <a:ext cx="1210500" cy="0"/>
                          </a:xfrm>
                          <a:prstGeom prst="straightConnector1">
                            <a:avLst/>
                          </a:prstGeom>
                          <a:noFill/>
                          <a:ln cap="flat" cmpd="sng" w="28575">
                            <a:solidFill>
                              <a:srgbClr val="0000FF"/>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81663" cy="1726472"/>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681663" cy="17264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Stars and their planet system migrate many kiloparsecs over their lifetimes, carrying with them the chemical fingerprints of their birthplaces and ages; however, it remains unclear how processes driving radial migration influence planet outcomes.</w:t>
      </w:r>
      <w:r w:rsidDel="00000000" w:rsidR="00000000" w:rsidRPr="00000000">
        <w:rPr>
          <w:rFonts w:ascii="Times New Roman" w:cs="Times New Roman" w:eastAsia="Times New Roman" w:hAnsi="Times New Roman"/>
          <w:sz w:val="24"/>
          <w:szCs w:val="24"/>
          <w:rtl w:val="0"/>
        </w:rPr>
        <w:t xml:space="preserve"> The upcoming telescope PLATO (PLAnetary Transits and Oscillations of Stars) will detect terrestrial exoplanets in the habitable zones of solar-type stars making this project not only timely but highly feasible. Work has been done to investigate how the age and metallicity of a star impacts planet occurrence rate but these variables alone do not tell us much. The blue lines and error bars on the </w:t>
      </w:r>
      <w:r w:rsidDel="00000000" w:rsidR="00000000" w:rsidRPr="00000000">
        <w:rPr>
          <w:rFonts w:ascii="Times New Roman" w:cs="Times New Roman" w:eastAsia="Times New Roman" w:hAnsi="Times New Roman"/>
          <w:i w:val="1"/>
          <w:iCs w:val="1"/>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middle</w:t>
      </w:r>
      <w:r w:rsidDel="00000000" w:rsidR="00000000" w:rsidRPr="00000000">
        <w:rPr>
          <w:rFonts w:ascii="Times New Roman" w:cs="Times New Roman" w:eastAsia="Times New Roman" w:hAnsi="Times New Roman"/>
          <w:sz w:val="24"/>
          <w:szCs w:val="24"/>
          <w:rtl w:val="0"/>
        </w:rPr>
        <w:t xml:space="preserve"> plots represent the inconclusive relationships between age and metallicity versus planet occurrence rate (Sayeed+2025). On the </w:t>
      </w:r>
      <w:r w:rsidDel="00000000" w:rsidR="00000000" w:rsidRPr="00000000">
        <w:rPr>
          <w:rFonts w:ascii="Times New Roman" w:cs="Times New Roman" w:eastAsia="Times New Roman" w:hAnsi="Times New Roman"/>
          <w:i w:val="1"/>
          <w:iCs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plot we discuss this work, which aims to investigate dynamics while holding the age and metallicity constant to help us determine whether the birthplace of the star and planet system is linked to planet occurrence. </w:t>
      </w:r>
      <w:r w:rsidDel="00000000" w:rsidR="00000000" w:rsidRPr="00000000">
        <w:rPr>
          <w:rFonts w:ascii="Times New Roman" w:cs="Times New Roman" w:eastAsia="Times New Roman" w:hAnsi="Times New Roman"/>
          <w:sz w:val="24"/>
          <w:szCs w:val="24"/>
          <w:u w:val="single"/>
          <w:rtl w:val="0"/>
        </w:rPr>
        <w:t xml:space="preserve">This program will build tracer particle simulations to make predictions about the dynamical histories of stars and then investigate how these histories correlate with planet outcomes in the PLATO field</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0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sz w:val="24"/>
          <w:szCs w:val="24"/>
          <w:highlight w:val="yellow"/>
          <w:rtl w:val="0"/>
        </w:rPr>
        <w:t xml:space="preserve">Part B</w:t>
      </w:r>
      <w:r w:rsidDel="00000000" w:rsidR="00000000" w:rsidRPr="00000000">
        <w:rPr>
          <w:rtl w:val="0"/>
        </w:rPr>
      </w:r>
    </w:p>
    <w:p w:rsidR="00000000" w:rsidDel="00000000" w:rsidP="00000000" w:rsidRDefault="00000000" w:rsidRPr="00000000" w14:paraId="00000007">
      <w:pPr>
        <w:spacing w:line="240" w:lineRule="auto"/>
        <w:ind w:firstLine="72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8">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Constraining Planet Occurrence in the Milky Way: The Missing Role of Dynamics</w:t>
      </w:r>
    </w:p>
    <w:p w:rsidR="00000000" w:rsidDel="00000000" w:rsidP="00000000" w:rsidRDefault="00000000" w:rsidRPr="00000000" w14:paraId="00000009">
      <w:pPr>
        <w:spacing w:line="24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A">
      <w:pPr>
        <w:spacing w:line="240" w:lineRule="auto"/>
        <w:ind w:left="0" w:firstLine="0"/>
        <w:rPr>
          <w:rFonts w:ascii="Times New Roman" w:cs="Times New Roman" w:eastAsia="Times New Roman" w:hAnsi="Times New Roman"/>
          <w:sz w:val="24"/>
          <w:szCs w:val="24"/>
          <w:shd w:fill="bfdbb0" w:val="clear"/>
        </w:rPr>
      </w:pPr>
      <w:r w:rsidDel="00000000" w:rsidR="00000000" w:rsidRPr="00000000">
        <w:rPr>
          <w:rFonts w:ascii="Times New Roman" w:cs="Times New Roman" w:eastAsia="Times New Roman" w:hAnsi="Times New Roman"/>
          <w:sz w:val="24"/>
          <w:szCs w:val="24"/>
          <w:shd w:fill="99dff9" w:val="clear"/>
          <w:rtl w:val="0"/>
        </w:rPr>
        <w:t xml:space="preserve">We find that young, slow, and metal-rich stars, associated mainly with the thin disc, host on average more planets than the old, fast, and metal-poor thick disc stars. Stars and their planetary systems migrate many kiloparsecs over their lifetimes, carrying with them the chemical fingerprints of their birthplaces and age</w:t>
      </w:r>
      <w:r w:rsidDel="00000000" w:rsidR="00000000" w:rsidRPr="00000000">
        <w:rPr>
          <w:rFonts w:ascii="Times New Roman" w:cs="Times New Roman" w:eastAsia="Times New Roman" w:hAnsi="Times New Roman"/>
          <w:sz w:val="24"/>
          <w:szCs w:val="24"/>
          <w:shd w:fill="ff999b" w:val="clear"/>
          <w:rtl w:val="0"/>
        </w:rPr>
        <w:t xml:space="preserve">, suggesting that where a star was born and how it migrated may be key to locating Earth-like planets. </w:t>
      </w:r>
      <w:r w:rsidDel="00000000" w:rsidR="00000000" w:rsidRPr="00000000">
        <w:rPr>
          <w:rFonts w:ascii="Times New Roman" w:cs="Times New Roman" w:eastAsia="Times New Roman" w:hAnsi="Times New Roman"/>
          <w:sz w:val="24"/>
          <w:szCs w:val="24"/>
          <w:shd w:fill="f8caad" w:val="clear"/>
          <w:rtl w:val="0"/>
        </w:rPr>
        <w:t xml:space="preserve">However, it remains unclear how the dynamical processes driving radial migration influence planet outcomes. Previous work has examined how stellar age and metallicity relate to planet occurrence rates, but these results remain inconclusive, indicating that these properties alone are insufficient to constrain planet occurrence.</w:t>
      </w:r>
      <w:r w:rsidDel="00000000" w:rsidR="00000000" w:rsidRPr="00000000">
        <w:rPr>
          <w:rFonts w:ascii="Times New Roman" w:cs="Times New Roman" w:eastAsia="Times New Roman" w:hAnsi="Times New Roman"/>
          <w:sz w:val="24"/>
          <w:szCs w:val="24"/>
          <w:shd w:fill="fde398" w:val="clear"/>
          <w:rtl w:val="0"/>
        </w:rPr>
        <w:t xml:space="preserve"> We now have access to high-resolution observational data and high-precision simulations that make it possible to measure ages, metallicity, and dynamical histories for large samples of stars. The upcoming telescope PLATO (PLAnetary Transits and Oscillations of Stars) will detect terrestrial exoplanets in the habitable zones of solar-type stars making this project not only timely, but highly feasible. </w:t>
      </w:r>
      <w:r w:rsidDel="00000000" w:rsidR="00000000" w:rsidRPr="00000000">
        <w:rPr>
          <w:rFonts w:ascii="Times New Roman" w:cs="Times New Roman" w:eastAsia="Times New Roman" w:hAnsi="Times New Roman"/>
          <w:sz w:val="24"/>
          <w:szCs w:val="24"/>
          <w:shd w:fill="c8c8c8" w:val="clear"/>
          <w:rtl w:val="0"/>
        </w:rPr>
        <w:t xml:space="preserve">In this talk, I will discuss how tracer particle simulations can be used to predict the dynamical histories of stars and how these histories correlate with planet outcomes in the PLATO field.</w:t>
      </w:r>
      <w:r w:rsidDel="00000000" w:rsidR="00000000" w:rsidRPr="00000000">
        <w:rPr>
          <w:rFonts w:ascii="Times New Roman" w:cs="Times New Roman" w:eastAsia="Times New Roman" w:hAnsi="Times New Roman"/>
          <w:sz w:val="24"/>
          <w:szCs w:val="24"/>
          <w:shd w:fill="bfdbb0" w:val="clear"/>
          <w:rtl w:val="0"/>
        </w:rPr>
        <w:t xml:space="preserve"> Understanding the impact of radial migration of stars and their planet systems is the missing key to finding exoplanets in our search for habitability.</w:t>
      </w:r>
    </w:p>
    <w:p w:rsidR="00000000" w:rsidDel="00000000" w:rsidP="00000000" w:rsidRDefault="00000000" w:rsidRPr="00000000" w14:paraId="0000000B">
      <w:pPr>
        <w:spacing w:line="240" w:lineRule="auto"/>
        <w:ind w:left="0" w:firstLine="0"/>
        <w:rPr>
          <w:rFonts w:ascii="Times New Roman" w:cs="Times New Roman" w:eastAsia="Times New Roman" w:hAnsi="Times New Roman"/>
          <w:sz w:val="24"/>
          <w:szCs w:val="24"/>
          <w:shd w:fill="d5a6bd" w:val="clear"/>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7625" cy="1103040"/>
            <wp:effectExtent b="0" l="0" r="0" t="0"/>
            <wp:docPr id="4" name="image2.png"/>
            <a:graphic>
              <a:graphicData uri="http://schemas.openxmlformats.org/drawingml/2006/picture">
                <pic:pic>
                  <pic:nvPicPr>
                    <pic:cNvPr id="0" name="image2.png"/>
                    <pic:cNvPicPr preferRelativeResize="0"/>
                  </pic:nvPicPr>
                  <pic:blipFill>
                    <a:blip r:embed="rId8"/>
                    <a:srcRect b="45245" l="3268" r="0" t="5844"/>
                    <a:stretch>
                      <a:fillRect/>
                    </a:stretch>
                  </pic:blipFill>
                  <pic:spPr>
                    <a:xfrm>
                      <a:off x="0" y="0"/>
                      <a:ext cx="3857625" cy="110304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66838" cy="28966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66838" cy="28966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57625" cy="309947"/>
            <wp:effectExtent b="0" l="0" r="0" t="0"/>
            <wp:docPr id="3" name="image2.png"/>
            <a:graphic>
              <a:graphicData uri="http://schemas.openxmlformats.org/drawingml/2006/picture">
                <pic:pic>
                  <pic:nvPicPr>
                    <pic:cNvPr id="0" name="image2.png"/>
                    <pic:cNvPicPr preferRelativeResize="0"/>
                  </pic:nvPicPr>
                  <pic:blipFill>
                    <a:blip r:embed="rId8"/>
                    <a:srcRect b="3656" l="3268" r="0" t="82707"/>
                    <a:stretch>
                      <a:fillRect/>
                    </a:stretch>
                  </pic:blipFill>
                  <pic:spPr>
                    <a:xfrm>
                      <a:off x="0" y="0"/>
                      <a:ext cx="3857625" cy="30994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Bashi, Dolev, and Shay Zucker. “Exoplanets in the Galactic Context: Planet Occurrence Rates in the Thin Disc, Thick Disc, and Stellar Halo of Kepler Stars.” </w:t>
      </w:r>
      <w:r w:rsidDel="00000000" w:rsidR="00000000" w:rsidRPr="00000000">
        <w:rPr>
          <w:rFonts w:ascii="Times New Roman" w:cs="Times New Roman" w:eastAsia="Times New Roman" w:hAnsi="Times New Roman"/>
          <w:i w:val="1"/>
          <w:iCs w:val="1"/>
          <w:sz w:val="24"/>
          <w:szCs w:val="24"/>
          <w:rtl w:val="0"/>
        </w:rPr>
        <w:t xml:space="preserve">Monthly Notices of the Royal Astronomical Society</w:t>
      </w:r>
      <w:r w:rsidDel="00000000" w:rsidR="00000000" w:rsidRPr="00000000">
        <w:rPr>
          <w:rFonts w:ascii="Times New Roman" w:cs="Times New Roman" w:eastAsia="Times New Roman" w:hAnsi="Times New Roman"/>
          <w:sz w:val="24"/>
          <w:szCs w:val="24"/>
          <w:rtl w:val="0"/>
        </w:rPr>
        <w:t xml:space="preserve"> 510, no. 3 (2022): 3449–59.</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https://doi.org/10.1093/mnras/stab3596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line="324.00000000000006" w:lineRule="auto"/>
        <w:ind w:left="880" w:hanging="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24.0000000000000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Sayeed, Maryum, Ruth Angus, Travis Berger, et al. “Exoplanet Occurrence Rate with Age for FGK Stars in Kepler.” </w:t>
      </w:r>
      <w:r w:rsidDel="00000000" w:rsidR="00000000" w:rsidRPr="00000000">
        <w:rPr>
          <w:rFonts w:ascii="Times New Roman" w:cs="Times New Roman" w:eastAsia="Times New Roman" w:hAnsi="Times New Roman"/>
          <w:i w:val="1"/>
          <w:iCs w:val="1"/>
          <w:sz w:val="24"/>
          <w:szCs w:val="24"/>
          <w:rtl w:val="0"/>
        </w:rPr>
        <w:t xml:space="preserve">The Astronomical Journal</w:t>
      </w:r>
      <w:r w:rsidDel="00000000" w:rsidR="00000000" w:rsidRPr="00000000">
        <w:rPr>
          <w:rFonts w:ascii="Times New Roman" w:cs="Times New Roman" w:eastAsia="Times New Roman" w:hAnsi="Times New Roman"/>
          <w:sz w:val="24"/>
          <w:szCs w:val="24"/>
          <w:rtl w:val="0"/>
        </w:rPr>
        <w:t xml:space="preserve"> 169, no. 2 (2025): 112.</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https://doi.org/10.3847/1538-3881/ada8a1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line="324.00000000000006" w:lineRule="auto"/>
        <w:ind w:left="880" w:hanging="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24.00000000000006" w:lineRule="auto"/>
        <w:ind w:left="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Oswald" w:cs="Oswald" w:eastAsia="Oswald" w:hAnsi="Oswald"/>
          <w:i w:val="1"/>
          <w:iCs w:val="1"/>
          <w:sz w:val="24"/>
          <w:szCs w:val="24"/>
        </w:rPr>
      </w:pPr>
      <w:r w:rsidDel="00000000" w:rsidR="00000000" w:rsidRPr="00000000">
        <w:rPr>
          <w:rtl w:val="0"/>
        </w:rPr>
      </w:r>
    </w:p>
    <w:p w:rsidR="00000000" w:rsidDel="00000000" w:rsidP="00000000" w:rsidRDefault="00000000" w:rsidRPr="00000000" w14:paraId="0000001A">
      <w:pPr>
        <w:spacing w:line="240" w:lineRule="auto"/>
        <w:ind w:left="0" w:firstLine="0"/>
        <w:rPr>
          <w:rFonts w:ascii="Oswald" w:cs="Oswald" w:eastAsia="Oswald" w:hAnsi="Oswald"/>
          <w:i w:val="1"/>
          <w:iCs w:val="1"/>
          <w:sz w:val="23"/>
          <w:szCs w:val="23"/>
          <w:shd w:fill="eff2f7" w:val="clear"/>
        </w:rPr>
      </w:pPr>
      <w:r w:rsidDel="00000000" w:rsidR="00000000" w:rsidRPr="00000000">
        <w:rPr>
          <w:rtl w:val="0"/>
        </w:rPr>
      </w:r>
    </w:p>
    <w:p w:rsidR="00000000" w:rsidDel="00000000" w:rsidP="00000000" w:rsidRDefault="00000000" w:rsidRPr="00000000" w14:paraId="0000001B">
      <w:pPr>
        <w:spacing w:line="240" w:lineRule="auto"/>
        <w:ind w:left="0" w:firstLine="0"/>
        <w:rPr>
          <w:rFonts w:ascii="Oswald" w:cs="Oswald" w:eastAsia="Oswald" w:hAnsi="Oswald"/>
          <w:i w:val="1"/>
          <w:iCs w:val="1"/>
          <w:sz w:val="24"/>
          <w:szCs w:val="24"/>
          <w:highlight w:val="white"/>
        </w:rPr>
      </w:pPr>
      <w:r w:rsidDel="00000000" w:rsidR="00000000" w:rsidRPr="00000000">
        <w:rPr>
          <w:rtl w:val="0"/>
        </w:rPr>
      </w:r>
    </w:p>
    <w:p w:rsidR="00000000" w:rsidDel="00000000" w:rsidP="00000000" w:rsidRDefault="00000000" w:rsidRPr="00000000" w14:paraId="0000001C">
      <w:pPr>
        <w:spacing w:line="240" w:lineRule="auto"/>
        <w:ind w:left="0" w:firstLine="0"/>
        <w:rPr>
          <w:rFonts w:ascii="Oswald" w:cs="Oswald" w:eastAsia="Oswald" w:hAnsi="Oswald"/>
          <w:i w:val="1"/>
          <w:iCs w:val="1"/>
          <w:sz w:val="24"/>
          <w:szCs w:val="24"/>
          <w:highlight w:val="white"/>
        </w:rPr>
      </w:pPr>
      <w:r w:rsidDel="00000000" w:rsidR="00000000" w:rsidRPr="00000000">
        <w:rPr>
          <w:rFonts w:ascii="Cardo" w:cs="Cardo" w:eastAsia="Cardo" w:hAnsi="Cardo"/>
          <w:i w:val="1"/>
          <w:iCs w:val="1"/>
          <w:sz w:val="24"/>
          <w:szCs w:val="24"/>
          <w:highlight w:val="white"/>
          <w:rtl w:val="0"/>
        </w:rPr>
        <w:t xml:space="preserve">Using only stars with both isochrone and gyrochronology ages (2658 stars), we find no significant trend with occurrence rate and stellar ages. We tested the effect of mass and metallicity on age trends, and found a slight, decreasing trend (&lt; 2σ) for lowmass, metal–rich stars. We urge caution in overinterpreting our results given the large uncertainties in both isochrone and gyrochronology ages, as well as our small sample size (235 planets and 2658 stars). We attempted to disentangle the effects of mass and metallicity (see Figure 5), but evaluating the occurrence rate along three axes – mass, metallicity, and age significantly reduced our sample size, especially for older stars (5.3 − 8 Gyr). Accurate ages for planet hosts are needed to effectively derive the relationship between planet occurrence rate and age.</w:t>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Oswald">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93/mnras/stab3596" TargetMode="External"/><Relationship Id="rId10" Type="http://schemas.openxmlformats.org/officeDocument/2006/relationships/hyperlink" Target="https://doi.org/10.1093/mnras/stab3596" TargetMode="External"/><Relationship Id="rId13" Type="http://schemas.openxmlformats.org/officeDocument/2006/relationships/hyperlink" Target="https://doi.org/10.3847/1538-3881/ada8a1" TargetMode="External"/><Relationship Id="rId12" Type="http://schemas.openxmlformats.org/officeDocument/2006/relationships/hyperlink" Target="https://doi.org/10.3847/1538-3881/ada8a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Oswald-regular.ttf"/><Relationship Id="rId5"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