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nat-configuration-homesoclab"/>
    <w:p>
      <w:pPr>
        <w:pStyle w:val="Heading1"/>
      </w:pPr>
      <w:r>
        <w:t xml:space="preserve">NAT Configuration — HomeSOClab</w:t>
      </w:r>
    </w:p>
    <w:p>
      <w:pPr>
        <w:pStyle w:val="FirstParagraph"/>
      </w:pPr>
      <w:r>
        <w:t xml:space="preserve">NAT is configured under</w:t>
      </w:r>
      <w:r>
        <w:t xml:space="preserve"> </w:t>
      </w:r>
      <w:r>
        <w:rPr>
          <w:bCs/>
          <w:b/>
        </w:rPr>
        <w:t xml:space="preserve">Firewall → NAT</w:t>
      </w:r>
      <w:r>
        <w:t xml:space="preserve"> </w:t>
      </w:r>
      <w:r>
        <w:t xml:space="preserve">in pfSense/OPNsense.</w:t>
      </w:r>
    </w:p>
    <w:bookmarkStart w:id="20" w:name="outbound-nat-source-nat-masquerade"/>
    <w:p>
      <w:pPr>
        <w:pStyle w:val="Heading2"/>
      </w:pPr>
      <w:r>
        <w:t xml:space="preserve">1. Outbound NAT (Source NAT / masquerade)</w:t>
      </w:r>
    </w:p>
    <w:p>
      <w:pPr>
        <w:pStyle w:val="FirstParagraph"/>
      </w:pPr>
      <w:r>
        <w:t xml:space="preserve">Switch</w:t>
      </w:r>
      <w:r>
        <w:t xml:space="preserve"> </w:t>
      </w:r>
      <w:r>
        <w:rPr>
          <w:bCs/>
          <w:b/>
        </w:rPr>
        <w:t xml:space="preserve">Firewall → NAT → Outbound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Hybrid Outbound NAT</w:t>
      </w:r>
      <w:r>
        <w:t xml:space="preserve"> </w:t>
      </w:r>
      <w:r>
        <w:t xml:space="preserve">so we can write</w:t>
      </w:r>
      <w:r>
        <w:t xml:space="preserve"> </w:t>
      </w:r>
      <w:r>
        <w:t xml:space="preserve">explicit rules while keeping pfSense’s automatic ones for the firewall itself.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1815"/>
        <w:gridCol w:w="1320"/>
        <w:gridCol w:w="2145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10.10.10.0/24</w:t>
            </w:r>
            <w:r>
              <w:t xml:space="preserve"> </w:t>
            </w:r>
            <w:r>
              <w:t xml:space="preserve">(MGMT)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internet egress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10.10.20.0/24</w:t>
            </w:r>
            <w:r>
              <w:t xml:space="preserve"> </w:t>
            </w:r>
            <w:r>
              <w:t xml:space="preserve">(ATTACKER)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tooling egress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Deliberately NOT NATed: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Victim (30)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Monitoring (99)</w:t>
      </w:r>
      <w:r>
        <w:t xml:space="preserve"> </w:t>
      </w:r>
      <w:r>
        <w:t xml:space="preserve">subnets</w:t>
      </w:r>
      <w:r>
        <w:t xml:space="preserve"> </w:t>
      </w:r>
      <w:r>
        <w:t xml:space="preserve">have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outbound NAT entry. Even if a firewall rule were misconfigured, the</w:t>
      </w:r>
      <w:r>
        <w:t xml:space="preserve"> </w:t>
      </w:r>
      <w:r>
        <w:t xml:space="preserve">absence of a NAT translation means their traffic cannot be masqueraded onto the</w:t>
      </w:r>
      <w:r>
        <w:t xml:space="preserve"> </w:t>
      </w:r>
      <w:r>
        <w:t xml:space="preserve">WAN — a defense-in-depth</w:t>
      </w:r>
      <w:r>
        <w:t xml:space="preserve"> </w:t>
      </w:r>
      <w:r>
        <w:t xml:space="preserve">“</w:t>
      </w:r>
      <w:r>
        <w:t xml:space="preserve">belt and suspenders</w:t>
      </w:r>
      <w:r>
        <w:t xml:space="preserve">”</w:t>
      </w:r>
      <w:r>
        <w:t xml:space="preserve"> </w:t>
      </w:r>
      <w:r>
        <w:t xml:space="preserve">so victims/sensors stay dark.</w:t>
      </w:r>
    </w:p>
    <w:p>
      <w:pPr>
        <w:pStyle w:val="BlockText"/>
      </w:pPr>
      <w:r>
        <w:rPr>
          <w:bCs/>
          <w:b/>
        </w:rPr>
        <w:t xml:space="preserve">Why hybrid, not manual-only?</w:t>
      </w:r>
      <w:r>
        <w:t xml:space="preserve"> </w:t>
      </w:r>
      <w:r>
        <w:t xml:space="preserve">Manual mode forces you to recreate every</w:t>
      </w:r>
      <w:r>
        <w:t xml:space="preserve"> </w:t>
      </w:r>
      <w:r>
        <w:t xml:space="preserve">system NAT (e.g., for the firewall’s own updates). Hybrid keeps those working</w:t>
      </w:r>
      <w:r>
        <w:t xml:space="preserve"> </w:t>
      </w:r>
      <w:r>
        <w:t xml:space="preserve">while giving us explicit control over the lab zones.</w:t>
      </w:r>
    </w:p>
    <w:bookmarkEnd w:id="20"/>
    <w:bookmarkStart w:id="21" w:name="port-forwards-inbound-nat-optional"/>
    <w:p>
      <w:pPr>
        <w:pStyle w:val="Heading2"/>
      </w:pPr>
      <w:r>
        <w:t xml:space="preserve">2. Port Forwards (inbound NAT) — optional</w:t>
      </w:r>
    </w:p>
    <w:p>
      <w:pPr>
        <w:pStyle w:val="FirstParagraph"/>
      </w:pPr>
      <w:r>
        <w:t xml:space="preserve">Phase 1 needs</w:t>
      </w:r>
      <w:r>
        <w:t xml:space="preserve"> </w:t>
      </w:r>
      <w:r>
        <w:rPr>
          <w:bCs/>
          <w:b/>
        </w:rPr>
        <w:t xml:space="preserve">no inbound port forwards</w:t>
      </w:r>
      <w:r>
        <w:t xml:space="preserve"> </w:t>
      </w:r>
      <w:r>
        <w:t xml:space="preserve">(no lab service is exposed to the</w:t>
      </w:r>
      <w:r>
        <w:t xml:space="preserve"> </w:t>
      </w:r>
      <w:r>
        <w:t xml:space="preserve">home LAN/internet — by design). If, in a later phase, you want to reach the SIEM</w:t>
      </w:r>
      <w:r>
        <w:t xml:space="preserve"> </w:t>
      </w:r>
      <w:r>
        <w:t xml:space="preserve">dashboard from the home LAN, prefer a controlled jump path instead of a raw port</w:t>
      </w:r>
      <w:r>
        <w:t xml:space="preserve"> </w:t>
      </w:r>
      <w:r>
        <w:t xml:space="preserve">forward. A documented example (disabled by default) if you must: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04"/>
        <w:gridCol w:w="1232"/>
        <w:gridCol w:w="1760"/>
        <w:gridCol w:w="1408"/>
        <w:gridCol w:w="1760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UI —</w:t>
            </w:r>
            <w:r>
              <w:t xml:space="preserve"> </w:t>
            </w:r>
            <w:r>
              <w:rPr>
                <w:bCs/>
                <w:b/>
              </w:rPr>
              <w:t xml:space="preserve">disabled</w:t>
            </w:r>
            <w:r>
              <w:t xml:space="preserve">; enable only if required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 note:</w:t>
      </w:r>
      <w:r>
        <w:t xml:space="preserve"> </w:t>
      </w:r>
      <w:r>
        <w:t xml:space="preserve">exposing lab management to the home network widens the</w:t>
      </w:r>
      <w:r>
        <w:t xml:space="preserve"> </w:t>
      </w:r>
      <w:r>
        <w:t xml:space="preserve">blast radius. Keep inbound NAT empty unless you have a specific, audited need,</w:t>
      </w:r>
      <w:r>
        <w:t xml:space="preserve"> </w:t>
      </w:r>
      <w:r>
        <w:t xml:space="preserve">and always pair it with a strict source restriction (your admin host only).</w:t>
      </w:r>
    </w:p>
    <w:bookmarkEnd w:id="21"/>
    <w:bookmarkStart w:id="22" w:name="nat-reflection"/>
    <w:p>
      <w:pPr>
        <w:pStyle w:val="Heading2"/>
      </w:pPr>
      <w:r>
        <w:t xml:space="preserve">3. NAT reflection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bCs/>
          <w:b/>
        </w:rPr>
        <w:t xml:space="preserve">NAT reflection = disabled</w:t>
      </w:r>
      <w:r>
        <w:t xml:space="preserve"> </w:t>
      </w:r>
      <w:r>
        <w:t xml:space="preserve">(default). The lab has no internal clients</w:t>
      </w:r>
      <w:r>
        <w:t xml:space="preserve"> </w:t>
      </w:r>
      <w:r>
        <w:t xml:space="preserve">that need to reach internal services via the WAN address.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2026-06-20T04:22:41Z</dcterms:created>
  <dcterms:modified xsi:type="dcterms:W3CDTF">2026-06-20T04:22:41Z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