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009255828c42678772d21a2622351525add870"/>
    <w:p>
      <w:pPr>
        <w:pStyle w:val="Heading1"/>
      </w:pPr>
      <w:r>
        <w:t xml:space="preserve">Firewall Rules — Monitoring Interface (VLAN 99,</w:t>
      </w:r>
      <w:r>
        <w:t xml:space="preserve"> </w:t>
      </w:r>
      <w:r>
        <w:rPr>
          <w:rStyle w:val="VerbatimChar"/>
        </w:rPr>
        <w:t xml:space="preserve">10.10.99.0/24</w:t>
      </w:r>
      <w:r>
        <w:t xml:space="preserve">)</w:t>
      </w:r>
    </w:p>
    <w:p>
      <w:pPr>
        <w:pStyle w:val="FirstParagraph"/>
      </w:pPr>
      <w:r>
        <w:t xml:space="preserve">The Monitoring zone exists to receive</w:t>
      </w:r>
      <w:r>
        <w:t xml:space="preserve"> </w:t>
      </w:r>
      <w:r>
        <w:rPr>
          <w:bCs/>
          <w:b/>
        </w:rPr>
        <w:t xml:space="preserve">mirrored (SPAN) traffic</w:t>
      </w:r>
      <w:r>
        <w:t xml:space="preserve"> </w:t>
      </w:r>
      <w:r>
        <w:t xml:space="preserve">for the SIEM</w:t>
      </w:r>
      <w:r>
        <w:t xml:space="preserve"> </w:t>
      </w:r>
      <w:r>
        <w:t xml:space="preserve">sensor. The sensor’s monitor NIC sits here in promiscuous mode and should</w:t>
      </w:r>
      <w:r>
        <w:t xml:space="preserve"> </w:t>
      </w:r>
      <w:r>
        <w:rPr>
          <w:bCs/>
          <w:b/>
        </w:rPr>
        <w:t xml:space="preserve">never source routed traffic</w:t>
      </w:r>
      <w:r>
        <w:t xml:space="preserve">. This is the most locked-down zone in the lab.</w:t>
      </w:r>
    </w:p>
    <w:p>
      <w:pPr>
        <w:pStyle w:val="BodyText"/>
      </w:pPr>
      <w:r>
        <w:rPr>
          <w:bCs/>
          <w:b/>
        </w:rPr>
        <w:t xml:space="preserve">Aliases:</w:t>
      </w:r>
      <w:r>
        <w:t xml:space="preserve"> </w:t>
      </w:r>
      <w:r>
        <w:rPr>
          <w:rStyle w:val="VerbatimChar"/>
        </w:rPr>
        <w:t xml:space="preserve">RFC1918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"/>
        <w:gridCol w:w="1242"/>
        <w:gridCol w:w="1087"/>
        <w:gridCol w:w="1242"/>
        <w:gridCol w:w="931"/>
        <w:gridCol w:w="931"/>
        <w:gridCol w:w="20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</w:t>
            </w:r>
            <w:r>
              <w:t xml:space="preserve"> </w:t>
            </w:r>
            <w:r>
              <w:t xml:space="preserve">(log)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Sensor monitor NIC is receive-only</w:t>
            </w:r>
          </w:p>
        </w:tc>
      </w:tr>
    </w:tbl>
    <w:p>
      <w:pPr>
        <w:pStyle w:val="BlockText"/>
      </w:pPr>
      <w:r>
        <w:rPr>
          <w:bCs/>
          <w:b/>
        </w:rPr>
        <w:t xml:space="preserve">Security note:</w:t>
      </w:r>
      <w:r>
        <w:t xml:space="preserve"> </w:t>
      </w:r>
      <w:r>
        <w:t xml:space="preserve">the monitor NIC does not even need an IP for raw packet</w:t>
      </w:r>
      <w:r>
        <w:t xml:space="preserve"> </w:t>
      </w:r>
      <w:r>
        <w:t xml:space="preserve">capture, but VLAN 99 has a gateway so the interface can be administered if</w:t>
      </w:r>
      <w:r>
        <w:t xml:space="preserve"> </w:t>
      </w:r>
      <w:r>
        <w:t xml:space="preserve">needed. We deny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traffic sourced from this zone — the sensor must be</w:t>
      </w:r>
      <w:r>
        <w:t xml:space="preserve"> </w:t>
      </w:r>
      <w:r>
        <w:t xml:space="preserve">managed via its</w:t>
      </w:r>
      <w:r>
        <w:t xml:space="preserve"> </w:t>
      </w:r>
      <w:r>
        <w:rPr>
          <w:bCs/>
          <w:b/>
        </w:rPr>
        <w:t xml:space="preserve">second NIC on VLAN 10</w:t>
      </w:r>
      <w:r>
        <w:t xml:space="preserve"> </w:t>
      </w:r>
      <w:r>
        <w:t xml:space="preserve">(</w:t>
      </w:r>
      <w:r>
        <w:rPr>
          <w:rStyle w:val="VerbatimChar"/>
        </w:rPr>
        <w:t xml:space="preserve">10.10.10.x</w:t>
      </w:r>
      <w:r>
        <w:t xml:space="preserve">), not from here.</w:t>
      </w:r>
      <w:r>
        <w:t xml:space="preserve"> </w:t>
      </w:r>
      <w:r>
        <w:t xml:space="preserve">This enforces the production</w:t>
      </w:r>
      <w:r>
        <w:t xml:space="preserve"> </w:t>
      </w:r>
      <w:r>
        <w:t xml:space="preserve">“</w:t>
      </w:r>
      <w:r>
        <w:t xml:space="preserve">management plane vs. capture plane</w:t>
      </w:r>
      <w:r>
        <w:t xml:space="preserve">”</w:t>
      </w:r>
      <w:r>
        <w:t xml:space="preserve"> </w:t>
      </w:r>
      <w:r>
        <w:t xml:space="preserve">separation</w:t>
      </w:r>
      <w:r>
        <w:t xml:space="preserve"> </w:t>
      </w:r>
      <w:r>
        <w:t xml:space="preserve">and prevents a compromised sensor from using the capture interface to pivot.</w:t>
      </w:r>
    </w:p>
    <w:p>
      <w:pPr>
        <w:pStyle w:val="BlockText"/>
      </w:pPr>
      <w:r>
        <w:t xml:space="preserve">Mirrored frames arrive at L2 (they are not routed by pfSense), so no</w:t>
      </w:r>
      <w:r>
        <w:t xml:space="preserve"> </w:t>
      </w:r>
      <w:r>
        <w:t xml:space="preserve">“</w:t>
      </w:r>
      <w:r>
        <w:t xml:space="preserve">pass</w:t>
      </w:r>
      <w:r>
        <w:t xml:space="preserve">”</w:t>
      </w:r>
      <w:r>
        <w:t xml:space="preserve"> </w:t>
      </w:r>
      <w:r>
        <w:t xml:space="preserve">rule is required for the SPAN feed itself — see</w:t>
      </w:r>
      <w:r>
        <w:t xml:space="preserve"> </w:t>
      </w:r>
      <w:r>
        <w:rPr>
          <w:rStyle w:val="VerbatimChar"/>
        </w:rPr>
        <w:t xml:space="preserve">../port-mirror.md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../../proxmox/bridge-mirror.md</w:t>
      </w:r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2026-06-20T04:22:11Z</dcterms:created>
  <dcterms:modified xsi:type="dcterms:W3CDTF">2026-06-20T04:22:11Z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