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e9dae0fd9cc4526ea009417e9a7acd8ced0b7e"/>
    <w:p>
      <w:pPr>
        <w:pStyle w:val="Heading1"/>
      </w:pPr>
      <w:r>
        <w:t xml:space="preserve">Risk-Based Test Strategy &amp; Coverage Plan — Insurance Claims Platform</w:t>
      </w:r>
    </w:p>
    <w:p>
      <w:pPr>
        <w:pStyle w:val="FirstParagraph"/>
      </w:pPr>
      <w:r>
        <w:rPr>
          <w:iCs/>
          <w:i/>
        </w:rPr>
        <w:t xml:space="preserve">Supplementary case study, prepared as part of the broader Quality Architect assessment.</w:t>
      </w:r>
    </w:p>
    <w:bookmarkStart w:id="20" w:name="diagnosis-first"/>
    <w:p>
      <w:pPr>
        <w:pStyle w:val="Heading2"/>
      </w:pPr>
      <w:r>
        <w:t xml:space="preserve">1. Diagnosis First</w:t>
      </w:r>
    </w:p>
    <w:p>
      <w:pPr>
        <w:pStyle w:val="FirstParagraph"/>
      </w:pPr>
      <w:r>
        <w:t xml:space="preserve">The core issues aren’t really</w:t>
      </w:r>
      <w:r>
        <w:t xml:space="preserve"> </w:t>
      </w:r>
      <w:r>
        <w:t xml:space="preserve">“</w:t>
      </w:r>
      <w:r>
        <w:t xml:space="preserve">not enough testing</w:t>
      </w:r>
      <w:r>
        <w:t xml:space="preserve">”</w:t>
      </w:r>
      <w:r>
        <w:t xml:space="preserve"> </w:t>
      </w:r>
      <w:r>
        <w:t xml:space="preserve">— they’re</w:t>
      </w:r>
      <w:r>
        <w:t xml:space="preserve"> </w:t>
      </w:r>
      <w:r>
        <w:rPr>
          <w:bCs/>
          <w:b/>
        </w:rPr>
        <w:t xml:space="preserve">untargeted testing effort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no visibility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Equal testing effort across all features means high-risk claims-calculation logic gets the same scrutiny as a cosmetic UI tweak</w:t>
      </w:r>
    </w:p>
    <w:p>
      <w:pPr>
        <w:numPr>
          <w:ilvl w:val="0"/>
          <w:numId w:val="1001"/>
        </w:numPr>
        <w:pStyle w:val="Compact"/>
      </w:pPr>
      <w:r>
        <w:t xml:space="preserve">50% of incidents cluster in claims calculation + integrations, yet these are exactly the areas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automation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Coverage is unknown</w:t>
      </w:r>
      <w:r>
        <w:t xml:space="preserve">”</w:t>
      </w:r>
      <w:r>
        <w:t xml:space="preserve"> </w:t>
      </w:r>
      <w:r>
        <w:t xml:space="preserve">means the organization is flying blind on regression risk every release</w:t>
      </w:r>
    </w:p>
    <w:p>
      <w:pPr>
        <w:pStyle w:val="FirstParagraph"/>
      </w:pPr>
      <w:r>
        <w:t xml:space="preserve">So the strategy needs three legs:</w:t>
      </w:r>
      <w:r>
        <w:t xml:space="preserve"> </w:t>
      </w:r>
      <w:r>
        <w:rPr>
          <w:bCs/>
          <w:b/>
        </w:rPr>
        <w:t xml:space="preserve">(1) risk-based prioritization, (2) targeted automation investment, (3) metrics that make risk visible going forward.</w:t>
      </w:r>
    </w:p>
    <w:p>
      <w:r>
        <w:pict>
          <v:rect style="width:0;height:1.5pt" o:hralign="center" o:hrstd="t" o:hr="t"/>
        </w:pict>
      </w:r>
    </w:p>
    <w:bookmarkEnd w:id="20"/>
    <w:bookmarkStart w:id="21" w:name="risk-classification-framework"/>
    <w:p>
      <w:pPr>
        <w:pStyle w:val="Heading2"/>
      </w:pPr>
      <w:r>
        <w:t xml:space="preserve">2. Risk Classification Framework</w:t>
      </w:r>
    </w:p>
    <w:p>
      <w:pPr>
        <w:pStyle w:val="FirstParagraph"/>
      </w:pPr>
      <w:r>
        <w:t xml:space="preserve">Build a simple risk score per feature/module so testing effort maps to actual business risk, not team habit.</w:t>
      </w:r>
    </w:p>
    <w:p>
      <w:pPr>
        <w:pStyle w:val="BodyText"/>
      </w:pPr>
      <w:r>
        <w:rPr>
          <w:bCs/>
          <w:b/>
        </w:rPr>
        <w:t xml:space="preserve">Risk Score = Impact × Likelihood × Change Frequency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Cosmetic/internal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Customer-facing, non-financial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claim payout, compliance, or legal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Likelihood of defect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Stable, rarely 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complexity, some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logic, multiple integrations, legacy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 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most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 almost every release</w:t>
            </w:r>
          </w:p>
        </w:tc>
      </w:tr>
    </w:tbl>
    <w:p>
      <w:pPr>
        <w:pStyle w:val="BodyText"/>
      </w:pPr>
      <w:r>
        <w:rPr>
          <w:bCs/>
          <w:b/>
        </w:rPr>
        <w:t xml:space="preserve">Applying this to the platform: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Risk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calculation engines (auto/health/property)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–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integrations (assessors, payment, external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–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services (auth, notifications, document mgmt)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4–6 (Medium)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2 –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Agent/customer UI, reporting, admin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(Low)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3 – Standard</w:t>
            </w:r>
          </w:p>
        </w:tc>
      </w:tr>
    </w:tbl>
    <w:p>
      <w:pPr>
        <w:pStyle w:val="BodyText"/>
      </w:pPr>
      <w:r>
        <w:t xml:space="preserve">This immediately explains the incident data:</w:t>
      </w:r>
      <w:r>
        <w:t xml:space="preserve"> </w:t>
      </w:r>
      <w:r>
        <w:rPr>
          <w:bCs/>
          <w:b/>
        </w:rPr>
        <w:t xml:space="preserve">Tier 1 modules have zero automation today</w:t>
      </w:r>
      <w:r>
        <w:t xml:space="preserve">, which is the gap to close first.</w:t>
      </w:r>
    </w:p>
    <w:p>
      <w:r>
        <w:pict>
          <v:rect style="width:0;height:1.5pt" o:hralign="center" o:hrstd="t" o:hr="t"/>
        </w:pict>
      </w:r>
    </w:p>
    <w:bookmarkEnd w:id="21"/>
    <w:bookmarkStart w:id="22" w:name="test-strategy-by-tier"/>
    <w:p>
      <w:pPr>
        <w:pStyle w:val="Heading2"/>
      </w:pPr>
      <w:r>
        <w:t xml:space="preserve">3. Test Strategy by Tier</w:t>
      </w:r>
    </w:p>
    <w:p>
      <w:pPr>
        <w:pStyle w:val="FirstParagraph"/>
      </w:pPr>
      <w:r>
        <w:rPr>
          <w:bCs/>
          <w:b/>
        </w:rPr>
        <w:t xml:space="preserve">Tier 1 – Claims Calculation &amp; Third-Party Integrations</w:t>
      </w:r>
    </w:p>
    <w:p>
      <w:pPr>
        <w:numPr>
          <w:ilvl w:val="0"/>
          <w:numId w:val="1002"/>
        </w:numPr>
        <w:pStyle w:val="Compact"/>
      </w:pPr>
      <w:r>
        <w:t xml:space="preserve">Automated regression suite is mandatory, not optional — target 80%+ coverage of calculation rules within 2 quarters</w:t>
      </w:r>
    </w:p>
    <w:p>
      <w:pPr>
        <w:numPr>
          <w:ilvl w:val="0"/>
          <w:numId w:val="1002"/>
        </w:numPr>
        <w:pStyle w:val="Compact"/>
      </w:pPr>
      <w:r>
        <w:t xml:space="preserve">Contract testing (e.g., Pact) for every third-party integration to catch breaking changes before they hit production</w:t>
      </w:r>
    </w:p>
    <w:p>
      <w:pPr>
        <w:numPr>
          <w:ilvl w:val="0"/>
          <w:numId w:val="1002"/>
        </w:numPr>
        <w:pStyle w:val="Compact"/>
      </w:pPr>
      <w:r>
        <w:t xml:space="preserve">Golden-record / reference-data testing: maintain a library of known claim scenarios with pre-verified expected payouts (by product line) and run them every build</w:t>
      </w:r>
    </w:p>
    <w:p>
      <w:pPr>
        <w:numPr>
          <w:ilvl w:val="0"/>
          <w:numId w:val="1002"/>
        </w:numPr>
        <w:pStyle w:val="Compact"/>
      </w:pPr>
      <w:r>
        <w:t xml:space="preserve">Chaos/failure testing for integrations: timeouts, malformed responses, partial failures — since integration failures are half the incidents</w:t>
      </w:r>
    </w:p>
    <w:p>
      <w:pPr>
        <w:numPr>
          <w:ilvl w:val="0"/>
          <w:numId w:val="1002"/>
        </w:numPr>
        <w:pStyle w:val="Compact"/>
      </w:pPr>
      <w:r>
        <w:t xml:space="preserve">Manual exploratory testing reserved for edge cases automation can’t easily cover (ambiguous policy wording, multi-party claims)</w:t>
      </w:r>
    </w:p>
    <w:p>
      <w:pPr>
        <w:pStyle w:val="FirstParagraph"/>
      </w:pPr>
      <w:r>
        <w:rPr>
          <w:bCs/>
          <w:b/>
        </w:rPr>
        <w:t xml:space="preserve">Tier 2 – Platform Services</w:t>
      </w:r>
    </w:p>
    <w:p>
      <w:pPr>
        <w:numPr>
          <w:ilvl w:val="0"/>
          <w:numId w:val="1003"/>
        </w:numPr>
        <w:pStyle w:val="Compact"/>
      </w:pPr>
      <w:r>
        <w:t xml:space="preserve">Already has automation — extend it to cover cross-service workflows (e.g., a claim moving through auth → document upload → notification), not just isolated service tests</w:t>
      </w:r>
    </w:p>
    <w:p>
      <w:pPr>
        <w:numPr>
          <w:ilvl w:val="0"/>
          <w:numId w:val="1003"/>
        </w:numPr>
        <w:pStyle w:val="Compact"/>
      </w:pPr>
      <w:r>
        <w:t xml:space="preserve">Add integration-level tests between Tier 2 services and Tier 1 modules, since that’s where platform and product risk overlap</w:t>
      </w:r>
    </w:p>
    <w:p>
      <w:pPr>
        <w:pStyle w:val="FirstParagraph"/>
      </w:pPr>
      <w:r>
        <w:rPr>
          <w:bCs/>
          <w:b/>
        </w:rPr>
        <w:t xml:space="preserve">Tier 3 – UI/Admin/Reporting</w:t>
      </w:r>
    </w:p>
    <w:p>
      <w:pPr>
        <w:numPr>
          <w:ilvl w:val="0"/>
          <w:numId w:val="1004"/>
        </w:numPr>
        <w:pStyle w:val="Compact"/>
      </w:pPr>
      <w:r>
        <w:t xml:space="preserve">Lightweight automation (smoke tests) only</w:t>
      </w:r>
    </w:p>
    <w:p>
      <w:pPr>
        <w:numPr>
          <w:ilvl w:val="0"/>
          <w:numId w:val="1004"/>
        </w:numPr>
        <w:pStyle w:val="Compact"/>
      </w:pPr>
      <w:r>
        <w:t xml:space="preserve">Manual testing on a sampling basis, not full regression every release</w:t>
      </w:r>
    </w:p>
    <w:p>
      <w:r>
        <w:pict>
          <v:rect style="width:0;height:1.5pt" o:hralign="center" o:hrstd="t" o:hr="t"/>
        </w:pict>
      </w:r>
    </w:p>
    <w:bookmarkEnd w:id="22"/>
    <w:bookmarkStart w:id="23" w:name="coverage-plan"/>
    <w:p>
      <w:pPr>
        <w:pStyle w:val="Heading2"/>
      </w:pPr>
      <w:r>
        <w:t xml:space="preserve">4. Coverage Plan</w:t>
      </w:r>
    </w:p>
    <w:p>
      <w:pPr>
        <w:pStyle w:val="FirstParagraph"/>
      </w:pPr>
      <w:r>
        <w:t xml:space="preserve">Since coverage is currently untracked, start by</w:t>
      </w:r>
      <w:r>
        <w:t xml:space="preserve"> </w:t>
      </w:r>
      <w:r>
        <w:rPr>
          <w:bCs/>
          <w:b/>
        </w:rPr>
        <w:t xml:space="preserve">measuring before optimizing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Baseline audit (Weeks 1–4):</w:t>
      </w:r>
      <w:r>
        <w:t xml:space="preserve"> </w:t>
      </w:r>
      <w:r>
        <w:t xml:space="preserve">For each of the 8 teams, inventory existing manual test cases and map each to a module + risk tier.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Set tier-based coverage targets</w:t>
      </w:r>
      <w:r>
        <w:t xml:space="preserve">, not a blanket number:</w:t>
      </w:r>
    </w:p>
    <w:p>
      <w:pPr>
        <w:numPr>
          <w:ilvl w:val="1"/>
          <w:numId w:val="1006"/>
        </w:numPr>
        <w:pStyle w:val="Compact"/>
      </w:pPr>
      <w:r>
        <w:t xml:space="preserve">Tier 1: 80% automated coverage of calculation logic and integration contracts within 2 quarters</w:t>
      </w:r>
    </w:p>
    <w:p>
      <w:pPr>
        <w:numPr>
          <w:ilvl w:val="1"/>
          <w:numId w:val="1006"/>
        </w:numPr>
        <w:pStyle w:val="Compact"/>
      </w:pPr>
      <w:r>
        <w:t xml:space="preserve">Tier 2: 60% automated coverage, expand existing suites</w:t>
      </w:r>
    </w:p>
    <w:p>
      <w:pPr>
        <w:numPr>
          <w:ilvl w:val="1"/>
          <w:numId w:val="1006"/>
        </w:numPr>
        <w:pStyle w:val="Compact"/>
      </w:pPr>
      <w:r>
        <w:t xml:space="preserve">Tier 3: smoke-test coverage only, manual exploratory for the rest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Track coverage per release</w:t>
      </w:r>
      <w:r>
        <w:t xml:space="preserve">, not just once — coverage decays as code changes if not maintained.</w:t>
      </w:r>
    </w:p>
    <w:p>
      <w:r>
        <w:pict>
          <v:rect style="width:0;height:1.5pt" o:hralign="center" o:hrstd="t" o:hr="t"/>
        </w:pict>
      </w:r>
    </w:p>
    <w:bookmarkEnd w:id="23"/>
    <w:bookmarkStart w:id="24" w:name="automation-roadmap"/>
    <w:p>
      <w:pPr>
        <w:pStyle w:val="Heading2"/>
      </w:pPr>
      <w:r>
        <w:t xml:space="preserve">5. Automation Roadmap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automation framework/toolchain + contract testing for top 3 highest-incident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claims calculation regression suites for the 3 product teams, using golden-record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automation to remaining integrations + cross-service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maintenance cadence + expand Tier 2 coverage; retire redundant manual regression cases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Structural recommendation:</w:t>
      </w:r>
      <w:r>
        <w:t xml:space="preserve"> </w:t>
      </w:r>
      <w:r>
        <w:t xml:space="preserve">with only 1 QA engineer per team, a small</w:t>
      </w:r>
      <w:r>
        <w:t xml:space="preserve"> </w:t>
      </w:r>
      <w:r>
        <w:rPr>
          <w:bCs/>
          <w:b/>
        </w:rPr>
        <w:t xml:space="preserve">central QA/SDET enablement pod</w:t>
      </w:r>
      <w:r>
        <w:t xml:space="preserve"> </w:t>
      </w:r>
      <w:r>
        <w:t xml:space="preserve">(2–3 people) should build shared frameworks and contract-testing infrastructure, and coach team QAs, rather than expecting each team to build automation capability from scratch in parallel.</w:t>
      </w:r>
    </w:p>
    <w:p>
      <w:r>
        <w:pict>
          <v:rect style="width:0;height:1.5pt" o:hralign="center" o:hrstd="t" o:hr="t"/>
        </w:pict>
      </w:r>
    </w:p>
    <w:bookmarkEnd w:id="24"/>
    <w:bookmarkStart w:id="25" w:name="metrics-governance"/>
    <w:p>
      <w:pPr>
        <w:pStyle w:val="Heading2"/>
      </w:pPr>
      <w:r>
        <w:t xml:space="preserve">6. Metrics &amp; Governance</w:t>
      </w:r>
    </w:p>
    <w:p>
      <w:pPr>
        <w:pStyle w:val="FirstParagraph"/>
      </w:pPr>
      <w:r>
        <w:rPr>
          <w:bCs/>
          <w:b/>
        </w:rPr>
        <w:t xml:space="preserve">Quality metrics</w:t>
      </w:r>
    </w:p>
    <w:p>
      <w:pPr>
        <w:numPr>
          <w:ilvl w:val="0"/>
          <w:numId w:val="1007"/>
        </w:numPr>
        <w:pStyle w:val="Compact"/>
      </w:pPr>
      <w:r>
        <w:t xml:space="preserve">Claims calculation defect rate (defects per release, by product line)</w:t>
      </w:r>
    </w:p>
    <w:p>
      <w:pPr>
        <w:numPr>
          <w:ilvl w:val="0"/>
          <w:numId w:val="1007"/>
        </w:numPr>
        <w:pStyle w:val="Compact"/>
      </w:pPr>
      <w:r>
        <w:t xml:space="preserve">Integration failure rate (by third-party partner/service)</w:t>
      </w:r>
    </w:p>
    <w:p>
      <w:pPr>
        <w:numPr>
          <w:ilvl w:val="0"/>
          <w:numId w:val="1007"/>
        </w:numPr>
        <w:pStyle w:val="Compact"/>
      </w:pPr>
      <w:r>
        <w:t xml:space="preserve">Escaped defects to production, tagged by risk tier</w:t>
      </w:r>
    </w:p>
    <w:p>
      <w:pPr>
        <w:numPr>
          <w:ilvl w:val="0"/>
          <w:numId w:val="1007"/>
        </w:numPr>
        <w:pStyle w:val="Compact"/>
      </w:pPr>
      <w:r>
        <w:t xml:space="preserve">% automated coverage by tier (tracked per release, not annually)</w:t>
      </w:r>
    </w:p>
    <w:p>
      <w:pPr>
        <w:pStyle w:val="FirstParagraph"/>
      </w:pPr>
      <w:r>
        <w:rPr>
          <w:bCs/>
          <w:b/>
        </w:rPr>
        <w:t xml:space="preserve">Process metrics</w:t>
      </w:r>
    </w:p>
    <w:p>
      <w:pPr>
        <w:numPr>
          <w:ilvl w:val="0"/>
          <w:numId w:val="1008"/>
        </w:numPr>
        <w:pStyle w:val="Compact"/>
      </w:pPr>
      <w:r>
        <w:t xml:space="preserve">Mean time to detect / resolve claims calculation defects</w:t>
      </w:r>
    </w:p>
    <w:p>
      <w:pPr>
        <w:numPr>
          <w:ilvl w:val="0"/>
          <w:numId w:val="1008"/>
        </w:numPr>
        <w:pStyle w:val="Compact"/>
      </w:pPr>
      <w:r>
        <w:t xml:space="preserve">Regression test cycle time (manual vs automated)</w:t>
      </w:r>
    </w:p>
    <w:p>
      <w:pPr>
        <w:numPr>
          <w:ilvl w:val="0"/>
          <w:numId w:val="1008"/>
        </w:numPr>
        <w:pStyle w:val="Compact"/>
      </w:pPr>
      <w:r>
        <w:t xml:space="preserve">% of production incidents traceable to a Tier 1 module (should trend down as automation increases)</w:t>
      </w:r>
    </w:p>
    <w:p>
      <w:pPr>
        <w:pStyle w:val="FirstParagraph"/>
      </w:pPr>
      <w:r>
        <w:rPr>
          <w:bCs/>
          <w:b/>
        </w:rPr>
        <w:t xml:space="preserve">Governance</w:t>
      </w:r>
    </w:p>
    <w:p>
      <w:pPr>
        <w:numPr>
          <w:ilvl w:val="0"/>
          <w:numId w:val="1009"/>
        </w:numPr>
        <w:pStyle w:val="Compact"/>
      </w:pPr>
      <w:r>
        <w:t xml:space="preserve">A lightweight</w:t>
      </w:r>
      <w:r>
        <w:t xml:space="preserve"> </w:t>
      </w:r>
      <w:r>
        <w:rPr>
          <w:bCs/>
          <w:b/>
        </w:rPr>
        <w:t xml:space="preserve">Test Strategy Council</w:t>
      </w:r>
      <w:r>
        <w:t xml:space="preserve"> </w:t>
      </w:r>
      <w:r>
        <w:t xml:space="preserve">(one QA lead per team + the enablement pod), meeting biweekly, aligned to release cadence, to review metrics and re-tier modules whose risk profile has changed</w:t>
      </w:r>
    </w:p>
    <w:p>
      <w:pPr>
        <w:numPr>
          <w:ilvl w:val="0"/>
          <w:numId w:val="1009"/>
        </w:numPr>
        <w:pStyle w:val="Compact"/>
      </w:pPr>
      <w:r>
        <w:t xml:space="preserve">Quarterly review of risk classification itself, not just test results</w:t>
      </w:r>
    </w:p>
    <w:p>
      <w:r>
        <w:pict>
          <v:rect style="width:0;height:1.5pt" o:hralign="center" o:hrstd="t" o:hr="t"/>
        </w:pict>
      </w:r>
    </w:p>
    <w:bookmarkEnd w:id="25"/>
    <w:bookmarkStart w:id="26" w:name="sequencing-recommendation"/>
    <w:p>
      <w:pPr>
        <w:pStyle w:val="Heading2"/>
      </w:pPr>
      <w:r>
        <w:t xml:space="preserve">7. Sequencing Recommendation</w:t>
      </w:r>
    </w:p>
    <w:p>
      <w:pPr>
        <w:pStyle w:val="FirstParagraph"/>
      </w:pPr>
      <w:r>
        <w:t xml:space="preserve">If only one thing can be done first:</w:t>
      </w:r>
      <w:r>
        <w:t xml:space="preserve"> </w:t>
      </w:r>
      <w:r>
        <w:rPr>
          <w:bCs/>
          <w:b/>
        </w:rPr>
        <w:t xml:space="preserve">stop testing everything equally</w:t>
      </w:r>
      <w:r>
        <w:t xml:space="preserve">. Redirecting existing manual regression effort toward Tier 1 modules (claims calculation, integrations) using the risk framework above will likely reduce incidents faster than any tooling investment, because it fixes the root cause — effort misallocation — immediately.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2026-09-29T09:26:30Z</dcterms:created>
  <dcterms:modified xsi:type="dcterms:W3CDTF">2026-09-29T09:26:30Z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