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:rsidR="003B2742" w:rsidRDefault="003B2742" w:rsidP="003B2742">
      <w:pPr>
        <w:pStyle w:val="Cmsor3"/>
      </w:pPr>
      <w:r>
        <w:t>Módosult osztálydiagram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Új vagy megváltozó metódusok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:rsidR="003B2742" w:rsidRDefault="003B2742" w:rsidP="003B2742">
      <w:pPr>
        <w:pStyle w:val="Cmsor3"/>
      </w:pPr>
      <w:r>
        <w:t>Szekvencia-diagramok</w:t>
      </w:r>
    </w:p>
    <w:p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:rsidR="001032BB" w:rsidRDefault="001032BB" w:rsidP="00F91334">
      <w:pPr>
        <w:pStyle w:val="Cmsor3"/>
      </w:pPr>
      <w:r>
        <w:t>Az interfész általános leírása</w:t>
      </w:r>
    </w:p>
    <w:p w:rsid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:rsidR="00083AC1" w:rsidRDefault="00083AC1" w:rsidP="001032BB">
      <w:pPr>
        <w:pStyle w:val="magyarazat"/>
      </w:pPr>
    </w:p>
    <w:p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:rsidR="0001573E" w:rsidRPr="00083AC1" w:rsidRDefault="008D47C1" w:rsidP="008D47C1">
      <w:r>
        <w:br w:type="page"/>
      </w:r>
    </w:p>
    <w:p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:rsidR="001032BB" w:rsidRPr="001032BB" w:rsidRDefault="001032BB" w:rsidP="001032BB"/>
    <w:p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:rsidR="00F91334" w:rsidRDefault="00F91334" w:rsidP="00F91334"/>
    <w:p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proofErr w:type="spellStart"/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BF5FB5">
        <w:rPr>
          <w:rFonts w:ascii="Courier New" w:hAnsi="Courier New" w:cs="Courier New"/>
        </w:rPr>
        <w:t>l</w:t>
      </w:r>
      <w:proofErr w:type="spellEnd"/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:rsidR="00F91334" w:rsidRDefault="00F91334" w:rsidP="00F91334"/>
    <w:p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>munkás</w:t>
      </w:r>
      <w:r>
        <w:t xml:space="preserve">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:rsidR="00242ADF" w:rsidRDefault="00242ADF" w:rsidP="0026470C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proofErr w:type="spellStart"/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BF5FB5">
        <w:rPr>
          <w:rFonts w:ascii="Courier New" w:hAnsi="Courier New" w:cs="Courier New"/>
        </w:rPr>
        <w:t>o</w:t>
      </w:r>
      <w:proofErr w:type="spellEnd"/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:rsidR="00347F42" w:rsidRDefault="00347F42" w:rsidP="00347F42"/>
    <w:p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:rsidR="00347F42" w:rsidRDefault="00347F42" w:rsidP="00347F42"/>
    <w:p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>
        <w:rPr>
          <w:rFonts w:ascii="Courier New" w:hAnsi="Courier New" w:cs="Courier New"/>
          <w:i w:val="0"/>
          <w:color w:val="auto"/>
        </w:rPr>
        <w:t>boxes</w:t>
      </w:r>
      <w:proofErr w:type="spellEnd"/>
    </w:p>
    <w:p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</w:t>
      </w:r>
      <w:r>
        <w:t>dobozok</w:t>
      </w:r>
      <w:r>
        <w:t xml:space="preserve"> listázása.</w:t>
      </w:r>
      <w:r>
        <w:rPr>
          <w:b/>
        </w:rPr>
        <w:t xml:space="preserve"> </w:t>
      </w:r>
    </w:p>
    <w:p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:rsidR="003007D2" w:rsidRDefault="003007D2" w:rsidP="003007D2">
      <w:pPr>
        <w:rPr>
          <w:b/>
        </w:rPr>
      </w:pPr>
    </w:p>
    <w:p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>
        <w:rPr>
          <w:rFonts w:ascii="Courier New" w:hAnsi="Courier New" w:cs="Courier New"/>
          <w:i w:val="0"/>
          <w:color w:val="auto"/>
        </w:rPr>
        <w:t>fields</w:t>
      </w:r>
      <w:proofErr w:type="spellEnd"/>
    </w:p>
    <w:p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</w:t>
      </w:r>
      <w:r>
        <w:t>mezők</w:t>
      </w:r>
      <w:r>
        <w:t xml:space="preserve"> listázása.</w:t>
      </w:r>
      <w:r>
        <w:rPr>
          <w:b/>
        </w:rPr>
        <w:t xml:space="preserve"> </w:t>
      </w:r>
    </w:p>
    <w:p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:rsidR="00DB4CF1" w:rsidRDefault="00DB4CF1" w:rsidP="00DB4CF1">
      <w:pPr>
        <w:rPr>
          <w:b/>
        </w:rPr>
      </w:pPr>
    </w:p>
    <w:p w:rsidR="00DB4CF1" w:rsidRPr="00F91334" w:rsidRDefault="00DB4CF1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</w:t>
      </w:r>
      <w:r>
        <w:rPr>
          <w:rFonts w:ascii="Courier New" w:hAnsi="Courier New" w:cs="Courier New"/>
          <w:i w:val="0"/>
          <w:color w:val="auto"/>
        </w:rPr>
        <w:t>og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&gt;]</w:t>
      </w:r>
    </w:p>
    <w:p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</w:t>
      </w:r>
      <w:r>
        <w:t>.</w:t>
      </w:r>
      <w:r>
        <w:rPr>
          <w:b/>
        </w:rPr>
        <w:t xml:space="preserve"> </w:t>
      </w:r>
    </w:p>
    <w:p w:rsidR="00C00007" w:rsidRDefault="00DB4CF1" w:rsidP="00DB4CF1">
      <w:pPr>
        <w:ind w:left="708"/>
        <w:rPr>
          <w:b/>
        </w:rPr>
      </w:pPr>
      <w:r w:rsidRPr="00F91334">
        <w:rPr>
          <w:b/>
        </w:rPr>
        <w:t xml:space="preserve">Opciók: </w:t>
      </w:r>
    </w:p>
    <w:p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:rsidR="00E9312D" w:rsidRPr="00F91334" w:rsidRDefault="00170252" w:rsidP="00E9312D">
      <w:pPr>
        <w:pStyle w:val="magyarazat"/>
        <w:rPr>
          <w:b/>
        </w:rPr>
      </w:pPr>
      <w:r>
        <w:br w:type="page"/>
      </w:r>
      <w:r w:rsidR="00BF0F6C">
        <w:rPr>
          <w:rFonts w:ascii="Courier New" w:hAnsi="Courier New" w:cs="Courier New"/>
          <w:i w:val="0"/>
          <w:color w:val="auto"/>
        </w:rPr>
        <w:lastRenderedPageBreak/>
        <w:t>show-log</w:t>
      </w:r>
    </w:p>
    <w:p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:rsidR="00E9312D" w:rsidRDefault="00E9312D" w:rsidP="00401E61">
      <w:pPr>
        <w:pStyle w:val="magyarazat"/>
      </w:pPr>
    </w:p>
    <w:p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</w:t>
      </w:r>
      <w:r>
        <w:rPr>
          <w:rFonts w:ascii="Courier New" w:hAnsi="Courier New" w:cs="Courier New"/>
          <w:i w:val="0"/>
          <w:color w:val="auto"/>
        </w:rPr>
        <w:t>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:rsidR="00E9312D" w:rsidRDefault="00E9312D" w:rsidP="00401E61">
      <w:pPr>
        <w:pStyle w:val="magyarazat"/>
      </w:pPr>
    </w:p>
    <w:p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BB7665">
        <w:t xml:space="preserve">Az aktuális </w:t>
      </w:r>
      <w:proofErr w:type="spellStart"/>
      <w:r w:rsidR="00BB7665">
        <w:t>pályá</w:t>
      </w:r>
      <w:proofErr w:type="spellEnd"/>
      <w:r w:rsidR="00BB7665">
        <w:t xml:space="preserve"> eldobása (például rossz betöltése esetén)</w:t>
      </w:r>
      <w:r w:rsidR="00B31BEF">
        <w:t>.</w:t>
      </w:r>
      <w:bookmarkStart w:id="0" w:name="_GoBack"/>
      <w:bookmarkEnd w:id="0"/>
    </w:p>
    <w:p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ED1CC1" w:rsidRDefault="00ED1CC1" w:rsidP="00ED1CC1"/>
    <w:p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</w:t>
      </w:r>
      <w:r>
        <w:rPr>
          <w:rFonts w:ascii="Courier New" w:hAnsi="Courier New" w:cs="Courier New"/>
          <w:i w:val="0"/>
          <w:color w:val="auto"/>
        </w:rPr>
        <w:t>-map</w:t>
      </w:r>
    </w:p>
    <w:p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</w:t>
      </w:r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>
        <w:t>Előre megírt teszteset futtatása</w:t>
      </w:r>
      <w:r w:rsidR="005D5B7C">
        <w:t>.</w:t>
      </w:r>
    </w:p>
    <w:p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:rsidR="00933879" w:rsidRPr="00547DE3" w:rsidRDefault="00933879" w:rsidP="00170252"/>
    <w:p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>
        <w:t>Kilépés a programból.</w:t>
      </w:r>
      <w:r>
        <w:t xml:space="preserve"> </w:t>
      </w:r>
    </w:p>
    <w:p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:rsidR="00DB4CF1" w:rsidRDefault="00DB4CF1" w:rsidP="00DB4CF1"/>
    <w:p w:rsidR="003007D2" w:rsidRDefault="003007D2" w:rsidP="003007D2"/>
    <w:p w:rsidR="00AC076F" w:rsidRDefault="00AC076F" w:rsidP="00347F42"/>
    <w:p w:rsidR="00242ADF" w:rsidRDefault="00242ADF" w:rsidP="00F91334"/>
    <w:p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:rsidR="00F91334" w:rsidRDefault="00F91334" w:rsidP="00F91334">
      <w:pPr>
        <w:pStyle w:val="Cmsor3"/>
      </w:pPr>
      <w:r>
        <w:t>Kimeneti nyelv</w:t>
      </w:r>
    </w:p>
    <w:p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:rsidR="00F91334" w:rsidRPr="00F91334" w:rsidRDefault="00F91334" w:rsidP="00F91334"/>
    <w:p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F91334" w:rsidRDefault="00F91334" w:rsidP="002B19B7"/>
        </w:tc>
      </w:tr>
      <w:tr w:rsidR="00F91334" w:rsidTr="007E3F31">
        <w:trPr>
          <w:trHeight w:val="258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F91334" w:rsidRDefault="00F91334" w:rsidP="002B19B7"/>
        </w:tc>
      </w:tr>
      <w:tr w:rsidR="00F91334" w:rsidTr="007E3F31">
        <w:trPr>
          <w:trHeight w:val="272"/>
        </w:trPr>
        <w:tc>
          <w:tcPr>
            <w:tcW w:w="2560" w:type="dxa"/>
          </w:tcPr>
          <w:p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F91334" w:rsidRDefault="00F91334" w:rsidP="002B19B7"/>
        </w:tc>
      </w:tr>
    </w:tbl>
    <w:p w:rsidR="00F91334" w:rsidRPr="00E42835" w:rsidRDefault="00F91334" w:rsidP="00F91334"/>
    <w:p w:rsidR="00F91334" w:rsidRPr="00F91334" w:rsidRDefault="00F91334" w:rsidP="00F91334"/>
    <w:p w:rsidR="00F91334" w:rsidRDefault="00F91334" w:rsidP="00F91334">
      <w:pPr>
        <w:pStyle w:val="Cmsor20"/>
      </w:pPr>
      <w:r>
        <w:t>Tesztelési terv</w:t>
      </w:r>
    </w:p>
    <w:p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 xml:space="preserve">szabad szövegként leírni, </w:t>
      </w:r>
      <w:proofErr w:type="spellStart"/>
      <w:r w:rsidR="005B5E86">
        <w:t>teszt</w:t>
      </w:r>
      <w:r>
        <w:t>esetenként</w:t>
      </w:r>
      <w:proofErr w:type="spellEnd"/>
      <w:r>
        <w:t xml:space="preserve">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E8788A" w:rsidRDefault="00E8788A" w:rsidP="002B19B7"/>
        </w:tc>
      </w:tr>
      <w:tr w:rsidR="00E8788A" w:rsidTr="007E3F31">
        <w:trPr>
          <w:trHeight w:val="270"/>
        </w:trPr>
        <w:tc>
          <w:tcPr>
            <w:tcW w:w="2560" w:type="dxa"/>
          </w:tcPr>
          <w:p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E8788A" w:rsidRDefault="00E8788A" w:rsidP="002B19B7"/>
        </w:tc>
      </w:tr>
    </w:tbl>
    <w:p w:rsidR="00E8788A" w:rsidRPr="00F91334" w:rsidRDefault="00E8788A" w:rsidP="00F91334"/>
    <w:p w:rsidR="00F91334" w:rsidRDefault="00F91334" w:rsidP="00F91334">
      <w:pPr>
        <w:pStyle w:val="Cmsor20"/>
      </w:pPr>
      <w:r>
        <w:t>Tesztelést támogató segéd- és fordítóprogramok specifikálása</w:t>
      </w:r>
    </w:p>
    <w:p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:rsidR="009D294B" w:rsidRDefault="009D294B" w:rsidP="009D294B"/>
    <w:p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:rsidR="009D294B" w:rsidRDefault="009D294B" w:rsidP="009D294B"/>
    <w:p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:rsidTr="009D294B"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Horváth</w:t>
            </w:r>
          </w:p>
          <w:p w:rsidR="009D294B" w:rsidRDefault="009D294B" w:rsidP="007E3F31">
            <w:r>
              <w:t>Németh</w:t>
            </w:r>
          </w:p>
          <w:p w:rsidR="009D294B" w:rsidRDefault="009D294B" w:rsidP="007E3F31">
            <w:r>
              <w:t>Tóth</w:t>
            </w:r>
          </w:p>
          <w:p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:rsidR="009D294B" w:rsidRDefault="009D294B" w:rsidP="007E3F31">
            <w:r>
              <w:t>Értekezlet.</w:t>
            </w:r>
          </w:p>
          <w:p w:rsidR="009D294B" w:rsidRDefault="009D294B" w:rsidP="007E3F3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:rsidR="009D294B" w:rsidRDefault="009D294B" w:rsidP="007E3F31">
            <w:r>
              <w:t>Tevékenység: Németh implementálja a tesztelő programokat.</w:t>
            </w:r>
          </w:p>
        </w:tc>
      </w:tr>
      <w:tr w:rsidR="009D294B" w:rsidTr="009D294B"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:rsidR="009D294B" w:rsidRDefault="009D294B" w:rsidP="007E3F31">
            <w:r>
              <w:t>…</w:t>
            </w:r>
          </w:p>
        </w:tc>
      </w:tr>
    </w:tbl>
    <w:p w:rsidR="009D294B" w:rsidRDefault="009D294B" w:rsidP="009D294B"/>
    <w:p w:rsidR="009D294B" w:rsidRPr="00F91334" w:rsidRDefault="009D294B" w:rsidP="009D294B"/>
    <w:sectPr w:rsidR="009D294B" w:rsidRPr="00F91334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FC1" w:rsidRDefault="005C0FC1">
      <w:r>
        <w:separator/>
      </w:r>
    </w:p>
  </w:endnote>
  <w:endnote w:type="continuationSeparator" w:id="0">
    <w:p w:rsidR="005C0FC1" w:rsidRDefault="005C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83AC1">
      <w:rPr>
        <w:noProof/>
        <w:lang w:val="en-US"/>
      </w:rPr>
      <w:t>2018-03-24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FC1" w:rsidRDefault="005C0FC1">
      <w:r>
        <w:separator/>
      </w:r>
    </w:p>
  </w:footnote>
  <w:footnote w:type="continuationSeparator" w:id="0">
    <w:p w:rsidR="005C0FC1" w:rsidRDefault="005C0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190179E"/>
    <w:multiLevelType w:val="hybridMultilevel"/>
    <w:tmpl w:val="9544DEC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573E"/>
    <w:rsid w:val="00077612"/>
    <w:rsid w:val="00083AC1"/>
    <w:rsid w:val="000D569C"/>
    <w:rsid w:val="001032BB"/>
    <w:rsid w:val="001552D8"/>
    <w:rsid w:val="0016095B"/>
    <w:rsid w:val="00170252"/>
    <w:rsid w:val="0020770D"/>
    <w:rsid w:val="00242ADF"/>
    <w:rsid w:val="00276CF4"/>
    <w:rsid w:val="002A48FD"/>
    <w:rsid w:val="002B19B7"/>
    <w:rsid w:val="002E01B6"/>
    <w:rsid w:val="003007D2"/>
    <w:rsid w:val="0033654F"/>
    <w:rsid w:val="00347F42"/>
    <w:rsid w:val="003A6254"/>
    <w:rsid w:val="003B16EF"/>
    <w:rsid w:val="003B2742"/>
    <w:rsid w:val="003B45CB"/>
    <w:rsid w:val="003F0138"/>
    <w:rsid w:val="00401E61"/>
    <w:rsid w:val="004177CD"/>
    <w:rsid w:val="0045586F"/>
    <w:rsid w:val="00456E01"/>
    <w:rsid w:val="004B07DC"/>
    <w:rsid w:val="0050216C"/>
    <w:rsid w:val="00530174"/>
    <w:rsid w:val="00544EB3"/>
    <w:rsid w:val="00547DE3"/>
    <w:rsid w:val="00555F02"/>
    <w:rsid w:val="00587A6E"/>
    <w:rsid w:val="00597546"/>
    <w:rsid w:val="005B5E86"/>
    <w:rsid w:val="005C0FC1"/>
    <w:rsid w:val="005D5B7C"/>
    <w:rsid w:val="005E6BD6"/>
    <w:rsid w:val="00627B50"/>
    <w:rsid w:val="00685873"/>
    <w:rsid w:val="00694483"/>
    <w:rsid w:val="007D6BEB"/>
    <w:rsid w:val="007E3F31"/>
    <w:rsid w:val="008473D6"/>
    <w:rsid w:val="00892246"/>
    <w:rsid w:val="008D47C1"/>
    <w:rsid w:val="00913EC1"/>
    <w:rsid w:val="00933879"/>
    <w:rsid w:val="00970C85"/>
    <w:rsid w:val="009B36F4"/>
    <w:rsid w:val="009D294B"/>
    <w:rsid w:val="00A35A55"/>
    <w:rsid w:val="00AB0AEF"/>
    <w:rsid w:val="00AC076F"/>
    <w:rsid w:val="00AE051A"/>
    <w:rsid w:val="00B31BEF"/>
    <w:rsid w:val="00B57E16"/>
    <w:rsid w:val="00B77832"/>
    <w:rsid w:val="00BB7665"/>
    <w:rsid w:val="00BD71B5"/>
    <w:rsid w:val="00BF0F6C"/>
    <w:rsid w:val="00BF5FB5"/>
    <w:rsid w:val="00C00007"/>
    <w:rsid w:val="00C001F6"/>
    <w:rsid w:val="00C4195D"/>
    <w:rsid w:val="00C55994"/>
    <w:rsid w:val="00C9309A"/>
    <w:rsid w:val="00CA38FF"/>
    <w:rsid w:val="00CE1DDE"/>
    <w:rsid w:val="00D305A8"/>
    <w:rsid w:val="00D53725"/>
    <w:rsid w:val="00D75E87"/>
    <w:rsid w:val="00D83324"/>
    <w:rsid w:val="00DB4CF1"/>
    <w:rsid w:val="00DD55E5"/>
    <w:rsid w:val="00E42835"/>
    <w:rsid w:val="00E63B97"/>
    <w:rsid w:val="00E8055A"/>
    <w:rsid w:val="00E8788A"/>
    <w:rsid w:val="00E9312D"/>
    <w:rsid w:val="00E95F45"/>
    <w:rsid w:val="00EA1C2C"/>
    <w:rsid w:val="00ED1CC1"/>
    <w:rsid w:val="00F327F2"/>
    <w:rsid w:val="00F410B4"/>
    <w:rsid w:val="00F72F0D"/>
    <w:rsid w:val="00F91334"/>
    <w:rsid w:val="00FA3D18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9F42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807</Words>
  <Characters>5572</Characters>
  <Application>Microsoft Office Word</Application>
  <DocSecurity>0</DocSecurity>
  <Lines>46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41</cp:revision>
  <dcterms:created xsi:type="dcterms:W3CDTF">2018-03-24T19:49:00Z</dcterms:created>
  <dcterms:modified xsi:type="dcterms:W3CDTF">2018-03-24T21:04:00Z</dcterms:modified>
</cp:coreProperties>
</file>