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20B7" w14:textId="77777777" w:rsidR="0041562F" w:rsidRDefault="00000000">
      <w:pPr>
        <w:spacing w:after="60"/>
        <w:jc w:val="center"/>
      </w:pPr>
      <w:r>
        <w:rPr>
          <w:b/>
          <w:bCs/>
          <w:color w:val="1F3864"/>
          <w:sz w:val="36"/>
          <w:szCs w:val="36"/>
        </w:rPr>
        <w:t>TOURISM, HOTEL OCCUPANCY AND AIRFARE</w:t>
      </w:r>
    </w:p>
    <w:p w14:paraId="7AE0D023" w14:textId="77777777" w:rsidR="0041562F" w:rsidRDefault="00000000">
      <w:pPr>
        <w:spacing w:after="60"/>
        <w:jc w:val="center"/>
      </w:pPr>
      <w:r>
        <w:rPr>
          <w:i/>
          <w:iCs/>
          <w:color w:val="0746AB"/>
          <w:sz w:val="24"/>
          <w:szCs w:val="24"/>
        </w:rPr>
        <w:t>What Really Drives Hotel Demand and Room Pricing? — A VAR Analysis</w:t>
      </w:r>
    </w:p>
    <w:p w14:paraId="1D9DCFBE" w14:textId="77777777" w:rsidR="0041562F" w:rsidRDefault="00000000">
      <w:pPr>
        <w:spacing w:after="400"/>
        <w:jc w:val="center"/>
      </w:pPr>
      <w:r>
        <w:rPr>
          <w:color w:val="666666"/>
        </w:rPr>
        <w:t>Tourism and Revenue Analytics Team | Daily data, Jan 2018 – Dec 2023 (n = 2,190)</w:t>
      </w:r>
    </w:p>
    <w:p w14:paraId="4A377DC5" w14:textId="77777777" w:rsidR="0041562F" w:rsidRPr="008E2578" w:rsidRDefault="00000000" w:rsidP="008E2578">
      <w:pPr>
        <w:spacing w:line="360" w:lineRule="auto"/>
        <w:rPr>
          <w:color w:val="A02B93" w:themeColor="accent5"/>
          <w:sz w:val="32"/>
          <w:szCs w:val="32"/>
        </w:rPr>
      </w:pPr>
      <w:r w:rsidRPr="008E2578">
        <w:rPr>
          <w:color w:val="A02B93" w:themeColor="accent5"/>
          <w:sz w:val="32"/>
          <w:szCs w:val="32"/>
        </w:rPr>
        <w:t>1. Management Summary</w:t>
      </w:r>
    </w:p>
    <w:p w14:paraId="4DE0CEEC" w14:textId="77777777" w:rsidR="0041562F" w:rsidRPr="008E2578" w:rsidRDefault="00000000" w:rsidP="008E2578">
      <w:pPr>
        <w:spacing w:after="120" w:line="360" w:lineRule="auto"/>
        <w:rPr>
          <w:sz w:val="24"/>
          <w:szCs w:val="24"/>
        </w:rPr>
      </w:pPr>
      <w:r w:rsidRPr="008E2578">
        <w:rPr>
          <w:sz w:val="24"/>
          <w:szCs w:val="24"/>
        </w:rPr>
        <w:t>Management's working theory was: tourist arrivals raise occupancy, occupancy allows room rates to rise, and high airfares suppress demand. The data reject the middle link and reverse the direction of the strongest one.</w:t>
      </w:r>
    </w:p>
    <w:p w14:paraId="446F2434" w14:textId="77777777" w:rsidR="0041562F" w:rsidRPr="008E2578" w:rsidRDefault="00000000" w:rsidP="008E2578">
      <w:pPr>
        <w:pStyle w:val="ListParagraph"/>
        <w:numPr>
          <w:ilvl w:val="0"/>
          <w:numId w:val="2"/>
        </w:numPr>
        <w:spacing w:after="60" w:line="360" w:lineRule="auto"/>
        <w:rPr>
          <w:sz w:val="24"/>
          <w:szCs w:val="24"/>
        </w:rPr>
      </w:pPr>
      <w:r w:rsidRPr="008E2578">
        <w:rPr>
          <w:sz w:val="24"/>
          <w:szCs w:val="24"/>
        </w:rPr>
        <w:t>Room Rate is the dominant driver of the system. It Granger-causes Occupancy, Tourist Demand and Airfare (all p &lt; 0.001). Nothing in the system Granger-causes Room Rate back — statistically it behaves as an exogenous input, not an outcome.</w:t>
      </w:r>
    </w:p>
    <w:p w14:paraId="76CCAB04" w14:textId="77777777" w:rsidR="0041562F" w:rsidRPr="008E2578" w:rsidRDefault="00000000" w:rsidP="008E2578">
      <w:pPr>
        <w:pStyle w:val="ListParagraph"/>
        <w:numPr>
          <w:ilvl w:val="0"/>
          <w:numId w:val="2"/>
        </w:numPr>
        <w:spacing w:after="60" w:line="360" w:lineRule="auto"/>
        <w:rPr>
          <w:sz w:val="24"/>
          <w:szCs w:val="24"/>
        </w:rPr>
      </w:pPr>
      <w:r w:rsidRPr="008E2578">
        <w:rPr>
          <w:sz w:val="24"/>
          <w:szCs w:val="24"/>
        </w:rPr>
        <w:t>Room Rate explains ~96% of the long-run forecast error variance of Occupancy. Occupancy's own past shocks explain under 2%; Tourist Demand under 1.1%; Airfare under 0.9%.</w:t>
      </w:r>
    </w:p>
    <w:p w14:paraId="24C9A746" w14:textId="77777777" w:rsidR="0041562F" w:rsidRPr="008E2578" w:rsidRDefault="00000000" w:rsidP="008E2578">
      <w:pPr>
        <w:pStyle w:val="ListParagraph"/>
        <w:numPr>
          <w:ilvl w:val="0"/>
          <w:numId w:val="2"/>
        </w:numPr>
        <w:spacing w:after="60" w:line="360" w:lineRule="auto"/>
        <w:rPr>
          <w:sz w:val="24"/>
          <w:szCs w:val="24"/>
        </w:rPr>
      </w:pPr>
      <w:r w:rsidRPr="008E2578">
        <w:rPr>
          <w:sz w:val="24"/>
          <w:szCs w:val="24"/>
        </w:rPr>
        <w:t>Tourist Demand does Granger-cause Occupancy (p &lt; 0.001) and carries a positive, intuitive impulse response — but it is a secondary driver, not the dominant one management assumed.</w:t>
      </w:r>
    </w:p>
    <w:p w14:paraId="6722F4C8" w14:textId="77777777" w:rsidR="0041562F" w:rsidRPr="008E2578" w:rsidRDefault="00000000" w:rsidP="008E2578">
      <w:pPr>
        <w:pStyle w:val="ListParagraph"/>
        <w:numPr>
          <w:ilvl w:val="0"/>
          <w:numId w:val="2"/>
        </w:numPr>
        <w:spacing w:after="60" w:line="360" w:lineRule="auto"/>
        <w:rPr>
          <w:sz w:val="24"/>
          <w:szCs w:val="24"/>
        </w:rPr>
      </w:pPr>
      <w:r w:rsidRPr="008E2578">
        <w:rPr>
          <w:sz w:val="24"/>
          <w:szCs w:val="24"/>
        </w:rPr>
        <w:t>Airfare's effect on Occupancy and Demand is statistically significant but small and, in the impulse response, briefly runs the 'wrong' way (a positive airfare shock is followed by a short-lived rise, not fall, in occupancy) before decaying to zero — too weak and noisy to act on.</w:t>
      </w:r>
    </w:p>
    <w:p w14:paraId="43157A04" w14:textId="77777777" w:rsidR="0041562F" w:rsidRPr="008E2578" w:rsidRDefault="00000000" w:rsidP="008E2578">
      <w:pPr>
        <w:pStyle w:val="ListParagraph"/>
        <w:numPr>
          <w:ilvl w:val="0"/>
          <w:numId w:val="2"/>
        </w:numPr>
        <w:spacing w:after="60" w:line="360" w:lineRule="auto"/>
        <w:rPr>
          <w:sz w:val="24"/>
          <w:szCs w:val="24"/>
        </w:rPr>
      </w:pPr>
      <w:r w:rsidRPr="008E2578">
        <w:rPr>
          <w:b/>
          <w:bCs/>
          <w:color w:val="1F3864"/>
          <w:sz w:val="24"/>
          <w:szCs w:val="24"/>
        </w:rPr>
        <w:t>Bottom line: rate-setting is running ahead of demand signals, not the reverse. Occupancy is largely a downstream consequence of pricing decisions in this system.</w:t>
      </w:r>
    </w:p>
    <w:p w14:paraId="29F6D1BB" w14:textId="77777777" w:rsidR="0041562F" w:rsidRDefault="00000000">
      <w:pPr>
        <w:spacing w:after="120"/>
      </w:pPr>
      <w:r>
        <w:rPr>
          <w:i/>
          <w:iCs/>
          <w:color w:val="666666"/>
        </w:rPr>
        <w:t>Full methodology, diagnostics and caveats follow. Section 8 gives the operational recommendation.</w:t>
      </w:r>
    </w:p>
    <w:p w14:paraId="7CD8CA72" w14:textId="77777777" w:rsidR="0041562F" w:rsidRPr="008E2578" w:rsidRDefault="00000000" w:rsidP="008E2578">
      <w:pPr>
        <w:spacing w:line="360" w:lineRule="auto"/>
        <w:rPr>
          <w:color w:val="A02B93" w:themeColor="accent5"/>
          <w:sz w:val="32"/>
          <w:szCs w:val="32"/>
        </w:rPr>
      </w:pPr>
      <w:r w:rsidRPr="008E2578">
        <w:rPr>
          <w:color w:val="A02B93" w:themeColor="accent5"/>
          <w:sz w:val="32"/>
          <w:szCs w:val="32"/>
        </w:rPr>
        <w:t>2. Data and a Methodological Correction</w:t>
      </w:r>
    </w:p>
    <w:p w14:paraId="23DB7D9D" w14:textId="77777777" w:rsidR="0041562F" w:rsidRPr="008E2578" w:rsidRDefault="00000000" w:rsidP="008E2578">
      <w:pPr>
        <w:spacing w:after="120" w:line="360" w:lineRule="auto"/>
        <w:rPr>
          <w:sz w:val="24"/>
          <w:szCs w:val="24"/>
        </w:rPr>
      </w:pPr>
      <w:r w:rsidRPr="008E2578">
        <w:rPr>
          <w:sz w:val="24"/>
          <w:szCs w:val="24"/>
        </w:rPr>
        <w:t>Four daily indices, 01-Jan-2018 to 30-Dec-2023: Occupancy Index, Room Rate Index, Tourist Demand Index, Airfare Index. Two issues in the raw series needed to be handled before any VAR estimation was meaningful — both are flagged here explicitly rather than silently patched.</w:t>
      </w:r>
    </w:p>
    <w:p w14:paraId="366EAFCD" w14:textId="77777777" w:rsidR="0041562F" w:rsidRPr="003278B5" w:rsidRDefault="00000000" w:rsidP="003278B5">
      <w:pPr>
        <w:rPr>
          <w:color w:val="A02B93" w:themeColor="accent5"/>
          <w:sz w:val="28"/>
          <w:szCs w:val="28"/>
        </w:rPr>
      </w:pPr>
      <w:r w:rsidRPr="003278B5">
        <w:rPr>
          <w:color w:val="A02B93" w:themeColor="accent5"/>
          <w:sz w:val="28"/>
          <w:szCs w:val="28"/>
        </w:rPr>
        <w:t>2.1 Simulation burn-in (first ~20-30 days)</w:t>
      </w:r>
    </w:p>
    <w:p w14:paraId="4F5B150D" w14:textId="77777777" w:rsidR="0041562F" w:rsidRPr="008E2578" w:rsidRDefault="00000000" w:rsidP="008E2578">
      <w:pPr>
        <w:spacing w:after="120" w:line="360" w:lineRule="auto"/>
        <w:rPr>
          <w:sz w:val="24"/>
          <w:szCs w:val="24"/>
        </w:rPr>
      </w:pPr>
      <w:r w:rsidRPr="008E2578">
        <w:rPr>
          <w:sz w:val="24"/>
          <w:szCs w:val="24"/>
        </w:rPr>
        <w:lastRenderedPageBreak/>
        <w:t>Occupancy starts at 65 and free-falls to roughly -1,000 over the first three weeks before settling into a stable oscillation for the remaining ~99% of the sample (see Fig. 1). All four indices show the same pattern. This is a transient adjustment path to a steady state, not an economic event — it looks like a simulation seeded away from its long-run mean rather than real hotel-market history (a real occupancy index would not run to a four-digit negative value). The first 30 observations were dropped before analysis so the transient does not distort lag selection, coefficient estimates or variance decomposition.</w:t>
      </w:r>
    </w:p>
    <w:p w14:paraId="74437BCC" w14:textId="77777777" w:rsidR="0041562F" w:rsidRPr="003278B5" w:rsidRDefault="00000000" w:rsidP="003278B5">
      <w:pPr>
        <w:rPr>
          <w:color w:val="A02B93" w:themeColor="accent5"/>
          <w:sz w:val="28"/>
          <w:szCs w:val="28"/>
        </w:rPr>
      </w:pPr>
      <w:r w:rsidRPr="003278B5">
        <w:rPr>
          <w:color w:val="A02B93" w:themeColor="accent5"/>
          <w:sz w:val="28"/>
          <w:szCs w:val="28"/>
        </w:rPr>
        <w:t>2.2 Levels are stationary — do not difference</w:t>
      </w:r>
    </w:p>
    <w:p w14:paraId="5BF12669" w14:textId="77777777" w:rsidR="0041562F" w:rsidRPr="008E2578" w:rsidRDefault="00000000" w:rsidP="008E2578">
      <w:pPr>
        <w:spacing w:after="120" w:line="360" w:lineRule="auto"/>
        <w:rPr>
          <w:sz w:val="24"/>
          <w:szCs w:val="24"/>
        </w:rPr>
      </w:pPr>
      <w:r w:rsidRPr="008E2578">
        <w:rPr>
          <w:sz w:val="24"/>
          <w:szCs w:val="24"/>
        </w:rPr>
        <w:t xml:space="preserve">The class template this exercise follows (equity-index VAR) log-differences the series before modelling, because stock prices are non-stationary random walks. This dataset is different: ADF strongly rejects a unit root for all four series in levels (p &lt; 10⁻²² throughout) and KPSS fails to reject stationarity (p = 0.10 for all four). Both tests agree — the levels are stationary and mean-reverting, not integrated. Differencing them anyway would have over-differenced </w:t>
      </w:r>
      <w:proofErr w:type="spellStart"/>
      <w:proofErr w:type="gramStart"/>
      <w:r w:rsidRPr="008E2578">
        <w:rPr>
          <w:sz w:val="24"/>
          <w:szCs w:val="24"/>
        </w:rPr>
        <w:t>a</w:t>
      </w:r>
      <w:proofErr w:type="spellEnd"/>
      <w:proofErr w:type="gramEnd"/>
      <w:r w:rsidRPr="008E2578">
        <w:rPr>
          <w:sz w:val="24"/>
          <w:szCs w:val="24"/>
        </w:rPr>
        <w:t xml:space="preserve"> already-stationary process, distorted the dynamics, and answered a different (and wrong) question. The VAR below is estimated on levels.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41562F" w14:paraId="3FE9F19C" w14:textId="77777777">
        <w:trPr>
          <w:tblHeader/>
        </w:trPr>
        <w:tc>
          <w:tcPr>
            <w:tcW w:w="2600" w:type="dxa"/>
            <w:shd w:val="clear" w:color="auto" w:fill="1F3864"/>
          </w:tcPr>
          <w:p w14:paraId="4D5B7A29" w14:textId="77777777" w:rsidR="0041562F" w:rsidRDefault="00000000">
            <w:pPr>
              <w:jc w:val="center"/>
            </w:pPr>
            <w:r>
              <w:rPr>
                <w:b/>
                <w:bCs/>
                <w:color w:val="FFFFFF"/>
              </w:rPr>
              <w:t>Series</w:t>
            </w:r>
          </w:p>
        </w:tc>
        <w:tc>
          <w:tcPr>
            <w:tcW w:w="1600" w:type="dxa"/>
            <w:shd w:val="clear" w:color="auto" w:fill="1F3864"/>
          </w:tcPr>
          <w:p w14:paraId="496A65F0" w14:textId="77777777" w:rsidR="0041562F" w:rsidRDefault="00000000">
            <w:pPr>
              <w:jc w:val="center"/>
            </w:pPr>
            <w:r>
              <w:rPr>
                <w:b/>
                <w:bCs/>
                <w:color w:val="FFFFFF"/>
              </w:rPr>
              <w:t>ADF stat</w:t>
            </w:r>
          </w:p>
        </w:tc>
        <w:tc>
          <w:tcPr>
            <w:tcW w:w="1600" w:type="dxa"/>
            <w:shd w:val="clear" w:color="auto" w:fill="1F3864"/>
          </w:tcPr>
          <w:p w14:paraId="11D5895F" w14:textId="77777777" w:rsidR="0041562F" w:rsidRDefault="00000000">
            <w:pPr>
              <w:jc w:val="center"/>
            </w:pPr>
            <w:r>
              <w:rPr>
                <w:b/>
                <w:bCs/>
                <w:color w:val="FFFFFF"/>
              </w:rPr>
              <w:t>ADF p</w:t>
            </w:r>
          </w:p>
        </w:tc>
        <w:tc>
          <w:tcPr>
            <w:tcW w:w="1600" w:type="dxa"/>
            <w:shd w:val="clear" w:color="auto" w:fill="1F3864"/>
          </w:tcPr>
          <w:p w14:paraId="4803CB8A" w14:textId="77777777" w:rsidR="0041562F" w:rsidRDefault="00000000">
            <w:pPr>
              <w:jc w:val="center"/>
            </w:pPr>
            <w:r>
              <w:rPr>
                <w:b/>
                <w:bCs/>
                <w:color w:val="FFFFFF"/>
              </w:rPr>
              <w:t>KPSS stat</w:t>
            </w:r>
          </w:p>
        </w:tc>
        <w:tc>
          <w:tcPr>
            <w:tcW w:w="1600" w:type="dxa"/>
            <w:shd w:val="clear" w:color="auto" w:fill="1F3864"/>
          </w:tcPr>
          <w:p w14:paraId="54A458A7" w14:textId="77777777" w:rsidR="0041562F" w:rsidRDefault="00000000">
            <w:pPr>
              <w:jc w:val="center"/>
            </w:pPr>
            <w:r>
              <w:rPr>
                <w:b/>
                <w:bCs/>
                <w:color w:val="FFFFFF"/>
              </w:rPr>
              <w:t>KPSS p</w:t>
            </w:r>
          </w:p>
        </w:tc>
      </w:tr>
      <w:tr w:rsidR="0041562F" w14:paraId="0D4440B0" w14:textId="77777777">
        <w:tc>
          <w:tcPr>
            <w:tcW w:w="2600" w:type="dxa"/>
            <w:shd w:val="clear" w:color="auto" w:fill="FFFFFF"/>
          </w:tcPr>
          <w:p w14:paraId="0CE6B994" w14:textId="77777777" w:rsidR="0041562F" w:rsidRDefault="00000000">
            <w:r>
              <w:t>Occupancy Index</w:t>
            </w:r>
          </w:p>
        </w:tc>
        <w:tc>
          <w:tcPr>
            <w:tcW w:w="1600" w:type="dxa"/>
            <w:shd w:val="clear" w:color="auto" w:fill="FFFFFF"/>
          </w:tcPr>
          <w:p w14:paraId="0A6A1652" w14:textId="77777777" w:rsidR="0041562F" w:rsidRDefault="00000000">
            <w:r>
              <w:t>-12.59</w:t>
            </w:r>
          </w:p>
        </w:tc>
        <w:tc>
          <w:tcPr>
            <w:tcW w:w="1600" w:type="dxa"/>
            <w:shd w:val="clear" w:color="auto" w:fill="FFFFFF"/>
          </w:tcPr>
          <w:p w14:paraId="22E6FA11" w14:textId="77777777" w:rsidR="0041562F" w:rsidRDefault="00000000">
            <w:r>
              <w:t>&lt;0.001</w:t>
            </w:r>
          </w:p>
        </w:tc>
        <w:tc>
          <w:tcPr>
            <w:tcW w:w="1600" w:type="dxa"/>
            <w:shd w:val="clear" w:color="auto" w:fill="FFFFFF"/>
          </w:tcPr>
          <w:p w14:paraId="12143373" w14:textId="77777777" w:rsidR="0041562F" w:rsidRDefault="00000000">
            <w:r>
              <w:t>0.134</w:t>
            </w:r>
          </w:p>
        </w:tc>
        <w:tc>
          <w:tcPr>
            <w:tcW w:w="1600" w:type="dxa"/>
            <w:shd w:val="clear" w:color="auto" w:fill="FFFFFF"/>
          </w:tcPr>
          <w:p w14:paraId="2C066B04" w14:textId="77777777" w:rsidR="0041562F" w:rsidRDefault="00000000">
            <w:r>
              <w:t>0.10</w:t>
            </w:r>
          </w:p>
        </w:tc>
      </w:tr>
      <w:tr w:rsidR="0041562F" w14:paraId="03469D47" w14:textId="77777777">
        <w:tc>
          <w:tcPr>
            <w:tcW w:w="2600" w:type="dxa"/>
            <w:shd w:val="clear" w:color="auto" w:fill="F2F2F2"/>
          </w:tcPr>
          <w:p w14:paraId="0E725750" w14:textId="77777777" w:rsidR="0041562F" w:rsidRDefault="00000000">
            <w:r>
              <w:t>Room Rate Index</w:t>
            </w:r>
          </w:p>
        </w:tc>
        <w:tc>
          <w:tcPr>
            <w:tcW w:w="1600" w:type="dxa"/>
            <w:shd w:val="clear" w:color="auto" w:fill="F2F2F2"/>
          </w:tcPr>
          <w:p w14:paraId="538C5474" w14:textId="77777777" w:rsidR="0041562F" w:rsidRDefault="00000000">
            <w:r>
              <w:t>-20.79</w:t>
            </w:r>
          </w:p>
        </w:tc>
        <w:tc>
          <w:tcPr>
            <w:tcW w:w="1600" w:type="dxa"/>
            <w:shd w:val="clear" w:color="auto" w:fill="F2F2F2"/>
          </w:tcPr>
          <w:p w14:paraId="4990CF6A" w14:textId="77777777" w:rsidR="0041562F" w:rsidRDefault="00000000">
            <w:r>
              <w:t>&lt;0.001</w:t>
            </w:r>
          </w:p>
        </w:tc>
        <w:tc>
          <w:tcPr>
            <w:tcW w:w="1600" w:type="dxa"/>
            <w:shd w:val="clear" w:color="auto" w:fill="F2F2F2"/>
          </w:tcPr>
          <w:p w14:paraId="5371F737" w14:textId="77777777" w:rsidR="0041562F" w:rsidRDefault="00000000">
            <w:r>
              <w:t>0.124</w:t>
            </w:r>
          </w:p>
        </w:tc>
        <w:tc>
          <w:tcPr>
            <w:tcW w:w="1600" w:type="dxa"/>
            <w:shd w:val="clear" w:color="auto" w:fill="F2F2F2"/>
          </w:tcPr>
          <w:p w14:paraId="5625CD6C" w14:textId="77777777" w:rsidR="0041562F" w:rsidRDefault="00000000">
            <w:r>
              <w:t>0.10</w:t>
            </w:r>
          </w:p>
        </w:tc>
      </w:tr>
      <w:tr w:rsidR="0041562F" w14:paraId="7A34D26A" w14:textId="77777777">
        <w:tc>
          <w:tcPr>
            <w:tcW w:w="2600" w:type="dxa"/>
            <w:shd w:val="clear" w:color="auto" w:fill="FFFFFF"/>
          </w:tcPr>
          <w:p w14:paraId="470C55A1" w14:textId="77777777" w:rsidR="0041562F" w:rsidRDefault="00000000">
            <w:r>
              <w:t>Tourist Demand Index</w:t>
            </w:r>
          </w:p>
        </w:tc>
        <w:tc>
          <w:tcPr>
            <w:tcW w:w="1600" w:type="dxa"/>
            <w:shd w:val="clear" w:color="auto" w:fill="FFFFFF"/>
          </w:tcPr>
          <w:p w14:paraId="3F3DDB1B" w14:textId="77777777" w:rsidR="0041562F" w:rsidRDefault="00000000">
            <w:r>
              <w:t>-12.06</w:t>
            </w:r>
          </w:p>
        </w:tc>
        <w:tc>
          <w:tcPr>
            <w:tcW w:w="1600" w:type="dxa"/>
            <w:shd w:val="clear" w:color="auto" w:fill="FFFFFF"/>
          </w:tcPr>
          <w:p w14:paraId="430B6E94" w14:textId="77777777" w:rsidR="0041562F" w:rsidRDefault="00000000">
            <w:r>
              <w:t>&lt;0.001</w:t>
            </w:r>
          </w:p>
        </w:tc>
        <w:tc>
          <w:tcPr>
            <w:tcW w:w="1600" w:type="dxa"/>
            <w:shd w:val="clear" w:color="auto" w:fill="FFFFFF"/>
          </w:tcPr>
          <w:p w14:paraId="289E0074" w14:textId="77777777" w:rsidR="0041562F" w:rsidRDefault="00000000">
            <w:r>
              <w:t>0.151</w:t>
            </w:r>
          </w:p>
        </w:tc>
        <w:tc>
          <w:tcPr>
            <w:tcW w:w="1600" w:type="dxa"/>
            <w:shd w:val="clear" w:color="auto" w:fill="FFFFFF"/>
          </w:tcPr>
          <w:p w14:paraId="50843011" w14:textId="77777777" w:rsidR="0041562F" w:rsidRDefault="00000000">
            <w:r>
              <w:t>0.10</w:t>
            </w:r>
          </w:p>
        </w:tc>
      </w:tr>
      <w:tr w:rsidR="0041562F" w14:paraId="6253B5D4" w14:textId="77777777">
        <w:tc>
          <w:tcPr>
            <w:tcW w:w="2600" w:type="dxa"/>
            <w:shd w:val="clear" w:color="auto" w:fill="F2F2F2"/>
          </w:tcPr>
          <w:p w14:paraId="57792F55" w14:textId="77777777" w:rsidR="0041562F" w:rsidRDefault="00000000">
            <w:r>
              <w:t>Airfare Index</w:t>
            </w:r>
          </w:p>
        </w:tc>
        <w:tc>
          <w:tcPr>
            <w:tcW w:w="1600" w:type="dxa"/>
            <w:shd w:val="clear" w:color="auto" w:fill="F2F2F2"/>
          </w:tcPr>
          <w:p w14:paraId="5F19AF69" w14:textId="77777777" w:rsidR="0041562F" w:rsidRDefault="00000000">
            <w:r>
              <w:t>-14.37</w:t>
            </w:r>
          </w:p>
        </w:tc>
        <w:tc>
          <w:tcPr>
            <w:tcW w:w="1600" w:type="dxa"/>
            <w:shd w:val="clear" w:color="auto" w:fill="F2F2F2"/>
          </w:tcPr>
          <w:p w14:paraId="776B3FAF" w14:textId="77777777" w:rsidR="0041562F" w:rsidRDefault="00000000">
            <w:r>
              <w:t>&lt;0.001</w:t>
            </w:r>
          </w:p>
        </w:tc>
        <w:tc>
          <w:tcPr>
            <w:tcW w:w="1600" w:type="dxa"/>
            <w:shd w:val="clear" w:color="auto" w:fill="F2F2F2"/>
          </w:tcPr>
          <w:p w14:paraId="68771608" w14:textId="77777777" w:rsidR="0041562F" w:rsidRDefault="00000000">
            <w:r>
              <w:t>0.135</w:t>
            </w:r>
          </w:p>
        </w:tc>
        <w:tc>
          <w:tcPr>
            <w:tcW w:w="1600" w:type="dxa"/>
            <w:shd w:val="clear" w:color="auto" w:fill="F2F2F2"/>
          </w:tcPr>
          <w:p w14:paraId="3B951BAE" w14:textId="77777777" w:rsidR="0041562F" w:rsidRDefault="00000000">
            <w:r>
              <w:t>0.10</w:t>
            </w:r>
          </w:p>
        </w:tc>
      </w:tr>
    </w:tbl>
    <w:p w14:paraId="40737B21" w14:textId="77777777" w:rsidR="0041562F" w:rsidRDefault="00000000">
      <w:pPr>
        <w:spacing w:after="240"/>
        <w:jc w:val="center"/>
      </w:pPr>
      <w:r>
        <w:rPr>
          <w:i/>
          <w:iCs/>
          <w:color w:val="555555"/>
          <w:sz w:val="18"/>
          <w:szCs w:val="18"/>
        </w:rPr>
        <w:t>Table 1. Stationarity tests, levels, post burn-in (n = 2,160). ADF H0 = unit root; KPSS H0 = stationary. Both agree: no differencing required.</w:t>
      </w:r>
    </w:p>
    <w:p w14:paraId="56361FF6" w14:textId="77777777" w:rsidR="003278B5" w:rsidRDefault="003278B5" w:rsidP="003278B5">
      <w:pPr>
        <w:rPr>
          <w:color w:val="A02B93" w:themeColor="accent5"/>
          <w:sz w:val="32"/>
          <w:szCs w:val="32"/>
        </w:rPr>
      </w:pPr>
    </w:p>
    <w:p w14:paraId="23A13593" w14:textId="77777777" w:rsidR="003278B5" w:rsidRDefault="003278B5" w:rsidP="003278B5">
      <w:pPr>
        <w:rPr>
          <w:color w:val="A02B93" w:themeColor="accent5"/>
          <w:sz w:val="32"/>
          <w:szCs w:val="32"/>
        </w:rPr>
      </w:pPr>
    </w:p>
    <w:p w14:paraId="29477728" w14:textId="7574F9D4" w:rsidR="0041562F" w:rsidRPr="003278B5" w:rsidRDefault="00000000" w:rsidP="003278B5">
      <w:pPr>
        <w:rPr>
          <w:color w:val="A02B93" w:themeColor="accent5"/>
          <w:sz w:val="32"/>
          <w:szCs w:val="32"/>
        </w:rPr>
      </w:pPr>
      <w:r w:rsidRPr="003278B5">
        <w:rPr>
          <w:color w:val="A02B93" w:themeColor="accent5"/>
          <w:sz w:val="32"/>
          <w:szCs w:val="32"/>
        </w:rPr>
        <w:t>3. Series After Cleaning</w:t>
      </w:r>
    </w:p>
    <w:p w14:paraId="35B30F06" w14:textId="77777777" w:rsidR="0041562F" w:rsidRDefault="00000000">
      <w:pPr>
        <w:spacing w:after="200"/>
        <w:jc w:val="center"/>
      </w:pPr>
      <w:r>
        <w:rPr>
          <w:noProof/>
        </w:rPr>
        <w:lastRenderedPageBreak/>
        <w:drawing>
          <wp:inline distT="0" distB="0" distL="0" distR="0" wp14:anchorId="7CA6BC46" wp14:editId="2391BBC6">
            <wp:extent cx="5334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762500"/>
                    </a:xfrm>
                    <a:prstGeom prst="rect">
                      <a:avLst/>
                    </a:prstGeom>
                  </pic:spPr>
                </pic:pic>
              </a:graphicData>
            </a:graphic>
          </wp:inline>
        </w:drawing>
      </w:r>
    </w:p>
    <w:p w14:paraId="31543CB0" w14:textId="77777777" w:rsidR="0041562F" w:rsidRDefault="00000000">
      <w:pPr>
        <w:spacing w:after="240"/>
        <w:jc w:val="center"/>
      </w:pPr>
      <w:r>
        <w:rPr>
          <w:i/>
          <w:iCs/>
          <w:color w:val="555555"/>
          <w:sz w:val="18"/>
          <w:szCs w:val="18"/>
        </w:rPr>
        <w:t>Figure 1. Four indices, burn-in removed. Occupancy and Tourist Demand move together; Room Rate is far more volatile in level terms; Airfare is comparatively smooth.</w:t>
      </w:r>
    </w:p>
    <w:p w14:paraId="07A8E7CF" w14:textId="77777777" w:rsidR="0041562F" w:rsidRDefault="00000000" w:rsidP="003278B5">
      <w:pPr>
        <w:rPr>
          <w:color w:val="A02B93" w:themeColor="accent5"/>
          <w:sz w:val="32"/>
          <w:szCs w:val="32"/>
        </w:rPr>
      </w:pPr>
      <w:r w:rsidRPr="003278B5">
        <w:rPr>
          <w:color w:val="A02B93" w:themeColor="accent5"/>
          <w:sz w:val="32"/>
          <w:szCs w:val="32"/>
        </w:rPr>
        <w:t>4. Lag Selection and Model Fit</w:t>
      </w:r>
    </w:p>
    <w:p w14:paraId="1F034329" w14:textId="77777777" w:rsidR="008E2578" w:rsidRPr="003278B5" w:rsidRDefault="008E2578" w:rsidP="003278B5">
      <w:pPr>
        <w:rPr>
          <w:color w:val="A02B93" w:themeColor="accent5"/>
          <w:sz w:val="32"/>
          <w:szCs w:val="32"/>
        </w:rPr>
      </w:pPr>
    </w:p>
    <w:p w14:paraId="75D1A8B1" w14:textId="77777777" w:rsidR="0041562F" w:rsidRPr="008E2578" w:rsidRDefault="00000000" w:rsidP="008E2578">
      <w:pPr>
        <w:spacing w:after="120" w:line="360" w:lineRule="auto"/>
        <w:rPr>
          <w:sz w:val="24"/>
          <w:szCs w:val="24"/>
        </w:rPr>
      </w:pPr>
      <w:r w:rsidRPr="008E2578">
        <w:rPr>
          <w:sz w:val="24"/>
          <w:szCs w:val="24"/>
        </w:rPr>
        <w:t xml:space="preserve">VAR order selection on the levels VAR(p), p = </w:t>
      </w:r>
      <w:proofErr w:type="gramStart"/>
      <w:r w:rsidRPr="008E2578">
        <w:rPr>
          <w:sz w:val="24"/>
          <w:szCs w:val="24"/>
        </w:rPr>
        <w:t>0..</w:t>
      </w:r>
      <w:proofErr w:type="gramEnd"/>
      <w:r w:rsidRPr="008E2578">
        <w:rPr>
          <w:sz w:val="24"/>
          <w:szCs w:val="24"/>
        </w:rPr>
        <w:t>10: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41562F" w14:paraId="4BB7736F" w14:textId="77777777">
        <w:trPr>
          <w:tblHeader/>
        </w:trPr>
        <w:tc>
          <w:tcPr>
            <w:tcW w:w="4000" w:type="dxa"/>
            <w:shd w:val="clear" w:color="auto" w:fill="1F3864"/>
          </w:tcPr>
          <w:p w14:paraId="07418CDC" w14:textId="77777777" w:rsidR="0041562F" w:rsidRDefault="00000000">
            <w:pPr>
              <w:jc w:val="center"/>
            </w:pPr>
            <w:r>
              <w:rPr>
                <w:b/>
                <w:bCs/>
                <w:color w:val="FFFFFF"/>
              </w:rPr>
              <w:t>Criterion</w:t>
            </w:r>
          </w:p>
        </w:tc>
        <w:tc>
          <w:tcPr>
            <w:tcW w:w="4000" w:type="dxa"/>
            <w:shd w:val="clear" w:color="auto" w:fill="1F3864"/>
          </w:tcPr>
          <w:p w14:paraId="78C57F74" w14:textId="77777777" w:rsidR="0041562F" w:rsidRDefault="00000000">
            <w:pPr>
              <w:jc w:val="center"/>
            </w:pPr>
            <w:r>
              <w:rPr>
                <w:b/>
                <w:bCs/>
                <w:color w:val="FFFFFF"/>
              </w:rPr>
              <w:t>Chosen lag</w:t>
            </w:r>
          </w:p>
        </w:tc>
      </w:tr>
      <w:tr w:rsidR="0041562F" w14:paraId="2438B5DC" w14:textId="77777777">
        <w:tc>
          <w:tcPr>
            <w:tcW w:w="4000" w:type="dxa"/>
            <w:shd w:val="clear" w:color="auto" w:fill="FFFFFF"/>
          </w:tcPr>
          <w:p w14:paraId="57D4518C" w14:textId="77777777" w:rsidR="0041562F" w:rsidRDefault="00000000">
            <w:r>
              <w:t>AIC</w:t>
            </w:r>
          </w:p>
        </w:tc>
        <w:tc>
          <w:tcPr>
            <w:tcW w:w="4000" w:type="dxa"/>
            <w:shd w:val="clear" w:color="auto" w:fill="FFFFFF"/>
          </w:tcPr>
          <w:p w14:paraId="07495B1A" w14:textId="77777777" w:rsidR="0041562F" w:rsidRDefault="00000000">
            <w:r>
              <w:t>6</w:t>
            </w:r>
          </w:p>
        </w:tc>
      </w:tr>
      <w:tr w:rsidR="0041562F" w14:paraId="2B6F28ED" w14:textId="77777777">
        <w:tc>
          <w:tcPr>
            <w:tcW w:w="4000" w:type="dxa"/>
            <w:shd w:val="clear" w:color="auto" w:fill="F2F2F2"/>
          </w:tcPr>
          <w:p w14:paraId="2EA5825A" w14:textId="77777777" w:rsidR="0041562F" w:rsidRDefault="00000000">
            <w:r>
              <w:t>BIC</w:t>
            </w:r>
          </w:p>
        </w:tc>
        <w:tc>
          <w:tcPr>
            <w:tcW w:w="4000" w:type="dxa"/>
            <w:shd w:val="clear" w:color="auto" w:fill="F2F2F2"/>
          </w:tcPr>
          <w:p w14:paraId="1E8690D6" w14:textId="77777777" w:rsidR="0041562F" w:rsidRDefault="00000000">
            <w:r>
              <w:t>1</w:t>
            </w:r>
          </w:p>
        </w:tc>
      </w:tr>
      <w:tr w:rsidR="0041562F" w14:paraId="787ACB05" w14:textId="77777777">
        <w:tc>
          <w:tcPr>
            <w:tcW w:w="4000" w:type="dxa"/>
            <w:shd w:val="clear" w:color="auto" w:fill="FFFFFF"/>
          </w:tcPr>
          <w:p w14:paraId="6281D500" w14:textId="77777777" w:rsidR="0041562F" w:rsidRDefault="00000000">
            <w:r>
              <w:t>HQIC</w:t>
            </w:r>
          </w:p>
        </w:tc>
        <w:tc>
          <w:tcPr>
            <w:tcW w:w="4000" w:type="dxa"/>
            <w:shd w:val="clear" w:color="auto" w:fill="FFFFFF"/>
          </w:tcPr>
          <w:p w14:paraId="29D55717" w14:textId="77777777" w:rsidR="0041562F" w:rsidRDefault="00000000">
            <w:r>
              <w:t>2</w:t>
            </w:r>
          </w:p>
        </w:tc>
      </w:tr>
      <w:tr w:rsidR="0041562F" w14:paraId="4358C314" w14:textId="77777777">
        <w:tc>
          <w:tcPr>
            <w:tcW w:w="4000" w:type="dxa"/>
            <w:shd w:val="clear" w:color="auto" w:fill="F2F2F2"/>
          </w:tcPr>
          <w:p w14:paraId="19CB6B77" w14:textId="77777777" w:rsidR="0041562F" w:rsidRDefault="00000000">
            <w:r>
              <w:t>FPE</w:t>
            </w:r>
          </w:p>
        </w:tc>
        <w:tc>
          <w:tcPr>
            <w:tcW w:w="4000" w:type="dxa"/>
            <w:shd w:val="clear" w:color="auto" w:fill="F2F2F2"/>
          </w:tcPr>
          <w:p w14:paraId="2BE67665" w14:textId="77777777" w:rsidR="0041562F" w:rsidRDefault="00000000">
            <w:r>
              <w:t>6</w:t>
            </w:r>
          </w:p>
        </w:tc>
      </w:tr>
    </w:tbl>
    <w:p w14:paraId="3F40AD8F" w14:textId="77777777" w:rsidR="0041562F" w:rsidRDefault="00000000">
      <w:pPr>
        <w:spacing w:after="240"/>
        <w:jc w:val="center"/>
      </w:pPr>
      <w:r>
        <w:rPr>
          <w:i/>
          <w:iCs/>
          <w:color w:val="555555"/>
          <w:sz w:val="18"/>
          <w:szCs w:val="18"/>
        </w:rPr>
        <w:t>Table 2. Lag order selection. AIC and BIC disagree (AIC favours richer short-run dynamics, BIC penalises parameters more heavily) — a normal trade-off, not an error. AIC's lag 6 was used to avoid under-fitting the daily dynamics; results were checked and are not sensitive to this choice in direction, only slightly in magnitude.</w:t>
      </w:r>
    </w:p>
    <w:p w14:paraId="2F4F11E1" w14:textId="77777777" w:rsidR="0041562F" w:rsidRPr="008E2578" w:rsidRDefault="00000000" w:rsidP="008E2578">
      <w:pPr>
        <w:spacing w:after="120" w:line="360" w:lineRule="auto"/>
        <w:rPr>
          <w:sz w:val="24"/>
          <w:szCs w:val="24"/>
        </w:rPr>
      </w:pPr>
      <w:r w:rsidRPr="008E2578">
        <w:rPr>
          <w:sz w:val="24"/>
          <w:szCs w:val="24"/>
        </w:rPr>
        <w:t xml:space="preserve">Final model: </w:t>
      </w:r>
      <w:proofErr w:type="gramStart"/>
      <w:r w:rsidRPr="008E2578">
        <w:rPr>
          <w:sz w:val="24"/>
          <w:szCs w:val="24"/>
        </w:rPr>
        <w:t>VAR(</w:t>
      </w:r>
      <w:proofErr w:type="gramEnd"/>
      <w:r w:rsidRPr="008E2578">
        <w:rPr>
          <w:sz w:val="24"/>
          <w:szCs w:val="24"/>
        </w:rPr>
        <w:t>6), constant only (no trend — none is needed for a mean-reverting series), n = 2,154 usable observations after lag consumption.</w:t>
      </w:r>
    </w:p>
    <w:p w14:paraId="0238A680" w14:textId="77777777" w:rsidR="003278B5" w:rsidRDefault="003278B5">
      <w:pPr>
        <w:pStyle w:val="Heading2"/>
        <w:spacing w:before="240" w:after="120"/>
      </w:pPr>
    </w:p>
    <w:p w14:paraId="076DB0CB" w14:textId="24F9121D" w:rsidR="0041562F" w:rsidRDefault="00000000" w:rsidP="003278B5">
      <w:pPr>
        <w:rPr>
          <w:color w:val="A02B93" w:themeColor="accent5"/>
          <w:sz w:val="32"/>
          <w:szCs w:val="32"/>
        </w:rPr>
      </w:pPr>
      <w:r w:rsidRPr="003278B5">
        <w:rPr>
          <w:color w:val="A02B93" w:themeColor="accent5"/>
          <w:sz w:val="32"/>
          <w:szCs w:val="32"/>
        </w:rPr>
        <w:t>4.1 Diagnostics</w:t>
      </w:r>
    </w:p>
    <w:p w14:paraId="6EAD1D5C" w14:textId="77777777" w:rsidR="003278B5" w:rsidRPr="003278B5" w:rsidRDefault="003278B5" w:rsidP="003278B5">
      <w:pPr>
        <w:rPr>
          <w:color w:val="A02B93" w:themeColor="accent5"/>
          <w:sz w:val="32"/>
          <w:szCs w:val="32"/>
        </w:rPr>
      </w:pP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3"/>
        <w:gridCol w:w="2856"/>
        <w:gridCol w:w="2416"/>
      </w:tblGrid>
      <w:tr w:rsidR="0041562F" w14:paraId="117FA5A3" w14:textId="77777777" w:rsidTr="008E2578">
        <w:trPr>
          <w:trHeight w:val="385"/>
          <w:tblHeader/>
        </w:trPr>
        <w:tc>
          <w:tcPr>
            <w:tcW w:w="4613" w:type="dxa"/>
            <w:shd w:val="clear" w:color="auto" w:fill="1F3864"/>
          </w:tcPr>
          <w:p w14:paraId="16241D3C" w14:textId="77777777" w:rsidR="0041562F" w:rsidRPr="008E2578" w:rsidRDefault="00000000" w:rsidP="008E2578">
            <w:pPr>
              <w:spacing w:line="360" w:lineRule="auto"/>
              <w:jc w:val="center"/>
              <w:rPr>
                <w:sz w:val="24"/>
                <w:szCs w:val="24"/>
              </w:rPr>
            </w:pPr>
            <w:r w:rsidRPr="008E2578">
              <w:rPr>
                <w:b/>
                <w:bCs/>
                <w:color w:val="FFFFFF"/>
                <w:sz w:val="24"/>
                <w:szCs w:val="24"/>
              </w:rPr>
              <w:t>Check</w:t>
            </w:r>
          </w:p>
        </w:tc>
        <w:tc>
          <w:tcPr>
            <w:tcW w:w="2856" w:type="dxa"/>
            <w:shd w:val="clear" w:color="auto" w:fill="1F3864"/>
          </w:tcPr>
          <w:p w14:paraId="02825733" w14:textId="77777777" w:rsidR="0041562F" w:rsidRPr="008E2578" w:rsidRDefault="00000000" w:rsidP="008E2578">
            <w:pPr>
              <w:spacing w:line="360" w:lineRule="auto"/>
              <w:jc w:val="center"/>
              <w:rPr>
                <w:sz w:val="24"/>
                <w:szCs w:val="24"/>
              </w:rPr>
            </w:pPr>
            <w:r w:rsidRPr="008E2578">
              <w:rPr>
                <w:b/>
                <w:bCs/>
                <w:color w:val="FFFFFF"/>
                <w:sz w:val="24"/>
                <w:szCs w:val="24"/>
              </w:rPr>
              <w:t>Result</w:t>
            </w:r>
          </w:p>
        </w:tc>
        <w:tc>
          <w:tcPr>
            <w:tcW w:w="2416" w:type="dxa"/>
            <w:shd w:val="clear" w:color="auto" w:fill="1F3864"/>
          </w:tcPr>
          <w:p w14:paraId="5D57EF2E" w14:textId="77777777" w:rsidR="0041562F" w:rsidRPr="008E2578" w:rsidRDefault="00000000" w:rsidP="008E2578">
            <w:pPr>
              <w:spacing w:line="360" w:lineRule="auto"/>
              <w:jc w:val="center"/>
              <w:rPr>
                <w:sz w:val="24"/>
                <w:szCs w:val="24"/>
              </w:rPr>
            </w:pPr>
            <w:r w:rsidRPr="008E2578">
              <w:rPr>
                <w:b/>
                <w:bCs/>
                <w:color w:val="FFFFFF"/>
                <w:sz w:val="24"/>
                <w:szCs w:val="24"/>
              </w:rPr>
              <w:t>Verdict</w:t>
            </w:r>
          </w:p>
        </w:tc>
      </w:tr>
      <w:tr w:rsidR="0041562F" w14:paraId="520F82F3" w14:textId="77777777" w:rsidTr="008E2578">
        <w:trPr>
          <w:trHeight w:val="782"/>
        </w:trPr>
        <w:tc>
          <w:tcPr>
            <w:tcW w:w="4613" w:type="dxa"/>
            <w:shd w:val="clear" w:color="auto" w:fill="FFFFFF"/>
          </w:tcPr>
          <w:p w14:paraId="6902143C" w14:textId="77777777" w:rsidR="0041562F" w:rsidRPr="008E2578" w:rsidRDefault="00000000" w:rsidP="008E2578">
            <w:pPr>
              <w:spacing w:line="360" w:lineRule="auto"/>
              <w:rPr>
                <w:sz w:val="24"/>
                <w:szCs w:val="24"/>
              </w:rPr>
            </w:pPr>
            <w:r w:rsidRPr="008E2578">
              <w:rPr>
                <w:sz w:val="24"/>
                <w:szCs w:val="24"/>
              </w:rPr>
              <w:t>Stability (companion-matrix roots)</w:t>
            </w:r>
          </w:p>
        </w:tc>
        <w:tc>
          <w:tcPr>
            <w:tcW w:w="2856" w:type="dxa"/>
            <w:shd w:val="clear" w:color="auto" w:fill="FFFFFF"/>
          </w:tcPr>
          <w:p w14:paraId="0FCF4094" w14:textId="77777777" w:rsidR="0041562F" w:rsidRPr="008E2578" w:rsidRDefault="00000000" w:rsidP="008E2578">
            <w:pPr>
              <w:spacing w:line="360" w:lineRule="auto"/>
              <w:rPr>
                <w:sz w:val="24"/>
                <w:szCs w:val="24"/>
              </w:rPr>
            </w:pPr>
            <w:r w:rsidRPr="008E2578">
              <w:rPr>
                <w:sz w:val="24"/>
                <w:szCs w:val="24"/>
              </w:rPr>
              <w:t>All roots outside unit circle</w:t>
            </w:r>
          </w:p>
        </w:tc>
        <w:tc>
          <w:tcPr>
            <w:tcW w:w="2416" w:type="dxa"/>
            <w:shd w:val="clear" w:color="auto" w:fill="FFFFFF"/>
          </w:tcPr>
          <w:p w14:paraId="1CED2E22" w14:textId="77777777" w:rsidR="0041562F" w:rsidRPr="008E2578" w:rsidRDefault="00000000" w:rsidP="008E2578">
            <w:pPr>
              <w:spacing w:line="360" w:lineRule="auto"/>
              <w:rPr>
                <w:sz w:val="24"/>
                <w:szCs w:val="24"/>
              </w:rPr>
            </w:pPr>
            <w:r w:rsidRPr="008E2578">
              <w:rPr>
                <w:sz w:val="24"/>
                <w:szCs w:val="24"/>
              </w:rPr>
              <w:t>Stable</w:t>
            </w:r>
          </w:p>
        </w:tc>
      </w:tr>
      <w:tr w:rsidR="0041562F" w14:paraId="44263750" w14:textId="77777777" w:rsidTr="008E2578">
        <w:trPr>
          <w:trHeight w:val="1168"/>
        </w:trPr>
        <w:tc>
          <w:tcPr>
            <w:tcW w:w="4613" w:type="dxa"/>
            <w:shd w:val="clear" w:color="auto" w:fill="F2F2F2"/>
          </w:tcPr>
          <w:p w14:paraId="381F91C0" w14:textId="77777777" w:rsidR="0041562F" w:rsidRPr="008E2578" w:rsidRDefault="00000000" w:rsidP="008E2578">
            <w:pPr>
              <w:spacing w:line="360" w:lineRule="auto"/>
              <w:rPr>
                <w:sz w:val="24"/>
                <w:szCs w:val="24"/>
              </w:rPr>
            </w:pPr>
            <w:r w:rsidRPr="008E2578">
              <w:rPr>
                <w:sz w:val="24"/>
                <w:szCs w:val="24"/>
              </w:rPr>
              <w:t xml:space="preserve">Serial correlation — Occupancy </w:t>
            </w:r>
            <w:proofErr w:type="spellStart"/>
            <w:r w:rsidRPr="008E2578">
              <w:rPr>
                <w:sz w:val="24"/>
                <w:szCs w:val="24"/>
              </w:rPr>
              <w:t>eqn</w:t>
            </w:r>
            <w:proofErr w:type="spellEnd"/>
            <w:r w:rsidRPr="008E2578">
              <w:rPr>
                <w:sz w:val="24"/>
                <w:szCs w:val="24"/>
              </w:rPr>
              <w:t xml:space="preserve"> (Ljung-Box, 10 lags)</w:t>
            </w:r>
          </w:p>
        </w:tc>
        <w:tc>
          <w:tcPr>
            <w:tcW w:w="2856" w:type="dxa"/>
            <w:shd w:val="clear" w:color="auto" w:fill="F2F2F2"/>
          </w:tcPr>
          <w:p w14:paraId="2E2734B0" w14:textId="77777777" w:rsidR="0041562F" w:rsidRPr="008E2578" w:rsidRDefault="00000000" w:rsidP="008E2578">
            <w:pPr>
              <w:spacing w:line="360" w:lineRule="auto"/>
              <w:rPr>
                <w:sz w:val="24"/>
                <w:szCs w:val="24"/>
              </w:rPr>
            </w:pPr>
            <w:r w:rsidRPr="008E2578">
              <w:rPr>
                <w:sz w:val="24"/>
                <w:szCs w:val="24"/>
              </w:rPr>
              <w:t>p = 0.010</w:t>
            </w:r>
          </w:p>
        </w:tc>
        <w:tc>
          <w:tcPr>
            <w:tcW w:w="2416" w:type="dxa"/>
            <w:shd w:val="clear" w:color="auto" w:fill="F2F2F2"/>
          </w:tcPr>
          <w:p w14:paraId="311D17C9" w14:textId="77777777" w:rsidR="0041562F" w:rsidRPr="008E2578" w:rsidRDefault="00000000" w:rsidP="008E2578">
            <w:pPr>
              <w:spacing w:line="360" w:lineRule="auto"/>
              <w:rPr>
                <w:sz w:val="24"/>
                <w:szCs w:val="24"/>
              </w:rPr>
            </w:pPr>
            <w:r w:rsidRPr="008E2578">
              <w:rPr>
                <w:sz w:val="24"/>
                <w:szCs w:val="24"/>
              </w:rPr>
              <w:t>Mild residual autocorrelation remains</w:t>
            </w:r>
          </w:p>
        </w:tc>
      </w:tr>
      <w:tr w:rsidR="0041562F" w14:paraId="5B7BC1B8" w14:textId="77777777" w:rsidTr="008E2578">
        <w:trPr>
          <w:trHeight w:val="782"/>
        </w:trPr>
        <w:tc>
          <w:tcPr>
            <w:tcW w:w="4613" w:type="dxa"/>
            <w:shd w:val="clear" w:color="auto" w:fill="FFFFFF"/>
          </w:tcPr>
          <w:p w14:paraId="0924C1DF" w14:textId="77777777" w:rsidR="0041562F" w:rsidRPr="008E2578" w:rsidRDefault="00000000" w:rsidP="008E2578">
            <w:pPr>
              <w:spacing w:line="360" w:lineRule="auto"/>
              <w:rPr>
                <w:sz w:val="24"/>
                <w:szCs w:val="24"/>
              </w:rPr>
            </w:pPr>
            <w:r w:rsidRPr="008E2578">
              <w:rPr>
                <w:sz w:val="24"/>
                <w:szCs w:val="24"/>
              </w:rPr>
              <w:t xml:space="preserve">Serial correlation — Rate / Demand / Airfare </w:t>
            </w:r>
            <w:proofErr w:type="spellStart"/>
            <w:r w:rsidRPr="008E2578">
              <w:rPr>
                <w:sz w:val="24"/>
                <w:szCs w:val="24"/>
              </w:rPr>
              <w:t>eqns</w:t>
            </w:r>
            <w:proofErr w:type="spellEnd"/>
          </w:p>
        </w:tc>
        <w:tc>
          <w:tcPr>
            <w:tcW w:w="2856" w:type="dxa"/>
            <w:shd w:val="clear" w:color="auto" w:fill="FFFFFF"/>
          </w:tcPr>
          <w:p w14:paraId="622E3844" w14:textId="77777777" w:rsidR="0041562F" w:rsidRPr="008E2578" w:rsidRDefault="00000000" w:rsidP="008E2578">
            <w:pPr>
              <w:spacing w:line="360" w:lineRule="auto"/>
              <w:rPr>
                <w:sz w:val="24"/>
                <w:szCs w:val="24"/>
              </w:rPr>
            </w:pPr>
            <w:r w:rsidRPr="008E2578">
              <w:rPr>
                <w:sz w:val="24"/>
                <w:szCs w:val="24"/>
              </w:rPr>
              <w:t>p = 0.95 / 0.64 / 0.49</w:t>
            </w:r>
          </w:p>
        </w:tc>
        <w:tc>
          <w:tcPr>
            <w:tcW w:w="2416" w:type="dxa"/>
            <w:shd w:val="clear" w:color="auto" w:fill="FFFFFF"/>
          </w:tcPr>
          <w:p w14:paraId="223161A5" w14:textId="77777777" w:rsidR="0041562F" w:rsidRPr="008E2578" w:rsidRDefault="00000000" w:rsidP="008E2578">
            <w:pPr>
              <w:spacing w:line="360" w:lineRule="auto"/>
              <w:rPr>
                <w:sz w:val="24"/>
                <w:szCs w:val="24"/>
              </w:rPr>
            </w:pPr>
            <w:r w:rsidRPr="008E2578">
              <w:rPr>
                <w:sz w:val="24"/>
                <w:szCs w:val="24"/>
              </w:rPr>
              <w:t>Clean</w:t>
            </w:r>
          </w:p>
        </w:tc>
      </w:tr>
      <w:tr w:rsidR="0041562F" w14:paraId="2A2120D0" w14:textId="77777777" w:rsidTr="008E2578">
        <w:trPr>
          <w:trHeight w:val="782"/>
        </w:trPr>
        <w:tc>
          <w:tcPr>
            <w:tcW w:w="4613" w:type="dxa"/>
            <w:shd w:val="clear" w:color="auto" w:fill="F2F2F2"/>
          </w:tcPr>
          <w:p w14:paraId="35C39453" w14:textId="77777777" w:rsidR="0041562F" w:rsidRPr="008E2578" w:rsidRDefault="00000000" w:rsidP="008E2578">
            <w:pPr>
              <w:spacing w:line="360" w:lineRule="auto"/>
              <w:rPr>
                <w:sz w:val="24"/>
                <w:szCs w:val="24"/>
              </w:rPr>
            </w:pPr>
            <w:r w:rsidRPr="008E2578">
              <w:rPr>
                <w:sz w:val="24"/>
                <w:szCs w:val="24"/>
              </w:rPr>
              <w:t>Normality (Jarque-Bera), all 4 equations</w:t>
            </w:r>
          </w:p>
        </w:tc>
        <w:tc>
          <w:tcPr>
            <w:tcW w:w="2856" w:type="dxa"/>
            <w:shd w:val="clear" w:color="auto" w:fill="F2F2F2"/>
          </w:tcPr>
          <w:p w14:paraId="2B1DFDE2" w14:textId="77777777" w:rsidR="0041562F" w:rsidRPr="008E2578" w:rsidRDefault="00000000" w:rsidP="008E2578">
            <w:pPr>
              <w:spacing w:line="360" w:lineRule="auto"/>
              <w:rPr>
                <w:sz w:val="24"/>
                <w:szCs w:val="24"/>
              </w:rPr>
            </w:pPr>
            <w:r w:rsidRPr="008E2578">
              <w:rPr>
                <w:sz w:val="24"/>
                <w:szCs w:val="24"/>
              </w:rPr>
              <w:t>p = 0.09 – 0.96</w:t>
            </w:r>
          </w:p>
        </w:tc>
        <w:tc>
          <w:tcPr>
            <w:tcW w:w="2416" w:type="dxa"/>
            <w:shd w:val="clear" w:color="auto" w:fill="F2F2F2"/>
          </w:tcPr>
          <w:p w14:paraId="38A196C0" w14:textId="77777777" w:rsidR="0041562F" w:rsidRPr="008E2578" w:rsidRDefault="00000000" w:rsidP="008E2578">
            <w:pPr>
              <w:spacing w:line="360" w:lineRule="auto"/>
              <w:rPr>
                <w:sz w:val="24"/>
                <w:szCs w:val="24"/>
              </w:rPr>
            </w:pPr>
            <w:r w:rsidRPr="008E2578">
              <w:rPr>
                <w:sz w:val="24"/>
                <w:szCs w:val="24"/>
              </w:rPr>
              <w:t>No evidence against normality</w:t>
            </w:r>
          </w:p>
        </w:tc>
      </w:tr>
    </w:tbl>
    <w:p w14:paraId="53F495F7" w14:textId="77777777" w:rsidR="0041562F" w:rsidRDefault="00000000">
      <w:pPr>
        <w:spacing w:after="240"/>
        <w:jc w:val="center"/>
      </w:pPr>
      <w:r>
        <w:rPr>
          <w:i/>
          <w:iCs/>
          <w:color w:val="555555"/>
          <w:sz w:val="18"/>
          <w:szCs w:val="18"/>
        </w:rPr>
        <w:t xml:space="preserve">Table 3. </w:t>
      </w:r>
      <w:proofErr w:type="gramStart"/>
      <w:r>
        <w:rPr>
          <w:i/>
          <w:iCs/>
          <w:color w:val="555555"/>
          <w:sz w:val="18"/>
          <w:szCs w:val="18"/>
        </w:rPr>
        <w:t>VAR(</w:t>
      </w:r>
      <w:proofErr w:type="gramEnd"/>
      <w:r>
        <w:rPr>
          <w:i/>
          <w:iCs/>
          <w:color w:val="555555"/>
          <w:sz w:val="18"/>
          <w:szCs w:val="18"/>
        </w:rPr>
        <w:t>6) diagnostics.</w:t>
      </w:r>
    </w:p>
    <w:p w14:paraId="692A0CBB" w14:textId="77777777" w:rsidR="0041562F" w:rsidRDefault="00000000">
      <w:pPr>
        <w:spacing w:after="120"/>
        <w:rPr>
          <w:i/>
          <w:iCs/>
        </w:rPr>
      </w:pPr>
      <w:r>
        <w:rPr>
          <w:i/>
          <w:iCs/>
        </w:rPr>
        <w:t>The one soft spot: the Occupancy equation still shows weak residual autocorrelation (p = 0.010) at 10 lags even at lag order 6. This means the point estimates and directional conclusions below are reliable, but the precise magnitudes for Occupancy carry slightly understated uncertainty — treat the impulse-response confidence bands for Occupancy as a lower bound on the true uncertainty, not an exact one.</w:t>
      </w:r>
    </w:p>
    <w:p w14:paraId="751358BC" w14:textId="77777777" w:rsidR="003278B5" w:rsidRDefault="003278B5">
      <w:pPr>
        <w:spacing w:after="120"/>
      </w:pPr>
    </w:p>
    <w:p w14:paraId="0D374046" w14:textId="77777777" w:rsidR="0041562F" w:rsidRDefault="00000000" w:rsidP="003278B5">
      <w:pPr>
        <w:rPr>
          <w:color w:val="A02B93" w:themeColor="accent5"/>
          <w:sz w:val="32"/>
          <w:szCs w:val="32"/>
        </w:rPr>
      </w:pPr>
      <w:r w:rsidRPr="003278B5">
        <w:rPr>
          <w:color w:val="A02B93" w:themeColor="accent5"/>
          <w:sz w:val="32"/>
          <w:szCs w:val="32"/>
        </w:rPr>
        <w:t>5. Granger Causality — Who Predicts Whom</w:t>
      </w:r>
    </w:p>
    <w:p w14:paraId="6EF0B4D6" w14:textId="77777777" w:rsidR="003278B5" w:rsidRPr="003278B5" w:rsidRDefault="003278B5" w:rsidP="003278B5">
      <w:pPr>
        <w:rPr>
          <w:color w:val="A02B93" w:themeColor="accent5"/>
          <w:sz w:val="32"/>
          <w:szCs w:val="32"/>
        </w:rPr>
      </w:pPr>
    </w:p>
    <w:p w14:paraId="1BA964D8" w14:textId="77777777" w:rsidR="0041562F" w:rsidRPr="008E2578" w:rsidRDefault="00000000" w:rsidP="008E2578">
      <w:pPr>
        <w:spacing w:after="120" w:line="360" w:lineRule="auto"/>
        <w:rPr>
          <w:sz w:val="24"/>
          <w:szCs w:val="24"/>
        </w:rPr>
      </w:pPr>
      <w:r w:rsidRPr="008E2578">
        <w:rPr>
          <w:sz w:val="24"/>
          <w:szCs w:val="24"/>
        </w:rPr>
        <w:t xml:space="preserve">Pairwise Granger F-tests, all 12 directional pairs, </w:t>
      </w:r>
      <w:proofErr w:type="gramStart"/>
      <w:r w:rsidRPr="008E2578">
        <w:rPr>
          <w:sz w:val="24"/>
          <w:szCs w:val="24"/>
        </w:rPr>
        <w:t>VAR(</w:t>
      </w:r>
      <w:proofErr w:type="gramEnd"/>
      <w:r w:rsidRPr="008E2578">
        <w:rPr>
          <w:sz w:val="24"/>
          <w:szCs w:val="24"/>
        </w:rPr>
        <w:t>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400"/>
      </w:tblGrid>
      <w:tr w:rsidR="0041562F" w14:paraId="0583C7DA" w14:textId="77777777">
        <w:trPr>
          <w:tblHeader/>
        </w:trPr>
        <w:tc>
          <w:tcPr>
            <w:tcW w:w="3200" w:type="dxa"/>
            <w:shd w:val="clear" w:color="auto" w:fill="1F3864"/>
          </w:tcPr>
          <w:p w14:paraId="4C8E7AC6" w14:textId="77777777" w:rsidR="0041562F" w:rsidRDefault="00000000">
            <w:pPr>
              <w:jc w:val="center"/>
            </w:pPr>
            <w:r>
              <w:rPr>
                <w:b/>
                <w:bCs/>
                <w:color w:val="FFFFFF"/>
              </w:rPr>
              <w:t>Causing → Caused</w:t>
            </w:r>
          </w:p>
        </w:tc>
        <w:tc>
          <w:tcPr>
            <w:tcW w:w="1600" w:type="dxa"/>
            <w:shd w:val="clear" w:color="auto" w:fill="1F3864"/>
          </w:tcPr>
          <w:p w14:paraId="1108E2A3" w14:textId="77777777" w:rsidR="0041562F" w:rsidRDefault="00000000">
            <w:pPr>
              <w:jc w:val="center"/>
            </w:pPr>
            <w:r>
              <w:rPr>
                <w:b/>
                <w:bCs/>
                <w:color w:val="FFFFFF"/>
              </w:rPr>
              <w:t>F-stat</w:t>
            </w:r>
          </w:p>
        </w:tc>
        <w:tc>
          <w:tcPr>
            <w:tcW w:w="1600" w:type="dxa"/>
            <w:shd w:val="clear" w:color="auto" w:fill="1F3864"/>
          </w:tcPr>
          <w:p w14:paraId="1CEB3F7D" w14:textId="77777777" w:rsidR="0041562F" w:rsidRDefault="00000000">
            <w:pPr>
              <w:jc w:val="center"/>
            </w:pPr>
            <w:r>
              <w:rPr>
                <w:b/>
                <w:bCs/>
                <w:color w:val="FFFFFF"/>
              </w:rPr>
              <w:t>p-value</w:t>
            </w:r>
          </w:p>
        </w:tc>
        <w:tc>
          <w:tcPr>
            <w:tcW w:w="2400" w:type="dxa"/>
            <w:shd w:val="clear" w:color="auto" w:fill="1F3864"/>
          </w:tcPr>
          <w:p w14:paraId="07EF61B3" w14:textId="77777777" w:rsidR="0041562F" w:rsidRDefault="00000000">
            <w:pPr>
              <w:jc w:val="center"/>
            </w:pPr>
            <w:r>
              <w:rPr>
                <w:b/>
                <w:bCs/>
                <w:color w:val="FFFFFF"/>
              </w:rPr>
              <w:t>Significant (5%)</w:t>
            </w:r>
          </w:p>
        </w:tc>
      </w:tr>
      <w:tr w:rsidR="0041562F" w14:paraId="45C3D801" w14:textId="77777777">
        <w:tc>
          <w:tcPr>
            <w:tcW w:w="3200" w:type="dxa"/>
            <w:shd w:val="clear" w:color="auto" w:fill="FFFFFF"/>
          </w:tcPr>
          <w:p w14:paraId="2B96B609" w14:textId="77777777" w:rsidR="0041562F" w:rsidRDefault="00000000">
            <w:r>
              <w:t>Rate → Occupancy</w:t>
            </w:r>
          </w:p>
        </w:tc>
        <w:tc>
          <w:tcPr>
            <w:tcW w:w="1600" w:type="dxa"/>
            <w:shd w:val="clear" w:color="auto" w:fill="FFFFFF"/>
          </w:tcPr>
          <w:p w14:paraId="4FD247D1" w14:textId="77777777" w:rsidR="0041562F" w:rsidRDefault="00000000">
            <w:r>
              <w:t>2,311.4</w:t>
            </w:r>
          </w:p>
        </w:tc>
        <w:tc>
          <w:tcPr>
            <w:tcW w:w="1600" w:type="dxa"/>
            <w:shd w:val="clear" w:color="auto" w:fill="FFFFFF"/>
          </w:tcPr>
          <w:p w14:paraId="511A00E1" w14:textId="77777777" w:rsidR="0041562F" w:rsidRDefault="00000000">
            <w:r>
              <w:t>&lt;0.001</w:t>
            </w:r>
          </w:p>
        </w:tc>
        <w:tc>
          <w:tcPr>
            <w:tcW w:w="2400" w:type="dxa"/>
            <w:shd w:val="clear" w:color="auto" w:fill="FFFFFF"/>
          </w:tcPr>
          <w:p w14:paraId="6DA09D6A" w14:textId="77777777" w:rsidR="0041562F" w:rsidRDefault="00000000">
            <w:r>
              <w:t>YES</w:t>
            </w:r>
          </w:p>
        </w:tc>
      </w:tr>
      <w:tr w:rsidR="0041562F" w14:paraId="5F7C181A" w14:textId="77777777">
        <w:tc>
          <w:tcPr>
            <w:tcW w:w="3200" w:type="dxa"/>
            <w:shd w:val="clear" w:color="auto" w:fill="F2F2F2"/>
          </w:tcPr>
          <w:p w14:paraId="054278CE" w14:textId="77777777" w:rsidR="0041562F" w:rsidRDefault="00000000">
            <w:r>
              <w:t>Demand → Occupancy</w:t>
            </w:r>
          </w:p>
        </w:tc>
        <w:tc>
          <w:tcPr>
            <w:tcW w:w="1600" w:type="dxa"/>
            <w:shd w:val="clear" w:color="auto" w:fill="F2F2F2"/>
          </w:tcPr>
          <w:p w14:paraId="62213387" w14:textId="77777777" w:rsidR="0041562F" w:rsidRDefault="00000000">
            <w:r>
              <w:t>129.7</w:t>
            </w:r>
          </w:p>
        </w:tc>
        <w:tc>
          <w:tcPr>
            <w:tcW w:w="1600" w:type="dxa"/>
            <w:shd w:val="clear" w:color="auto" w:fill="F2F2F2"/>
          </w:tcPr>
          <w:p w14:paraId="2EC2A0D4" w14:textId="77777777" w:rsidR="0041562F" w:rsidRDefault="00000000">
            <w:r>
              <w:t>&lt;0.001</w:t>
            </w:r>
          </w:p>
        </w:tc>
        <w:tc>
          <w:tcPr>
            <w:tcW w:w="2400" w:type="dxa"/>
            <w:shd w:val="clear" w:color="auto" w:fill="F2F2F2"/>
          </w:tcPr>
          <w:p w14:paraId="7BA0B63C" w14:textId="77777777" w:rsidR="0041562F" w:rsidRDefault="00000000">
            <w:r>
              <w:t>YES</w:t>
            </w:r>
          </w:p>
        </w:tc>
      </w:tr>
      <w:tr w:rsidR="0041562F" w14:paraId="41B0011C" w14:textId="77777777">
        <w:tc>
          <w:tcPr>
            <w:tcW w:w="3200" w:type="dxa"/>
            <w:shd w:val="clear" w:color="auto" w:fill="FFFFFF"/>
          </w:tcPr>
          <w:p w14:paraId="36B58479" w14:textId="77777777" w:rsidR="0041562F" w:rsidRDefault="00000000">
            <w:r>
              <w:t>Airfare → Occupancy</w:t>
            </w:r>
          </w:p>
        </w:tc>
        <w:tc>
          <w:tcPr>
            <w:tcW w:w="1600" w:type="dxa"/>
            <w:shd w:val="clear" w:color="auto" w:fill="FFFFFF"/>
          </w:tcPr>
          <w:p w14:paraId="6CA7E66D" w14:textId="77777777" w:rsidR="0041562F" w:rsidRDefault="00000000">
            <w:r>
              <w:t>6.4</w:t>
            </w:r>
          </w:p>
        </w:tc>
        <w:tc>
          <w:tcPr>
            <w:tcW w:w="1600" w:type="dxa"/>
            <w:shd w:val="clear" w:color="auto" w:fill="FFFFFF"/>
          </w:tcPr>
          <w:p w14:paraId="003FE6F4" w14:textId="77777777" w:rsidR="0041562F" w:rsidRDefault="00000000">
            <w:r>
              <w:t>&lt;0.001</w:t>
            </w:r>
          </w:p>
        </w:tc>
        <w:tc>
          <w:tcPr>
            <w:tcW w:w="2400" w:type="dxa"/>
            <w:shd w:val="clear" w:color="auto" w:fill="FFFFFF"/>
          </w:tcPr>
          <w:p w14:paraId="2E8BBBCA" w14:textId="77777777" w:rsidR="0041562F" w:rsidRDefault="00000000">
            <w:r>
              <w:t>YES (weak)</w:t>
            </w:r>
          </w:p>
        </w:tc>
      </w:tr>
      <w:tr w:rsidR="0041562F" w14:paraId="1642C600" w14:textId="77777777">
        <w:tc>
          <w:tcPr>
            <w:tcW w:w="3200" w:type="dxa"/>
            <w:shd w:val="clear" w:color="auto" w:fill="F2F2F2"/>
          </w:tcPr>
          <w:p w14:paraId="18277766" w14:textId="77777777" w:rsidR="0041562F" w:rsidRDefault="00000000">
            <w:r>
              <w:t>Occupancy → Rate</w:t>
            </w:r>
          </w:p>
        </w:tc>
        <w:tc>
          <w:tcPr>
            <w:tcW w:w="1600" w:type="dxa"/>
            <w:shd w:val="clear" w:color="auto" w:fill="F2F2F2"/>
          </w:tcPr>
          <w:p w14:paraId="3D1C50EE" w14:textId="77777777" w:rsidR="0041562F" w:rsidRDefault="00000000">
            <w:r>
              <w:t>1.25</w:t>
            </w:r>
          </w:p>
        </w:tc>
        <w:tc>
          <w:tcPr>
            <w:tcW w:w="1600" w:type="dxa"/>
            <w:shd w:val="clear" w:color="auto" w:fill="F2F2F2"/>
          </w:tcPr>
          <w:p w14:paraId="0259A23E" w14:textId="77777777" w:rsidR="0041562F" w:rsidRDefault="00000000">
            <w:r>
              <w:t>0.279</w:t>
            </w:r>
          </w:p>
        </w:tc>
        <w:tc>
          <w:tcPr>
            <w:tcW w:w="2400" w:type="dxa"/>
            <w:shd w:val="clear" w:color="auto" w:fill="F2F2F2"/>
          </w:tcPr>
          <w:p w14:paraId="43B1C797" w14:textId="77777777" w:rsidR="0041562F" w:rsidRDefault="00000000">
            <w:r>
              <w:t>no</w:t>
            </w:r>
          </w:p>
        </w:tc>
      </w:tr>
      <w:tr w:rsidR="0041562F" w14:paraId="27D304B4" w14:textId="77777777">
        <w:tc>
          <w:tcPr>
            <w:tcW w:w="3200" w:type="dxa"/>
            <w:shd w:val="clear" w:color="auto" w:fill="FFFFFF"/>
          </w:tcPr>
          <w:p w14:paraId="1AB2A5D3" w14:textId="77777777" w:rsidR="0041562F" w:rsidRDefault="00000000">
            <w:r>
              <w:t>Demand → Rate</w:t>
            </w:r>
          </w:p>
        </w:tc>
        <w:tc>
          <w:tcPr>
            <w:tcW w:w="1600" w:type="dxa"/>
            <w:shd w:val="clear" w:color="auto" w:fill="FFFFFF"/>
          </w:tcPr>
          <w:p w14:paraId="52904F7E" w14:textId="77777777" w:rsidR="0041562F" w:rsidRDefault="00000000">
            <w:r>
              <w:t>0.59</w:t>
            </w:r>
          </w:p>
        </w:tc>
        <w:tc>
          <w:tcPr>
            <w:tcW w:w="1600" w:type="dxa"/>
            <w:shd w:val="clear" w:color="auto" w:fill="FFFFFF"/>
          </w:tcPr>
          <w:p w14:paraId="05466553" w14:textId="77777777" w:rsidR="0041562F" w:rsidRDefault="00000000">
            <w:r>
              <w:t>0.741</w:t>
            </w:r>
          </w:p>
        </w:tc>
        <w:tc>
          <w:tcPr>
            <w:tcW w:w="2400" w:type="dxa"/>
            <w:shd w:val="clear" w:color="auto" w:fill="FFFFFF"/>
          </w:tcPr>
          <w:p w14:paraId="78A9DEBE" w14:textId="77777777" w:rsidR="0041562F" w:rsidRDefault="00000000">
            <w:r>
              <w:t>no</w:t>
            </w:r>
          </w:p>
        </w:tc>
      </w:tr>
      <w:tr w:rsidR="0041562F" w14:paraId="2362C831" w14:textId="77777777">
        <w:tc>
          <w:tcPr>
            <w:tcW w:w="3200" w:type="dxa"/>
            <w:shd w:val="clear" w:color="auto" w:fill="F2F2F2"/>
          </w:tcPr>
          <w:p w14:paraId="65683399" w14:textId="77777777" w:rsidR="0041562F" w:rsidRDefault="00000000">
            <w:r>
              <w:t>Airfare → Rate</w:t>
            </w:r>
          </w:p>
        </w:tc>
        <w:tc>
          <w:tcPr>
            <w:tcW w:w="1600" w:type="dxa"/>
            <w:shd w:val="clear" w:color="auto" w:fill="F2F2F2"/>
          </w:tcPr>
          <w:p w14:paraId="699055FD" w14:textId="77777777" w:rsidR="0041562F" w:rsidRDefault="00000000">
            <w:r>
              <w:t>0.94</w:t>
            </w:r>
          </w:p>
        </w:tc>
        <w:tc>
          <w:tcPr>
            <w:tcW w:w="1600" w:type="dxa"/>
            <w:shd w:val="clear" w:color="auto" w:fill="F2F2F2"/>
          </w:tcPr>
          <w:p w14:paraId="613FA9D8" w14:textId="77777777" w:rsidR="0041562F" w:rsidRDefault="00000000">
            <w:r>
              <w:t>0.463</w:t>
            </w:r>
          </w:p>
        </w:tc>
        <w:tc>
          <w:tcPr>
            <w:tcW w:w="2400" w:type="dxa"/>
            <w:shd w:val="clear" w:color="auto" w:fill="F2F2F2"/>
          </w:tcPr>
          <w:p w14:paraId="6263A2A0" w14:textId="77777777" w:rsidR="0041562F" w:rsidRDefault="00000000">
            <w:r>
              <w:t>no</w:t>
            </w:r>
          </w:p>
        </w:tc>
      </w:tr>
      <w:tr w:rsidR="0041562F" w14:paraId="0829DFEE" w14:textId="77777777">
        <w:tc>
          <w:tcPr>
            <w:tcW w:w="3200" w:type="dxa"/>
            <w:shd w:val="clear" w:color="auto" w:fill="FFFFFF"/>
          </w:tcPr>
          <w:p w14:paraId="1FA6C124" w14:textId="77777777" w:rsidR="0041562F" w:rsidRDefault="00000000">
            <w:r>
              <w:t>Rate → Demand</w:t>
            </w:r>
          </w:p>
        </w:tc>
        <w:tc>
          <w:tcPr>
            <w:tcW w:w="1600" w:type="dxa"/>
            <w:shd w:val="clear" w:color="auto" w:fill="FFFFFF"/>
          </w:tcPr>
          <w:p w14:paraId="5B4C448A" w14:textId="77777777" w:rsidR="0041562F" w:rsidRDefault="00000000">
            <w:r>
              <w:t>167.6</w:t>
            </w:r>
          </w:p>
        </w:tc>
        <w:tc>
          <w:tcPr>
            <w:tcW w:w="1600" w:type="dxa"/>
            <w:shd w:val="clear" w:color="auto" w:fill="FFFFFF"/>
          </w:tcPr>
          <w:p w14:paraId="17EE4065" w14:textId="77777777" w:rsidR="0041562F" w:rsidRDefault="00000000">
            <w:r>
              <w:t>&lt;0.001</w:t>
            </w:r>
          </w:p>
        </w:tc>
        <w:tc>
          <w:tcPr>
            <w:tcW w:w="2400" w:type="dxa"/>
            <w:shd w:val="clear" w:color="auto" w:fill="FFFFFF"/>
          </w:tcPr>
          <w:p w14:paraId="2A292980" w14:textId="77777777" w:rsidR="0041562F" w:rsidRDefault="00000000">
            <w:r>
              <w:t>YES</w:t>
            </w:r>
          </w:p>
        </w:tc>
      </w:tr>
      <w:tr w:rsidR="0041562F" w14:paraId="7F19CA4B" w14:textId="77777777">
        <w:tc>
          <w:tcPr>
            <w:tcW w:w="3200" w:type="dxa"/>
            <w:shd w:val="clear" w:color="auto" w:fill="F2F2F2"/>
          </w:tcPr>
          <w:p w14:paraId="49806B6D" w14:textId="77777777" w:rsidR="0041562F" w:rsidRDefault="00000000">
            <w:r>
              <w:t>Occupancy → Demand</w:t>
            </w:r>
          </w:p>
        </w:tc>
        <w:tc>
          <w:tcPr>
            <w:tcW w:w="1600" w:type="dxa"/>
            <w:shd w:val="clear" w:color="auto" w:fill="F2F2F2"/>
          </w:tcPr>
          <w:p w14:paraId="5EA616C1" w14:textId="77777777" w:rsidR="0041562F" w:rsidRDefault="00000000">
            <w:r>
              <w:t>3.4</w:t>
            </w:r>
          </w:p>
        </w:tc>
        <w:tc>
          <w:tcPr>
            <w:tcW w:w="1600" w:type="dxa"/>
            <w:shd w:val="clear" w:color="auto" w:fill="F2F2F2"/>
          </w:tcPr>
          <w:p w14:paraId="24C3C202" w14:textId="77777777" w:rsidR="0041562F" w:rsidRDefault="00000000">
            <w:r>
              <w:t>0.002</w:t>
            </w:r>
          </w:p>
        </w:tc>
        <w:tc>
          <w:tcPr>
            <w:tcW w:w="2400" w:type="dxa"/>
            <w:shd w:val="clear" w:color="auto" w:fill="F2F2F2"/>
          </w:tcPr>
          <w:p w14:paraId="04F67CAE" w14:textId="77777777" w:rsidR="0041562F" w:rsidRDefault="00000000">
            <w:r>
              <w:t>YES (weak)</w:t>
            </w:r>
          </w:p>
        </w:tc>
      </w:tr>
      <w:tr w:rsidR="0041562F" w14:paraId="3C789CE7" w14:textId="77777777">
        <w:tc>
          <w:tcPr>
            <w:tcW w:w="3200" w:type="dxa"/>
            <w:shd w:val="clear" w:color="auto" w:fill="FFFFFF"/>
          </w:tcPr>
          <w:p w14:paraId="1B728A19" w14:textId="77777777" w:rsidR="0041562F" w:rsidRDefault="00000000">
            <w:r>
              <w:t>Airfare → Demand</w:t>
            </w:r>
          </w:p>
        </w:tc>
        <w:tc>
          <w:tcPr>
            <w:tcW w:w="1600" w:type="dxa"/>
            <w:shd w:val="clear" w:color="auto" w:fill="FFFFFF"/>
          </w:tcPr>
          <w:p w14:paraId="14289576" w14:textId="77777777" w:rsidR="0041562F" w:rsidRDefault="00000000">
            <w:r>
              <w:t>0.45</w:t>
            </w:r>
          </w:p>
        </w:tc>
        <w:tc>
          <w:tcPr>
            <w:tcW w:w="1600" w:type="dxa"/>
            <w:shd w:val="clear" w:color="auto" w:fill="FFFFFF"/>
          </w:tcPr>
          <w:p w14:paraId="73FA8211" w14:textId="77777777" w:rsidR="0041562F" w:rsidRDefault="00000000">
            <w:r>
              <w:t>0.845</w:t>
            </w:r>
          </w:p>
        </w:tc>
        <w:tc>
          <w:tcPr>
            <w:tcW w:w="2400" w:type="dxa"/>
            <w:shd w:val="clear" w:color="auto" w:fill="FFFFFF"/>
          </w:tcPr>
          <w:p w14:paraId="6C5CBAD6" w14:textId="77777777" w:rsidR="0041562F" w:rsidRDefault="00000000">
            <w:r>
              <w:t>no</w:t>
            </w:r>
          </w:p>
        </w:tc>
      </w:tr>
      <w:tr w:rsidR="0041562F" w14:paraId="43049A27" w14:textId="77777777">
        <w:tc>
          <w:tcPr>
            <w:tcW w:w="3200" w:type="dxa"/>
            <w:shd w:val="clear" w:color="auto" w:fill="F2F2F2"/>
          </w:tcPr>
          <w:p w14:paraId="7A2818D0" w14:textId="77777777" w:rsidR="0041562F" w:rsidRDefault="00000000">
            <w:r>
              <w:t>Rate → Airfare</w:t>
            </w:r>
          </w:p>
        </w:tc>
        <w:tc>
          <w:tcPr>
            <w:tcW w:w="1600" w:type="dxa"/>
            <w:shd w:val="clear" w:color="auto" w:fill="F2F2F2"/>
          </w:tcPr>
          <w:p w14:paraId="6F4CEE07" w14:textId="77777777" w:rsidR="0041562F" w:rsidRDefault="00000000">
            <w:r>
              <w:t>5,096.6</w:t>
            </w:r>
          </w:p>
        </w:tc>
        <w:tc>
          <w:tcPr>
            <w:tcW w:w="1600" w:type="dxa"/>
            <w:shd w:val="clear" w:color="auto" w:fill="F2F2F2"/>
          </w:tcPr>
          <w:p w14:paraId="75547628" w14:textId="77777777" w:rsidR="0041562F" w:rsidRDefault="00000000">
            <w:r>
              <w:t>&lt;0.001</w:t>
            </w:r>
          </w:p>
        </w:tc>
        <w:tc>
          <w:tcPr>
            <w:tcW w:w="2400" w:type="dxa"/>
            <w:shd w:val="clear" w:color="auto" w:fill="F2F2F2"/>
          </w:tcPr>
          <w:p w14:paraId="4445C0DC" w14:textId="77777777" w:rsidR="0041562F" w:rsidRDefault="00000000">
            <w:r>
              <w:t>YES</w:t>
            </w:r>
          </w:p>
        </w:tc>
      </w:tr>
      <w:tr w:rsidR="0041562F" w14:paraId="05E96022" w14:textId="77777777">
        <w:tc>
          <w:tcPr>
            <w:tcW w:w="3200" w:type="dxa"/>
            <w:shd w:val="clear" w:color="auto" w:fill="FFFFFF"/>
          </w:tcPr>
          <w:p w14:paraId="229AA908" w14:textId="77777777" w:rsidR="0041562F" w:rsidRDefault="00000000">
            <w:r>
              <w:t>Occupancy → Airfare</w:t>
            </w:r>
          </w:p>
        </w:tc>
        <w:tc>
          <w:tcPr>
            <w:tcW w:w="1600" w:type="dxa"/>
            <w:shd w:val="clear" w:color="auto" w:fill="FFFFFF"/>
          </w:tcPr>
          <w:p w14:paraId="225349BC" w14:textId="77777777" w:rsidR="0041562F" w:rsidRDefault="00000000">
            <w:r>
              <w:t>4.6</w:t>
            </w:r>
          </w:p>
        </w:tc>
        <w:tc>
          <w:tcPr>
            <w:tcW w:w="1600" w:type="dxa"/>
            <w:shd w:val="clear" w:color="auto" w:fill="FFFFFF"/>
          </w:tcPr>
          <w:p w14:paraId="7040831E" w14:textId="77777777" w:rsidR="0041562F" w:rsidRDefault="00000000">
            <w:r>
              <w:t>&lt;0.001</w:t>
            </w:r>
          </w:p>
        </w:tc>
        <w:tc>
          <w:tcPr>
            <w:tcW w:w="2400" w:type="dxa"/>
            <w:shd w:val="clear" w:color="auto" w:fill="FFFFFF"/>
          </w:tcPr>
          <w:p w14:paraId="75F2FD39" w14:textId="77777777" w:rsidR="0041562F" w:rsidRDefault="00000000">
            <w:r>
              <w:t>YES (weak)</w:t>
            </w:r>
          </w:p>
        </w:tc>
      </w:tr>
      <w:tr w:rsidR="0041562F" w14:paraId="162537C8" w14:textId="77777777">
        <w:tc>
          <w:tcPr>
            <w:tcW w:w="3200" w:type="dxa"/>
            <w:shd w:val="clear" w:color="auto" w:fill="F2F2F2"/>
          </w:tcPr>
          <w:p w14:paraId="6519A588" w14:textId="77777777" w:rsidR="0041562F" w:rsidRDefault="00000000">
            <w:r>
              <w:t>Demand → Airfare</w:t>
            </w:r>
          </w:p>
        </w:tc>
        <w:tc>
          <w:tcPr>
            <w:tcW w:w="1600" w:type="dxa"/>
            <w:shd w:val="clear" w:color="auto" w:fill="F2F2F2"/>
          </w:tcPr>
          <w:p w14:paraId="23F0408E" w14:textId="77777777" w:rsidR="0041562F" w:rsidRDefault="00000000">
            <w:r>
              <w:t>5.1</w:t>
            </w:r>
          </w:p>
        </w:tc>
        <w:tc>
          <w:tcPr>
            <w:tcW w:w="1600" w:type="dxa"/>
            <w:shd w:val="clear" w:color="auto" w:fill="F2F2F2"/>
          </w:tcPr>
          <w:p w14:paraId="52E93B83" w14:textId="77777777" w:rsidR="0041562F" w:rsidRDefault="00000000">
            <w:r>
              <w:t>&lt;0.001</w:t>
            </w:r>
          </w:p>
        </w:tc>
        <w:tc>
          <w:tcPr>
            <w:tcW w:w="2400" w:type="dxa"/>
            <w:shd w:val="clear" w:color="auto" w:fill="F2F2F2"/>
          </w:tcPr>
          <w:p w14:paraId="589CE5B5" w14:textId="77777777" w:rsidR="0041562F" w:rsidRDefault="00000000">
            <w:r>
              <w:t>YES (weak)</w:t>
            </w:r>
          </w:p>
        </w:tc>
      </w:tr>
    </w:tbl>
    <w:p w14:paraId="2CD9C421" w14:textId="77777777" w:rsidR="0041562F" w:rsidRDefault="00000000">
      <w:pPr>
        <w:spacing w:after="240"/>
        <w:jc w:val="center"/>
      </w:pPr>
      <w:r>
        <w:rPr>
          <w:i/>
          <w:iCs/>
          <w:color w:val="555555"/>
          <w:sz w:val="18"/>
          <w:szCs w:val="18"/>
        </w:rPr>
        <w:t>Table 4. Granger causality, all pairs. Read as 'row predicts column, controlling for column's own history'.</w:t>
      </w:r>
    </w:p>
    <w:p w14:paraId="394602FA" w14:textId="77777777" w:rsidR="0041562F" w:rsidRPr="008E2578" w:rsidRDefault="00000000" w:rsidP="008E2578">
      <w:pPr>
        <w:spacing w:after="120" w:line="360" w:lineRule="auto"/>
        <w:rPr>
          <w:sz w:val="24"/>
          <w:szCs w:val="24"/>
        </w:rPr>
      </w:pPr>
      <w:r w:rsidRPr="008E2578">
        <w:rPr>
          <w:sz w:val="24"/>
          <w:szCs w:val="24"/>
        </w:rPr>
        <w:t xml:space="preserve">Pattern: Room Rate Granger-causes all three other series at very high significance and is Granger-caused by none of them. In a reduced-form VAR sense, Rate is the exogenous driver of </w:t>
      </w:r>
      <w:r w:rsidRPr="008E2578">
        <w:rPr>
          <w:sz w:val="24"/>
          <w:szCs w:val="24"/>
        </w:rPr>
        <w:lastRenderedPageBreak/>
        <w:t>this system; Occupancy, Demand and Airfare are the driven variables. This is the opposite of management's stated belief that demand drives rate.</w:t>
      </w:r>
    </w:p>
    <w:p w14:paraId="4DECF441" w14:textId="77777777" w:rsidR="0041562F" w:rsidRDefault="00000000">
      <w:pPr>
        <w:spacing w:after="120"/>
        <w:rPr>
          <w:i/>
          <w:iCs/>
        </w:rPr>
      </w:pPr>
      <w:r>
        <w:rPr>
          <w:i/>
          <w:iCs/>
        </w:rPr>
        <w:t xml:space="preserve">Caveat, stated plainly: Granger causality is predictive precedence, not proof of structural causation. If Room Rate is set on a schedule that also reacts to something outside this dataset (e.g., cost inputs, corporate pricing calendars, seasonality baked into the simulation), Rate could appear to </w:t>
      </w:r>
      <w:proofErr w:type="spellStart"/>
      <w:r>
        <w:rPr>
          <w:i/>
          <w:iCs/>
        </w:rPr>
        <w:t>'cause</w:t>
      </w:r>
      <w:proofErr w:type="spellEnd"/>
      <w:r>
        <w:rPr>
          <w:i/>
          <w:iCs/>
        </w:rPr>
        <w:t>' the others by construction, in this data. That does not weaken the practical recommendation — it changes what you'd call it. Whether the mechanism is 'Rate causes Occupancy' or 'Rate is set on a calendar that Occupancy has no ability to influence', the actionable fact for a revenue manager is identical: Rate moves first and Occupancy follows it.</w:t>
      </w:r>
    </w:p>
    <w:p w14:paraId="4A7BC057" w14:textId="77777777" w:rsidR="003278B5" w:rsidRDefault="003278B5">
      <w:pPr>
        <w:spacing w:after="120"/>
      </w:pPr>
    </w:p>
    <w:p w14:paraId="06EB6E1B" w14:textId="77777777" w:rsidR="008E2578" w:rsidRDefault="008E2578">
      <w:pPr>
        <w:spacing w:after="120"/>
      </w:pPr>
    </w:p>
    <w:p w14:paraId="3EC4559D" w14:textId="77777777" w:rsidR="008E2578" w:rsidRDefault="008E2578">
      <w:pPr>
        <w:spacing w:after="120"/>
      </w:pPr>
    </w:p>
    <w:p w14:paraId="01E0B352" w14:textId="77777777" w:rsidR="008E2578" w:rsidRDefault="008E2578">
      <w:pPr>
        <w:spacing w:after="120"/>
      </w:pPr>
    </w:p>
    <w:p w14:paraId="16634DBD" w14:textId="77777777" w:rsidR="0041562F" w:rsidRDefault="00000000" w:rsidP="003278B5">
      <w:pPr>
        <w:rPr>
          <w:color w:val="A02B93" w:themeColor="accent5"/>
          <w:sz w:val="32"/>
          <w:szCs w:val="32"/>
        </w:rPr>
      </w:pPr>
      <w:r w:rsidRPr="003278B5">
        <w:rPr>
          <w:color w:val="A02B93" w:themeColor="accent5"/>
          <w:sz w:val="32"/>
          <w:szCs w:val="32"/>
        </w:rPr>
        <w:t>6. Impulse Response Functions (with 95% confidence bands)</w:t>
      </w:r>
    </w:p>
    <w:p w14:paraId="4555DDBD" w14:textId="77777777" w:rsidR="003278B5" w:rsidRPr="003278B5" w:rsidRDefault="003278B5" w:rsidP="003278B5">
      <w:pPr>
        <w:rPr>
          <w:color w:val="A02B93" w:themeColor="accent5"/>
          <w:sz w:val="32"/>
          <w:szCs w:val="32"/>
        </w:rPr>
      </w:pPr>
    </w:p>
    <w:p w14:paraId="7AAA0341" w14:textId="626C063B" w:rsidR="0041562F" w:rsidRPr="008E2578" w:rsidRDefault="003278B5" w:rsidP="008E2578">
      <w:pPr>
        <w:spacing w:after="120" w:line="360" w:lineRule="auto"/>
        <w:rPr>
          <w:sz w:val="24"/>
          <w:szCs w:val="24"/>
        </w:rPr>
      </w:pPr>
      <w:r w:rsidRPr="008E2578">
        <w:rPr>
          <w:sz w:val="24"/>
          <w:szCs w:val="24"/>
        </w:rPr>
        <w:t>Orthogonalized</w:t>
      </w:r>
      <w:r w:rsidR="00000000" w:rsidRPr="008E2578">
        <w:rPr>
          <w:sz w:val="24"/>
          <w:szCs w:val="24"/>
        </w:rPr>
        <w:t xml:space="preserve"> IRFs, 24-day horizon, ordering Occupancy → Rate → Demand → Airfare. Residual cross-correlations are all below 0.05 in absolute value, so results are not an artefact of ordering — this was checked against an alternative ordering (Airfare → Demand → Occupancy → Rate) and the Room-Rate dominance is unchanged (96.0% vs 96.2%).</w:t>
      </w:r>
    </w:p>
    <w:p w14:paraId="674BCC46" w14:textId="77777777" w:rsidR="0041562F" w:rsidRDefault="00000000">
      <w:pPr>
        <w:spacing w:after="200"/>
        <w:jc w:val="center"/>
      </w:pPr>
      <w:r>
        <w:rPr>
          <w:noProof/>
        </w:rPr>
        <w:lastRenderedPageBreak/>
        <w:drawing>
          <wp:inline distT="0" distB="0" distL="0" distR="0" wp14:anchorId="28DD559A" wp14:editId="4E29B10A">
            <wp:extent cx="4953000" cy="4381500"/>
            <wp:effectExtent l="0" t="0" r="0" b="0"/>
            <wp:docPr id="222525788" name="Picture 22252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381500"/>
                    </a:xfrm>
                    <a:prstGeom prst="rect">
                      <a:avLst/>
                    </a:prstGeom>
                  </pic:spPr>
                </pic:pic>
              </a:graphicData>
            </a:graphic>
          </wp:inline>
        </w:drawing>
      </w:r>
    </w:p>
    <w:p w14:paraId="61E8766A" w14:textId="77777777" w:rsidR="0041562F" w:rsidRDefault="00000000">
      <w:pPr>
        <w:spacing w:after="240"/>
        <w:jc w:val="center"/>
      </w:pPr>
      <w:r>
        <w:rPr>
          <w:i/>
          <w:iCs/>
          <w:color w:val="555555"/>
          <w:sz w:val="18"/>
          <w:szCs w:val="18"/>
        </w:rPr>
        <w:t xml:space="preserve">Figure 2. Response of Occupancy to one-standard-deviation shocks in each variable, with 95% CI. A Rate shock produces a large, persistent, statistically significant fall in Occupancy (bottoms out around day 5, fades by ~day 15). A Demand shock produces a smaller but genuine rise in Occupancy, fading within ~10 days. </w:t>
      </w:r>
      <w:proofErr w:type="gramStart"/>
      <w:r>
        <w:rPr>
          <w:i/>
          <w:iCs/>
          <w:color w:val="555555"/>
          <w:sz w:val="18"/>
          <w:szCs w:val="18"/>
        </w:rPr>
        <w:t>A</w:t>
      </w:r>
      <w:proofErr w:type="gramEnd"/>
      <w:r>
        <w:rPr>
          <w:i/>
          <w:iCs/>
          <w:color w:val="555555"/>
          <w:sz w:val="18"/>
          <w:szCs w:val="18"/>
        </w:rPr>
        <w:t xml:space="preserve"> Airfare shock is small, briefly runs positive, and its confidence band crosses zero by day ~8 — not distinguishable from noise beyond the very short run.</w:t>
      </w:r>
    </w:p>
    <w:p w14:paraId="2E13AA4F" w14:textId="77777777" w:rsidR="0041562F" w:rsidRDefault="00000000" w:rsidP="003278B5">
      <w:pPr>
        <w:rPr>
          <w:color w:val="A02B93" w:themeColor="accent5"/>
          <w:sz w:val="32"/>
          <w:szCs w:val="32"/>
        </w:rPr>
      </w:pPr>
      <w:r w:rsidRPr="003278B5">
        <w:rPr>
          <w:color w:val="A02B93" w:themeColor="accent5"/>
          <w:sz w:val="32"/>
          <w:szCs w:val="32"/>
        </w:rPr>
        <w:t>6.1 Tracing Demand, Occupancy and Airfare shocks through the whole system</w:t>
      </w:r>
    </w:p>
    <w:p w14:paraId="7E8D159B" w14:textId="77777777" w:rsidR="008E2578" w:rsidRPr="003278B5" w:rsidRDefault="008E2578" w:rsidP="003278B5">
      <w:pPr>
        <w:rPr>
          <w:color w:val="A02B93" w:themeColor="accent5"/>
          <w:sz w:val="32"/>
          <w:szCs w:val="32"/>
        </w:rPr>
      </w:pPr>
    </w:p>
    <w:p w14:paraId="43795E75" w14:textId="77777777" w:rsidR="0041562F" w:rsidRPr="008E2578" w:rsidRDefault="00000000" w:rsidP="008E2578">
      <w:pPr>
        <w:spacing w:after="120" w:line="360" w:lineRule="auto"/>
        <w:rPr>
          <w:sz w:val="24"/>
          <w:szCs w:val="24"/>
        </w:rPr>
      </w:pPr>
      <w:r w:rsidRPr="008E2578">
        <w:rPr>
          <w:sz w:val="24"/>
          <w:szCs w:val="24"/>
        </w:rPr>
        <w:t>The brief asks specifically how a Tourist-Demand shock, an Occupancy shock and an Airfare shock each propagate to every other variable — not just their effect on Occupancy. Figure 2a is the full impulse-response grid: columns are the shock (impulse), rows are what responds.</w:t>
      </w:r>
    </w:p>
    <w:p w14:paraId="22298C77" w14:textId="77777777" w:rsidR="0041562F" w:rsidRDefault="00000000">
      <w:pPr>
        <w:spacing w:after="200"/>
        <w:jc w:val="center"/>
      </w:pPr>
      <w:r>
        <w:rPr>
          <w:noProof/>
        </w:rPr>
        <w:lastRenderedPageBreak/>
        <w:drawing>
          <wp:inline distT="0" distB="0" distL="0" distR="0" wp14:anchorId="30799A09" wp14:editId="44171719">
            <wp:extent cx="5143500" cy="5143500"/>
            <wp:effectExtent l="0" t="0" r="0" b="0"/>
            <wp:docPr id="1806538852" name="Picture 180653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5143500"/>
                    </a:xfrm>
                    <a:prstGeom prst="rect">
                      <a:avLst/>
                    </a:prstGeom>
                  </pic:spPr>
                </pic:pic>
              </a:graphicData>
            </a:graphic>
          </wp:inline>
        </w:drawing>
      </w:r>
    </w:p>
    <w:p w14:paraId="2EFE8287" w14:textId="77777777" w:rsidR="0041562F" w:rsidRDefault="00000000">
      <w:pPr>
        <w:spacing w:after="240"/>
        <w:jc w:val="center"/>
      </w:pPr>
      <w:r>
        <w:rPr>
          <w:i/>
          <w:iCs/>
          <w:color w:val="555555"/>
          <w:sz w:val="18"/>
          <w:szCs w:val="18"/>
        </w:rPr>
        <w:t>Figure 2a. Full system impulse responses, 95% CI, 24-day horizon. Columns = shock origin, rows = variable responding.</w:t>
      </w:r>
    </w:p>
    <w:p w14:paraId="74E251F3"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Demand shock (3rd column): raises Occupancy (positive, ~10-day decay — the genuine secondary channel from Section 5); its effect on Rate and Airfare is a transient hump whose confidence band crosses zero for most of the horizon — consistent with the Granger tests, which found Demand does not significantly predict Rate (p = 0.741) or Airfare (p = 0.845).</w:t>
      </w:r>
    </w:p>
    <w:p w14:paraId="296EE079"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Occupancy shock (1st column): dies out on its own axis within ~10 days (Section 4.1's residual-autocorrelation caveat applies here); its spillover to Rate, Demand and Airfare is small and the CI bands straddle zero throughout — Occupancy is a receiver of shocks in this system, not a source. This matches Table 4: nothing Occupancy does Granger-causes Rate.</w:t>
      </w:r>
    </w:p>
    <w:p w14:paraId="1DA64BEA"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 xml:space="preserve">Airfare shock (4th column): produces a short-lived, sign-ambiguous bump in Occupancy and Demand (CI crosses zero within a week in both cases) and a larger, longer transient dip </w:t>
      </w:r>
      <w:r w:rsidRPr="003278B5">
        <w:rPr>
          <w:sz w:val="24"/>
          <w:szCs w:val="24"/>
        </w:rPr>
        <w:lastRenderedPageBreak/>
        <w:t>in Rate that also loses significance by mid-horizon. Airfare shocks do not propagate through this system in a way a manager could reliably act on.</w:t>
      </w:r>
    </w:p>
    <w:p w14:paraId="0FBB0E34" w14:textId="77777777" w:rsidR="0041562F" w:rsidRPr="003278B5" w:rsidRDefault="00000000" w:rsidP="003278B5">
      <w:pPr>
        <w:pStyle w:val="ListParagraph"/>
        <w:numPr>
          <w:ilvl w:val="0"/>
          <w:numId w:val="2"/>
        </w:numPr>
        <w:spacing w:after="60" w:line="360" w:lineRule="auto"/>
        <w:rPr>
          <w:sz w:val="24"/>
          <w:szCs w:val="24"/>
        </w:rPr>
      </w:pPr>
      <w:r w:rsidRPr="003278B5">
        <w:rPr>
          <w:b/>
          <w:bCs/>
          <w:sz w:val="24"/>
          <w:szCs w:val="24"/>
        </w:rPr>
        <w:t>For contrast, the Rate column (2nd) is the only one where every single response is large, one-signed and stays outside the CI band for 10+ days — visual confirmation of the FEVD result in Section 7: Rate is the shock that actually moves the system.</w:t>
      </w:r>
    </w:p>
    <w:p w14:paraId="5BF33F12" w14:textId="77777777" w:rsidR="003278B5" w:rsidRDefault="003278B5" w:rsidP="003278B5">
      <w:pPr>
        <w:spacing w:after="60"/>
      </w:pPr>
    </w:p>
    <w:p w14:paraId="49E8AF7B" w14:textId="77777777" w:rsidR="003278B5" w:rsidRDefault="003278B5" w:rsidP="003278B5">
      <w:pPr>
        <w:spacing w:after="60"/>
      </w:pPr>
    </w:p>
    <w:p w14:paraId="161C8B3A" w14:textId="77777777" w:rsidR="0041562F" w:rsidRDefault="00000000" w:rsidP="003278B5">
      <w:pPr>
        <w:rPr>
          <w:color w:val="A02B93" w:themeColor="accent5"/>
          <w:sz w:val="32"/>
          <w:szCs w:val="32"/>
        </w:rPr>
      </w:pPr>
      <w:r w:rsidRPr="003278B5">
        <w:rPr>
          <w:color w:val="A02B93" w:themeColor="accent5"/>
          <w:sz w:val="32"/>
          <w:szCs w:val="32"/>
        </w:rPr>
        <w:t>7. Forecast Error Variance Decomposition</w:t>
      </w:r>
    </w:p>
    <w:p w14:paraId="7E6B3A52" w14:textId="77777777" w:rsidR="003278B5" w:rsidRPr="003278B5" w:rsidRDefault="003278B5" w:rsidP="003278B5">
      <w:pPr>
        <w:rPr>
          <w:color w:val="A02B93" w:themeColor="accent5"/>
          <w:sz w:val="32"/>
          <w:szCs w:val="32"/>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000"/>
        <w:gridCol w:w="2000"/>
      </w:tblGrid>
      <w:tr w:rsidR="0041562F" w14:paraId="621C5294" w14:textId="77777777">
        <w:trPr>
          <w:tblHeader/>
        </w:trPr>
        <w:tc>
          <w:tcPr>
            <w:tcW w:w="2400" w:type="dxa"/>
            <w:shd w:val="clear" w:color="auto" w:fill="1F3864"/>
          </w:tcPr>
          <w:p w14:paraId="6015FB99" w14:textId="77777777" w:rsidR="0041562F" w:rsidRDefault="00000000">
            <w:pPr>
              <w:jc w:val="center"/>
            </w:pPr>
            <w:r>
              <w:rPr>
                <w:b/>
                <w:bCs/>
                <w:color w:val="FFFFFF"/>
              </w:rPr>
              <w:t>Horizon (days)</w:t>
            </w:r>
          </w:p>
        </w:tc>
        <w:tc>
          <w:tcPr>
            <w:tcW w:w="2000" w:type="dxa"/>
            <w:shd w:val="clear" w:color="auto" w:fill="1F3864"/>
          </w:tcPr>
          <w:p w14:paraId="4661FA04" w14:textId="77777777" w:rsidR="0041562F" w:rsidRDefault="00000000">
            <w:pPr>
              <w:jc w:val="center"/>
            </w:pPr>
            <w:r>
              <w:rPr>
                <w:b/>
                <w:bCs/>
                <w:color w:val="FFFFFF"/>
              </w:rPr>
              <w:t>Own shock</w:t>
            </w:r>
          </w:p>
        </w:tc>
        <w:tc>
          <w:tcPr>
            <w:tcW w:w="2000" w:type="dxa"/>
            <w:shd w:val="clear" w:color="auto" w:fill="1F3864"/>
          </w:tcPr>
          <w:p w14:paraId="37C158B3" w14:textId="77777777" w:rsidR="0041562F" w:rsidRDefault="00000000">
            <w:pPr>
              <w:jc w:val="center"/>
            </w:pPr>
            <w:r>
              <w:rPr>
                <w:b/>
                <w:bCs/>
                <w:color w:val="FFFFFF"/>
              </w:rPr>
              <w:t>Room Rate</w:t>
            </w:r>
          </w:p>
        </w:tc>
        <w:tc>
          <w:tcPr>
            <w:tcW w:w="2000" w:type="dxa"/>
            <w:shd w:val="clear" w:color="auto" w:fill="1F3864"/>
          </w:tcPr>
          <w:p w14:paraId="0F749E6D" w14:textId="77777777" w:rsidR="0041562F" w:rsidRDefault="00000000">
            <w:pPr>
              <w:jc w:val="center"/>
            </w:pPr>
            <w:r>
              <w:rPr>
                <w:b/>
                <w:bCs/>
                <w:color w:val="FFFFFF"/>
              </w:rPr>
              <w:t>Tourist Demand</w:t>
            </w:r>
          </w:p>
        </w:tc>
        <w:tc>
          <w:tcPr>
            <w:tcW w:w="2000" w:type="dxa"/>
            <w:shd w:val="clear" w:color="auto" w:fill="1F3864"/>
          </w:tcPr>
          <w:p w14:paraId="07EE7572" w14:textId="77777777" w:rsidR="0041562F" w:rsidRDefault="00000000">
            <w:pPr>
              <w:jc w:val="center"/>
            </w:pPr>
            <w:r>
              <w:rPr>
                <w:b/>
                <w:bCs/>
                <w:color w:val="FFFFFF"/>
              </w:rPr>
              <w:t>Airfare</w:t>
            </w:r>
          </w:p>
        </w:tc>
      </w:tr>
      <w:tr w:rsidR="0041562F" w14:paraId="18C6E1A2" w14:textId="77777777">
        <w:tc>
          <w:tcPr>
            <w:tcW w:w="2400" w:type="dxa"/>
            <w:shd w:val="clear" w:color="auto" w:fill="FFFFFF"/>
          </w:tcPr>
          <w:p w14:paraId="7398F27F" w14:textId="77777777" w:rsidR="0041562F" w:rsidRDefault="00000000">
            <w:r>
              <w:t>1</w:t>
            </w:r>
          </w:p>
        </w:tc>
        <w:tc>
          <w:tcPr>
            <w:tcW w:w="2000" w:type="dxa"/>
            <w:shd w:val="clear" w:color="auto" w:fill="FFFFFF"/>
          </w:tcPr>
          <w:p w14:paraId="4D9BE035" w14:textId="77777777" w:rsidR="0041562F" w:rsidRDefault="00000000">
            <w:r>
              <w:t>100.0%</w:t>
            </w:r>
          </w:p>
        </w:tc>
        <w:tc>
          <w:tcPr>
            <w:tcW w:w="2000" w:type="dxa"/>
            <w:shd w:val="clear" w:color="auto" w:fill="FFFFFF"/>
          </w:tcPr>
          <w:p w14:paraId="6FF524A6" w14:textId="77777777" w:rsidR="0041562F" w:rsidRDefault="00000000">
            <w:r>
              <w:t>0.0%</w:t>
            </w:r>
          </w:p>
        </w:tc>
        <w:tc>
          <w:tcPr>
            <w:tcW w:w="2000" w:type="dxa"/>
            <w:shd w:val="clear" w:color="auto" w:fill="FFFFFF"/>
          </w:tcPr>
          <w:p w14:paraId="2A8BD484" w14:textId="77777777" w:rsidR="0041562F" w:rsidRDefault="00000000">
            <w:r>
              <w:t>0.0%</w:t>
            </w:r>
          </w:p>
        </w:tc>
        <w:tc>
          <w:tcPr>
            <w:tcW w:w="2000" w:type="dxa"/>
            <w:shd w:val="clear" w:color="auto" w:fill="FFFFFF"/>
          </w:tcPr>
          <w:p w14:paraId="5164881F" w14:textId="77777777" w:rsidR="0041562F" w:rsidRDefault="00000000">
            <w:r>
              <w:t>0.0%</w:t>
            </w:r>
          </w:p>
        </w:tc>
      </w:tr>
      <w:tr w:rsidR="0041562F" w14:paraId="62A1AE40" w14:textId="77777777">
        <w:tc>
          <w:tcPr>
            <w:tcW w:w="2400" w:type="dxa"/>
            <w:shd w:val="clear" w:color="auto" w:fill="F2F2F2"/>
          </w:tcPr>
          <w:p w14:paraId="20CACB8F" w14:textId="77777777" w:rsidR="0041562F" w:rsidRDefault="00000000">
            <w:r>
              <w:t>5</w:t>
            </w:r>
          </w:p>
        </w:tc>
        <w:tc>
          <w:tcPr>
            <w:tcW w:w="2000" w:type="dxa"/>
            <w:shd w:val="clear" w:color="auto" w:fill="F2F2F2"/>
          </w:tcPr>
          <w:p w14:paraId="1EF00046" w14:textId="77777777" w:rsidR="0041562F" w:rsidRDefault="00000000">
            <w:r>
              <w:t>3.0%</w:t>
            </w:r>
          </w:p>
        </w:tc>
        <w:tc>
          <w:tcPr>
            <w:tcW w:w="2000" w:type="dxa"/>
            <w:shd w:val="clear" w:color="auto" w:fill="F2F2F2"/>
          </w:tcPr>
          <w:p w14:paraId="7847304E" w14:textId="77777777" w:rsidR="0041562F" w:rsidRDefault="00000000">
            <w:r>
              <w:t>95.1%</w:t>
            </w:r>
          </w:p>
        </w:tc>
        <w:tc>
          <w:tcPr>
            <w:tcW w:w="2000" w:type="dxa"/>
            <w:shd w:val="clear" w:color="auto" w:fill="F2F2F2"/>
          </w:tcPr>
          <w:p w14:paraId="5E1506FC" w14:textId="77777777" w:rsidR="0041562F" w:rsidRDefault="00000000">
            <w:r>
              <w:t>1.7%</w:t>
            </w:r>
          </w:p>
        </w:tc>
        <w:tc>
          <w:tcPr>
            <w:tcW w:w="2000" w:type="dxa"/>
            <w:shd w:val="clear" w:color="auto" w:fill="F2F2F2"/>
          </w:tcPr>
          <w:p w14:paraId="67B9EC0D" w14:textId="77777777" w:rsidR="0041562F" w:rsidRDefault="00000000">
            <w:r>
              <w:t>0.1%</w:t>
            </w:r>
          </w:p>
        </w:tc>
      </w:tr>
      <w:tr w:rsidR="0041562F" w14:paraId="1523EC01" w14:textId="77777777">
        <w:tc>
          <w:tcPr>
            <w:tcW w:w="2400" w:type="dxa"/>
            <w:shd w:val="clear" w:color="auto" w:fill="FFFFFF"/>
          </w:tcPr>
          <w:p w14:paraId="6FA6ACEE" w14:textId="77777777" w:rsidR="0041562F" w:rsidRDefault="00000000">
            <w:r>
              <w:t>10</w:t>
            </w:r>
          </w:p>
        </w:tc>
        <w:tc>
          <w:tcPr>
            <w:tcW w:w="2000" w:type="dxa"/>
            <w:shd w:val="clear" w:color="auto" w:fill="FFFFFF"/>
          </w:tcPr>
          <w:p w14:paraId="684524F0" w14:textId="77777777" w:rsidR="0041562F" w:rsidRDefault="00000000">
            <w:r>
              <w:t>1.9%</w:t>
            </w:r>
          </w:p>
        </w:tc>
        <w:tc>
          <w:tcPr>
            <w:tcW w:w="2000" w:type="dxa"/>
            <w:shd w:val="clear" w:color="auto" w:fill="FFFFFF"/>
          </w:tcPr>
          <w:p w14:paraId="3FA6FC68" w14:textId="77777777" w:rsidR="0041562F" w:rsidRDefault="00000000">
            <w:r>
              <w:t>96.3%</w:t>
            </w:r>
          </w:p>
        </w:tc>
        <w:tc>
          <w:tcPr>
            <w:tcW w:w="2000" w:type="dxa"/>
            <w:shd w:val="clear" w:color="auto" w:fill="FFFFFF"/>
          </w:tcPr>
          <w:p w14:paraId="042DE6DE" w14:textId="77777777" w:rsidR="0041562F" w:rsidRDefault="00000000">
            <w:r>
              <w:t>1.1%</w:t>
            </w:r>
          </w:p>
        </w:tc>
        <w:tc>
          <w:tcPr>
            <w:tcW w:w="2000" w:type="dxa"/>
            <w:shd w:val="clear" w:color="auto" w:fill="FFFFFF"/>
          </w:tcPr>
          <w:p w14:paraId="6FFE9841" w14:textId="77777777" w:rsidR="0041562F" w:rsidRDefault="00000000">
            <w:r>
              <w:t>0.7%</w:t>
            </w:r>
          </w:p>
        </w:tc>
      </w:tr>
      <w:tr w:rsidR="0041562F" w14:paraId="3A06856C" w14:textId="77777777">
        <w:tc>
          <w:tcPr>
            <w:tcW w:w="2400" w:type="dxa"/>
            <w:shd w:val="clear" w:color="auto" w:fill="F2F2F2"/>
          </w:tcPr>
          <w:p w14:paraId="1E21958B" w14:textId="77777777" w:rsidR="0041562F" w:rsidRDefault="00000000">
            <w:r>
              <w:t>24</w:t>
            </w:r>
          </w:p>
        </w:tc>
        <w:tc>
          <w:tcPr>
            <w:tcW w:w="2000" w:type="dxa"/>
            <w:shd w:val="clear" w:color="auto" w:fill="F2F2F2"/>
          </w:tcPr>
          <w:p w14:paraId="0972AB4C" w14:textId="77777777" w:rsidR="0041562F" w:rsidRDefault="00000000">
            <w:r>
              <w:t>1.9%</w:t>
            </w:r>
          </w:p>
        </w:tc>
        <w:tc>
          <w:tcPr>
            <w:tcW w:w="2000" w:type="dxa"/>
            <w:shd w:val="clear" w:color="auto" w:fill="F2F2F2"/>
          </w:tcPr>
          <w:p w14:paraId="0F224620" w14:textId="77777777" w:rsidR="0041562F" w:rsidRDefault="00000000">
            <w:r>
              <w:t>96.2%</w:t>
            </w:r>
          </w:p>
        </w:tc>
        <w:tc>
          <w:tcPr>
            <w:tcW w:w="2000" w:type="dxa"/>
            <w:shd w:val="clear" w:color="auto" w:fill="F2F2F2"/>
          </w:tcPr>
          <w:p w14:paraId="30E8DFFD" w14:textId="77777777" w:rsidR="0041562F" w:rsidRDefault="00000000">
            <w:r>
              <w:t>1.0%</w:t>
            </w:r>
          </w:p>
        </w:tc>
        <w:tc>
          <w:tcPr>
            <w:tcW w:w="2000" w:type="dxa"/>
            <w:shd w:val="clear" w:color="auto" w:fill="F2F2F2"/>
          </w:tcPr>
          <w:p w14:paraId="70E5C6BF" w14:textId="77777777" w:rsidR="0041562F" w:rsidRDefault="00000000">
            <w:r>
              <w:t>0.9%</w:t>
            </w:r>
          </w:p>
        </w:tc>
      </w:tr>
    </w:tbl>
    <w:p w14:paraId="273959C7" w14:textId="77777777" w:rsidR="0041562F" w:rsidRDefault="00000000">
      <w:pPr>
        <w:spacing w:after="240"/>
        <w:jc w:val="center"/>
      </w:pPr>
      <w:r>
        <w:rPr>
          <w:i/>
          <w:iCs/>
          <w:color w:val="555555"/>
          <w:sz w:val="18"/>
          <w:szCs w:val="18"/>
        </w:rPr>
        <w:t>Table 5. FEVD of Occupancy Index by horizon. Own-shock share collapses from 100% to under 2% within a week; Room Rate absorbs essentially all of the rest.</w:t>
      </w:r>
    </w:p>
    <w:p w14:paraId="5E35DD17" w14:textId="77777777" w:rsidR="0041562F" w:rsidRDefault="00000000">
      <w:pPr>
        <w:spacing w:after="200"/>
        <w:jc w:val="center"/>
      </w:pPr>
      <w:r>
        <w:rPr>
          <w:noProof/>
        </w:rPr>
        <w:drawing>
          <wp:inline distT="0" distB="0" distL="0" distR="0" wp14:anchorId="44DDED07" wp14:editId="10DB024F">
            <wp:extent cx="4953000" cy="4476750"/>
            <wp:effectExtent l="0" t="0" r="0" b="0"/>
            <wp:docPr id="878978852" name="Picture 87897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476750"/>
                    </a:xfrm>
                    <a:prstGeom prst="rect">
                      <a:avLst/>
                    </a:prstGeom>
                  </pic:spPr>
                </pic:pic>
              </a:graphicData>
            </a:graphic>
          </wp:inline>
        </w:drawing>
      </w:r>
    </w:p>
    <w:p w14:paraId="536FA53A" w14:textId="77777777" w:rsidR="0041562F" w:rsidRDefault="00000000">
      <w:pPr>
        <w:spacing w:after="240"/>
        <w:jc w:val="center"/>
      </w:pPr>
      <w:r>
        <w:rPr>
          <w:i/>
          <w:iCs/>
          <w:color w:val="555555"/>
          <w:sz w:val="18"/>
          <w:szCs w:val="18"/>
        </w:rPr>
        <w:lastRenderedPageBreak/>
        <w:t>Figure 3. FEVD, all four equations, 24-day horizon. Note the Rate panel (row 2): Room Rate is driven almost entirely by its own shocks and is not meaningfully explained by any other variable in the system — the mirror image of the Occupancy panel.</w:t>
      </w:r>
    </w:p>
    <w:p w14:paraId="7D229528" w14:textId="77777777" w:rsidR="0041562F" w:rsidRDefault="00000000" w:rsidP="003278B5">
      <w:pPr>
        <w:rPr>
          <w:color w:val="A02B93" w:themeColor="accent5"/>
          <w:sz w:val="32"/>
          <w:szCs w:val="32"/>
        </w:rPr>
      </w:pPr>
      <w:r w:rsidRPr="003278B5">
        <w:rPr>
          <w:color w:val="A02B93" w:themeColor="accent5"/>
          <w:sz w:val="32"/>
          <w:szCs w:val="32"/>
        </w:rPr>
        <w:t>8. 10-Day-Ahead Forecast (Point Estimates)</w:t>
      </w:r>
    </w:p>
    <w:p w14:paraId="3CB5F232" w14:textId="77777777" w:rsidR="003278B5" w:rsidRPr="003278B5" w:rsidRDefault="003278B5" w:rsidP="003278B5">
      <w:pPr>
        <w:rPr>
          <w:color w:val="A02B93" w:themeColor="accent5"/>
          <w:sz w:val="32"/>
          <w:szCs w:val="32"/>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2200"/>
        <w:gridCol w:w="2000"/>
      </w:tblGrid>
      <w:tr w:rsidR="0041562F" w14:paraId="01DD3D6D" w14:textId="77777777">
        <w:trPr>
          <w:tblHeader/>
        </w:trPr>
        <w:tc>
          <w:tcPr>
            <w:tcW w:w="1600" w:type="dxa"/>
            <w:shd w:val="clear" w:color="auto" w:fill="1F3864"/>
          </w:tcPr>
          <w:p w14:paraId="32C11FBC" w14:textId="77777777" w:rsidR="0041562F" w:rsidRDefault="00000000">
            <w:pPr>
              <w:jc w:val="center"/>
            </w:pPr>
            <w:r>
              <w:rPr>
                <w:b/>
                <w:bCs/>
                <w:color w:val="FFFFFF"/>
              </w:rPr>
              <w:t>Day</w:t>
            </w:r>
          </w:p>
        </w:tc>
        <w:tc>
          <w:tcPr>
            <w:tcW w:w="2200" w:type="dxa"/>
            <w:shd w:val="clear" w:color="auto" w:fill="1F3864"/>
          </w:tcPr>
          <w:p w14:paraId="35EB410B" w14:textId="77777777" w:rsidR="0041562F" w:rsidRDefault="00000000">
            <w:pPr>
              <w:jc w:val="center"/>
            </w:pPr>
            <w:r>
              <w:rPr>
                <w:b/>
                <w:bCs/>
                <w:color w:val="FFFFFF"/>
              </w:rPr>
              <w:t>Occupancy</w:t>
            </w:r>
          </w:p>
        </w:tc>
        <w:tc>
          <w:tcPr>
            <w:tcW w:w="2200" w:type="dxa"/>
            <w:shd w:val="clear" w:color="auto" w:fill="1F3864"/>
          </w:tcPr>
          <w:p w14:paraId="1D2B235B" w14:textId="77777777" w:rsidR="0041562F" w:rsidRDefault="00000000">
            <w:pPr>
              <w:jc w:val="center"/>
            </w:pPr>
            <w:r>
              <w:rPr>
                <w:b/>
                <w:bCs/>
                <w:color w:val="FFFFFF"/>
              </w:rPr>
              <w:t>Room Rate</w:t>
            </w:r>
          </w:p>
        </w:tc>
        <w:tc>
          <w:tcPr>
            <w:tcW w:w="2200" w:type="dxa"/>
            <w:shd w:val="clear" w:color="auto" w:fill="1F3864"/>
          </w:tcPr>
          <w:p w14:paraId="1AF8242A" w14:textId="77777777" w:rsidR="0041562F" w:rsidRDefault="00000000">
            <w:pPr>
              <w:jc w:val="center"/>
            </w:pPr>
            <w:r>
              <w:rPr>
                <w:b/>
                <w:bCs/>
                <w:color w:val="FFFFFF"/>
              </w:rPr>
              <w:t>Tourist Demand</w:t>
            </w:r>
          </w:p>
        </w:tc>
        <w:tc>
          <w:tcPr>
            <w:tcW w:w="2000" w:type="dxa"/>
            <w:shd w:val="clear" w:color="auto" w:fill="1F3864"/>
          </w:tcPr>
          <w:p w14:paraId="3C902B63" w14:textId="77777777" w:rsidR="0041562F" w:rsidRDefault="00000000">
            <w:pPr>
              <w:jc w:val="center"/>
            </w:pPr>
            <w:r>
              <w:rPr>
                <w:b/>
                <w:bCs/>
                <w:color w:val="FFFFFF"/>
              </w:rPr>
              <w:t>Airfare</w:t>
            </w:r>
          </w:p>
        </w:tc>
      </w:tr>
      <w:tr w:rsidR="0041562F" w14:paraId="2D3324C8" w14:textId="77777777">
        <w:tc>
          <w:tcPr>
            <w:tcW w:w="1600" w:type="dxa"/>
            <w:shd w:val="clear" w:color="auto" w:fill="FFFFFF"/>
          </w:tcPr>
          <w:p w14:paraId="1F8A2484" w14:textId="77777777" w:rsidR="0041562F" w:rsidRDefault="00000000">
            <w:r>
              <w:t>+1</w:t>
            </w:r>
          </w:p>
        </w:tc>
        <w:tc>
          <w:tcPr>
            <w:tcW w:w="2200" w:type="dxa"/>
            <w:shd w:val="clear" w:color="auto" w:fill="FFFFFF"/>
          </w:tcPr>
          <w:p w14:paraId="11A78BFD" w14:textId="77777777" w:rsidR="0041562F" w:rsidRDefault="00000000">
            <w:r>
              <w:t>-1,020.8</w:t>
            </w:r>
          </w:p>
        </w:tc>
        <w:tc>
          <w:tcPr>
            <w:tcW w:w="2200" w:type="dxa"/>
            <w:shd w:val="clear" w:color="auto" w:fill="FFFFFF"/>
          </w:tcPr>
          <w:p w14:paraId="63B21D95" w14:textId="77777777" w:rsidR="0041562F" w:rsidRDefault="00000000">
            <w:r>
              <w:t>2,895.8</w:t>
            </w:r>
          </w:p>
        </w:tc>
        <w:tc>
          <w:tcPr>
            <w:tcW w:w="2200" w:type="dxa"/>
            <w:shd w:val="clear" w:color="auto" w:fill="FFFFFF"/>
          </w:tcPr>
          <w:p w14:paraId="4325D191" w14:textId="77777777" w:rsidR="0041562F" w:rsidRDefault="00000000">
            <w:r>
              <w:t>-896.9</w:t>
            </w:r>
          </w:p>
        </w:tc>
        <w:tc>
          <w:tcPr>
            <w:tcW w:w="2000" w:type="dxa"/>
            <w:shd w:val="clear" w:color="auto" w:fill="FFFFFF"/>
          </w:tcPr>
          <w:p w14:paraId="1CE58BDB" w14:textId="77777777" w:rsidR="0041562F" w:rsidRDefault="00000000">
            <w:r>
              <w:t>1,077.9</w:t>
            </w:r>
          </w:p>
        </w:tc>
      </w:tr>
      <w:tr w:rsidR="0041562F" w14:paraId="56780A62" w14:textId="77777777">
        <w:tc>
          <w:tcPr>
            <w:tcW w:w="1600" w:type="dxa"/>
            <w:shd w:val="clear" w:color="auto" w:fill="F2F2F2"/>
          </w:tcPr>
          <w:p w14:paraId="1E16C66E" w14:textId="77777777" w:rsidR="0041562F" w:rsidRDefault="00000000">
            <w:r>
              <w:t>+2</w:t>
            </w:r>
          </w:p>
        </w:tc>
        <w:tc>
          <w:tcPr>
            <w:tcW w:w="2200" w:type="dxa"/>
            <w:shd w:val="clear" w:color="auto" w:fill="F2F2F2"/>
          </w:tcPr>
          <w:p w14:paraId="6AC71F28" w14:textId="77777777" w:rsidR="0041562F" w:rsidRDefault="00000000">
            <w:r>
              <w:t>-1,009.3</w:t>
            </w:r>
          </w:p>
        </w:tc>
        <w:tc>
          <w:tcPr>
            <w:tcW w:w="2200" w:type="dxa"/>
            <w:shd w:val="clear" w:color="auto" w:fill="F2F2F2"/>
          </w:tcPr>
          <w:p w14:paraId="74034062" w14:textId="77777777" w:rsidR="0041562F" w:rsidRDefault="00000000">
            <w:r>
              <w:t>2,959.3</w:t>
            </w:r>
          </w:p>
        </w:tc>
        <w:tc>
          <w:tcPr>
            <w:tcW w:w="2200" w:type="dxa"/>
            <w:shd w:val="clear" w:color="auto" w:fill="F2F2F2"/>
          </w:tcPr>
          <w:p w14:paraId="3BC9DD5F" w14:textId="77777777" w:rsidR="0041562F" w:rsidRDefault="00000000">
            <w:r>
              <w:t>-885.5</w:t>
            </w:r>
          </w:p>
        </w:tc>
        <w:tc>
          <w:tcPr>
            <w:tcW w:w="2000" w:type="dxa"/>
            <w:shd w:val="clear" w:color="auto" w:fill="F2F2F2"/>
          </w:tcPr>
          <w:p w14:paraId="4A3E6366" w14:textId="77777777" w:rsidR="0041562F" w:rsidRDefault="00000000">
            <w:r>
              <w:t>1,065.6</w:t>
            </w:r>
          </w:p>
        </w:tc>
      </w:tr>
      <w:tr w:rsidR="0041562F" w14:paraId="1CC93FA4" w14:textId="77777777">
        <w:tc>
          <w:tcPr>
            <w:tcW w:w="1600" w:type="dxa"/>
            <w:shd w:val="clear" w:color="auto" w:fill="FFFFFF"/>
          </w:tcPr>
          <w:p w14:paraId="563332A2" w14:textId="77777777" w:rsidR="0041562F" w:rsidRDefault="00000000">
            <w:r>
              <w:t>+3</w:t>
            </w:r>
          </w:p>
        </w:tc>
        <w:tc>
          <w:tcPr>
            <w:tcW w:w="2200" w:type="dxa"/>
            <w:shd w:val="clear" w:color="auto" w:fill="FFFFFF"/>
          </w:tcPr>
          <w:p w14:paraId="052A5350" w14:textId="77777777" w:rsidR="0041562F" w:rsidRDefault="00000000">
            <w:r>
              <w:t>-1,002.4</w:t>
            </w:r>
          </w:p>
        </w:tc>
        <w:tc>
          <w:tcPr>
            <w:tcW w:w="2200" w:type="dxa"/>
            <w:shd w:val="clear" w:color="auto" w:fill="FFFFFF"/>
          </w:tcPr>
          <w:p w14:paraId="43CACB1A" w14:textId="77777777" w:rsidR="0041562F" w:rsidRDefault="00000000">
            <w:r>
              <w:t>2,994.0</w:t>
            </w:r>
          </w:p>
        </w:tc>
        <w:tc>
          <w:tcPr>
            <w:tcW w:w="2200" w:type="dxa"/>
            <w:shd w:val="clear" w:color="auto" w:fill="FFFFFF"/>
          </w:tcPr>
          <w:p w14:paraId="55DE7046" w14:textId="77777777" w:rsidR="0041562F" w:rsidRDefault="00000000">
            <w:r>
              <w:t>-881.3</w:t>
            </w:r>
          </w:p>
        </w:tc>
        <w:tc>
          <w:tcPr>
            <w:tcW w:w="2000" w:type="dxa"/>
            <w:shd w:val="clear" w:color="auto" w:fill="FFFFFF"/>
          </w:tcPr>
          <w:p w14:paraId="51860060" w14:textId="77777777" w:rsidR="0041562F" w:rsidRDefault="00000000">
            <w:r>
              <w:t>1,062.1</w:t>
            </w:r>
          </w:p>
        </w:tc>
      </w:tr>
      <w:tr w:rsidR="0041562F" w14:paraId="1C0AEC25" w14:textId="77777777">
        <w:tc>
          <w:tcPr>
            <w:tcW w:w="1600" w:type="dxa"/>
            <w:shd w:val="clear" w:color="auto" w:fill="F2F2F2"/>
          </w:tcPr>
          <w:p w14:paraId="6F9B251B" w14:textId="77777777" w:rsidR="0041562F" w:rsidRDefault="00000000">
            <w:r>
              <w:t>+5</w:t>
            </w:r>
          </w:p>
        </w:tc>
        <w:tc>
          <w:tcPr>
            <w:tcW w:w="2200" w:type="dxa"/>
            <w:shd w:val="clear" w:color="auto" w:fill="F2F2F2"/>
          </w:tcPr>
          <w:p w14:paraId="2DEB754B" w14:textId="77777777" w:rsidR="0041562F" w:rsidRDefault="00000000">
            <w:r>
              <w:t>-997.7</w:t>
            </w:r>
          </w:p>
        </w:tc>
        <w:tc>
          <w:tcPr>
            <w:tcW w:w="2200" w:type="dxa"/>
            <w:shd w:val="clear" w:color="auto" w:fill="F2F2F2"/>
          </w:tcPr>
          <w:p w14:paraId="3CFF9B15" w14:textId="77777777" w:rsidR="0041562F" w:rsidRDefault="00000000">
            <w:r>
              <w:t>3,036.4</w:t>
            </w:r>
          </w:p>
        </w:tc>
        <w:tc>
          <w:tcPr>
            <w:tcW w:w="2200" w:type="dxa"/>
            <w:shd w:val="clear" w:color="auto" w:fill="F2F2F2"/>
          </w:tcPr>
          <w:p w14:paraId="34ED507E" w14:textId="77777777" w:rsidR="0041562F" w:rsidRDefault="00000000">
            <w:r>
              <w:t>-872.9</w:t>
            </w:r>
          </w:p>
        </w:tc>
        <w:tc>
          <w:tcPr>
            <w:tcW w:w="2000" w:type="dxa"/>
            <w:shd w:val="clear" w:color="auto" w:fill="F2F2F2"/>
          </w:tcPr>
          <w:p w14:paraId="0F35BFC7" w14:textId="77777777" w:rsidR="0041562F" w:rsidRDefault="00000000">
            <w:r>
              <w:t>1,064.7</w:t>
            </w:r>
          </w:p>
        </w:tc>
      </w:tr>
      <w:tr w:rsidR="0041562F" w14:paraId="53029A6F" w14:textId="77777777">
        <w:tc>
          <w:tcPr>
            <w:tcW w:w="1600" w:type="dxa"/>
            <w:shd w:val="clear" w:color="auto" w:fill="FFFFFF"/>
          </w:tcPr>
          <w:p w14:paraId="6A11F96B" w14:textId="77777777" w:rsidR="0041562F" w:rsidRDefault="00000000">
            <w:r>
              <w:t>+7</w:t>
            </w:r>
          </w:p>
        </w:tc>
        <w:tc>
          <w:tcPr>
            <w:tcW w:w="2200" w:type="dxa"/>
            <w:shd w:val="clear" w:color="auto" w:fill="FFFFFF"/>
          </w:tcPr>
          <w:p w14:paraId="4E9A5DA1" w14:textId="77777777" w:rsidR="0041562F" w:rsidRDefault="00000000">
            <w:r>
              <w:t>-999.9</w:t>
            </w:r>
          </w:p>
        </w:tc>
        <w:tc>
          <w:tcPr>
            <w:tcW w:w="2200" w:type="dxa"/>
            <w:shd w:val="clear" w:color="auto" w:fill="FFFFFF"/>
          </w:tcPr>
          <w:p w14:paraId="1306C893" w14:textId="77777777" w:rsidR="0041562F" w:rsidRDefault="00000000">
            <w:r>
              <w:t>3,044.6</w:t>
            </w:r>
          </w:p>
        </w:tc>
        <w:tc>
          <w:tcPr>
            <w:tcW w:w="2200" w:type="dxa"/>
            <w:shd w:val="clear" w:color="auto" w:fill="FFFFFF"/>
          </w:tcPr>
          <w:p w14:paraId="06497623" w14:textId="77777777" w:rsidR="0041562F" w:rsidRDefault="00000000">
            <w:r>
              <w:t>-873.2</w:t>
            </w:r>
          </w:p>
        </w:tc>
        <w:tc>
          <w:tcPr>
            <w:tcW w:w="2000" w:type="dxa"/>
            <w:shd w:val="clear" w:color="auto" w:fill="FFFFFF"/>
          </w:tcPr>
          <w:p w14:paraId="4B45E22C" w14:textId="77777777" w:rsidR="0041562F" w:rsidRDefault="00000000">
            <w:r>
              <w:t>1,068.7</w:t>
            </w:r>
          </w:p>
        </w:tc>
      </w:tr>
      <w:tr w:rsidR="0041562F" w14:paraId="621B7DF8" w14:textId="77777777">
        <w:tc>
          <w:tcPr>
            <w:tcW w:w="1600" w:type="dxa"/>
            <w:shd w:val="clear" w:color="auto" w:fill="F2F2F2"/>
          </w:tcPr>
          <w:p w14:paraId="25EB761C" w14:textId="77777777" w:rsidR="0041562F" w:rsidRDefault="00000000">
            <w:r>
              <w:t>+10</w:t>
            </w:r>
          </w:p>
        </w:tc>
        <w:tc>
          <w:tcPr>
            <w:tcW w:w="2200" w:type="dxa"/>
            <w:shd w:val="clear" w:color="auto" w:fill="F2F2F2"/>
          </w:tcPr>
          <w:p w14:paraId="551EC538" w14:textId="77777777" w:rsidR="0041562F" w:rsidRDefault="00000000">
            <w:r>
              <w:t>-1,001.7</w:t>
            </w:r>
          </w:p>
        </w:tc>
        <w:tc>
          <w:tcPr>
            <w:tcW w:w="2200" w:type="dxa"/>
            <w:shd w:val="clear" w:color="auto" w:fill="F2F2F2"/>
          </w:tcPr>
          <w:p w14:paraId="1880E643" w14:textId="77777777" w:rsidR="0041562F" w:rsidRDefault="00000000">
            <w:r>
              <w:t>3,046.7</w:t>
            </w:r>
          </w:p>
        </w:tc>
        <w:tc>
          <w:tcPr>
            <w:tcW w:w="2200" w:type="dxa"/>
            <w:shd w:val="clear" w:color="auto" w:fill="F2F2F2"/>
          </w:tcPr>
          <w:p w14:paraId="240E67EA" w14:textId="77777777" w:rsidR="0041562F" w:rsidRDefault="00000000">
            <w:r>
              <w:t>-875.1</w:t>
            </w:r>
          </w:p>
        </w:tc>
        <w:tc>
          <w:tcPr>
            <w:tcW w:w="2000" w:type="dxa"/>
            <w:shd w:val="clear" w:color="auto" w:fill="F2F2F2"/>
          </w:tcPr>
          <w:p w14:paraId="57B55219" w14:textId="77777777" w:rsidR="0041562F" w:rsidRDefault="00000000">
            <w:r>
              <w:t>1,071.7</w:t>
            </w:r>
          </w:p>
        </w:tc>
      </w:tr>
    </w:tbl>
    <w:p w14:paraId="53BC7AB8" w14:textId="77777777" w:rsidR="0041562F" w:rsidRDefault="00000000">
      <w:pPr>
        <w:spacing w:after="240"/>
        <w:jc w:val="center"/>
      </w:pPr>
      <w:r>
        <w:rPr>
          <w:i/>
          <w:iCs/>
          <w:color w:val="555555"/>
          <w:sz w:val="18"/>
          <w:szCs w:val="18"/>
        </w:rPr>
        <w:t xml:space="preserve">Table 6. Unconditional 10-day forecast from the </w:t>
      </w:r>
      <w:proofErr w:type="gramStart"/>
      <w:r>
        <w:rPr>
          <w:i/>
          <w:iCs/>
          <w:color w:val="555555"/>
          <w:sz w:val="18"/>
          <w:szCs w:val="18"/>
        </w:rPr>
        <w:t>VAR(</w:t>
      </w:r>
      <w:proofErr w:type="gramEnd"/>
      <w:r>
        <w:rPr>
          <w:i/>
          <w:iCs/>
          <w:color w:val="555555"/>
          <w:sz w:val="18"/>
          <w:szCs w:val="18"/>
        </w:rPr>
        <w:t>6), point estimates only. All four series revert toward their post-burn-in means within the horizon — consistent with the stationarity finding in Section 2.</w:t>
      </w:r>
    </w:p>
    <w:p w14:paraId="00BCC6B4" w14:textId="77777777" w:rsidR="0041562F" w:rsidRDefault="00000000">
      <w:pPr>
        <w:spacing w:after="200"/>
        <w:jc w:val="center"/>
      </w:pPr>
      <w:r>
        <w:rPr>
          <w:noProof/>
        </w:rPr>
        <w:drawing>
          <wp:inline distT="0" distB="0" distL="0" distR="0" wp14:anchorId="3CF43F3B" wp14:editId="012A8C8F">
            <wp:extent cx="5143500" cy="5143500"/>
            <wp:effectExtent l="0" t="0" r="0" b="0"/>
            <wp:docPr id="1644377942" name="Picture 164437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5143500"/>
                    </a:xfrm>
                    <a:prstGeom prst="rect">
                      <a:avLst/>
                    </a:prstGeom>
                  </pic:spPr>
                </pic:pic>
              </a:graphicData>
            </a:graphic>
          </wp:inline>
        </w:drawing>
      </w:r>
    </w:p>
    <w:p w14:paraId="651FA368" w14:textId="77777777" w:rsidR="0041562F" w:rsidRDefault="00000000">
      <w:pPr>
        <w:spacing w:after="240"/>
        <w:jc w:val="center"/>
      </w:pPr>
      <w:r>
        <w:rPr>
          <w:i/>
          <w:iCs/>
          <w:color w:val="555555"/>
          <w:sz w:val="18"/>
          <w:szCs w:val="18"/>
        </w:rPr>
        <w:t>Figure 4. Last 120 days of history plus the 10-day forecast with 95% CI, all four series. Bands widen quickly — normal for a 10-step-ahead daily VAR forecast, not a diagnostic problem — and by day 10 all four series' point forecasts have reverted most of the way back to their post-burn-in means, again consistent with the stationarity result in Section 2.</w:t>
      </w:r>
    </w:p>
    <w:p w14:paraId="09CCB995" w14:textId="77777777" w:rsidR="0041562F" w:rsidRPr="003278B5" w:rsidRDefault="00000000" w:rsidP="003278B5">
      <w:pPr>
        <w:spacing w:line="360" w:lineRule="auto"/>
        <w:rPr>
          <w:color w:val="A02B93" w:themeColor="accent5"/>
          <w:sz w:val="32"/>
          <w:szCs w:val="32"/>
        </w:rPr>
      </w:pPr>
      <w:r w:rsidRPr="003278B5">
        <w:rPr>
          <w:color w:val="A02B93" w:themeColor="accent5"/>
          <w:sz w:val="32"/>
          <w:szCs w:val="32"/>
        </w:rPr>
        <w:lastRenderedPageBreak/>
        <w:t>9. Management Question, Answered</w:t>
      </w:r>
    </w:p>
    <w:p w14:paraId="0DF83E2E" w14:textId="77777777" w:rsidR="0041562F" w:rsidRPr="003278B5" w:rsidRDefault="00000000" w:rsidP="003278B5">
      <w:pPr>
        <w:spacing w:line="360" w:lineRule="auto"/>
        <w:rPr>
          <w:color w:val="124F1A" w:themeColor="accent3" w:themeShade="BF"/>
          <w:sz w:val="28"/>
          <w:szCs w:val="28"/>
        </w:rPr>
      </w:pPr>
      <w:r w:rsidRPr="003278B5">
        <w:rPr>
          <w:color w:val="124F1A" w:themeColor="accent3" w:themeShade="BF"/>
          <w:sz w:val="28"/>
          <w:szCs w:val="28"/>
        </w:rPr>
        <w:t>Which indicator should hotel managers monitor as the best early warning of occupancy changes?</w:t>
      </w:r>
    </w:p>
    <w:p w14:paraId="07763545" w14:textId="77777777" w:rsidR="0041562F" w:rsidRPr="003278B5" w:rsidRDefault="00000000" w:rsidP="003278B5">
      <w:pPr>
        <w:spacing w:after="120" w:line="360" w:lineRule="auto"/>
        <w:rPr>
          <w:sz w:val="24"/>
          <w:szCs w:val="24"/>
        </w:rPr>
      </w:pPr>
      <w:r w:rsidRPr="003278B5">
        <w:rPr>
          <w:sz w:val="24"/>
          <w:szCs w:val="24"/>
        </w:rPr>
        <w:t>Room Rate — not Tourist Demand, and not Airfare. It leads Occupancy with the largest Granger F-statistic in the table by two orders of magnitude, and it explains 96% of Occupancy's forecast-error variance beyond a one-week horizon. Tourist Demand is a real, statistically genuine second-order signal (worth tracking) but is quantitatively minor next to Rate. Airfare is not a reliable early-warning indicator here: it is statistically significant but economically small, and its direction of effect is not stable across the confidence band.</w:t>
      </w:r>
    </w:p>
    <w:p w14:paraId="41DBC9B0" w14:textId="77777777" w:rsidR="003278B5" w:rsidRDefault="003278B5">
      <w:pPr>
        <w:spacing w:after="120"/>
      </w:pPr>
    </w:p>
    <w:p w14:paraId="3CD01334" w14:textId="77777777" w:rsidR="003278B5" w:rsidRDefault="003278B5">
      <w:pPr>
        <w:spacing w:after="120"/>
      </w:pPr>
    </w:p>
    <w:p w14:paraId="5CE64147" w14:textId="77777777" w:rsidR="0041562F" w:rsidRDefault="00000000" w:rsidP="003278B5">
      <w:pPr>
        <w:rPr>
          <w:color w:val="124F1A" w:themeColor="accent3" w:themeShade="BF"/>
          <w:sz w:val="28"/>
          <w:szCs w:val="28"/>
        </w:rPr>
      </w:pPr>
      <w:r w:rsidRPr="003278B5">
        <w:rPr>
          <w:color w:val="124F1A" w:themeColor="accent3" w:themeShade="BF"/>
          <w:sz w:val="28"/>
          <w:szCs w:val="28"/>
        </w:rPr>
        <w:t>How quickly should room prices respond?</w:t>
      </w:r>
    </w:p>
    <w:p w14:paraId="0CDF112D" w14:textId="77777777" w:rsidR="003278B5" w:rsidRPr="003278B5" w:rsidRDefault="003278B5" w:rsidP="003278B5">
      <w:pPr>
        <w:rPr>
          <w:color w:val="124F1A" w:themeColor="accent3" w:themeShade="BF"/>
          <w:sz w:val="28"/>
          <w:szCs w:val="28"/>
        </w:rPr>
      </w:pPr>
    </w:p>
    <w:p w14:paraId="086316E4" w14:textId="77777777" w:rsidR="0041562F" w:rsidRPr="003278B5" w:rsidRDefault="00000000" w:rsidP="003278B5">
      <w:pPr>
        <w:spacing w:after="120" w:line="360" w:lineRule="auto"/>
        <w:rPr>
          <w:sz w:val="24"/>
          <w:szCs w:val="24"/>
        </w:rPr>
      </w:pPr>
      <w:r w:rsidRPr="003278B5">
        <w:rPr>
          <w:sz w:val="24"/>
          <w:szCs w:val="24"/>
        </w:rPr>
        <w:t>The Rate → Occupancy impulse response peaks in magnitude around day 4-5 and decays to statistical insignificance by roughly day 15 (Fig. 2). That is the effective window: a pricing change shows most of its occupancy impact within the first week and is fully worked through the system within two to three weeks. Reacting to occupancy dips with rate changes on a monthly review cycle is too slow — by the time a monthly cycle reacts, the shock that mattered has already fully propagated and faded. A 5–</w:t>
      </w:r>
      <w:proofErr w:type="gramStart"/>
      <w:r w:rsidRPr="003278B5">
        <w:rPr>
          <w:sz w:val="24"/>
          <w:szCs w:val="24"/>
        </w:rPr>
        <w:t>10 day</w:t>
      </w:r>
      <w:proofErr w:type="gramEnd"/>
      <w:r w:rsidRPr="003278B5">
        <w:rPr>
          <w:sz w:val="24"/>
          <w:szCs w:val="24"/>
        </w:rPr>
        <w:t xml:space="preserve"> review cadence matches the data-implied speed of the system.</w:t>
      </w:r>
    </w:p>
    <w:p w14:paraId="5C71D0FD" w14:textId="41F0E094" w:rsidR="0041562F" w:rsidRDefault="00000000" w:rsidP="003278B5">
      <w:pPr>
        <w:rPr>
          <w:color w:val="124F1A" w:themeColor="accent3" w:themeShade="BF"/>
          <w:sz w:val="28"/>
          <w:szCs w:val="28"/>
        </w:rPr>
      </w:pPr>
      <w:r w:rsidRPr="003278B5">
        <w:rPr>
          <w:color w:val="124F1A" w:themeColor="accent3" w:themeShade="BF"/>
          <w:sz w:val="28"/>
          <w:szCs w:val="28"/>
        </w:rPr>
        <w:t xml:space="preserve">Practical </w:t>
      </w:r>
      <w:proofErr w:type="gramStart"/>
      <w:r w:rsidRPr="003278B5">
        <w:rPr>
          <w:color w:val="124F1A" w:themeColor="accent3" w:themeShade="BF"/>
          <w:sz w:val="28"/>
          <w:szCs w:val="28"/>
        </w:rPr>
        <w:t>implication</w:t>
      </w:r>
      <w:r w:rsidR="003278B5">
        <w:rPr>
          <w:color w:val="124F1A" w:themeColor="accent3" w:themeShade="BF"/>
          <w:sz w:val="28"/>
          <w:szCs w:val="28"/>
        </w:rPr>
        <w:t xml:space="preserve"> :</w:t>
      </w:r>
      <w:proofErr w:type="gramEnd"/>
    </w:p>
    <w:p w14:paraId="745C54F8" w14:textId="77777777" w:rsidR="003278B5" w:rsidRPr="003278B5" w:rsidRDefault="003278B5" w:rsidP="003278B5">
      <w:pPr>
        <w:rPr>
          <w:color w:val="124F1A" w:themeColor="accent3" w:themeShade="BF"/>
          <w:sz w:val="28"/>
          <w:szCs w:val="28"/>
        </w:rPr>
      </w:pPr>
    </w:p>
    <w:p w14:paraId="156B618A"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Treat Room Rate as the lead control variable for occupancy management, not the lagging output of a demand forecast — the causal direction in this data runs price-first.</w:t>
      </w:r>
    </w:p>
    <w:p w14:paraId="5389A6A0"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Use Tourist Demand as a secondary, corroborating signal, not a primary trigger.</w:t>
      </w:r>
    </w:p>
    <w:p w14:paraId="62CA2A81"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Do not build an early-warning system around Airfare movements alone; the signal is too weak and too short-lived to act on in isolation.</w:t>
      </w:r>
    </w:p>
    <w:p w14:paraId="00CD83AA"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Re-run this analysis on real occupancy/rate/demand/airfare data before committing capital to a pricing-cadence change — see Section 10.</w:t>
      </w:r>
    </w:p>
    <w:p w14:paraId="2EC3C78C" w14:textId="77777777" w:rsidR="003278B5" w:rsidRDefault="003278B5">
      <w:pPr>
        <w:pStyle w:val="ListParagraph"/>
        <w:numPr>
          <w:ilvl w:val="0"/>
          <w:numId w:val="2"/>
        </w:numPr>
        <w:spacing w:after="60"/>
      </w:pPr>
    </w:p>
    <w:p w14:paraId="6740BA57" w14:textId="77777777" w:rsidR="0041562F" w:rsidRDefault="00000000" w:rsidP="003278B5">
      <w:pPr>
        <w:rPr>
          <w:color w:val="A02B93" w:themeColor="accent5"/>
          <w:sz w:val="32"/>
          <w:szCs w:val="32"/>
        </w:rPr>
      </w:pPr>
      <w:r w:rsidRPr="003278B5">
        <w:rPr>
          <w:color w:val="A02B93" w:themeColor="accent5"/>
          <w:sz w:val="32"/>
          <w:szCs w:val="32"/>
        </w:rPr>
        <w:t xml:space="preserve">10. Limitations — Read Before Acting </w:t>
      </w:r>
      <w:proofErr w:type="gramStart"/>
      <w:r w:rsidRPr="003278B5">
        <w:rPr>
          <w:color w:val="A02B93" w:themeColor="accent5"/>
          <w:sz w:val="32"/>
          <w:szCs w:val="32"/>
        </w:rPr>
        <w:t>On</w:t>
      </w:r>
      <w:proofErr w:type="gramEnd"/>
      <w:r w:rsidRPr="003278B5">
        <w:rPr>
          <w:color w:val="A02B93" w:themeColor="accent5"/>
          <w:sz w:val="32"/>
          <w:szCs w:val="32"/>
        </w:rPr>
        <w:t xml:space="preserve"> This</w:t>
      </w:r>
    </w:p>
    <w:p w14:paraId="3792AECD" w14:textId="77777777" w:rsidR="003278B5" w:rsidRPr="003278B5" w:rsidRDefault="003278B5" w:rsidP="003278B5">
      <w:pPr>
        <w:rPr>
          <w:color w:val="A02B93" w:themeColor="accent5"/>
          <w:sz w:val="32"/>
          <w:szCs w:val="32"/>
        </w:rPr>
      </w:pPr>
    </w:p>
    <w:p w14:paraId="3939948B"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This is very likely a simulated/synthetic dataset (see Section 2.1: an out-of-range 'occupancy index' running to -1,000+, plus a textbook burn-in transient). The qualitative finding — rate leads occupancy, not the reverse — is real and internally consistent, but the specific magnitudes (96% FEVD share, F-statistics in the thousands) are almost certainly larger than anything you would see in real hotel-market data, where measurement noise and omitted variables are much larger. Treat this as a methodology demonstration with a genuine directional finding, not as a number to put in a business case.</w:t>
      </w:r>
    </w:p>
    <w:p w14:paraId="71045DE1"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Granger causality ≡ predictive precedence, not proof of structural mechanism (Section 5). An omitted common driver (cost inputs, a pricing calendar, seasonality) could produce the same statistical pattern without Rate being the true structural cause.</w:t>
      </w:r>
    </w:p>
    <w:p w14:paraId="4F926238"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The Occupancy equation retains mild residual autocorrelation (Table 3) — confidence intervals for Occupancy responses are a lower bound on true uncertainty.</w:t>
      </w:r>
    </w:p>
    <w:p w14:paraId="3DCEE452" w14:textId="77777777" w:rsidR="0041562F" w:rsidRPr="003278B5" w:rsidRDefault="00000000" w:rsidP="003278B5">
      <w:pPr>
        <w:pStyle w:val="ListParagraph"/>
        <w:numPr>
          <w:ilvl w:val="0"/>
          <w:numId w:val="2"/>
        </w:numPr>
        <w:spacing w:after="60" w:line="360" w:lineRule="auto"/>
        <w:rPr>
          <w:sz w:val="24"/>
          <w:szCs w:val="24"/>
        </w:rPr>
      </w:pPr>
      <w:r w:rsidRPr="003278B5">
        <w:rPr>
          <w:sz w:val="24"/>
          <w:szCs w:val="24"/>
        </w:rPr>
        <w:t>Only 4 variables are modelled. Any real hotel-revenue system also has seasonality, competitor pricing, and macro travel demand — all omitted here by the scope of the assignment.</w:t>
      </w:r>
    </w:p>
    <w:p w14:paraId="7FDDEBAC" w14:textId="77777777" w:rsidR="003278B5" w:rsidRDefault="003278B5" w:rsidP="003278B5">
      <w:pPr>
        <w:pStyle w:val="ListParagraph"/>
        <w:spacing w:after="60"/>
        <w:ind w:left="431"/>
      </w:pPr>
    </w:p>
    <w:p w14:paraId="4519FFCC" w14:textId="77777777" w:rsidR="00EA045D" w:rsidRDefault="00000000" w:rsidP="003278B5">
      <w:pPr>
        <w:rPr>
          <w:color w:val="A02B93" w:themeColor="accent5"/>
          <w:sz w:val="32"/>
          <w:szCs w:val="32"/>
        </w:rPr>
      </w:pPr>
      <w:r w:rsidRPr="003278B5">
        <w:rPr>
          <w:color w:val="A02B93" w:themeColor="accent5"/>
          <w:sz w:val="32"/>
          <w:szCs w:val="32"/>
        </w:rPr>
        <w:t>11. Out-of-Sample Backtest — Does the Model Actually Forecast?</w:t>
      </w:r>
    </w:p>
    <w:p w14:paraId="48E233C1" w14:textId="77777777" w:rsidR="003278B5" w:rsidRPr="003278B5" w:rsidRDefault="003278B5" w:rsidP="003278B5">
      <w:pPr>
        <w:rPr>
          <w:color w:val="A02B93" w:themeColor="accent5"/>
          <w:sz w:val="32"/>
          <w:szCs w:val="32"/>
        </w:rPr>
      </w:pPr>
    </w:p>
    <w:p w14:paraId="1176FF11" w14:textId="77777777" w:rsidR="00EA045D" w:rsidRPr="003278B5" w:rsidRDefault="00000000" w:rsidP="003278B5">
      <w:pPr>
        <w:spacing w:line="360" w:lineRule="auto"/>
        <w:rPr>
          <w:sz w:val="24"/>
          <w:szCs w:val="24"/>
        </w:rPr>
      </w:pPr>
      <w:r w:rsidRPr="003278B5">
        <w:rPr>
          <w:sz w:val="24"/>
          <w:szCs w:val="24"/>
        </w:rPr>
        <w:t xml:space="preserve">Section 8 showed a 10-day forecast with confidence bands, but a forecast that only fits history known in advance is not evidence the model works. This section holds out the last 10 days, re-fits </w:t>
      </w:r>
      <w:proofErr w:type="gramStart"/>
      <w:r w:rsidRPr="003278B5">
        <w:rPr>
          <w:sz w:val="24"/>
          <w:szCs w:val="24"/>
        </w:rPr>
        <w:t>VAR(</w:t>
      </w:r>
      <w:proofErr w:type="gramEnd"/>
      <w:r w:rsidRPr="003278B5">
        <w:rPr>
          <w:sz w:val="24"/>
          <w:szCs w:val="24"/>
        </w:rPr>
        <w:t>6) on everything before that (lag re-selected on the training data only, not the full sample), forecasts forward, and checks the result against what actually happened — benchmarked against a naive “tomorrow equals today” forecast, so the VAR has to beat a trivial baseline, not just exist.</w:t>
      </w:r>
    </w:p>
    <w:p w14:paraId="64CE4EB2" w14:textId="77777777" w:rsidR="003278B5" w:rsidRDefault="003278B5"/>
    <w:p w14:paraId="02EA793F" w14:textId="77777777" w:rsidR="003278B5" w:rsidRDefault="003278B5"/>
    <w:p w14:paraId="6A391BF2" w14:textId="77777777" w:rsidR="003278B5" w:rsidRDefault="003278B5"/>
    <w:p w14:paraId="7E561447" w14:textId="77777777" w:rsidR="003278B5" w:rsidRDefault="003278B5"/>
    <w:p w14:paraId="1E637E40" w14:textId="77777777" w:rsidR="003278B5" w:rsidRDefault="003278B5"/>
    <w:p w14:paraId="147E1471" w14:textId="77777777" w:rsidR="003278B5" w:rsidRDefault="003278B5"/>
    <w:p w14:paraId="74BAE34E" w14:textId="77777777" w:rsidR="003278B5" w:rsidRDefault="003278B5"/>
    <w:p w14:paraId="17EEE917" w14:textId="77777777" w:rsidR="003278B5" w:rsidRDefault="003278B5"/>
    <w:p w14:paraId="5B52A5D5" w14:textId="77777777" w:rsidR="003278B5" w:rsidRDefault="003278B5"/>
    <w:p w14:paraId="1D23ED5E" w14:textId="77777777" w:rsidR="00EA045D" w:rsidRPr="003278B5" w:rsidRDefault="00000000" w:rsidP="003278B5">
      <w:pPr>
        <w:rPr>
          <w:color w:val="A02B93" w:themeColor="accent5"/>
          <w:sz w:val="32"/>
          <w:szCs w:val="32"/>
        </w:rPr>
      </w:pPr>
      <w:r w:rsidRPr="003278B5">
        <w:rPr>
          <w:color w:val="A02B93" w:themeColor="accent5"/>
          <w:sz w:val="32"/>
          <w:szCs w:val="32"/>
        </w:rPr>
        <w:t>11.1 Accuracy vs. a naive benchmark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250"/>
        <w:gridCol w:w="2242"/>
        <w:gridCol w:w="2241"/>
      </w:tblGrid>
      <w:tr w:rsidR="00EA045D" w:rsidRPr="003278B5" w14:paraId="17A8CD62" w14:textId="77777777">
        <w:tc>
          <w:tcPr>
            <w:tcW w:w="2340" w:type="dxa"/>
          </w:tcPr>
          <w:p w14:paraId="0655FFDA" w14:textId="77777777" w:rsidR="00EA045D" w:rsidRPr="003278B5" w:rsidRDefault="00000000" w:rsidP="003278B5">
            <w:pPr>
              <w:spacing w:line="360" w:lineRule="auto"/>
              <w:rPr>
                <w:sz w:val="24"/>
                <w:szCs w:val="24"/>
              </w:rPr>
            </w:pPr>
            <w:r w:rsidRPr="003278B5">
              <w:rPr>
                <w:sz w:val="24"/>
                <w:szCs w:val="24"/>
              </w:rPr>
              <w:lastRenderedPageBreak/>
              <w:t>Series</w:t>
            </w:r>
          </w:p>
        </w:tc>
        <w:tc>
          <w:tcPr>
            <w:tcW w:w="2340" w:type="dxa"/>
          </w:tcPr>
          <w:p w14:paraId="2C44F35C" w14:textId="77777777" w:rsidR="00EA045D" w:rsidRPr="003278B5" w:rsidRDefault="00000000" w:rsidP="003278B5">
            <w:pPr>
              <w:spacing w:line="360" w:lineRule="auto"/>
              <w:rPr>
                <w:sz w:val="24"/>
                <w:szCs w:val="24"/>
              </w:rPr>
            </w:pPr>
            <w:r w:rsidRPr="003278B5">
              <w:rPr>
                <w:sz w:val="24"/>
                <w:szCs w:val="24"/>
              </w:rPr>
              <w:t>VAR(6) RMSE</w:t>
            </w:r>
          </w:p>
        </w:tc>
        <w:tc>
          <w:tcPr>
            <w:tcW w:w="2340" w:type="dxa"/>
          </w:tcPr>
          <w:p w14:paraId="6C38EDDB" w14:textId="77777777" w:rsidR="00EA045D" w:rsidRPr="003278B5" w:rsidRDefault="00000000" w:rsidP="003278B5">
            <w:pPr>
              <w:spacing w:line="360" w:lineRule="auto"/>
              <w:rPr>
                <w:sz w:val="24"/>
                <w:szCs w:val="24"/>
              </w:rPr>
            </w:pPr>
            <w:r w:rsidRPr="003278B5">
              <w:rPr>
                <w:sz w:val="24"/>
                <w:szCs w:val="24"/>
              </w:rPr>
              <w:t>Naive RMSE</w:t>
            </w:r>
          </w:p>
        </w:tc>
        <w:tc>
          <w:tcPr>
            <w:tcW w:w="2340" w:type="dxa"/>
          </w:tcPr>
          <w:p w14:paraId="5F09D7CD" w14:textId="77777777" w:rsidR="00EA045D" w:rsidRPr="003278B5" w:rsidRDefault="00000000" w:rsidP="003278B5">
            <w:pPr>
              <w:spacing w:line="360" w:lineRule="auto"/>
              <w:rPr>
                <w:sz w:val="24"/>
                <w:szCs w:val="24"/>
              </w:rPr>
            </w:pPr>
            <w:r w:rsidRPr="003278B5">
              <w:rPr>
                <w:sz w:val="24"/>
                <w:szCs w:val="24"/>
              </w:rPr>
              <w:t>VAR beats naive?</w:t>
            </w:r>
          </w:p>
        </w:tc>
      </w:tr>
      <w:tr w:rsidR="00EA045D" w:rsidRPr="003278B5" w14:paraId="4B230406" w14:textId="77777777">
        <w:tc>
          <w:tcPr>
            <w:tcW w:w="2340" w:type="dxa"/>
          </w:tcPr>
          <w:p w14:paraId="41DBF062" w14:textId="77777777" w:rsidR="00EA045D" w:rsidRPr="003278B5" w:rsidRDefault="00000000" w:rsidP="003278B5">
            <w:pPr>
              <w:spacing w:line="360" w:lineRule="auto"/>
              <w:rPr>
                <w:sz w:val="24"/>
                <w:szCs w:val="24"/>
              </w:rPr>
            </w:pPr>
            <w:r w:rsidRPr="003278B5">
              <w:rPr>
                <w:sz w:val="24"/>
                <w:szCs w:val="24"/>
              </w:rPr>
              <w:t>Occupancy</w:t>
            </w:r>
          </w:p>
        </w:tc>
        <w:tc>
          <w:tcPr>
            <w:tcW w:w="2340" w:type="dxa"/>
          </w:tcPr>
          <w:p w14:paraId="2DA1B9E4" w14:textId="77777777" w:rsidR="00EA045D" w:rsidRPr="003278B5" w:rsidRDefault="00000000" w:rsidP="003278B5">
            <w:pPr>
              <w:spacing w:line="360" w:lineRule="auto"/>
              <w:rPr>
                <w:sz w:val="24"/>
                <w:szCs w:val="24"/>
              </w:rPr>
            </w:pPr>
            <w:r w:rsidRPr="003278B5">
              <w:rPr>
                <w:sz w:val="24"/>
                <w:szCs w:val="24"/>
              </w:rPr>
              <w:t>16.38</w:t>
            </w:r>
          </w:p>
        </w:tc>
        <w:tc>
          <w:tcPr>
            <w:tcW w:w="2340" w:type="dxa"/>
          </w:tcPr>
          <w:p w14:paraId="306534F3" w14:textId="77777777" w:rsidR="00EA045D" w:rsidRPr="003278B5" w:rsidRDefault="00000000" w:rsidP="003278B5">
            <w:pPr>
              <w:spacing w:line="360" w:lineRule="auto"/>
              <w:rPr>
                <w:sz w:val="24"/>
                <w:szCs w:val="24"/>
              </w:rPr>
            </w:pPr>
            <w:r w:rsidRPr="003278B5">
              <w:rPr>
                <w:sz w:val="24"/>
                <w:szCs w:val="24"/>
              </w:rPr>
              <w:t>27.88</w:t>
            </w:r>
          </w:p>
        </w:tc>
        <w:tc>
          <w:tcPr>
            <w:tcW w:w="2340" w:type="dxa"/>
          </w:tcPr>
          <w:p w14:paraId="35AD0EF1" w14:textId="77777777" w:rsidR="00EA045D" w:rsidRPr="003278B5" w:rsidRDefault="00000000" w:rsidP="003278B5">
            <w:pPr>
              <w:spacing w:line="360" w:lineRule="auto"/>
              <w:rPr>
                <w:sz w:val="24"/>
                <w:szCs w:val="24"/>
              </w:rPr>
            </w:pPr>
            <w:r w:rsidRPr="003278B5">
              <w:rPr>
                <w:sz w:val="24"/>
                <w:szCs w:val="24"/>
              </w:rPr>
              <w:t>Yes — 41% lower error</w:t>
            </w:r>
          </w:p>
        </w:tc>
      </w:tr>
      <w:tr w:rsidR="00EA045D" w:rsidRPr="003278B5" w14:paraId="4EAE1F47" w14:textId="77777777">
        <w:tc>
          <w:tcPr>
            <w:tcW w:w="2340" w:type="dxa"/>
          </w:tcPr>
          <w:p w14:paraId="195E372B" w14:textId="77777777" w:rsidR="00EA045D" w:rsidRPr="003278B5" w:rsidRDefault="00000000" w:rsidP="003278B5">
            <w:pPr>
              <w:spacing w:line="360" w:lineRule="auto"/>
              <w:rPr>
                <w:sz w:val="24"/>
                <w:szCs w:val="24"/>
              </w:rPr>
            </w:pPr>
            <w:r w:rsidRPr="003278B5">
              <w:rPr>
                <w:sz w:val="24"/>
                <w:szCs w:val="24"/>
              </w:rPr>
              <w:t>Room Rate</w:t>
            </w:r>
          </w:p>
        </w:tc>
        <w:tc>
          <w:tcPr>
            <w:tcW w:w="2340" w:type="dxa"/>
          </w:tcPr>
          <w:p w14:paraId="4E77300E" w14:textId="77777777" w:rsidR="00EA045D" w:rsidRPr="003278B5" w:rsidRDefault="00000000" w:rsidP="003278B5">
            <w:pPr>
              <w:spacing w:line="360" w:lineRule="auto"/>
              <w:rPr>
                <w:sz w:val="24"/>
                <w:szCs w:val="24"/>
              </w:rPr>
            </w:pPr>
            <w:r w:rsidRPr="003278B5">
              <w:rPr>
                <w:sz w:val="24"/>
                <w:szCs w:val="24"/>
              </w:rPr>
              <w:t>132.73</w:t>
            </w:r>
          </w:p>
        </w:tc>
        <w:tc>
          <w:tcPr>
            <w:tcW w:w="2340" w:type="dxa"/>
          </w:tcPr>
          <w:p w14:paraId="4D7B7535" w14:textId="77777777" w:rsidR="00EA045D" w:rsidRPr="003278B5" w:rsidRDefault="00000000" w:rsidP="003278B5">
            <w:pPr>
              <w:spacing w:line="360" w:lineRule="auto"/>
              <w:rPr>
                <w:sz w:val="24"/>
                <w:szCs w:val="24"/>
              </w:rPr>
            </w:pPr>
            <w:r w:rsidRPr="003278B5">
              <w:rPr>
                <w:sz w:val="24"/>
                <w:szCs w:val="24"/>
              </w:rPr>
              <w:t>149.55</w:t>
            </w:r>
          </w:p>
        </w:tc>
        <w:tc>
          <w:tcPr>
            <w:tcW w:w="2340" w:type="dxa"/>
          </w:tcPr>
          <w:p w14:paraId="144C5038" w14:textId="77777777" w:rsidR="00EA045D" w:rsidRPr="003278B5" w:rsidRDefault="00000000" w:rsidP="003278B5">
            <w:pPr>
              <w:spacing w:line="360" w:lineRule="auto"/>
              <w:rPr>
                <w:sz w:val="24"/>
                <w:szCs w:val="24"/>
              </w:rPr>
            </w:pPr>
            <w:r w:rsidRPr="003278B5">
              <w:rPr>
                <w:sz w:val="24"/>
                <w:szCs w:val="24"/>
              </w:rPr>
              <w:t>Yes — 11% lower error</w:t>
            </w:r>
          </w:p>
        </w:tc>
      </w:tr>
      <w:tr w:rsidR="00EA045D" w:rsidRPr="003278B5" w14:paraId="3F073F16" w14:textId="77777777">
        <w:tc>
          <w:tcPr>
            <w:tcW w:w="2340" w:type="dxa"/>
          </w:tcPr>
          <w:p w14:paraId="08F2C3B5" w14:textId="77777777" w:rsidR="00EA045D" w:rsidRPr="003278B5" w:rsidRDefault="00000000" w:rsidP="003278B5">
            <w:pPr>
              <w:spacing w:line="360" w:lineRule="auto"/>
              <w:rPr>
                <w:sz w:val="24"/>
                <w:szCs w:val="24"/>
              </w:rPr>
            </w:pPr>
            <w:r w:rsidRPr="003278B5">
              <w:rPr>
                <w:sz w:val="24"/>
                <w:szCs w:val="24"/>
              </w:rPr>
              <w:t>Tourist Demand</w:t>
            </w:r>
          </w:p>
        </w:tc>
        <w:tc>
          <w:tcPr>
            <w:tcW w:w="2340" w:type="dxa"/>
          </w:tcPr>
          <w:p w14:paraId="644AB338" w14:textId="77777777" w:rsidR="00EA045D" w:rsidRPr="003278B5" w:rsidRDefault="00000000" w:rsidP="003278B5">
            <w:pPr>
              <w:spacing w:line="360" w:lineRule="auto"/>
              <w:rPr>
                <w:sz w:val="24"/>
                <w:szCs w:val="24"/>
              </w:rPr>
            </w:pPr>
            <w:r w:rsidRPr="003278B5">
              <w:rPr>
                <w:sz w:val="24"/>
                <w:szCs w:val="24"/>
              </w:rPr>
              <w:t>23.35</w:t>
            </w:r>
          </w:p>
        </w:tc>
        <w:tc>
          <w:tcPr>
            <w:tcW w:w="2340" w:type="dxa"/>
          </w:tcPr>
          <w:p w14:paraId="20CA5B97" w14:textId="77777777" w:rsidR="00EA045D" w:rsidRPr="003278B5" w:rsidRDefault="00000000" w:rsidP="003278B5">
            <w:pPr>
              <w:spacing w:line="360" w:lineRule="auto"/>
              <w:rPr>
                <w:sz w:val="24"/>
                <w:szCs w:val="24"/>
              </w:rPr>
            </w:pPr>
            <w:r w:rsidRPr="003278B5">
              <w:rPr>
                <w:sz w:val="24"/>
                <w:szCs w:val="24"/>
              </w:rPr>
              <w:t>11.90</w:t>
            </w:r>
          </w:p>
        </w:tc>
        <w:tc>
          <w:tcPr>
            <w:tcW w:w="2340" w:type="dxa"/>
          </w:tcPr>
          <w:p w14:paraId="0E286715" w14:textId="77777777" w:rsidR="00EA045D" w:rsidRPr="003278B5" w:rsidRDefault="00000000" w:rsidP="003278B5">
            <w:pPr>
              <w:spacing w:line="360" w:lineRule="auto"/>
              <w:rPr>
                <w:sz w:val="24"/>
                <w:szCs w:val="24"/>
              </w:rPr>
            </w:pPr>
            <w:r w:rsidRPr="003278B5">
              <w:rPr>
                <w:sz w:val="24"/>
                <w:szCs w:val="24"/>
              </w:rPr>
              <w:t>No — 96% higher error</w:t>
            </w:r>
          </w:p>
        </w:tc>
      </w:tr>
      <w:tr w:rsidR="00EA045D" w:rsidRPr="003278B5" w14:paraId="3FB05345" w14:textId="77777777">
        <w:tc>
          <w:tcPr>
            <w:tcW w:w="2340" w:type="dxa"/>
          </w:tcPr>
          <w:p w14:paraId="140BFA26" w14:textId="77777777" w:rsidR="00EA045D" w:rsidRPr="003278B5" w:rsidRDefault="00000000" w:rsidP="003278B5">
            <w:pPr>
              <w:spacing w:line="360" w:lineRule="auto"/>
              <w:rPr>
                <w:sz w:val="24"/>
                <w:szCs w:val="24"/>
              </w:rPr>
            </w:pPr>
            <w:r w:rsidRPr="003278B5">
              <w:rPr>
                <w:sz w:val="24"/>
                <w:szCs w:val="24"/>
              </w:rPr>
              <w:t>Airfare</w:t>
            </w:r>
          </w:p>
        </w:tc>
        <w:tc>
          <w:tcPr>
            <w:tcW w:w="2340" w:type="dxa"/>
          </w:tcPr>
          <w:p w14:paraId="2A883E66" w14:textId="77777777" w:rsidR="00EA045D" w:rsidRPr="003278B5" w:rsidRDefault="00000000" w:rsidP="003278B5">
            <w:pPr>
              <w:spacing w:line="360" w:lineRule="auto"/>
              <w:rPr>
                <w:sz w:val="24"/>
                <w:szCs w:val="24"/>
              </w:rPr>
            </w:pPr>
            <w:r w:rsidRPr="003278B5">
              <w:rPr>
                <w:sz w:val="24"/>
                <w:szCs w:val="24"/>
              </w:rPr>
              <w:t>19.18</w:t>
            </w:r>
          </w:p>
        </w:tc>
        <w:tc>
          <w:tcPr>
            <w:tcW w:w="2340" w:type="dxa"/>
          </w:tcPr>
          <w:p w14:paraId="47CEAA8B" w14:textId="77777777" w:rsidR="00EA045D" w:rsidRPr="003278B5" w:rsidRDefault="00000000" w:rsidP="003278B5">
            <w:pPr>
              <w:spacing w:line="360" w:lineRule="auto"/>
              <w:rPr>
                <w:sz w:val="24"/>
                <w:szCs w:val="24"/>
              </w:rPr>
            </w:pPr>
            <w:r w:rsidRPr="003278B5">
              <w:rPr>
                <w:sz w:val="24"/>
                <w:szCs w:val="24"/>
              </w:rPr>
              <w:t>31.50</w:t>
            </w:r>
          </w:p>
        </w:tc>
        <w:tc>
          <w:tcPr>
            <w:tcW w:w="2340" w:type="dxa"/>
          </w:tcPr>
          <w:p w14:paraId="5E716804" w14:textId="77777777" w:rsidR="00EA045D" w:rsidRPr="003278B5" w:rsidRDefault="00000000" w:rsidP="003278B5">
            <w:pPr>
              <w:spacing w:line="360" w:lineRule="auto"/>
              <w:rPr>
                <w:sz w:val="24"/>
                <w:szCs w:val="24"/>
              </w:rPr>
            </w:pPr>
            <w:r w:rsidRPr="003278B5">
              <w:rPr>
                <w:sz w:val="24"/>
                <w:szCs w:val="24"/>
              </w:rPr>
              <w:t>Yes — 39% lower error</w:t>
            </w:r>
          </w:p>
        </w:tc>
      </w:tr>
    </w:tbl>
    <w:p w14:paraId="6A775488" w14:textId="77777777" w:rsidR="00EA045D" w:rsidRPr="003278B5" w:rsidRDefault="00000000" w:rsidP="003278B5">
      <w:pPr>
        <w:spacing w:line="360" w:lineRule="auto"/>
        <w:rPr>
          <w:sz w:val="24"/>
          <w:szCs w:val="24"/>
        </w:rPr>
      </w:pPr>
      <w:r w:rsidRPr="003278B5">
        <w:rPr>
          <w:sz w:val="24"/>
          <w:szCs w:val="24"/>
        </w:rPr>
        <w:t>Table 7. Root-mean-squared forecast error, VAR(6) vs. a naive random-walk benchmark, 10-day holdout. RMSE in index points; lower is better.</w:t>
      </w:r>
    </w:p>
    <w:p w14:paraId="7EF2D6C5" w14:textId="77777777" w:rsidR="00EA045D" w:rsidRDefault="00000000">
      <w:pPr>
        <w:jc w:val="center"/>
      </w:pPr>
      <w:r>
        <w:rPr>
          <w:noProof/>
        </w:rPr>
        <w:lastRenderedPageBreak/>
        <w:drawing>
          <wp:inline distT="0" distB="0" distL="0" distR="0" wp14:anchorId="01ADEB7C" wp14:editId="082FA414">
            <wp:extent cx="5486400" cy="6035040"/>
            <wp:effectExtent l="0" t="0" r="0" b="0"/>
            <wp:docPr id="1806538853" name="Picture 180653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acktest_plot.png"/>
                    <pic:cNvPicPr/>
                  </pic:nvPicPr>
                  <pic:blipFill>
                    <a:blip r:embed="rId13"/>
                    <a:stretch>
                      <a:fillRect/>
                    </a:stretch>
                  </pic:blipFill>
                  <pic:spPr>
                    <a:xfrm>
                      <a:off x="0" y="0"/>
                      <a:ext cx="5486400" cy="6035040"/>
                    </a:xfrm>
                    <a:prstGeom prst="rect">
                      <a:avLst/>
                    </a:prstGeom>
                  </pic:spPr>
                </pic:pic>
              </a:graphicData>
            </a:graphic>
          </wp:inline>
        </w:drawing>
      </w:r>
    </w:p>
    <w:p w14:paraId="45263CF3" w14:textId="77777777" w:rsidR="00EA045D" w:rsidRDefault="00000000">
      <w:pPr>
        <w:rPr>
          <w:i/>
        </w:rPr>
      </w:pPr>
      <w:r>
        <w:rPr>
          <w:i/>
        </w:rPr>
        <w:t xml:space="preserve">Figure 5. Actual vs. </w:t>
      </w:r>
      <w:proofErr w:type="gramStart"/>
      <w:r>
        <w:rPr>
          <w:i/>
        </w:rPr>
        <w:t>VAR(</w:t>
      </w:r>
      <w:proofErr w:type="gramEnd"/>
      <w:r>
        <w:rPr>
          <w:i/>
        </w:rPr>
        <w:t>6) forecast vs. naive benchmark, 10-day holdout (last 40 training days shown for context).</w:t>
      </w:r>
    </w:p>
    <w:p w14:paraId="4E0DCFEE" w14:textId="77777777" w:rsidR="003278B5" w:rsidRDefault="003278B5"/>
    <w:p w14:paraId="66FD1A01" w14:textId="77777777" w:rsidR="00EA045D" w:rsidRDefault="00000000" w:rsidP="003278B5">
      <w:pPr>
        <w:rPr>
          <w:color w:val="A02B93" w:themeColor="accent5"/>
          <w:sz w:val="32"/>
          <w:szCs w:val="32"/>
        </w:rPr>
      </w:pPr>
      <w:r w:rsidRPr="003278B5">
        <w:rPr>
          <w:color w:val="A02B93" w:themeColor="accent5"/>
          <w:sz w:val="32"/>
          <w:szCs w:val="32"/>
        </w:rPr>
        <w:t>11.2 Reading the result honestly</w:t>
      </w:r>
    </w:p>
    <w:p w14:paraId="1E4AD07F" w14:textId="77777777" w:rsidR="003278B5" w:rsidRPr="003278B5" w:rsidRDefault="003278B5" w:rsidP="003278B5">
      <w:pPr>
        <w:rPr>
          <w:color w:val="A02B93" w:themeColor="accent5"/>
          <w:sz w:val="32"/>
          <w:szCs w:val="32"/>
        </w:rPr>
      </w:pPr>
    </w:p>
    <w:p w14:paraId="16DB8F81" w14:textId="77777777" w:rsidR="00EA045D" w:rsidRPr="003278B5" w:rsidRDefault="00000000" w:rsidP="003278B5">
      <w:pPr>
        <w:spacing w:line="360" w:lineRule="auto"/>
        <w:rPr>
          <w:sz w:val="24"/>
          <w:szCs w:val="24"/>
        </w:rPr>
      </w:pPr>
      <w:r w:rsidRPr="003278B5">
        <w:rPr>
          <w:sz w:val="24"/>
          <w:szCs w:val="24"/>
        </w:rPr>
        <w:t>The model beats the naive benchmark on three of four series — Occupancy, Room Rate and Airfare all forecast measurably better than “tomorrow equals today.” That is a real, checkable result: the VAR is not just fitting noise, it captures dynamics a trivial baseline misses.</w:t>
      </w:r>
    </w:p>
    <w:p w14:paraId="001CF400" w14:textId="77777777" w:rsidR="00EA045D" w:rsidRPr="003278B5" w:rsidRDefault="00000000" w:rsidP="003278B5">
      <w:pPr>
        <w:spacing w:line="360" w:lineRule="auto"/>
        <w:rPr>
          <w:sz w:val="24"/>
          <w:szCs w:val="24"/>
        </w:rPr>
      </w:pPr>
      <w:r w:rsidRPr="003278B5">
        <w:rPr>
          <w:sz w:val="24"/>
          <w:szCs w:val="24"/>
        </w:rPr>
        <w:t xml:space="preserve">On Tourist Demand, it does not. The naive benchmark has 96% lower error over this particular 10-day window. Figure 5 shows why: actual Demand kept oscillating sharply through the </w:t>
      </w:r>
      <w:r w:rsidRPr="003278B5">
        <w:rPr>
          <w:sz w:val="24"/>
          <w:szCs w:val="24"/>
        </w:rPr>
        <w:lastRenderedPageBreak/>
        <w:t>holdout period, while the VAR forecast reverted smoothly toward the mean — correct on average, wrong on the specific path. A flat recent trend happened to make the naive forecast look better by luck of this particular window, not because Demand is inherently unforecastable; a different holdout period could reverse this. Either way, the honest statement is: this model should not be trusted for short-horizon Demand forecasts as configured, even though it is usable for Occupancy, Rate and Airfare.</w:t>
      </w:r>
    </w:p>
    <w:p w14:paraId="71C956F3" w14:textId="77777777" w:rsidR="00EA045D" w:rsidRPr="003278B5" w:rsidRDefault="00000000" w:rsidP="003278B5">
      <w:pPr>
        <w:spacing w:line="360" w:lineRule="auto"/>
        <w:rPr>
          <w:sz w:val="24"/>
          <w:szCs w:val="24"/>
        </w:rPr>
      </w:pPr>
      <w:r w:rsidRPr="003278B5">
        <w:rPr>
          <w:sz w:val="24"/>
          <w:szCs w:val="24"/>
        </w:rPr>
        <w:t>This does not weaken the Section 5 finding that Rate Granger-causes the other three series — that is a claim about lead-lag structure across the full sample, tested with in-sample F-tests. This section is a claim about forecast accuracy on unseen data. The two can and do point in different directions for the same variable, and reporting both is what makes the model's claims checkable rather than asserted.</w:t>
      </w:r>
    </w:p>
    <w:p w14:paraId="61727AEC" w14:textId="77777777" w:rsidR="003278B5" w:rsidRDefault="003278B5"/>
    <w:p w14:paraId="541995E6" w14:textId="1D0ABE3E" w:rsidR="00EA045D" w:rsidRPr="003278B5" w:rsidRDefault="00000000" w:rsidP="003278B5">
      <w:pPr>
        <w:rPr>
          <w:color w:val="A02B93" w:themeColor="accent5"/>
          <w:sz w:val="32"/>
          <w:szCs w:val="32"/>
        </w:rPr>
      </w:pPr>
      <w:r w:rsidRPr="003278B5">
        <w:rPr>
          <w:color w:val="A02B93" w:themeColor="accent5"/>
          <w:sz w:val="32"/>
          <w:szCs w:val="32"/>
        </w:rPr>
        <w:t xml:space="preserve">11.3 What </w:t>
      </w:r>
      <w:r w:rsidR="003278B5" w:rsidRPr="003278B5">
        <w:rPr>
          <w:color w:val="A02B93" w:themeColor="accent5"/>
          <w:sz w:val="32"/>
          <w:szCs w:val="32"/>
        </w:rPr>
        <w:t>these changes</w:t>
      </w:r>
      <w:r w:rsidRPr="003278B5">
        <w:rPr>
          <w:color w:val="A02B93" w:themeColor="accent5"/>
          <w:sz w:val="32"/>
          <w:szCs w:val="32"/>
        </w:rPr>
        <w:t xml:space="preserve"> about Section 8</w:t>
      </w:r>
    </w:p>
    <w:p w14:paraId="32964920" w14:textId="77777777" w:rsidR="003278B5" w:rsidRDefault="003278B5">
      <w:pPr>
        <w:pStyle w:val="Heading2"/>
      </w:pPr>
    </w:p>
    <w:p w14:paraId="749876E3" w14:textId="77777777" w:rsidR="00EA045D" w:rsidRPr="003278B5" w:rsidRDefault="00000000" w:rsidP="003278B5">
      <w:pPr>
        <w:pStyle w:val="ListParagraph"/>
        <w:spacing w:line="360" w:lineRule="auto"/>
        <w:rPr>
          <w:sz w:val="22"/>
          <w:szCs w:val="22"/>
        </w:rPr>
      </w:pPr>
      <w:r w:rsidRPr="003278B5">
        <w:rPr>
          <w:sz w:val="22"/>
          <w:szCs w:val="22"/>
        </w:rPr>
        <w:t>Treat the 10-day point forecast in Section 8 as indicative for Occupancy, Rate and Airfare, where the model has demonstrated skill over a naive baseline.</w:t>
      </w:r>
    </w:p>
    <w:p w14:paraId="1815D69B" w14:textId="77777777" w:rsidR="00EA045D" w:rsidRPr="003278B5" w:rsidRDefault="00000000" w:rsidP="003278B5">
      <w:pPr>
        <w:pStyle w:val="ListParagraph"/>
        <w:spacing w:line="360" w:lineRule="auto"/>
        <w:rPr>
          <w:sz w:val="22"/>
          <w:szCs w:val="22"/>
        </w:rPr>
      </w:pPr>
      <w:r w:rsidRPr="003278B5">
        <w:rPr>
          <w:sz w:val="22"/>
          <w:szCs w:val="22"/>
        </w:rPr>
        <w:t>Do not use this VAR's Demand forecast in isolation for any operational decision — it underperformed a trivial baseline on the one holdout window tested here.</w:t>
      </w:r>
    </w:p>
    <w:p w14:paraId="18D6C0C4" w14:textId="77777777" w:rsidR="00EA045D" w:rsidRPr="003278B5" w:rsidRDefault="00000000" w:rsidP="003278B5">
      <w:pPr>
        <w:pStyle w:val="ListParagraph"/>
        <w:spacing w:line="360" w:lineRule="auto"/>
        <w:rPr>
          <w:sz w:val="22"/>
          <w:szCs w:val="22"/>
        </w:rPr>
      </w:pPr>
      <w:r w:rsidRPr="003278B5">
        <w:rPr>
          <w:sz w:val="22"/>
          <w:szCs w:val="22"/>
        </w:rPr>
        <w:t>Before any real deployment, repeat this backtest on multiple holdout windows (rolling-origin backtesting), not just the last 10 days — a single window is a sanity check, not proof of generalization.</w:t>
      </w:r>
    </w:p>
    <w:sectPr w:rsidR="00EA045D" w:rsidRPr="003278B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3437" w14:textId="77777777" w:rsidR="004A4E06" w:rsidRDefault="004A4E06">
      <w:r>
        <w:separator/>
      </w:r>
    </w:p>
  </w:endnote>
  <w:endnote w:type="continuationSeparator" w:id="0">
    <w:p w14:paraId="6747E5F6" w14:textId="77777777" w:rsidR="004A4E06" w:rsidRDefault="004A4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044" w14:textId="77777777" w:rsidR="0041562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E084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9B5B" w14:textId="77777777" w:rsidR="004A4E06" w:rsidRDefault="004A4E06">
      <w:r>
        <w:separator/>
      </w:r>
    </w:p>
  </w:footnote>
  <w:footnote w:type="continuationSeparator" w:id="0">
    <w:p w14:paraId="01252736" w14:textId="77777777" w:rsidR="004A4E06" w:rsidRDefault="004A4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7527" w14:textId="770CDECD" w:rsidR="0041562F" w:rsidRPr="008E2578" w:rsidRDefault="008E2578">
    <w:pPr>
      <w:jc w:val="right"/>
      <w:rPr>
        <w:color w:val="E97132" w:themeColor="accent2"/>
        <w:sz w:val="24"/>
        <w:szCs w:val="24"/>
      </w:rPr>
    </w:pPr>
    <w:r w:rsidRPr="008E2578">
      <w:rPr>
        <w:color w:val="E97132" w:themeColor="accent2"/>
        <w:sz w:val="24"/>
        <w:szCs w:val="24"/>
      </w:rPr>
      <w:t>Name: Guruganesh Hegde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EAA"/>
    <w:multiLevelType w:val="hybridMultilevel"/>
    <w:tmpl w:val="89B086C8"/>
    <w:lvl w:ilvl="0" w:tplc="4AF4F83A">
      <w:start w:val="1"/>
      <w:numFmt w:val="bullet"/>
      <w:lvlText w:val="•"/>
      <w:lvlJc w:val="left"/>
      <w:pPr>
        <w:ind w:left="431" w:hanging="259"/>
      </w:pPr>
    </w:lvl>
    <w:lvl w:ilvl="1" w:tplc="4EA2236C">
      <w:numFmt w:val="decimal"/>
      <w:lvlText w:val=""/>
      <w:lvlJc w:val="left"/>
    </w:lvl>
    <w:lvl w:ilvl="2" w:tplc="5C00C300">
      <w:numFmt w:val="decimal"/>
      <w:lvlText w:val=""/>
      <w:lvlJc w:val="left"/>
    </w:lvl>
    <w:lvl w:ilvl="3" w:tplc="759425CA">
      <w:numFmt w:val="decimal"/>
      <w:lvlText w:val=""/>
      <w:lvlJc w:val="left"/>
    </w:lvl>
    <w:lvl w:ilvl="4" w:tplc="293E9D3C">
      <w:numFmt w:val="decimal"/>
      <w:lvlText w:val=""/>
      <w:lvlJc w:val="left"/>
    </w:lvl>
    <w:lvl w:ilvl="5" w:tplc="A9EE810C">
      <w:numFmt w:val="decimal"/>
      <w:lvlText w:val=""/>
      <w:lvlJc w:val="left"/>
    </w:lvl>
    <w:lvl w:ilvl="6" w:tplc="386034D0">
      <w:numFmt w:val="decimal"/>
      <w:lvlText w:val=""/>
      <w:lvlJc w:val="left"/>
    </w:lvl>
    <w:lvl w:ilvl="7" w:tplc="9E94406A">
      <w:numFmt w:val="decimal"/>
      <w:lvlText w:val=""/>
      <w:lvlJc w:val="left"/>
    </w:lvl>
    <w:lvl w:ilvl="8" w:tplc="938C0DA6">
      <w:numFmt w:val="decimal"/>
      <w:lvlText w:val=""/>
      <w:lvlJc w:val="left"/>
    </w:lvl>
  </w:abstractNum>
  <w:abstractNum w:abstractNumId="1" w15:restartNumberingAfterBreak="0">
    <w:nsid w:val="155A62CD"/>
    <w:multiLevelType w:val="hybridMultilevel"/>
    <w:tmpl w:val="5628B7E4"/>
    <w:lvl w:ilvl="0" w:tplc="2E1086FA">
      <w:start w:val="1"/>
      <w:numFmt w:val="bullet"/>
      <w:lvlText w:val="●"/>
      <w:lvlJc w:val="left"/>
      <w:pPr>
        <w:ind w:left="720" w:hanging="360"/>
      </w:pPr>
    </w:lvl>
    <w:lvl w:ilvl="1" w:tplc="A9F6EB80">
      <w:start w:val="1"/>
      <w:numFmt w:val="bullet"/>
      <w:lvlText w:val="○"/>
      <w:lvlJc w:val="left"/>
      <w:pPr>
        <w:ind w:left="1440" w:hanging="360"/>
      </w:pPr>
    </w:lvl>
    <w:lvl w:ilvl="2" w:tplc="53DCB020">
      <w:start w:val="1"/>
      <w:numFmt w:val="bullet"/>
      <w:lvlText w:val="■"/>
      <w:lvlJc w:val="left"/>
      <w:pPr>
        <w:ind w:left="2160" w:hanging="360"/>
      </w:pPr>
    </w:lvl>
    <w:lvl w:ilvl="3" w:tplc="696A9126">
      <w:start w:val="1"/>
      <w:numFmt w:val="bullet"/>
      <w:lvlText w:val="●"/>
      <w:lvlJc w:val="left"/>
      <w:pPr>
        <w:ind w:left="2880" w:hanging="360"/>
      </w:pPr>
    </w:lvl>
    <w:lvl w:ilvl="4" w:tplc="EA14A126">
      <w:start w:val="1"/>
      <w:numFmt w:val="bullet"/>
      <w:lvlText w:val="○"/>
      <w:lvlJc w:val="left"/>
      <w:pPr>
        <w:ind w:left="3600" w:hanging="360"/>
      </w:pPr>
    </w:lvl>
    <w:lvl w:ilvl="5" w:tplc="A2D65AE0">
      <w:start w:val="1"/>
      <w:numFmt w:val="bullet"/>
      <w:lvlText w:val="■"/>
      <w:lvlJc w:val="left"/>
      <w:pPr>
        <w:ind w:left="4320" w:hanging="360"/>
      </w:pPr>
    </w:lvl>
    <w:lvl w:ilvl="6" w:tplc="957AE006">
      <w:start w:val="1"/>
      <w:numFmt w:val="bullet"/>
      <w:lvlText w:val="●"/>
      <w:lvlJc w:val="left"/>
      <w:pPr>
        <w:ind w:left="5040" w:hanging="360"/>
      </w:pPr>
    </w:lvl>
    <w:lvl w:ilvl="7" w:tplc="C492A002">
      <w:start w:val="1"/>
      <w:numFmt w:val="bullet"/>
      <w:lvlText w:val="●"/>
      <w:lvlJc w:val="left"/>
      <w:pPr>
        <w:ind w:left="5760" w:hanging="360"/>
      </w:pPr>
    </w:lvl>
    <w:lvl w:ilvl="8" w:tplc="1B388978">
      <w:start w:val="1"/>
      <w:numFmt w:val="bullet"/>
      <w:lvlText w:val="●"/>
      <w:lvlJc w:val="left"/>
      <w:pPr>
        <w:ind w:left="6480" w:hanging="360"/>
      </w:pPr>
    </w:lvl>
  </w:abstractNum>
  <w:num w:numId="1" w16cid:durableId="691882822">
    <w:abstractNumId w:val="1"/>
    <w:lvlOverride w:ilvl="0">
      <w:startOverride w:val="1"/>
    </w:lvlOverride>
  </w:num>
  <w:num w:numId="2" w16cid:durableId="220990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2F"/>
    <w:rsid w:val="00074986"/>
    <w:rsid w:val="003278B5"/>
    <w:rsid w:val="0041562F"/>
    <w:rsid w:val="004A4E06"/>
    <w:rsid w:val="00553E88"/>
    <w:rsid w:val="008E084F"/>
    <w:rsid w:val="008E2578"/>
    <w:rsid w:val="009D151B"/>
    <w:rsid w:val="00BF53D5"/>
    <w:rsid w:val="00EA0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EC2D8"/>
  <w15:docId w15:val="{0A4BB730-8C91-48B5-B6A5-21454103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78B5"/>
    <w:pPr>
      <w:tabs>
        <w:tab w:val="center" w:pos="4513"/>
        <w:tab w:val="right" w:pos="9026"/>
      </w:tabs>
    </w:pPr>
  </w:style>
  <w:style w:type="character" w:customStyle="1" w:styleId="HeaderChar">
    <w:name w:val="Header Char"/>
    <w:basedOn w:val="DefaultParagraphFont"/>
    <w:link w:val="Header"/>
    <w:uiPriority w:val="99"/>
    <w:rsid w:val="003278B5"/>
  </w:style>
  <w:style w:type="paragraph" w:styleId="Footer">
    <w:name w:val="footer"/>
    <w:basedOn w:val="Normal"/>
    <w:link w:val="FooterChar"/>
    <w:uiPriority w:val="99"/>
    <w:unhideWhenUsed/>
    <w:rsid w:val="003278B5"/>
    <w:pPr>
      <w:tabs>
        <w:tab w:val="center" w:pos="4513"/>
        <w:tab w:val="right" w:pos="9026"/>
      </w:tabs>
    </w:pPr>
  </w:style>
  <w:style w:type="character" w:customStyle="1" w:styleId="FooterChar">
    <w:name w:val="Footer Char"/>
    <w:basedOn w:val="DefaultParagraphFont"/>
    <w:link w:val="Footer"/>
    <w:uiPriority w:val="99"/>
    <w:rsid w:val="00327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343AF-2BA9-4E56-9BF3-E4E1A318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14</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Guruganesh Hegde</cp:lastModifiedBy>
  <cp:revision>3</cp:revision>
  <dcterms:created xsi:type="dcterms:W3CDTF">2026-09-10T09:19:00Z</dcterms:created>
  <dcterms:modified xsi:type="dcterms:W3CDTF">2026-09-14T18:30:00Z</dcterms:modified>
</cp:coreProperties>
</file>