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SOLUTION REQUIREMENTS</w:t>
      </w:r>
    </w:p>
    <w:p>
      <w:pPr>
        <w:jc w:val="center"/>
      </w:pPr>
      <w:r>
        <w:rPr>
          <w:b/>
        </w:rPr>
        <w:t>Project: FitBuddy – AI Fitness Plan Generator using Gemini Models</w:t>
      </w:r>
    </w:p>
    <w:tbl>
      <w:tblPr>
        <w:tblStyle w:val="TableGrid"/>
        <w:tblW w:type="auto" w:w="0"/>
        <w:tblLook w:firstColumn="1" w:firstRow="1" w:lastColumn="0" w:lastRow="0" w:noHBand="0" w:noVBand="1" w:val="04A0"/>
      </w:tblPr>
      <w:tblGrid>
        <w:gridCol w:w="5184"/>
        <w:gridCol w:w="5184"/>
      </w:tblGrid>
      <w:tr>
        <w:trPr>
          <w:tblHeader w:val="true"/>
        </w:trPr>
        <w:tc>
          <w:tcPr>
            <w:tcW w:type="dxa" w:w="5184"/>
          </w:tcPr>
          <w:p>
            <w:r>
              <w:rPr>
                <w:rFonts w:ascii="Arial" w:hAnsi="Arial"/>
                <w:sz w:val="18"/>
              </w:rPr>
              <w:t>Date</w:t>
            </w:r>
          </w:p>
        </w:tc>
        <w:tc>
          <w:tcPr>
            <w:tcW w:type="dxa" w:w="5184"/>
          </w:tcPr>
          <w:p>
            <w:r>
              <w:rPr>
                <w:rFonts w:ascii="Arial" w:hAnsi="Arial"/>
                <w:sz w:val="18"/>
              </w:rPr>
              <w:t>29 September 2026</w:t>
            </w:r>
          </w:p>
        </w:tc>
      </w:tr>
      <w:tr>
        <w:tc>
          <w:tcPr>
            <w:tcW w:type="dxa" w:w="5184"/>
          </w:tcPr>
          <w:p>
            <w:r>
              <w:rPr>
                <w:rFonts w:ascii="Arial" w:hAnsi="Arial"/>
                <w:sz w:val="18"/>
              </w:rPr>
              <w:t>Team ID</w:t>
            </w:r>
          </w:p>
        </w:tc>
        <w:tc>
          <w:tcPr>
            <w:tcW w:type="dxa" w:w="5184"/>
          </w:tcPr>
          <w:p>
            <w:r>
              <w:rPr>
                <w:rFonts w:ascii="Arial" w:hAnsi="Arial"/>
                <w:sz w:val="18"/>
              </w:rPr>
              <w:t>Not provided</w:t>
            </w:r>
          </w:p>
        </w:tc>
      </w:tr>
    </w:tbl>
    <w:p>
      <w:r>
        <w:t>Maximum Marks: 4 Marks</w:t>
      </w:r>
    </w:p>
    <w:p>
      <w:pPr>
        <w:pStyle w:val="Heading1"/>
      </w:pPr>
      <w:r>
        <w:t>Define Functional and Non-Functional Requirements</w:t>
      </w:r>
    </w:p>
    <w:p>
      <w:r>
        <w:t>This document defines what FitBuddy does (Functional Requirements) and the quality criteria that guide how it operates (Non-Functional Requirements). The requirements below are based on the supplied FitBuddy project description. Where the project document does not specify a measurable target, the acceptance criterion is described as a proposed target or a qualitative criterion.</w:t>
      </w:r>
    </w:p>
    <w:p>
      <w:pPr>
        <w:pStyle w:val="Heading1"/>
      </w:pPr>
      <w:r>
        <w:t>Step 1: Functional Requirements (FR)</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tcPr>
          <w:p>
            <w:r>
              <w:rPr>
                <w:rFonts w:ascii="Arial" w:hAnsi="Arial"/>
                <w:b/>
                <w:sz w:val="16"/>
              </w:rPr>
              <w:t>S.No</w:t>
            </w:r>
          </w:p>
        </w:tc>
        <w:tc>
          <w:tcPr>
            <w:tcW w:type="dxa" w:w="2592"/>
          </w:tcPr>
          <w:p>
            <w:r>
              <w:rPr>
                <w:rFonts w:ascii="Arial" w:hAnsi="Arial"/>
                <w:b/>
                <w:sz w:val="16"/>
              </w:rPr>
              <w:t>Requirement Category</w:t>
            </w:r>
          </w:p>
        </w:tc>
        <w:tc>
          <w:tcPr>
            <w:tcW w:type="dxa" w:w="2592"/>
          </w:tcPr>
          <w:p>
            <w:r>
              <w:rPr>
                <w:rFonts w:ascii="Arial" w:hAnsi="Arial"/>
                <w:b/>
                <w:sz w:val="16"/>
              </w:rPr>
              <w:t>Requirement Description</w:t>
            </w:r>
          </w:p>
        </w:tc>
        <w:tc>
          <w:tcPr>
            <w:tcW w:type="dxa" w:w="2592"/>
          </w:tcPr>
          <w:p>
            <w:r>
              <w:rPr>
                <w:rFonts w:ascii="Arial" w:hAnsi="Arial"/>
                <w:b/>
                <w:sz w:val="16"/>
              </w:rPr>
              <w:t>Priority</w:t>
            </w:r>
          </w:p>
        </w:tc>
      </w:tr>
      <w:tr>
        <w:tc>
          <w:tcPr>
            <w:tcW w:type="dxa" w:w="2592"/>
          </w:tcPr>
          <w:p>
            <w:r>
              <w:rPr>
                <w:rFonts w:ascii="Arial" w:hAnsi="Arial"/>
                <w:sz w:val="16"/>
              </w:rPr>
              <w:t>1</w:t>
            </w:r>
          </w:p>
        </w:tc>
        <w:tc>
          <w:tcPr>
            <w:tcW w:type="dxa" w:w="2592"/>
          </w:tcPr>
          <w:p>
            <w:r>
              <w:rPr>
                <w:rFonts w:ascii="Arial" w:hAnsi="Arial"/>
                <w:sz w:val="16"/>
              </w:rPr>
              <w:t>Authentication</w:t>
            </w:r>
          </w:p>
        </w:tc>
        <w:tc>
          <w:tcPr>
            <w:tcW w:type="dxa" w:w="2592"/>
          </w:tcPr>
          <w:p>
            <w:r>
              <w:rPr>
                <w:rFonts w:ascii="Arial" w:hAnsi="Arial"/>
                <w:sz w:val="16"/>
              </w:rPr>
              <w:t>The application collects a user ID and personal fitness details. The supplied project description does not specify a login, password, or identity-verification mechanism; authentication is therefore not documented as implemented.</w:t>
            </w:r>
          </w:p>
        </w:tc>
        <w:tc>
          <w:tcPr>
            <w:tcW w:type="dxa" w:w="2592"/>
          </w:tcPr>
          <w:p>
            <w:r>
              <w:rPr>
                <w:rFonts w:ascii="Arial" w:hAnsi="Arial"/>
                <w:sz w:val="16"/>
              </w:rPr>
              <w:t>Medium</w:t>
            </w:r>
          </w:p>
        </w:tc>
      </w:tr>
      <w:tr>
        <w:tc>
          <w:tcPr>
            <w:tcW w:type="dxa" w:w="2592"/>
          </w:tcPr>
          <w:p>
            <w:r>
              <w:rPr>
                <w:rFonts w:ascii="Arial" w:hAnsi="Arial"/>
                <w:sz w:val="16"/>
              </w:rPr>
              <w:t>2</w:t>
            </w:r>
          </w:p>
        </w:tc>
        <w:tc>
          <w:tcPr>
            <w:tcW w:type="dxa" w:w="2592"/>
          </w:tcPr>
          <w:p>
            <w:r>
              <w:rPr>
                <w:rFonts w:ascii="Arial" w:hAnsi="Arial"/>
                <w:sz w:val="16"/>
              </w:rPr>
              <w:t>Authorization levels</w:t>
            </w:r>
          </w:p>
        </w:tc>
        <w:tc>
          <w:tcPr>
            <w:tcW w:type="dxa" w:w="2592"/>
          </w:tcPr>
          <w:p>
            <w:r>
              <w:rPr>
                <w:rFonts w:ascii="Arial" w:hAnsi="Arial"/>
                <w:sz w:val="16"/>
              </w:rPr>
              <w:t>The system provides an administrator/coach view at /view-all-users to review registered users and their original and updated workout plans. Role-based login and permission enforcement are not specified in the project document.</w:t>
            </w:r>
          </w:p>
        </w:tc>
        <w:tc>
          <w:tcPr>
            <w:tcW w:type="dxa" w:w="2592"/>
          </w:tcPr>
          <w:p>
            <w:r>
              <w:rPr>
                <w:rFonts w:ascii="Arial" w:hAnsi="Arial"/>
                <w:sz w:val="16"/>
              </w:rPr>
              <w:t>High</w:t>
            </w:r>
          </w:p>
        </w:tc>
      </w:tr>
      <w:tr>
        <w:tc>
          <w:tcPr>
            <w:tcW w:type="dxa" w:w="2592"/>
          </w:tcPr>
          <w:p>
            <w:r>
              <w:rPr>
                <w:rFonts w:ascii="Arial" w:hAnsi="Arial"/>
                <w:sz w:val="16"/>
              </w:rPr>
              <w:t>3</w:t>
            </w:r>
          </w:p>
        </w:tc>
        <w:tc>
          <w:tcPr>
            <w:tcW w:type="dxa" w:w="2592"/>
          </w:tcPr>
          <w:p>
            <w:r>
              <w:rPr>
                <w:rFonts w:ascii="Arial" w:hAnsi="Arial"/>
                <w:sz w:val="16"/>
              </w:rPr>
              <w:t>External interfaces</w:t>
            </w:r>
          </w:p>
        </w:tc>
        <w:tc>
          <w:tcPr>
            <w:tcW w:type="dxa" w:w="2592"/>
          </w:tcPr>
          <w:p>
            <w:r>
              <w:rPr>
                <w:rFonts w:ascii="Arial" w:hAnsi="Arial"/>
                <w:sz w:val="16"/>
              </w:rPr>
              <w:t>Integrate Google Gemini 1.5 Pro for generating and updating 7-day workout plans, and Gemini Flash for nutrition/recovery tips. FastAPI exposes application routes and interactive API documentation at /docs.</w:t>
            </w:r>
          </w:p>
        </w:tc>
        <w:tc>
          <w:tcPr>
            <w:tcW w:type="dxa" w:w="2592"/>
          </w:tcPr>
          <w:p>
            <w:r>
              <w:rPr>
                <w:rFonts w:ascii="Arial" w:hAnsi="Arial"/>
                <w:sz w:val="16"/>
              </w:rPr>
              <w:t>High</w:t>
            </w:r>
          </w:p>
        </w:tc>
      </w:tr>
      <w:tr>
        <w:tc>
          <w:tcPr>
            <w:tcW w:type="dxa" w:w="2592"/>
          </w:tcPr>
          <w:p>
            <w:r>
              <w:rPr>
                <w:rFonts w:ascii="Arial" w:hAnsi="Arial"/>
                <w:sz w:val="16"/>
              </w:rPr>
              <w:t>4</w:t>
            </w:r>
          </w:p>
        </w:tc>
        <w:tc>
          <w:tcPr>
            <w:tcW w:type="dxa" w:w="2592"/>
          </w:tcPr>
          <w:p>
            <w:r>
              <w:rPr>
                <w:rFonts w:ascii="Arial" w:hAnsi="Arial"/>
                <w:sz w:val="16"/>
              </w:rPr>
              <w:t>Transactions processing</w:t>
            </w:r>
          </w:p>
        </w:tc>
        <w:tc>
          <w:tcPr>
            <w:tcW w:type="dxa" w:w="2592"/>
          </w:tcPr>
          <w:p>
            <w:r>
              <w:rPr>
                <w:rFonts w:ascii="Arial" w:hAnsi="Arial"/>
                <w:sz w:val="16"/>
              </w:rPr>
              <w:t>Accept form inputs through FastAPI, validate input structure using Pydantic schemas, generate AI responses, and save user information and plans to SQLite through SQLAlchemy. Feedback updates are stored separately from the original plan.</w:t>
            </w:r>
          </w:p>
        </w:tc>
        <w:tc>
          <w:tcPr>
            <w:tcW w:type="dxa" w:w="2592"/>
          </w:tcPr>
          <w:p>
            <w:r>
              <w:rPr>
                <w:rFonts w:ascii="Arial" w:hAnsi="Arial"/>
                <w:sz w:val="16"/>
              </w:rPr>
              <w:t>High</w:t>
            </w:r>
          </w:p>
        </w:tc>
      </w:tr>
      <w:tr>
        <w:tc>
          <w:tcPr>
            <w:tcW w:type="dxa" w:w="2592"/>
          </w:tcPr>
          <w:p>
            <w:r>
              <w:rPr>
                <w:rFonts w:ascii="Arial" w:hAnsi="Arial"/>
                <w:sz w:val="16"/>
              </w:rPr>
              <w:t>5</w:t>
            </w:r>
          </w:p>
        </w:tc>
        <w:tc>
          <w:tcPr>
            <w:tcW w:type="dxa" w:w="2592"/>
          </w:tcPr>
          <w:p>
            <w:r>
              <w:rPr>
                <w:rFonts w:ascii="Arial" w:hAnsi="Arial"/>
                <w:sz w:val="16"/>
              </w:rPr>
              <w:t>Reporting</w:t>
            </w:r>
          </w:p>
        </w:tc>
        <w:tc>
          <w:tcPr>
            <w:tcW w:type="dxa" w:w="2592"/>
          </w:tcPr>
          <w:p>
            <w:r>
              <w:rPr>
                <w:rFonts w:ascii="Arial" w:hAnsi="Arial"/>
                <w:sz w:val="16"/>
              </w:rPr>
              <w:t>The /view-all-users page displays registered user details and original/updated plans in a structured table for administrator or coach review. Exportable reports and downloadable data files are not specified.</w:t>
            </w:r>
          </w:p>
        </w:tc>
        <w:tc>
          <w:tcPr>
            <w:tcW w:type="dxa" w:w="2592"/>
          </w:tcPr>
          <w:p>
            <w:r>
              <w:rPr>
                <w:rFonts w:ascii="Arial" w:hAnsi="Arial"/>
                <w:sz w:val="16"/>
              </w:rPr>
              <w:t>Medium</w:t>
            </w:r>
          </w:p>
        </w:tc>
      </w:tr>
      <w:tr>
        <w:tc>
          <w:tcPr>
            <w:tcW w:type="dxa" w:w="2592"/>
          </w:tcPr>
          <w:p>
            <w:r>
              <w:rPr>
                <w:rFonts w:ascii="Arial" w:hAnsi="Arial"/>
                <w:sz w:val="16"/>
              </w:rPr>
              <w:t>6</w:t>
            </w:r>
          </w:p>
        </w:tc>
        <w:tc>
          <w:tcPr>
            <w:tcW w:type="dxa" w:w="2592"/>
          </w:tcPr>
          <w:p>
            <w:r>
              <w:rPr>
                <w:rFonts w:ascii="Arial" w:hAnsi="Arial"/>
                <w:sz w:val="16"/>
              </w:rPr>
              <w:t>Business rules, etc.</w:t>
            </w:r>
          </w:p>
        </w:tc>
        <w:tc>
          <w:tcPr>
            <w:tcW w:type="dxa" w:w="2592"/>
          </w:tcPr>
          <w:p>
            <w:r>
              <w:rPr>
                <w:rFonts w:ascii="Arial" w:hAnsi="Arial"/>
                <w:sz w:val="16"/>
              </w:rPr>
              <w:t>Generate a personalized 7-day workout plan using details such as age, weight, fitness goal, and intensity (low, medium, or high). Include warm-up, main workout, and cooldown/recovery guidance. Provide a goal-related nutrition tip and revise plans using submitted feedback.</w:t>
            </w:r>
          </w:p>
        </w:tc>
        <w:tc>
          <w:tcPr>
            <w:tcW w:type="dxa" w:w="2592"/>
          </w:tcPr>
          <w:p>
            <w:r>
              <w:rPr>
                <w:rFonts w:ascii="Arial" w:hAnsi="Arial"/>
                <w:sz w:val="16"/>
              </w:rPr>
              <w:t>High</w:t>
            </w:r>
          </w:p>
        </w:tc>
      </w:tr>
      <w:tr>
        <w:tc>
          <w:tcPr>
            <w:tcW w:type="dxa" w:w="2592"/>
          </w:tcPr>
          <w:p>
            <w:r>
              <w:rPr>
                <w:rFonts w:ascii="Arial" w:hAnsi="Arial"/>
                <w:sz w:val="16"/>
              </w:rPr>
              <w:t>7</w:t>
            </w:r>
          </w:p>
        </w:tc>
        <w:tc>
          <w:tcPr>
            <w:tcW w:type="dxa" w:w="2592"/>
          </w:tcPr>
          <w:p>
            <w:r>
              <w:rPr>
                <w:rFonts w:ascii="Arial" w:hAnsi="Arial"/>
                <w:sz w:val="16"/>
              </w:rPr>
              <w:t>Compliance to laws or regulations</w:t>
            </w:r>
          </w:p>
        </w:tc>
        <w:tc>
          <w:tcPr>
            <w:tcW w:type="dxa" w:w="2592"/>
          </w:tcPr>
          <w:p>
            <w:r>
              <w:rPr>
                <w:rFonts w:ascii="Arial" w:hAnsi="Arial"/>
                <w:sz w:val="16"/>
              </w:rPr>
              <w:t>The project stores personal details and fitness plans. The supplied project description does not identify a specific legal or industry compliance standard; privacy, consent, data-retention, and applicable-law requirements should be defined before production deployment.</w:t>
            </w:r>
          </w:p>
        </w:tc>
        <w:tc>
          <w:tcPr>
            <w:tcW w:type="dxa" w:w="2592"/>
          </w:tcPr>
          <w:p>
            <w:r>
              <w:rPr>
                <w:rFonts w:ascii="Arial" w:hAnsi="Arial"/>
                <w:sz w:val="16"/>
              </w:rPr>
              <w:t>High</w:t>
            </w:r>
          </w:p>
        </w:tc>
      </w:tr>
      <w:tr>
        <w:tc>
          <w:tcPr>
            <w:tcW w:type="dxa" w:w="2592"/>
          </w:tcPr>
          <w:p>
            <w:r>
              <w:rPr>
                <w:rFonts w:ascii="Arial" w:hAnsi="Arial"/>
                <w:sz w:val="16"/>
              </w:rPr>
              <w:t>8</w:t>
            </w:r>
          </w:p>
        </w:tc>
        <w:tc>
          <w:tcPr>
            <w:tcW w:type="dxa" w:w="2592"/>
          </w:tcPr>
          <w:p>
            <w:r>
              <w:rPr>
                <w:rFonts w:ascii="Arial" w:hAnsi="Arial"/>
                <w:sz w:val="16"/>
              </w:rPr>
              <w:t>Other</w:t>
            </w:r>
          </w:p>
        </w:tc>
        <w:tc>
          <w:tcPr>
            <w:tcW w:type="dxa" w:w="2592"/>
          </w:tcPr>
          <w:p>
            <w:r>
              <w:rPr>
                <w:rFonts w:ascii="Arial" w:hAnsi="Arial"/>
                <w:sz w:val="16"/>
              </w:rPr>
              <w:t>Provide a web interface using HTML, CSS, and Jinja2 templates: index.html for input, result.html for generated plans and feedback, and all_users.html for the administrative view. Support local execution using FastAPI and Uvicorn.</w:t>
            </w:r>
          </w:p>
        </w:tc>
        <w:tc>
          <w:tcPr>
            <w:tcW w:type="dxa" w:w="2592"/>
          </w:tcPr>
          <w:p>
            <w:r>
              <w:rPr>
                <w:rFonts w:ascii="Arial" w:hAnsi="Arial"/>
                <w:sz w:val="16"/>
              </w:rPr>
              <w:t>High</w:t>
            </w:r>
          </w:p>
        </w:tc>
      </w:tr>
    </w:tbl>
    <w:p>
      <w:pPr>
        <w:pStyle w:val="Heading1"/>
      </w:pPr>
      <w:r>
        <w:t>Step 2: Non-Functional Requirements (NFR)</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tcPr>
          <w:p>
            <w:r>
              <w:rPr>
                <w:rFonts w:ascii="Arial" w:hAnsi="Arial"/>
                <w:b/>
                <w:sz w:val="15"/>
              </w:rPr>
              <w:t>S.No</w:t>
            </w:r>
          </w:p>
        </w:tc>
        <w:tc>
          <w:tcPr>
            <w:tcW w:type="dxa" w:w="2592"/>
          </w:tcPr>
          <w:p>
            <w:r>
              <w:rPr>
                <w:rFonts w:ascii="Arial" w:hAnsi="Arial"/>
                <w:b/>
                <w:sz w:val="15"/>
              </w:rPr>
              <w:t>NFR Category</w:t>
            </w:r>
          </w:p>
        </w:tc>
        <w:tc>
          <w:tcPr>
            <w:tcW w:type="dxa" w:w="2592"/>
          </w:tcPr>
          <w:p>
            <w:r>
              <w:rPr>
                <w:rFonts w:ascii="Arial" w:hAnsi="Arial"/>
                <w:b/>
                <w:sz w:val="15"/>
              </w:rPr>
              <w:t>Requirement Description</w:t>
            </w:r>
          </w:p>
        </w:tc>
        <w:tc>
          <w:tcPr>
            <w:tcW w:type="dxa" w:w="2592"/>
          </w:tcPr>
          <w:p>
            <w:r>
              <w:rPr>
                <w:rFonts w:ascii="Arial" w:hAnsi="Arial"/>
                <w:b/>
                <w:sz w:val="15"/>
              </w:rPr>
              <w:t>Target Metric / Acceptance Criteria</w:t>
            </w:r>
          </w:p>
        </w:tc>
      </w:tr>
      <w:tr>
        <w:tc>
          <w:tcPr>
            <w:tcW w:type="dxa" w:w="2592"/>
          </w:tcPr>
          <w:p>
            <w:r>
              <w:rPr>
                <w:rFonts w:ascii="Arial" w:hAnsi="Arial"/>
                <w:sz w:val="15"/>
              </w:rPr>
              <w:t>1</w:t>
            </w:r>
          </w:p>
        </w:tc>
        <w:tc>
          <w:tcPr>
            <w:tcW w:type="dxa" w:w="2592"/>
          </w:tcPr>
          <w:p>
            <w:r>
              <w:rPr>
                <w:rFonts w:ascii="Arial" w:hAnsi="Arial"/>
                <w:sz w:val="15"/>
              </w:rPr>
              <w:t>Performance &amp; Speed</w:t>
            </w:r>
          </w:p>
        </w:tc>
        <w:tc>
          <w:tcPr>
            <w:tcW w:type="dxa" w:w="2592"/>
          </w:tcPr>
          <w:p>
            <w:r>
              <w:rPr>
                <w:rFonts w:ascii="Arial" w:hAnsi="Arial"/>
                <w:sz w:val="15"/>
              </w:rPr>
              <w:t>The web application should process user input and return AI-generated workout plans and nutrition tips within a reasonable response time, depending on Gemini API response time and network conditions.</w:t>
            </w:r>
          </w:p>
        </w:tc>
        <w:tc>
          <w:tcPr>
            <w:tcW w:type="dxa" w:w="2592"/>
          </w:tcPr>
          <w:p>
            <w:r>
              <w:rPr>
                <w:rFonts w:ascii="Arial" w:hAnsi="Arial"/>
                <w:sz w:val="15"/>
              </w:rPr>
              <w:t>Proposed target: ordinary pages load within 2 seconds under normal local conditions; AI response time should be measured during testing. This target is not stated as achieved in the source project.</w:t>
            </w:r>
          </w:p>
        </w:tc>
      </w:tr>
      <w:tr>
        <w:tc>
          <w:tcPr>
            <w:tcW w:type="dxa" w:w="2592"/>
          </w:tcPr>
          <w:p>
            <w:r>
              <w:rPr>
                <w:rFonts w:ascii="Arial" w:hAnsi="Arial"/>
                <w:sz w:val="15"/>
              </w:rPr>
              <w:t>2</w:t>
            </w:r>
          </w:p>
        </w:tc>
        <w:tc>
          <w:tcPr>
            <w:tcW w:type="dxa" w:w="2592"/>
          </w:tcPr>
          <w:p>
            <w:r>
              <w:rPr>
                <w:rFonts w:ascii="Arial" w:hAnsi="Arial"/>
                <w:sz w:val="15"/>
              </w:rPr>
              <w:t>Scalability</w:t>
            </w:r>
          </w:p>
        </w:tc>
        <w:tc>
          <w:tcPr>
            <w:tcW w:type="dxa" w:w="2592"/>
          </w:tcPr>
          <w:p>
            <w:r>
              <w:rPr>
                <w:rFonts w:ascii="Arial" w:hAnsi="Arial"/>
                <w:sz w:val="15"/>
              </w:rPr>
              <w:t>The modular FastAPI backend and external Gemini APIs separate web request handling from AI generation. SQLite is used for persistent storage in the described implementation.</w:t>
            </w:r>
          </w:p>
        </w:tc>
        <w:tc>
          <w:tcPr>
            <w:tcW w:type="dxa" w:w="2592"/>
          </w:tcPr>
          <w:p>
            <w:r>
              <w:rPr>
                <w:rFonts w:ascii="Arial" w:hAnsi="Arial"/>
                <w:sz w:val="15"/>
              </w:rPr>
              <w:t>Acceptance: test multiple sequential and concurrent requests; document the tested user load. No concurrent-user capacity is specified in the source project.</w:t>
            </w:r>
          </w:p>
        </w:tc>
      </w:tr>
      <w:tr>
        <w:tc>
          <w:tcPr>
            <w:tcW w:type="dxa" w:w="2592"/>
          </w:tcPr>
          <w:p>
            <w:r>
              <w:rPr>
                <w:rFonts w:ascii="Arial" w:hAnsi="Arial"/>
                <w:sz w:val="15"/>
              </w:rPr>
              <w:t>3</w:t>
            </w:r>
          </w:p>
        </w:tc>
        <w:tc>
          <w:tcPr>
            <w:tcW w:type="dxa" w:w="2592"/>
          </w:tcPr>
          <w:p>
            <w:r>
              <w:rPr>
                <w:rFonts w:ascii="Arial" w:hAnsi="Arial"/>
                <w:sz w:val="15"/>
              </w:rPr>
              <w:t>Security &amp; Data Privacy</w:t>
            </w:r>
          </w:p>
        </w:tc>
        <w:tc>
          <w:tcPr>
            <w:tcW w:type="dxa" w:w="2592"/>
          </w:tcPr>
          <w:p>
            <w:r>
              <w:rPr>
                <w:rFonts w:ascii="Arial" w:hAnsi="Arial"/>
                <w:sz w:val="15"/>
              </w:rPr>
              <w:t>The project description states that the Gemini API key should be stored in environment variables or a .env file, rather than hard-coded. User details and workout plans are stored in SQLite.</w:t>
            </w:r>
          </w:p>
        </w:tc>
        <w:tc>
          <w:tcPr>
            <w:tcW w:type="dxa" w:w="2592"/>
          </w:tcPr>
          <w:p>
            <w:r>
              <w:rPr>
                <w:rFonts w:ascii="Arial" w:hAnsi="Arial"/>
                <w:sz w:val="15"/>
              </w:rPr>
              <w:t>Acceptance: API key is not committed in source control; validate submitted data and restrict the all-users dashboard to authorized administrators before public deployment. Encryption and authentication controls are not documented as implemented.</w:t>
            </w:r>
          </w:p>
        </w:tc>
      </w:tr>
      <w:tr>
        <w:tc>
          <w:tcPr>
            <w:tcW w:type="dxa" w:w="2592"/>
          </w:tcPr>
          <w:p>
            <w:r>
              <w:rPr>
                <w:rFonts w:ascii="Arial" w:hAnsi="Arial"/>
                <w:sz w:val="15"/>
              </w:rPr>
              <w:t>4</w:t>
            </w:r>
          </w:p>
        </w:tc>
        <w:tc>
          <w:tcPr>
            <w:tcW w:type="dxa" w:w="2592"/>
          </w:tcPr>
          <w:p>
            <w:r>
              <w:rPr>
                <w:rFonts w:ascii="Arial" w:hAnsi="Arial"/>
                <w:sz w:val="15"/>
              </w:rPr>
              <w:t>Reliability &amp; Availability</w:t>
            </w:r>
          </w:p>
        </w:tc>
        <w:tc>
          <w:tcPr>
            <w:tcW w:type="dxa" w:w="2592"/>
          </w:tcPr>
          <w:p>
            <w:r>
              <w:rPr>
                <w:rFonts w:ascii="Arial" w:hAnsi="Arial"/>
                <w:sz w:val="15"/>
              </w:rPr>
              <w:t>The application runs with FastAPI/Uvicorn and depends on the Gemini API for AI-generated content. Local deployment and verification are described.</w:t>
            </w:r>
          </w:p>
        </w:tc>
        <w:tc>
          <w:tcPr>
            <w:tcW w:type="dxa" w:w="2592"/>
          </w:tcPr>
          <w:p>
            <w:r>
              <w:rPr>
                <w:rFonts w:ascii="Arial" w:hAnsi="Arial"/>
                <w:sz w:val="15"/>
              </w:rPr>
              <w:t>Acceptance: verify the home, generation, feedback, database, and admin-view routes during testing; handle API or database errors gracefully. No uptime percentage is specified in the source project.</w:t>
            </w:r>
          </w:p>
        </w:tc>
      </w:tr>
      <w:tr>
        <w:tc>
          <w:tcPr>
            <w:tcW w:type="dxa" w:w="2592"/>
          </w:tcPr>
          <w:p>
            <w:r>
              <w:rPr>
                <w:rFonts w:ascii="Arial" w:hAnsi="Arial"/>
                <w:sz w:val="15"/>
              </w:rPr>
              <w:t>5</w:t>
            </w:r>
          </w:p>
        </w:tc>
        <w:tc>
          <w:tcPr>
            <w:tcW w:type="dxa" w:w="2592"/>
          </w:tcPr>
          <w:p>
            <w:r>
              <w:rPr>
                <w:rFonts w:ascii="Arial" w:hAnsi="Arial"/>
                <w:sz w:val="15"/>
              </w:rPr>
              <w:t>Usability &amp; Accessibility</w:t>
            </w:r>
          </w:p>
        </w:tc>
        <w:tc>
          <w:tcPr>
            <w:tcW w:type="dxa" w:w="2592"/>
          </w:tcPr>
          <w:p>
            <w:r>
              <w:rPr>
                <w:rFonts w:ascii="Arial" w:hAnsi="Arial"/>
                <w:sz w:val="15"/>
              </w:rPr>
              <w:t>Use clearly labeled input fields, a simple flow from input to result, readable result blocks, consistent buttons, and CSS media queries for mobile responsiveness.</w:t>
            </w:r>
          </w:p>
        </w:tc>
        <w:tc>
          <w:tcPr>
            <w:tcW w:type="dxa" w:w="2592"/>
          </w:tcPr>
          <w:p>
            <w:r>
              <w:rPr>
                <w:rFonts w:ascii="Arial" w:hAnsi="Arial"/>
                <w:sz w:val="15"/>
              </w:rPr>
              <w:t>Acceptance: users can submit required details and view the plan and nutrition tip on desktop and mobile; check keyboard navigation, labels, and contrast. Formal WCAG conformance is not specified.</w:t>
            </w:r>
          </w:p>
        </w:tc>
      </w:tr>
      <w:tr>
        <w:tc>
          <w:tcPr>
            <w:tcW w:type="dxa" w:w="2592"/>
          </w:tcPr>
          <w:p>
            <w:r>
              <w:rPr>
                <w:rFonts w:ascii="Arial" w:hAnsi="Arial"/>
                <w:sz w:val="15"/>
              </w:rPr>
              <w:t>6</w:t>
            </w:r>
          </w:p>
        </w:tc>
        <w:tc>
          <w:tcPr>
            <w:tcW w:type="dxa" w:w="2592"/>
          </w:tcPr>
          <w:p>
            <w:r>
              <w:rPr>
                <w:rFonts w:ascii="Arial" w:hAnsi="Arial"/>
                <w:sz w:val="15"/>
              </w:rPr>
              <w:t>Other (Maintainability &amp; Portability)</w:t>
            </w:r>
          </w:p>
        </w:tc>
        <w:tc>
          <w:tcPr>
            <w:tcW w:type="dxa" w:w="2592"/>
          </w:tcPr>
          <w:p>
            <w:r>
              <w:rPr>
                <w:rFonts w:ascii="Arial" w:hAnsi="Arial"/>
                <w:sz w:val="15"/>
              </w:rPr>
              <w:t>The application separates routing, Gemini generation functions, database functions, and Jinja2 templates. It uses Python dependencies that can be installed in a virtual environment.</w:t>
            </w:r>
          </w:p>
        </w:tc>
        <w:tc>
          <w:tcPr>
            <w:tcW w:type="dxa" w:w="2592"/>
          </w:tcPr>
          <w:p>
            <w:r>
              <w:rPr>
                <w:rFonts w:ascii="Arial" w:hAnsi="Arial"/>
                <w:sz w:val="15"/>
              </w:rPr>
              <w:t>Acceptance: setup instructions and dependencies are documented; the app starts in a clean virtual environment using the documented Uvicorn command. Cloud deployment is a future possibility, not a verified current deployment.</w:t>
            </w:r>
          </w:p>
        </w:tc>
      </w:tr>
    </w:tbl>
    <w:p>
      <w:pPr>
        <w:pStyle w:val="Heading1"/>
      </w:pPr>
      <w:r>
        <w:t>Conclusion</w:t>
      </w:r>
    </w:p>
    <w:p>
      <w:r>
        <w:t>FitBuddy’s documented functional scope includes personalized 7-day workout generation, goal-based nutrition/recovery tips, feedback-based plan revision, SQLite persistence, and an administrator/coach view of users and plans. The project uses FastAPI, Jinja2, SQLAlchemy, SQLite, and Google Gemini models. Performance, scalability, formal security controls, uptime, and regulatory compliance targets should be validated or specified during testing before the application is treated as production-ready.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