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4BCEFC4" w14:textId="73725DDE" w:rsidR="00D7522C" w:rsidRPr="00892CAC" w:rsidRDefault="00212740" w:rsidP="00892CAC">
      <w:pPr>
        <w:pStyle w:val="papertitle"/>
      </w:pPr>
      <w:r>
        <w:t>Validation and Reliability Assessment of Autopsy Forensic Suite for Artifact Extraction</w:t>
      </w:r>
    </w:p>
    <w:p w14:paraId="4D43EFAC" w14:textId="77777777" w:rsidR="00D7522C" w:rsidRDefault="00D7522C" w:rsidP="00CA4392">
      <w:pPr>
        <w:pStyle w:val="Author"/>
        <w:spacing w:before="5pt" w:beforeAutospacing="1" w:after="5pt" w:afterAutospacing="1" w:line="6pt" w:lineRule="auto"/>
        <w:rPr>
          <w:sz w:val="16"/>
          <w:szCs w:val="16"/>
        </w:rPr>
      </w:pPr>
    </w:p>
    <w:p w14:paraId="2F46DEF0" w14:textId="77777777" w:rsidR="00892CAC" w:rsidRPr="00CA4392" w:rsidRDefault="00892CAC" w:rsidP="00CA4392">
      <w:pPr>
        <w:pStyle w:val="Author"/>
        <w:spacing w:before="5pt" w:beforeAutospacing="1" w:after="5pt" w:afterAutospacing="1" w:line="6pt" w:lineRule="auto"/>
        <w:rPr>
          <w:sz w:val="16"/>
          <w:szCs w:val="16"/>
        </w:rPr>
        <w:sectPr w:rsidR="00892CAC" w:rsidRPr="00CA4392" w:rsidSect="003B4E04">
          <w:footerReference w:type="first" r:id="rId8"/>
          <w:pgSz w:w="595.30pt" w:h="841.90pt" w:code="9"/>
          <w:pgMar w:top="27pt" w:right="44.65pt" w:bottom="72pt" w:left="44.65pt" w:header="36pt" w:footer="36pt" w:gutter="0pt"/>
          <w:cols w:space="36pt"/>
          <w:titlePg/>
          <w:docGrid w:linePitch="360"/>
        </w:sectPr>
      </w:pPr>
    </w:p>
    <w:p w14:paraId="08FAD997" w14:textId="426F2FAB" w:rsidR="009F1D79" w:rsidRPr="00962E98" w:rsidRDefault="00892CAC" w:rsidP="00962E98">
      <w:pPr>
        <w:pStyle w:val="Author"/>
        <w:spacing w:before="5pt" w:beforeAutospacing="1"/>
        <w:rPr>
          <w:sz w:val="18"/>
          <w:szCs w:val="18"/>
        </w:rPr>
        <w:sectPr w:rsidR="009F1D79" w:rsidRPr="00962E98" w:rsidSect="007B3559">
          <w:type w:val="continuous"/>
          <w:pgSz w:w="595.30pt" w:h="841.90pt" w:code="9"/>
          <w:pgMar w:top="22.50pt" w:right="44.65pt" w:bottom="72pt" w:left="44.65pt" w:header="36pt" w:footer="36pt" w:gutter="0pt"/>
          <w:cols w:space="36pt"/>
          <w:docGrid w:linePitch="360"/>
        </w:sectPr>
      </w:pPr>
      <w:r>
        <w:rPr>
          <w:sz w:val="18"/>
          <w:szCs w:val="18"/>
        </w:rPr>
        <w:t>Gurumanie Singh Dhiman</w:t>
      </w:r>
      <w:r w:rsidR="001A3B3D" w:rsidRPr="00F847A6">
        <w:rPr>
          <w:sz w:val="18"/>
          <w:szCs w:val="18"/>
        </w:rPr>
        <w:t xml:space="preserve"> </w:t>
      </w:r>
      <w:r w:rsidR="001A3B3D" w:rsidRPr="00F847A6">
        <w:rPr>
          <w:sz w:val="18"/>
          <w:szCs w:val="18"/>
        </w:rPr>
        <w:br/>
      </w:r>
      <w:r>
        <w:rPr>
          <w:sz w:val="18"/>
          <w:szCs w:val="18"/>
        </w:rPr>
        <w:t>Department of Electrical and Computer</w:t>
      </w:r>
      <w:r w:rsidR="00DD70D8">
        <w:rPr>
          <w:sz w:val="18"/>
          <w:szCs w:val="18"/>
        </w:rPr>
        <w:t xml:space="preserve"> </w:t>
      </w:r>
      <w:r>
        <w:rPr>
          <w:sz w:val="18"/>
          <w:szCs w:val="18"/>
        </w:rPr>
        <w:t>Engineering</w:t>
      </w:r>
      <w:r w:rsidR="00D72D06" w:rsidRPr="00F847A6">
        <w:rPr>
          <w:sz w:val="18"/>
          <w:szCs w:val="18"/>
        </w:rPr>
        <w:br/>
      </w:r>
      <w:r>
        <w:rPr>
          <w:sz w:val="18"/>
          <w:szCs w:val="18"/>
        </w:rPr>
        <w:t>Iowa State University</w:t>
      </w:r>
      <w:r w:rsidR="001A3B3D" w:rsidRPr="00F847A6">
        <w:rPr>
          <w:i/>
          <w:sz w:val="18"/>
          <w:szCs w:val="18"/>
        </w:rPr>
        <w:br/>
      </w:r>
      <w:r>
        <w:rPr>
          <w:sz w:val="18"/>
          <w:szCs w:val="18"/>
        </w:rPr>
        <w:t>Ames, USA</w:t>
      </w:r>
      <w:r w:rsidR="001A3B3D" w:rsidRPr="00F847A6">
        <w:rPr>
          <w:sz w:val="18"/>
          <w:szCs w:val="18"/>
        </w:rPr>
        <w:br/>
      </w:r>
      <w:r>
        <w:rPr>
          <w:sz w:val="18"/>
          <w:szCs w:val="18"/>
        </w:rPr>
        <w:t>dhiman@iastate.edu</w:t>
      </w:r>
    </w:p>
    <w:p w14:paraId="1A7A2836"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B65557D" w14:textId="443B7F8A" w:rsidR="004D72B5" w:rsidRDefault="009303D9" w:rsidP="00972203">
      <w:pPr>
        <w:pStyle w:val="Abstract"/>
        <w:rPr>
          <w:i/>
          <w:iCs/>
        </w:rPr>
      </w:pPr>
      <w:r>
        <w:rPr>
          <w:i/>
          <w:iCs/>
        </w:rPr>
        <w:t>Abstract</w:t>
      </w:r>
      <w:r w:rsidR="00962E98">
        <w:rPr>
          <w:i/>
          <w:iCs/>
        </w:rPr>
        <w:t xml:space="preserve"> </w:t>
      </w:r>
      <w:r>
        <w:t>—</w:t>
      </w:r>
      <w:r w:rsidR="00892CAC" w:rsidRPr="00892CAC">
        <w:t xml:space="preserve"> </w:t>
      </w:r>
      <w:r w:rsidR="00892CAC" w:rsidRPr="00892CAC">
        <w:t xml:space="preserve">Forensic tools play a </w:t>
      </w:r>
      <w:r w:rsidR="00A11A18">
        <w:t>crucial</w:t>
      </w:r>
      <w:r w:rsidR="00892CAC" w:rsidRPr="00892CAC">
        <w:t xml:space="preserve"> role in digital investigations, </w:t>
      </w:r>
      <w:r w:rsidR="00A11A18">
        <w:t>but</w:t>
      </w:r>
      <w:r w:rsidR="00892CAC" w:rsidRPr="00892CAC">
        <w:t xml:space="preserve"> their reliability is rarely validated systematically. This paper </w:t>
      </w:r>
      <w:r w:rsidR="00A11A18">
        <w:t xml:space="preserve">aims to </w:t>
      </w:r>
      <w:r w:rsidR="00892CAC" w:rsidRPr="00892CAC">
        <w:t xml:space="preserve">present a validation framework applied to </w:t>
      </w:r>
      <w:r w:rsidR="00A11A18">
        <w:t>an</w:t>
      </w:r>
      <w:r w:rsidR="00892CAC" w:rsidRPr="00892CAC">
        <w:t xml:space="preserve"> open-source </w:t>
      </w:r>
      <w:r w:rsidR="00A11A18">
        <w:t xml:space="preserve">toolkit named </w:t>
      </w:r>
      <w:r w:rsidR="00892CAC" w:rsidRPr="00892CAC">
        <w:t>Autopsy forensic suite to measure its artifact extraction accuracy, metadata integrity, and repeatability. A controlled dataset was used to simulate realistic forensic evidence including deleted files, image metadata, and web artifacts. Results from Autopsy are compared against</w:t>
      </w:r>
      <w:r w:rsidR="00080559">
        <w:t xml:space="preserve"> the</w:t>
      </w:r>
      <w:r w:rsidR="00892CAC" w:rsidRPr="00892CAC">
        <w:t xml:space="preserve"> manually verified data. Findings highlight areas where Autopsy performs reliably and where </w:t>
      </w:r>
      <w:r w:rsidR="00080559">
        <w:t xml:space="preserve">there are </w:t>
      </w:r>
      <w:r w:rsidR="00892CAC" w:rsidRPr="00892CAC">
        <w:t xml:space="preserve">inconsistencies </w:t>
      </w:r>
      <w:r w:rsidR="00080559">
        <w:t xml:space="preserve">that </w:t>
      </w:r>
      <w:r w:rsidR="00892CAC" w:rsidRPr="00892CAC">
        <w:t>appear</w:t>
      </w:r>
      <w:r w:rsidR="00080559">
        <w:t xml:space="preserve">. Additionally, the paper </w:t>
      </w:r>
      <w:r w:rsidR="00892CAC" w:rsidRPr="00892CAC">
        <w:t>contribut</w:t>
      </w:r>
      <w:r w:rsidR="00080559">
        <w:t>es</w:t>
      </w:r>
      <w:r w:rsidR="00892CAC" w:rsidRPr="00892CAC">
        <w:t xml:space="preserve"> to practical guidelines for small labs to implement lightweight validation procedures.</w:t>
      </w:r>
    </w:p>
    <w:p w14:paraId="598D8D40" w14:textId="12448E1A" w:rsidR="009303D9" w:rsidRPr="004D72B5" w:rsidRDefault="004D72B5" w:rsidP="00972203">
      <w:pPr>
        <w:pStyle w:val="Keywords"/>
      </w:pPr>
      <w:r w:rsidRPr="004D72B5">
        <w:t>Keywords</w:t>
      </w:r>
      <w:r w:rsidR="00892CAC">
        <w:t xml:space="preserve"> </w:t>
      </w:r>
      <w:r w:rsidRPr="004D72B5">
        <w:t>—</w:t>
      </w:r>
      <w:r w:rsidR="00892CAC">
        <w:t xml:space="preserve"> </w:t>
      </w:r>
      <w:r w:rsidR="00962E98">
        <w:t>T</w:t>
      </w:r>
      <w:r w:rsidR="00892CAC">
        <w:t xml:space="preserve">ool </w:t>
      </w:r>
      <w:r w:rsidR="00962E98">
        <w:t>V</w:t>
      </w:r>
      <w:r w:rsidR="00892CAC">
        <w:t>alidation</w:t>
      </w:r>
      <w:r w:rsidR="00962E98">
        <w:t>, D</w:t>
      </w:r>
      <w:r w:rsidR="00892CAC">
        <w:t xml:space="preserve">igital </w:t>
      </w:r>
      <w:r w:rsidR="00962E98">
        <w:t>F</w:t>
      </w:r>
      <w:r w:rsidR="00892CAC">
        <w:t>orensics</w:t>
      </w:r>
      <w:r w:rsidR="00D7522C">
        <w:t>,</w:t>
      </w:r>
      <w:r w:rsidR="009303D9" w:rsidRPr="004D72B5">
        <w:t xml:space="preserve"> </w:t>
      </w:r>
      <w:r w:rsidR="00962E98">
        <w:t>A</w:t>
      </w:r>
      <w:r w:rsidR="00892CAC">
        <w:t xml:space="preserve">rtifact </w:t>
      </w:r>
      <w:r w:rsidR="00962E98">
        <w:t>E</w:t>
      </w:r>
      <w:r w:rsidR="00892CAC">
        <w:t>xtraction</w:t>
      </w:r>
      <w:r w:rsidR="00892CAC">
        <w:t>, Autopsy</w:t>
      </w:r>
      <w:r w:rsidR="00D7522C">
        <w:t>,</w:t>
      </w:r>
      <w:r w:rsidR="009303D9" w:rsidRPr="004D72B5">
        <w:t xml:space="preserve"> </w:t>
      </w:r>
      <w:r w:rsidR="00892CAC">
        <w:t>The Sleuth Kit, NIST</w:t>
      </w:r>
    </w:p>
    <w:p w14:paraId="2670BF38" w14:textId="1971B3A7" w:rsidR="009303D9" w:rsidRPr="00D632BE" w:rsidRDefault="009303D9" w:rsidP="006B6B66">
      <w:pPr>
        <w:pStyle w:val="Heading1"/>
      </w:pPr>
      <w:r w:rsidRPr="00D632BE">
        <w:t>Introduction</w:t>
      </w:r>
    </w:p>
    <w:p w14:paraId="0639E4EE" w14:textId="1D248EC6" w:rsidR="002F6A6E" w:rsidRPr="002F6A6E" w:rsidRDefault="002F6A6E" w:rsidP="002F6A6E">
      <w:pPr>
        <w:pStyle w:val="BodyText"/>
        <w:rPr>
          <w:lang w:val="en-US"/>
        </w:rPr>
      </w:pPr>
      <w:r w:rsidRPr="002F6A6E">
        <w:rPr>
          <w:lang w:val="en-US"/>
        </w:rPr>
        <w:t>Digital forensic investigations depend on software tools to identify, extract, and interpret evidence from storage media</w:t>
      </w:r>
      <w:r w:rsidR="00962E98">
        <w:rPr>
          <w:lang w:val="en-US"/>
        </w:rPr>
        <w:t xml:space="preserve"> such as hard drives</w:t>
      </w:r>
      <w:r w:rsidRPr="002F6A6E">
        <w:rPr>
          <w:lang w:val="en-US"/>
        </w:rPr>
        <w:t>. Courts and investigators rely on these results to make decisions</w:t>
      </w:r>
      <w:r w:rsidR="007F513D">
        <w:rPr>
          <w:lang w:val="en-US"/>
        </w:rPr>
        <w:t>.</w:t>
      </w:r>
      <w:r w:rsidRPr="002F6A6E">
        <w:rPr>
          <w:lang w:val="en-US"/>
        </w:rPr>
        <w:t xml:space="preserve"> </w:t>
      </w:r>
      <w:r w:rsidR="007F513D">
        <w:rPr>
          <w:lang w:val="en-US"/>
        </w:rPr>
        <w:t>Hence</w:t>
      </w:r>
      <w:r w:rsidRPr="002F6A6E">
        <w:rPr>
          <w:lang w:val="en-US"/>
        </w:rPr>
        <w:t>, tool reliability and transparency are vital. However, open-source forensic tools often lack formal validation</w:t>
      </w:r>
      <w:r w:rsidR="00D61041">
        <w:rPr>
          <w:lang w:val="en-US"/>
        </w:rPr>
        <w:t xml:space="preserve"> methods</w:t>
      </w:r>
      <w:r w:rsidRPr="002F6A6E">
        <w:rPr>
          <w:lang w:val="en-US"/>
        </w:rPr>
        <w:t>, leaving uncertainty regarding result accuracy and reproducibility.</w:t>
      </w:r>
    </w:p>
    <w:p w14:paraId="10E71309" w14:textId="756F2D60" w:rsidR="002F6A6E" w:rsidRPr="002F6A6E" w:rsidRDefault="002F6A6E" w:rsidP="002F6A6E">
      <w:pPr>
        <w:pStyle w:val="BodyText"/>
        <w:rPr>
          <w:lang w:val="en-US"/>
        </w:rPr>
      </w:pPr>
      <w:r w:rsidRPr="002F6A6E">
        <w:rPr>
          <w:lang w:val="en-US"/>
        </w:rPr>
        <w:t>This paper focuses on validating Autopsy (The Sleuth Kit) as a representative open-source forensic suite. The goal is to evaluate its performance in recovering deleted and existing files, maintaining metadata integrity, and providing consistent outputs across repeated runs. By developing and applying a simple, repeatable validation framework, the study aims to support labs in implementing standardized testing methodologies aligned with National Institute of Standards and Technology (NIST) and Scientific Working Group on Digital Evidence (SWGDE) recommendations [1], [2].</w:t>
      </w:r>
    </w:p>
    <w:p w14:paraId="0596B91A" w14:textId="219C964E" w:rsidR="009303D9" w:rsidRPr="006B6B66" w:rsidRDefault="00047BFC" w:rsidP="006B6B66">
      <w:pPr>
        <w:pStyle w:val="Heading1"/>
      </w:pPr>
      <w:r>
        <w:t>Related work and background</w:t>
      </w:r>
    </w:p>
    <w:p w14:paraId="7AC2BEFE" w14:textId="10B7E4A4" w:rsidR="00047BFC" w:rsidRDefault="00047BFC" w:rsidP="00047BFC">
      <w:pPr>
        <w:pStyle w:val="BodyText"/>
      </w:pPr>
      <w:r>
        <w:t xml:space="preserve">Prior research and standards such as the NIST Computer Forensic Tool Testing (CFTT) program and SWGDE minimum requirements for testing tools </w:t>
      </w:r>
      <w:r w:rsidR="00060026">
        <w:t xml:space="preserve">put a heavy </w:t>
      </w:r>
      <w:r>
        <w:t>emphas</w:t>
      </w:r>
      <w:r w:rsidR="00060026">
        <w:t>is on</w:t>
      </w:r>
      <w:r>
        <w:t xml:space="preserve"> accuracy, repeatability, and documentation of known limitations [1], [2]. Previous comparative studies have shown differences in how tools interpret timestamps, handle deleted file recovery, and parse file system structures [3], [4].</w:t>
      </w:r>
    </w:p>
    <w:p w14:paraId="51F5EA95" w14:textId="1C261CD9" w:rsidR="00047BFC" w:rsidRPr="005B520E" w:rsidRDefault="00047BFC" w:rsidP="00047BFC">
      <w:pPr>
        <w:pStyle w:val="BodyText"/>
      </w:pPr>
      <w:r>
        <w:t>Autopsy is widely adopted due to its open-source nature, modular architecture, and support for multiple file systems (e.g., NTFS, FAT, EXT). However, discrepancies in file recovery and metadata interpretation have been reported in literature [4]. This study extends previous work by testing Autopsy with a controlled, reproducible dataset to measure both accuracy and repeatability.</w:t>
      </w:r>
    </w:p>
    <w:p w14:paraId="32E22EE8" w14:textId="424FE096" w:rsidR="009303D9" w:rsidRDefault="009303D9" w:rsidP="006B6B66">
      <w:pPr>
        <w:pStyle w:val="Heading1"/>
      </w:pPr>
    </w:p>
    <w:p w14:paraId="2A2E4450"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4BFF7639"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673549" w14:textId="77777777" w:rsidR="009303D9" w:rsidRDefault="009303D9" w:rsidP="00ED0149">
      <w:pPr>
        <w:pStyle w:val="Heading2"/>
      </w:pPr>
      <w:r w:rsidRPr="00ED0149">
        <w:t>Abbreviations</w:t>
      </w:r>
      <w:r>
        <w:t xml:space="preserve"> and Acronyms</w:t>
      </w:r>
    </w:p>
    <w:p w14:paraId="6C73FD6B"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38CDF226" w14:textId="77777777" w:rsidR="009303D9" w:rsidRDefault="009303D9" w:rsidP="00ED0149">
      <w:pPr>
        <w:pStyle w:val="Heading2"/>
      </w:pPr>
      <w:r>
        <w:t>Units</w:t>
      </w:r>
    </w:p>
    <w:p w14:paraId="4FCF7472"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4B30EAE"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44471E2D"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561B478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6F92DC54" w14:textId="77777777" w:rsidR="009303D9" w:rsidRPr="005B520E" w:rsidRDefault="009303D9" w:rsidP="00ED0149">
      <w:pPr>
        <w:pStyle w:val="Heading2"/>
      </w:pPr>
      <w:r w:rsidRPr="005B520E">
        <w:t>Equations</w:t>
      </w:r>
    </w:p>
    <w:p w14:paraId="701B72C1"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80E5A0F" w14:textId="77777777" w:rsidR="009303D9" w:rsidRPr="00D7522C" w:rsidRDefault="009303D9" w:rsidP="00E7596C">
      <w:pPr>
        <w:pStyle w:val="BodyText"/>
        <w:rPr>
          <w:lang w:val="en-US"/>
        </w:rPr>
      </w:pPr>
      <w:r w:rsidRPr="005B520E">
        <w:t xml:space="preserve">Number equations consecutively. Equation numbers, within parentheses, are to position flush right, as in (1), using a right tab stop. To make your equations more compact, you may use the solidus ( / ), the exp function, or appropriate </w:t>
      </w:r>
      <w:r w:rsidRPr="005B520E">
        <w:lastRenderedPageBreak/>
        <w:t>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09A1ECB6"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402ADE1"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5D54737" w14:textId="77777777" w:rsidR="009303D9" w:rsidRDefault="009303D9" w:rsidP="00ED0149">
      <w:pPr>
        <w:pStyle w:val="Heading2"/>
      </w:pPr>
      <w:r>
        <w:t>Some Common Mistakes</w:t>
      </w:r>
    </w:p>
    <w:p w14:paraId="3219BE7B" w14:textId="77777777" w:rsidR="009303D9" w:rsidRPr="005B520E" w:rsidRDefault="009303D9" w:rsidP="00E7596C">
      <w:pPr>
        <w:pStyle w:val="bulletlist"/>
      </w:pPr>
      <w:r w:rsidRPr="005B520E">
        <w:t>The word “data” is plural, not singular.</w:t>
      </w:r>
    </w:p>
    <w:p w14:paraId="20AD42B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31E410C9"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564C75D"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5640F42E" w14:textId="77777777" w:rsidR="009303D9" w:rsidRPr="005B520E" w:rsidRDefault="009303D9" w:rsidP="00E7596C">
      <w:pPr>
        <w:pStyle w:val="bulletlist"/>
      </w:pPr>
      <w:r w:rsidRPr="005B520E">
        <w:t>Do not use the word “essentially” to mean “approximately” or “effectively”.</w:t>
      </w:r>
    </w:p>
    <w:p w14:paraId="14E467CC"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196EC3D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495BFAED" w14:textId="77777777" w:rsidR="009303D9" w:rsidRPr="005B520E" w:rsidRDefault="009303D9" w:rsidP="00E7596C">
      <w:pPr>
        <w:pStyle w:val="bulletlist"/>
      </w:pPr>
      <w:r w:rsidRPr="005B520E">
        <w:t>Do not confuse “imply” and “infer”.</w:t>
      </w:r>
    </w:p>
    <w:p w14:paraId="68B63E8C" w14:textId="77777777" w:rsidR="009303D9" w:rsidRPr="005B520E" w:rsidRDefault="009303D9" w:rsidP="00E7596C">
      <w:pPr>
        <w:pStyle w:val="bulletlist"/>
      </w:pPr>
      <w:r w:rsidRPr="005B520E">
        <w:t>The prefix “non” is not a word; it should be joined to the word it modifies, usually without a hyphen.</w:t>
      </w:r>
    </w:p>
    <w:p w14:paraId="328A62A4" w14:textId="77777777" w:rsidR="009303D9" w:rsidRPr="005B520E" w:rsidRDefault="009303D9" w:rsidP="00E7596C">
      <w:pPr>
        <w:pStyle w:val="bulletlist"/>
      </w:pPr>
      <w:r w:rsidRPr="005B520E">
        <w:t>There is no period after the “et” in the Latin abbreviation “et al.”.</w:t>
      </w:r>
    </w:p>
    <w:p w14:paraId="01F708FF" w14:textId="77777777" w:rsidR="009303D9" w:rsidRPr="005B520E" w:rsidRDefault="009303D9" w:rsidP="00E7596C">
      <w:pPr>
        <w:pStyle w:val="bulletlist"/>
      </w:pPr>
      <w:r w:rsidRPr="005B520E">
        <w:t>The abbreviation “i.e.” means “that is”, and the abbreviation “e.g.” means “for example”.</w:t>
      </w:r>
    </w:p>
    <w:p w14:paraId="7D20C2D3" w14:textId="77777777" w:rsidR="009303D9" w:rsidRPr="005B520E" w:rsidRDefault="009303D9" w:rsidP="00E7596C">
      <w:pPr>
        <w:pStyle w:val="BodyText"/>
      </w:pPr>
      <w:r w:rsidRPr="005B520E">
        <w:t>An excellent style manual for science writers is [7].</w:t>
      </w:r>
    </w:p>
    <w:p w14:paraId="6CDF0E97" w14:textId="77777777" w:rsidR="009303D9" w:rsidRDefault="009303D9" w:rsidP="006B6B66">
      <w:pPr>
        <w:pStyle w:val="Heading1"/>
      </w:pPr>
      <w:r>
        <w:t xml:space="preserve">Using the </w:t>
      </w:r>
      <w:r w:rsidRPr="005B520E">
        <w:t>Template</w:t>
      </w:r>
    </w:p>
    <w:p w14:paraId="443FA3E0" w14:textId="77777777" w:rsidR="009303D9" w:rsidRPr="005B520E" w:rsidRDefault="009303D9" w:rsidP="00E7596C">
      <w:pPr>
        <w:pStyle w:val="BodyText"/>
      </w:pPr>
      <w:r w:rsidRPr="005B520E">
        <w:t xml:space="preserve">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w:t>
      </w:r>
      <w:r w:rsidRPr="005B520E">
        <w:t>the scroll down window on the left of the MS Word Formatting toolbar.</w:t>
      </w:r>
    </w:p>
    <w:p w14:paraId="587EAD4D" w14:textId="77777777" w:rsidR="009303D9" w:rsidRDefault="009303D9" w:rsidP="00ED0149">
      <w:pPr>
        <w:pStyle w:val="Heading2"/>
      </w:pPr>
      <w:r w:rsidRPr="005B520E">
        <w:t>Authors</w:t>
      </w:r>
      <w:r>
        <w:t xml:space="preserve"> and Affiliations</w:t>
      </w:r>
    </w:p>
    <w:p w14:paraId="0ECB5684"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29C2BCE1"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ED4BCAF"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3257613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5D393413"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8FA67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7FF26D89" w14:textId="77777777" w:rsidR="006F6D3D" w:rsidRDefault="006F6D3D" w:rsidP="006F6D3D">
      <w:pPr>
        <w:jc w:val="start"/>
        <w:rPr>
          <w:i/>
          <w:iCs/>
          <w:noProof/>
        </w:rPr>
      </w:pPr>
    </w:p>
    <w:p w14:paraId="12610B19" w14:textId="77777777" w:rsidR="009303D9" w:rsidRDefault="009303D9" w:rsidP="00ED0149">
      <w:pPr>
        <w:pStyle w:val="Heading2"/>
      </w:pPr>
      <w:r w:rsidRPr="005B520E">
        <w:t>Identify</w:t>
      </w:r>
      <w:r>
        <w:t xml:space="preserve"> the Headings</w:t>
      </w:r>
    </w:p>
    <w:p w14:paraId="2FF367F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7E85D2D"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84B5726"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1D5B1171" w14:textId="77777777" w:rsidR="009303D9" w:rsidRDefault="009303D9" w:rsidP="00ED0149">
      <w:pPr>
        <w:pStyle w:val="Heading2"/>
      </w:pPr>
      <w:r>
        <w:t>Figures and Tables</w:t>
      </w:r>
    </w:p>
    <w:p w14:paraId="49B8DE3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5431A65E"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1B39F13D" w14:textId="77777777">
        <w:trPr>
          <w:cantSplit/>
          <w:trHeight w:val="240"/>
          <w:tblHeader/>
          <w:jc w:val="center"/>
        </w:trPr>
        <w:tc>
          <w:tcPr>
            <w:tcW w:w="36pt" w:type="dxa"/>
            <w:vMerge w:val="restart"/>
            <w:vAlign w:val="center"/>
          </w:tcPr>
          <w:p w14:paraId="0FC83B71" w14:textId="77777777" w:rsidR="009303D9" w:rsidRDefault="009303D9">
            <w:pPr>
              <w:pStyle w:val="tablecolhead"/>
            </w:pPr>
            <w:r>
              <w:t>Table Head</w:t>
            </w:r>
          </w:p>
        </w:tc>
        <w:tc>
          <w:tcPr>
            <w:tcW w:w="207pt" w:type="dxa"/>
            <w:gridSpan w:val="3"/>
            <w:vAlign w:val="center"/>
          </w:tcPr>
          <w:p w14:paraId="0F9D28FB" w14:textId="77777777" w:rsidR="009303D9" w:rsidRDefault="009303D9">
            <w:pPr>
              <w:pStyle w:val="tablecolhead"/>
            </w:pPr>
            <w:r>
              <w:t>Table Column Head</w:t>
            </w:r>
          </w:p>
        </w:tc>
      </w:tr>
      <w:tr w:rsidR="009303D9" w14:paraId="7BE95EC5" w14:textId="77777777">
        <w:trPr>
          <w:cantSplit/>
          <w:trHeight w:val="240"/>
          <w:tblHeader/>
          <w:jc w:val="center"/>
        </w:trPr>
        <w:tc>
          <w:tcPr>
            <w:tcW w:w="36pt" w:type="dxa"/>
            <w:vMerge/>
          </w:tcPr>
          <w:p w14:paraId="18E872A6" w14:textId="77777777" w:rsidR="009303D9" w:rsidRDefault="009303D9">
            <w:pPr>
              <w:rPr>
                <w:sz w:val="16"/>
                <w:szCs w:val="16"/>
              </w:rPr>
            </w:pPr>
          </w:p>
        </w:tc>
        <w:tc>
          <w:tcPr>
            <w:tcW w:w="117pt" w:type="dxa"/>
            <w:vAlign w:val="center"/>
          </w:tcPr>
          <w:p w14:paraId="28831AB4" w14:textId="77777777" w:rsidR="009303D9" w:rsidRDefault="009303D9">
            <w:pPr>
              <w:pStyle w:val="tablecolsubhead"/>
            </w:pPr>
            <w:r>
              <w:t>Table column subhead</w:t>
            </w:r>
          </w:p>
        </w:tc>
        <w:tc>
          <w:tcPr>
            <w:tcW w:w="45pt" w:type="dxa"/>
            <w:vAlign w:val="center"/>
          </w:tcPr>
          <w:p w14:paraId="48A44168" w14:textId="77777777" w:rsidR="009303D9" w:rsidRDefault="009303D9">
            <w:pPr>
              <w:pStyle w:val="tablecolsubhead"/>
            </w:pPr>
            <w:r>
              <w:t>Subhead</w:t>
            </w:r>
          </w:p>
        </w:tc>
        <w:tc>
          <w:tcPr>
            <w:tcW w:w="45pt" w:type="dxa"/>
            <w:vAlign w:val="center"/>
          </w:tcPr>
          <w:p w14:paraId="606E20B3" w14:textId="77777777" w:rsidR="009303D9" w:rsidRDefault="009303D9">
            <w:pPr>
              <w:pStyle w:val="tablecolsubhead"/>
            </w:pPr>
            <w:r>
              <w:t>Subhead</w:t>
            </w:r>
          </w:p>
        </w:tc>
      </w:tr>
      <w:tr w:rsidR="009303D9" w14:paraId="2073F8D6" w14:textId="77777777">
        <w:trPr>
          <w:trHeight w:val="320"/>
          <w:jc w:val="center"/>
        </w:trPr>
        <w:tc>
          <w:tcPr>
            <w:tcW w:w="36pt" w:type="dxa"/>
            <w:vAlign w:val="center"/>
          </w:tcPr>
          <w:p w14:paraId="42E5B369" w14:textId="77777777" w:rsidR="009303D9" w:rsidRDefault="009303D9">
            <w:pPr>
              <w:pStyle w:val="tablecopy"/>
              <w:rPr>
                <w:sz w:val="8"/>
                <w:szCs w:val="8"/>
              </w:rPr>
            </w:pPr>
            <w:r>
              <w:t>copy</w:t>
            </w:r>
          </w:p>
        </w:tc>
        <w:tc>
          <w:tcPr>
            <w:tcW w:w="117pt" w:type="dxa"/>
            <w:vAlign w:val="center"/>
          </w:tcPr>
          <w:p w14:paraId="0120A920" w14:textId="77777777" w:rsidR="009303D9" w:rsidRDefault="009303D9">
            <w:pPr>
              <w:pStyle w:val="tablecopy"/>
            </w:pPr>
            <w:r>
              <w:t>More table copy</w:t>
            </w:r>
            <w:r>
              <w:rPr>
                <w:vertAlign w:val="superscript"/>
              </w:rPr>
              <w:t>a</w:t>
            </w:r>
          </w:p>
        </w:tc>
        <w:tc>
          <w:tcPr>
            <w:tcW w:w="45pt" w:type="dxa"/>
            <w:vAlign w:val="center"/>
          </w:tcPr>
          <w:p w14:paraId="5D04EC44" w14:textId="77777777" w:rsidR="009303D9" w:rsidRDefault="009303D9">
            <w:pPr>
              <w:rPr>
                <w:sz w:val="16"/>
                <w:szCs w:val="16"/>
              </w:rPr>
            </w:pPr>
          </w:p>
        </w:tc>
        <w:tc>
          <w:tcPr>
            <w:tcW w:w="45pt" w:type="dxa"/>
            <w:vAlign w:val="center"/>
          </w:tcPr>
          <w:p w14:paraId="20E8DD06" w14:textId="77777777" w:rsidR="009303D9" w:rsidRDefault="009303D9">
            <w:pPr>
              <w:rPr>
                <w:sz w:val="16"/>
                <w:szCs w:val="16"/>
              </w:rPr>
            </w:pPr>
          </w:p>
        </w:tc>
      </w:tr>
    </w:tbl>
    <w:p w14:paraId="1C1DF26D" w14:textId="77777777" w:rsidR="009303D9" w:rsidRPr="005B520E" w:rsidRDefault="009303D9" w:rsidP="005E2800">
      <w:pPr>
        <w:pStyle w:val="tablefootnote"/>
      </w:pPr>
      <w:r>
        <w:lastRenderedPageBreak/>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43E9FA6B"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0238A4E8" w14:textId="77777777"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521AF713" w14:textId="3699B631" w:rsidR="0080791D" w:rsidRDefault="0080791D" w:rsidP="0080791D">
      <w:pPr>
        <w:pStyle w:val="Heading5"/>
      </w:pPr>
      <w:r w:rsidRPr="005B520E">
        <w:t>Acknowledgment</w:t>
      </w:r>
    </w:p>
    <w:p w14:paraId="3AE333DA" w14:textId="2D4007AE" w:rsidR="004B7AB8" w:rsidRDefault="004B7AB8" w:rsidP="00836367">
      <w:pPr>
        <w:pStyle w:val="BodyText"/>
      </w:pPr>
      <w:r w:rsidRPr="004B7AB8">
        <w:t>The author wishes to thank Prof. Yong Guan</w:t>
      </w:r>
      <w:r>
        <w:t xml:space="preserve"> and TA. Islam Md Shafiqul</w:t>
      </w:r>
      <w:r w:rsidRPr="004B7AB8">
        <w:t xml:space="preserve"> for </w:t>
      </w:r>
      <w:r>
        <w:t>their</w:t>
      </w:r>
      <w:r w:rsidRPr="004B7AB8">
        <w:t xml:space="preserve"> guidance and valuable feedback on the focus of this research.</w:t>
      </w:r>
    </w:p>
    <w:p w14:paraId="4AD12006" w14:textId="35AAA64E" w:rsidR="009303D9" w:rsidRPr="005B520E" w:rsidRDefault="009303D9" w:rsidP="004B2922">
      <w:pPr>
        <w:pStyle w:val="Heading5"/>
      </w:pPr>
      <w:r w:rsidRPr="005B520E">
        <w:t>References</w:t>
      </w:r>
    </w:p>
    <w:p w14:paraId="53C66005" w14:textId="2FB5431E" w:rsidR="009303D9" w:rsidRDefault="00A136D8" w:rsidP="0004781E">
      <w:pPr>
        <w:pStyle w:val="references"/>
        <w:ind w:start="17.70pt" w:hanging="17.70pt"/>
      </w:pPr>
      <w:r w:rsidRPr="00A136D8">
        <w:t>“Computer Forensics Tool Testing Program (CFTT),” NIST, https://www.nist.gov/itl/ssd/software-quality-group/computer-forensics-tool-testing-program-cftt (accessed Oct. 2</w:t>
      </w:r>
      <w:r>
        <w:t>2</w:t>
      </w:r>
      <w:r w:rsidRPr="00A136D8">
        <w:t>, 2025).</w:t>
      </w:r>
    </w:p>
    <w:p w14:paraId="10611479" w14:textId="3844473C" w:rsidR="004B2922" w:rsidRDefault="00A136D8" w:rsidP="004B2922">
      <w:pPr>
        <w:pStyle w:val="references"/>
        <w:ind w:start="17.70pt" w:hanging="17.70pt"/>
      </w:pPr>
      <w:r w:rsidRPr="00A136D8">
        <w:t>“Publication</w:t>
      </w:r>
      <w:r>
        <w:t xml:space="preserve"> </w:t>
      </w:r>
      <w:r w:rsidRPr="00A136D8">
        <w:t>documents,”</w:t>
      </w:r>
      <w:r>
        <w:t xml:space="preserve"> </w:t>
      </w:r>
      <w:r w:rsidRPr="00A136D8">
        <w:t>SWGDE, https://www.swgde.org/documents/published-complete-listing/ (accessed Oct. 2</w:t>
      </w:r>
      <w:r>
        <w:t>2</w:t>
      </w:r>
      <w:r w:rsidRPr="00A136D8">
        <w:t>, 2025).</w:t>
      </w:r>
    </w:p>
    <w:p w14:paraId="46F8702F" w14:textId="5ACCC0B4" w:rsidR="009303D9" w:rsidRDefault="009303D9" w:rsidP="004B2922">
      <w:pPr>
        <w:pStyle w:val="references"/>
        <w:ind w:start="17.70pt" w:hanging="17.70pt"/>
      </w:pPr>
    </w:p>
    <w:p w14:paraId="46E643AC" w14:textId="5BD12F06" w:rsidR="004B2922" w:rsidRDefault="004B2922" w:rsidP="004B2922">
      <w:pPr>
        <w:pStyle w:val="references"/>
        <w:ind w:start="17.70pt" w:hanging="17.70pt"/>
      </w:pPr>
    </w:p>
    <w:p w14:paraId="3F3609A7" w14:textId="385B1A75" w:rsidR="004B2922" w:rsidRDefault="004B2922" w:rsidP="004B2922">
      <w:pPr>
        <w:pStyle w:val="references"/>
        <w:ind w:start="17.70pt" w:hanging="17.70pt"/>
      </w:pPr>
    </w:p>
    <w:p w14:paraId="71B983D3" w14:textId="77777777" w:rsidR="004B2922" w:rsidRDefault="004B2922" w:rsidP="004B2922">
      <w:pPr>
        <w:pStyle w:val="references"/>
        <w:ind w:start="17.70pt" w:hanging="17.70pt"/>
      </w:pPr>
    </w:p>
    <w:p w14:paraId="43F4A27A" w14:textId="1B5621E0"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676AB913" w14:textId="77777777" w:rsidR="007B3559" w:rsidRDefault="007B3559" w:rsidP="005B520E"/>
    <w:p w14:paraId="4BF92F8B" w14:textId="77777777" w:rsidR="007B3559" w:rsidRDefault="007B3559" w:rsidP="005B520E"/>
    <w:p w14:paraId="273A9E21" w14:textId="77777777" w:rsidR="007B3559" w:rsidRDefault="007B3559" w:rsidP="005B520E"/>
    <w:p w14:paraId="07DF214F" w14:textId="77777777" w:rsidR="007B3559" w:rsidRDefault="007B3559" w:rsidP="005B520E"/>
    <w:p w14:paraId="1B09EF46" w14:textId="780C8C3C" w:rsidR="009303D9" w:rsidRDefault="003B2B40" w:rsidP="00F22341">
      <w:pPr>
        <w:jc w:val="both"/>
      </w:pPr>
      <w:r w:rsidRPr="00357161">
        <w:rPr>
          <w:b/>
          <w:bCs/>
          <w:noProof/>
        </w:rPr>
        <w:drawing>
          <wp:anchor distT="0" distB="0" distL="114300" distR="114300" simplePos="0" relativeHeight="251657728" behindDoc="1" locked="0" layoutInCell="1" allowOverlap="1" wp14:anchorId="672D18CF" wp14:editId="481DA8DF">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0AF5751B"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059A515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15EA040" w14:textId="77777777" w:rsidR="0057159F" w:rsidRDefault="0057159F" w:rsidP="001A3B3D">
      <w:r>
        <w:separator/>
      </w:r>
    </w:p>
  </w:endnote>
  <w:endnote w:type="continuationSeparator" w:id="0">
    <w:p w14:paraId="58AAB708" w14:textId="77777777" w:rsidR="0057159F" w:rsidRDefault="0057159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CD17B66"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BE00ADB" w14:textId="77777777" w:rsidR="0057159F" w:rsidRDefault="0057159F" w:rsidP="001A3B3D">
      <w:r>
        <w:separator/>
      </w:r>
    </w:p>
  </w:footnote>
  <w:footnote w:type="continuationSeparator" w:id="0">
    <w:p w14:paraId="7D266FDC" w14:textId="77777777" w:rsidR="0057159F" w:rsidRDefault="0057159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10907843">
    <w:abstractNumId w:val="14"/>
  </w:num>
  <w:num w:numId="2" w16cid:durableId="2041318439">
    <w:abstractNumId w:val="19"/>
  </w:num>
  <w:num w:numId="3" w16cid:durableId="1757244866">
    <w:abstractNumId w:val="13"/>
  </w:num>
  <w:num w:numId="4" w16cid:durableId="1778713517">
    <w:abstractNumId w:val="16"/>
  </w:num>
  <w:num w:numId="5" w16cid:durableId="1412043914">
    <w:abstractNumId w:val="16"/>
  </w:num>
  <w:num w:numId="6" w16cid:durableId="477961737">
    <w:abstractNumId w:val="16"/>
  </w:num>
  <w:num w:numId="7" w16cid:durableId="1918201005">
    <w:abstractNumId w:val="16"/>
  </w:num>
  <w:num w:numId="8" w16cid:durableId="2050833577">
    <w:abstractNumId w:val="18"/>
  </w:num>
  <w:num w:numId="9" w16cid:durableId="20012193">
    <w:abstractNumId w:val="20"/>
  </w:num>
  <w:num w:numId="10" w16cid:durableId="1252736041">
    <w:abstractNumId w:val="15"/>
  </w:num>
  <w:num w:numId="11" w16cid:durableId="949895863">
    <w:abstractNumId w:val="12"/>
  </w:num>
  <w:num w:numId="12" w16cid:durableId="1336299631">
    <w:abstractNumId w:val="11"/>
  </w:num>
  <w:num w:numId="13" w16cid:durableId="924268085">
    <w:abstractNumId w:val="0"/>
  </w:num>
  <w:num w:numId="14" w16cid:durableId="1262835149">
    <w:abstractNumId w:val="10"/>
  </w:num>
  <w:num w:numId="15" w16cid:durableId="630786701">
    <w:abstractNumId w:val="8"/>
  </w:num>
  <w:num w:numId="16" w16cid:durableId="249892491">
    <w:abstractNumId w:val="7"/>
  </w:num>
  <w:num w:numId="17" w16cid:durableId="4477382">
    <w:abstractNumId w:val="6"/>
  </w:num>
  <w:num w:numId="18" w16cid:durableId="239561999">
    <w:abstractNumId w:val="5"/>
  </w:num>
  <w:num w:numId="19" w16cid:durableId="1670793208">
    <w:abstractNumId w:val="9"/>
  </w:num>
  <w:num w:numId="20" w16cid:durableId="939678655">
    <w:abstractNumId w:val="4"/>
  </w:num>
  <w:num w:numId="21" w16cid:durableId="1561668061">
    <w:abstractNumId w:val="3"/>
  </w:num>
  <w:num w:numId="22" w16cid:durableId="2091386532">
    <w:abstractNumId w:val="2"/>
  </w:num>
  <w:num w:numId="23" w16cid:durableId="1161502653">
    <w:abstractNumId w:val="1"/>
  </w:num>
  <w:num w:numId="24" w16cid:durableId="84386224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47BFC"/>
    <w:rsid w:val="00060026"/>
    <w:rsid w:val="00062DDE"/>
    <w:rsid w:val="00080559"/>
    <w:rsid w:val="0008758A"/>
    <w:rsid w:val="000C1E68"/>
    <w:rsid w:val="001336F3"/>
    <w:rsid w:val="001A2EFD"/>
    <w:rsid w:val="001A3B3D"/>
    <w:rsid w:val="001B67DC"/>
    <w:rsid w:val="001F60F4"/>
    <w:rsid w:val="00212740"/>
    <w:rsid w:val="002254A9"/>
    <w:rsid w:val="00233D97"/>
    <w:rsid w:val="002347A2"/>
    <w:rsid w:val="002850E3"/>
    <w:rsid w:val="002F6A6E"/>
    <w:rsid w:val="00354FCF"/>
    <w:rsid w:val="00357161"/>
    <w:rsid w:val="003A19E2"/>
    <w:rsid w:val="003B2B40"/>
    <w:rsid w:val="003B4E04"/>
    <w:rsid w:val="003F5A08"/>
    <w:rsid w:val="00420716"/>
    <w:rsid w:val="004325FB"/>
    <w:rsid w:val="00436E93"/>
    <w:rsid w:val="004432BA"/>
    <w:rsid w:val="0044407E"/>
    <w:rsid w:val="00447BB9"/>
    <w:rsid w:val="0046031D"/>
    <w:rsid w:val="00470575"/>
    <w:rsid w:val="00473AC9"/>
    <w:rsid w:val="004B2922"/>
    <w:rsid w:val="004B7AB8"/>
    <w:rsid w:val="004D72B5"/>
    <w:rsid w:val="00551B7F"/>
    <w:rsid w:val="0056610F"/>
    <w:rsid w:val="005673DC"/>
    <w:rsid w:val="0057159F"/>
    <w:rsid w:val="00575BCA"/>
    <w:rsid w:val="005B0344"/>
    <w:rsid w:val="005B520E"/>
    <w:rsid w:val="005E2800"/>
    <w:rsid w:val="00605825"/>
    <w:rsid w:val="006456AF"/>
    <w:rsid w:val="00645D22"/>
    <w:rsid w:val="00651A08"/>
    <w:rsid w:val="00654204"/>
    <w:rsid w:val="00670434"/>
    <w:rsid w:val="006B6B66"/>
    <w:rsid w:val="006F6D3D"/>
    <w:rsid w:val="00715BEA"/>
    <w:rsid w:val="00740EEA"/>
    <w:rsid w:val="0075516F"/>
    <w:rsid w:val="00794804"/>
    <w:rsid w:val="007B33F1"/>
    <w:rsid w:val="007B3559"/>
    <w:rsid w:val="007B6DDA"/>
    <w:rsid w:val="007C0308"/>
    <w:rsid w:val="007C2FF2"/>
    <w:rsid w:val="007D6232"/>
    <w:rsid w:val="007F1F99"/>
    <w:rsid w:val="007F513D"/>
    <w:rsid w:val="007F768F"/>
    <w:rsid w:val="0080791D"/>
    <w:rsid w:val="00836367"/>
    <w:rsid w:val="00873603"/>
    <w:rsid w:val="00892CAC"/>
    <w:rsid w:val="008A2C7D"/>
    <w:rsid w:val="008B6524"/>
    <w:rsid w:val="008C4B23"/>
    <w:rsid w:val="008F25DE"/>
    <w:rsid w:val="008F6E2C"/>
    <w:rsid w:val="009303D9"/>
    <w:rsid w:val="00933C64"/>
    <w:rsid w:val="00962E98"/>
    <w:rsid w:val="00972203"/>
    <w:rsid w:val="009F1D79"/>
    <w:rsid w:val="00A059B3"/>
    <w:rsid w:val="00A11A18"/>
    <w:rsid w:val="00A136D8"/>
    <w:rsid w:val="00A84FB8"/>
    <w:rsid w:val="00AE3409"/>
    <w:rsid w:val="00B11A60"/>
    <w:rsid w:val="00B22613"/>
    <w:rsid w:val="00B44A76"/>
    <w:rsid w:val="00B768D1"/>
    <w:rsid w:val="00BA1025"/>
    <w:rsid w:val="00BC3420"/>
    <w:rsid w:val="00BD670B"/>
    <w:rsid w:val="00BE7D3C"/>
    <w:rsid w:val="00BF5FF6"/>
    <w:rsid w:val="00C0207F"/>
    <w:rsid w:val="00C16117"/>
    <w:rsid w:val="00C3075A"/>
    <w:rsid w:val="00C37B9B"/>
    <w:rsid w:val="00C919A4"/>
    <w:rsid w:val="00CA4392"/>
    <w:rsid w:val="00CB3A76"/>
    <w:rsid w:val="00CC393F"/>
    <w:rsid w:val="00D2176E"/>
    <w:rsid w:val="00D53AA5"/>
    <w:rsid w:val="00D61041"/>
    <w:rsid w:val="00D632BE"/>
    <w:rsid w:val="00D72D06"/>
    <w:rsid w:val="00D7522C"/>
    <w:rsid w:val="00D7536F"/>
    <w:rsid w:val="00D76668"/>
    <w:rsid w:val="00DD70D8"/>
    <w:rsid w:val="00E07383"/>
    <w:rsid w:val="00E165BC"/>
    <w:rsid w:val="00E61E12"/>
    <w:rsid w:val="00E7596C"/>
    <w:rsid w:val="00E878F2"/>
    <w:rsid w:val="00ED0149"/>
    <w:rsid w:val="00EF7DE3"/>
    <w:rsid w:val="00F03103"/>
    <w:rsid w:val="00F22341"/>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FFFF96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74</TotalTime>
  <Pages>3</Pages>
  <Words>1738</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Dhiman, Gurumanie S</cp:lastModifiedBy>
  <cp:revision>26</cp:revision>
  <dcterms:created xsi:type="dcterms:W3CDTF">2019-01-08T07:12:00Z</dcterms:created>
  <dcterms:modified xsi:type="dcterms:W3CDTF">2025-10-27T04:30:00Z</dcterms:modified>
</cp:coreProperties>
</file>