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5F5AA9" w14:textId="4569B9B0" w:rsidR="007420C9" w:rsidRPr="007420C9" w:rsidRDefault="007420C9" w:rsidP="007420C9">
      <w:pPr>
        <w:spacing w:line="480" w:lineRule="auto"/>
        <w:jc w:val="center"/>
        <w:rPr>
          <w:rFonts w:ascii="Times New Roman" w:hAnsi="Times New Roman" w:cs="Times New Roman"/>
          <w:b/>
          <w:bCs/>
          <w:color w:val="000000" w:themeColor="text1"/>
          <w:u w:val="single"/>
          <w:shd w:val="clear" w:color="auto" w:fill="FFFFFF"/>
        </w:rPr>
      </w:pPr>
      <w:r w:rsidRPr="007420C9">
        <w:rPr>
          <w:rFonts w:ascii="Times New Roman" w:hAnsi="Times New Roman" w:cs="Times New Roman"/>
          <w:b/>
          <w:bCs/>
          <w:color w:val="000000" w:themeColor="text1"/>
          <w:u w:val="single"/>
          <w:shd w:val="clear" w:color="auto" w:fill="FFFFFF"/>
        </w:rPr>
        <w:t xml:space="preserve">The Art </w:t>
      </w:r>
      <w:r w:rsidR="0007781C">
        <w:rPr>
          <w:rFonts w:ascii="Times New Roman" w:hAnsi="Times New Roman" w:cs="Times New Roman"/>
          <w:b/>
          <w:bCs/>
          <w:color w:val="000000" w:themeColor="text1"/>
          <w:u w:val="single"/>
          <w:shd w:val="clear" w:color="auto" w:fill="FFFFFF"/>
        </w:rPr>
        <w:t>from</w:t>
      </w:r>
      <w:r w:rsidRPr="007420C9">
        <w:rPr>
          <w:rFonts w:ascii="Times New Roman" w:hAnsi="Times New Roman" w:cs="Times New Roman"/>
          <w:b/>
          <w:bCs/>
          <w:color w:val="000000" w:themeColor="text1"/>
          <w:u w:val="single"/>
          <w:shd w:val="clear" w:color="auto" w:fill="FFFFFF"/>
        </w:rPr>
        <w:t xml:space="preserve"> the Shadows: Strategic Deception from Sun Tzu to the Cold War</w:t>
      </w:r>
    </w:p>
    <w:p w14:paraId="4B25BFC3" w14:textId="77777777" w:rsidR="007420C9" w:rsidRPr="007420C9" w:rsidRDefault="007420C9" w:rsidP="007420C9">
      <w:pPr>
        <w:spacing w:line="480" w:lineRule="auto"/>
        <w:rPr>
          <w:rFonts w:ascii="Times New Roman" w:hAnsi="Times New Roman" w:cs="Times New Roman"/>
          <w:b/>
          <w:bCs/>
          <w:color w:val="000000" w:themeColor="text1"/>
          <w:shd w:val="clear" w:color="auto" w:fill="FFFFFF"/>
        </w:rPr>
      </w:pPr>
      <w:r w:rsidRPr="007420C9">
        <w:rPr>
          <w:rFonts w:ascii="Times New Roman" w:hAnsi="Times New Roman" w:cs="Times New Roman"/>
          <w:b/>
          <w:bCs/>
          <w:color w:val="000000" w:themeColor="text1"/>
          <w:shd w:val="clear" w:color="auto" w:fill="FFFFFF"/>
        </w:rPr>
        <w:t>Introduction</w:t>
      </w:r>
    </w:p>
    <w:p w14:paraId="023A88CA" w14:textId="409E2E32" w:rsidR="007420C9" w:rsidRPr="007420C9" w:rsidRDefault="007420C9" w:rsidP="007420C9">
      <w:pPr>
        <w:spacing w:line="480" w:lineRule="auto"/>
        <w:rPr>
          <w:rFonts w:ascii="Times New Roman" w:hAnsi="Times New Roman" w:cs="Times New Roman"/>
          <w:color w:val="000000" w:themeColor="text1"/>
          <w:shd w:val="clear" w:color="auto" w:fill="FFFFFF"/>
        </w:rPr>
      </w:pPr>
      <w:r w:rsidRPr="007420C9">
        <w:rPr>
          <w:rFonts w:ascii="Times New Roman" w:hAnsi="Times New Roman" w:cs="Times New Roman"/>
          <w:color w:val="000000" w:themeColor="text1"/>
          <w:shd w:val="clear" w:color="auto" w:fill="FFFFFF"/>
        </w:rPr>
        <w:t xml:space="preserve">This report will analyze the evolution of adversarial tactics by examining two pivotal eras in strategic history. Namely, the introduction of formal military philosophy in Sun Tzu’s The Art of War (5th Century BCE) </w:t>
      </w:r>
      <w:r w:rsidR="00AB4F8E">
        <w:rPr>
          <w:rFonts w:ascii="Times New Roman" w:hAnsi="Times New Roman" w:cs="Times New Roman"/>
          <w:color w:val="000000" w:themeColor="text1"/>
          <w:shd w:val="clear" w:color="auto" w:fill="FFFFFF"/>
        </w:rPr>
        <w:t xml:space="preserve">[1] </w:t>
      </w:r>
      <w:r w:rsidRPr="007420C9">
        <w:rPr>
          <w:rFonts w:ascii="Times New Roman" w:hAnsi="Times New Roman" w:cs="Times New Roman"/>
          <w:color w:val="000000" w:themeColor="text1"/>
          <w:shd w:val="clear" w:color="auto" w:fill="FFFFFF"/>
        </w:rPr>
        <w:t>and the complex espionage of the Cold War (Mid-20th Century)</w:t>
      </w:r>
      <w:r w:rsidR="00AB4F8E">
        <w:rPr>
          <w:rFonts w:ascii="Times New Roman" w:hAnsi="Times New Roman" w:cs="Times New Roman"/>
          <w:color w:val="000000" w:themeColor="text1"/>
          <w:shd w:val="clear" w:color="auto" w:fill="FFFFFF"/>
        </w:rPr>
        <w:t xml:space="preserve"> [2]</w:t>
      </w:r>
      <w:r w:rsidRPr="007420C9">
        <w:rPr>
          <w:rFonts w:ascii="Times New Roman" w:hAnsi="Times New Roman" w:cs="Times New Roman"/>
          <w:color w:val="000000" w:themeColor="text1"/>
          <w:shd w:val="clear" w:color="auto" w:fill="FFFFFF"/>
        </w:rPr>
        <w:t>. These two eras were chosen mainly because they represent the key philosophies behind the birth of deception as a formal military tool and its rise to the peak as a primary instrument of the global geopolitical struggle. The analysis of these eras aims to highlight just how the fundamental goal of “knowing the enemy” shifted from tactical battlefield maneuvers to a permanent state of global surveillance.</w:t>
      </w:r>
    </w:p>
    <w:p w14:paraId="1A9E64E8" w14:textId="77777777" w:rsidR="007420C9" w:rsidRPr="007420C9" w:rsidRDefault="007420C9" w:rsidP="007420C9">
      <w:pPr>
        <w:spacing w:line="480" w:lineRule="auto"/>
        <w:rPr>
          <w:rFonts w:ascii="Times New Roman" w:hAnsi="Times New Roman" w:cs="Times New Roman"/>
          <w:b/>
          <w:bCs/>
          <w:color w:val="000000" w:themeColor="text1"/>
          <w:shd w:val="clear" w:color="auto" w:fill="FFFFFF"/>
        </w:rPr>
      </w:pPr>
      <w:r w:rsidRPr="007420C9">
        <w:rPr>
          <w:rFonts w:ascii="Times New Roman" w:hAnsi="Times New Roman" w:cs="Times New Roman"/>
          <w:b/>
          <w:bCs/>
          <w:color w:val="000000" w:themeColor="text1"/>
          <w:shd w:val="clear" w:color="auto" w:fill="FFFFFF"/>
        </w:rPr>
        <w:t>Event Description and Historical Context</w:t>
      </w:r>
    </w:p>
    <w:p w14:paraId="4991E29D" w14:textId="77777777" w:rsidR="007420C9" w:rsidRPr="007420C9" w:rsidRDefault="007420C9" w:rsidP="007420C9">
      <w:pPr>
        <w:spacing w:line="480" w:lineRule="auto"/>
        <w:rPr>
          <w:rFonts w:ascii="Times New Roman" w:hAnsi="Times New Roman" w:cs="Times New Roman"/>
          <w:color w:val="000000" w:themeColor="text1"/>
          <w:shd w:val="clear" w:color="auto" w:fill="FFFFFF"/>
        </w:rPr>
      </w:pPr>
      <w:r w:rsidRPr="007420C9">
        <w:rPr>
          <w:rFonts w:ascii="Times New Roman" w:hAnsi="Times New Roman" w:cs="Times New Roman"/>
          <w:color w:val="000000" w:themeColor="text1"/>
          <w:shd w:val="clear" w:color="auto" w:fill="FFFFFF"/>
        </w:rPr>
        <w:t>In the 5th century BCE, Sun Tzu was the author of The Art of War, a book that shifted the focus of conflict from brute force to intellectual mastery and deception. During this time period of desperate times in ancient China, survival depended heavily on the leader’s ability to outmaneuver rivals through superior intelligence.</w:t>
      </w:r>
    </w:p>
    <w:p w14:paraId="7CAF72B4" w14:textId="77777777" w:rsidR="007420C9" w:rsidRDefault="007420C9" w:rsidP="007420C9">
      <w:pPr>
        <w:spacing w:line="480" w:lineRule="auto"/>
        <w:rPr>
          <w:rFonts w:ascii="Times New Roman" w:hAnsi="Times New Roman" w:cs="Times New Roman"/>
          <w:color w:val="000000" w:themeColor="text1"/>
          <w:shd w:val="clear" w:color="auto" w:fill="FFFFFF"/>
        </w:rPr>
      </w:pPr>
      <w:r w:rsidRPr="007420C9">
        <w:rPr>
          <w:rFonts w:ascii="Times New Roman" w:hAnsi="Times New Roman" w:cs="Times New Roman"/>
          <w:color w:val="000000" w:themeColor="text1"/>
          <w:shd w:val="clear" w:color="auto" w:fill="FFFFFF"/>
        </w:rPr>
        <w:t>Then came the mid-20th century, where the Cold War presented a much different landscape. After World War 2, the world was divided into a bipolar system dominated by the United States and the Soviet Union. This specific era was characterized by “shadow wars” where direct military engagement was deterred by the threat of nuclear weapons, which in turn made covert operations and intelligence gathering the primary means of engagement.</w:t>
      </w:r>
    </w:p>
    <w:p w14:paraId="42BB4A16" w14:textId="77777777" w:rsidR="00AB4F8E" w:rsidRPr="007420C9" w:rsidRDefault="00AB4F8E" w:rsidP="007420C9">
      <w:pPr>
        <w:spacing w:line="480" w:lineRule="auto"/>
        <w:rPr>
          <w:rFonts w:ascii="Times New Roman" w:hAnsi="Times New Roman" w:cs="Times New Roman"/>
          <w:color w:val="000000" w:themeColor="text1"/>
          <w:shd w:val="clear" w:color="auto" w:fill="FFFFFF"/>
        </w:rPr>
      </w:pPr>
    </w:p>
    <w:p w14:paraId="71D06324" w14:textId="77777777" w:rsidR="007420C9" w:rsidRPr="007420C9" w:rsidRDefault="007420C9" w:rsidP="007420C9">
      <w:pPr>
        <w:spacing w:line="480" w:lineRule="auto"/>
        <w:rPr>
          <w:rFonts w:ascii="Times New Roman" w:hAnsi="Times New Roman" w:cs="Times New Roman"/>
          <w:b/>
          <w:bCs/>
          <w:color w:val="000000" w:themeColor="text1"/>
          <w:shd w:val="clear" w:color="auto" w:fill="FFFFFF"/>
        </w:rPr>
      </w:pPr>
      <w:r w:rsidRPr="007420C9">
        <w:rPr>
          <w:rFonts w:ascii="Times New Roman" w:hAnsi="Times New Roman" w:cs="Times New Roman"/>
          <w:b/>
          <w:bCs/>
          <w:color w:val="000000" w:themeColor="text1"/>
          <w:shd w:val="clear" w:color="auto" w:fill="FFFFFF"/>
        </w:rPr>
        <w:lastRenderedPageBreak/>
        <w:t>Analysis of Adversarial Tactics</w:t>
      </w:r>
    </w:p>
    <w:p w14:paraId="627850BD" w14:textId="0E357A7D" w:rsidR="007420C9" w:rsidRPr="007420C9" w:rsidRDefault="007420C9" w:rsidP="007420C9">
      <w:pPr>
        <w:spacing w:line="480" w:lineRule="auto"/>
        <w:rPr>
          <w:rFonts w:ascii="Times New Roman" w:hAnsi="Times New Roman" w:cs="Times New Roman"/>
          <w:color w:val="000000" w:themeColor="text1"/>
          <w:shd w:val="clear" w:color="auto" w:fill="FFFFFF"/>
        </w:rPr>
      </w:pPr>
      <w:r w:rsidRPr="007420C9">
        <w:rPr>
          <w:rFonts w:ascii="Times New Roman" w:hAnsi="Times New Roman" w:cs="Times New Roman"/>
          <w:color w:val="000000" w:themeColor="text1"/>
          <w:shd w:val="clear" w:color="auto" w:fill="FFFFFF"/>
        </w:rPr>
        <w:t xml:space="preserve">The tactics Sun Tzu proposed stemmed from the key principle that “all warfare is based on deception.” </w:t>
      </w:r>
      <w:r w:rsidR="00AB4F8E">
        <w:rPr>
          <w:rFonts w:ascii="Times New Roman" w:hAnsi="Times New Roman" w:cs="Times New Roman"/>
          <w:color w:val="000000" w:themeColor="text1"/>
          <w:shd w:val="clear" w:color="auto" w:fill="FFFFFF"/>
        </w:rPr>
        <w:t xml:space="preserve">[3] </w:t>
      </w:r>
      <w:r w:rsidRPr="007420C9">
        <w:rPr>
          <w:rFonts w:ascii="Times New Roman" w:hAnsi="Times New Roman" w:cs="Times New Roman"/>
          <w:color w:val="000000" w:themeColor="text1"/>
          <w:shd w:val="clear" w:color="auto" w:fill="FFFFFF"/>
        </w:rPr>
        <w:t>His tactics and strategy put heavy emphasis on psychological warfare, using spies to sow discord, and flexibility in adapting to situations (such as attacking where the enemy is weak and retreating when they are strong). These tactics were constrained by the technology of their time and often relied on physical messengers and human observation.</w:t>
      </w:r>
    </w:p>
    <w:p w14:paraId="3CBE5BD2" w14:textId="526FEC90" w:rsidR="007420C9" w:rsidRPr="007420C9" w:rsidRDefault="007420C9" w:rsidP="007420C9">
      <w:pPr>
        <w:spacing w:line="480" w:lineRule="auto"/>
        <w:rPr>
          <w:rFonts w:ascii="Times New Roman" w:hAnsi="Times New Roman" w:cs="Times New Roman"/>
          <w:color w:val="000000" w:themeColor="text1"/>
          <w:shd w:val="clear" w:color="auto" w:fill="FFFFFF"/>
        </w:rPr>
      </w:pPr>
      <w:r w:rsidRPr="007420C9">
        <w:rPr>
          <w:rFonts w:ascii="Times New Roman" w:hAnsi="Times New Roman" w:cs="Times New Roman"/>
          <w:color w:val="000000" w:themeColor="text1"/>
          <w:shd w:val="clear" w:color="auto" w:fill="FFFFFF"/>
        </w:rPr>
        <w:t>Whereas, in contrast, the Cold War’s adversarial tactics expanded these principles into a massive, state-sponsored infrastructure</w:t>
      </w:r>
      <w:r w:rsidR="00AB4F8E">
        <w:rPr>
          <w:rFonts w:ascii="Times New Roman" w:hAnsi="Times New Roman" w:cs="Times New Roman"/>
          <w:color w:val="000000" w:themeColor="text1"/>
          <w:shd w:val="clear" w:color="auto" w:fill="FFFFFF"/>
        </w:rPr>
        <w:t xml:space="preserve"> [2]</w:t>
      </w:r>
      <w:r w:rsidRPr="007420C9">
        <w:rPr>
          <w:rFonts w:ascii="Times New Roman" w:hAnsi="Times New Roman" w:cs="Times New Roman"/>
          <w:color w:val="000000" w:themeColor="text1"/>
          <w:shd w:val="clear" w:color="auto" w:fill="FFFFFF"/>
        </w:rPr>
        <w:t>. While they still relied quite heavily on Human Intelligence (HUMINT) and Covert Operations, this era saw the proper integration of early Signals Intelligence (SIGINT) and sophisticated counterintelligence measures</w:t>
      </w:r>
      <w:r w:rsidR="00DF01E5">
        <w:rPr>
          <w:rFonts w:ascii="Times New Roman" w:hAnsi="Times New Roman" w:cs="Times New Roman"/>
          <w:color w:val="000000" w:themeColor="text1"/>
          <w:shd w:val="clear" w:color="auto" w:fill="FFFFFF"/>
        </w:rPr>
        <w:t xml:space="preserve"> [4]</w:t>
      </w:r>
      <w:r w:rsidRPr="007420C9">
        <w:rPr>
          <w:rFonts w:ascii="Times New Roman" w:hAnsi="Times New Roman" w:cs="Times New Roman"/>
          <w:color w:val="000000" w:themeColor="text1"/>
          <w:shd w:val="clear" w:color="auto" w:fill="FFFFFF"/>
        </w:rPr>
        <w:t>. The “deception” that Sun Tzu mentioned evolved into an elaborate form of “disinformation” campaigns, which were explicitly designed to destabilize the social and political frames of the opposition.</w:t>
      </w:r>
    </w:p>
    <w:p w14:paraId="72AD0312" w14:textId="77777777" w:rsidR="007420C9" w:rsidRDefault="007420C9" w:rsidP="007420C9">
      <w:pPr>
        <w:spacing w:line="480" w:lineRule="auto"/>
        <w:rPr>
          <w:rFonts w:ascii="Times New Roman" w:hAnsi="Times New Roman" w:cs="Times New Roman"/>
          <w:b/>
          <w:bCs/>
          <w:color w:val="000000" w:themeColor="text1"/>
          <w:shd w:val="clear" w:color="auto" w:fill="FFFFFF"/>
        </w:rPr>
      </w:pPr>
      <w:r w:rsidRPr="007420C9">
        <w:rPr>
          <w:rFonts w:ascii="Times New Roman" w:hAnsi="Times New Roman" w:cs="Times New Roman"/>
          <w:b/>
          <w:bCs/>
          <w:color w:val="000000" w:themeColor="text1"/>
          <w:shd w:val="clear" w:color="auto" w:fill="FFFFFF"/>
        </w:rPr>
        <w:t>Identification of Motivations and Goals</w:t>
      </w:r>
    </w:p>
    <w:p w14:paraId="74917509" w14:textId="77777777" w:rsidR="007420C9" w:rsidRPr="007420C9" w:rsidRDefault="007420C9" w:rsidP="007420C9">
      <w:pPr>
        <w:pStyle w:val="ListParagraph"/>
        <w:numPr>
          <w:ilvl w:val="0"/>
          <w:numId w:val="3"/>
        </w:numPr>
        <w:spacing w:line="480" w:lineRule="auto"/>
        <w:rPr>
          <w:rFonts w:ascii="Times New Roman" w:hAnsi="Times New Roman" w:cs="Times New Roman"/>
          <w:b/>
          <w:bCs/>
          <w:color w:val="000000" w:themeColor="text1"/>
          <w:shd w:val="clear" w:color="auto" w:fill="FFFFFF"/>
        </w:rPr>
      </w:pPr>
      <w:r w:rsidRPr="007420C9">
        <w:rPr>
          <w:rFonts w:ascii="Times New Roman" w:hAnsi="Times New Roman" w:cs="Times New Roman"/>
          <w:color w:val="000000" w:themeColor="text1"/>
          <w:shd w:val="clear" w:color="auto" w:fill="FFFFFF"/>
        </w:rPr>
        <w:t>Sun Tzu’s Era: The most important motivation was to ensure survival and consolidation of the state. Their goal was to achieve victory as swiftly and efficiently as possible, ideally without even having to engage in any form of prolonged and costly war that would deplete their own nation’s resources.</w:t>
      </w:r>
    </w:p>
    <w:p w14:paraId="65435EEE" w14:textId="124823C8" w:rsidR="007420C9" w:rsidRPr="00FD0153" w:rsidRDefault="007420C9" w:rsidP="007420C9">
      <w:pPr>
        <w:pStyle w:val="ListParagraph"/>
        <w:numPr>
          <w:ilvl w:val="0"/>
          <w:numId w:val="3"/>
        </w:numPr>
        <w:spacing w:line="480" w:lineRule="auto"/>
        <w:rPr>
          <w:rFonts w:ascii="Times New Roman" w:hAnsi="Times New Roman" w:cs="Times New Roman"/>
          <w:b/>
          <w:bCs/>
          <w:color w:val="000000" w:themeColor="text1"/>
          <w:shd w:val="clear" w:color="auto" w:fill="FFFFFF"/>
        </w:rPr>
      </w:pPr>
      <w:r w:rsidRPr="007420C9">
        <w:rPr>
          <w:rFonts w:ascii="Times New Roman" w:hAnsi="Times New Roman" w:cs="Times New Roman"/>
          <w:color w:val="000000" w:themeColor="text1"/>
          <w:shd w:val="clear" w:color="auto" w:fill="FFFFFF"/>
        </w:rPr>
        <w:t>The Cold War: The motivations in this were primarily ideological and political. Both superpowers (the United States and the Soviet Union) sought their own strategic advantages and intelligence to prevent the other from gaining the decisive upper hand in the nuclear arms race or expanding their sphere of influence.</w:t>
      </w:r>
    </w:p>
    <w:p w14:paraId="4B592664" w14:textId="77777777" w:rsidR="00FD0153" w:rsidRPr="007420C9" w:rsidRDefault="00FD0153" w:rsidP="00FD0153">
      <w:pPr>
        <w:pStyle w:val="ListParagraph"/>
        <w:spacing w:line="480" w:lineRule="auto"/>
        <w:rPr>
          <w:rFonts w:ascii="Times New Roman" w:hAnsi="Times New Roman" w:cs="Times New Roman"/>
          <w:b/>
          <w:bCs/>
          <w:color w:val="000000" w:themeColor="text1"/>
          <w:shd w:val="clear" w:color="auto" w:fill="FFFFFF"/>
        </w:rPr>
      </w:pPr>
    </w:p>
    <w:p w14:paraId="649DBB4F" w14:textId="77777777" w:rsidR="007420C9" w:rsidRPr="007420C9" w:rsidRDefault="007420C9" w:rsidP="007420C9">
      <w:pPr>
        <w:spacing w:line="480" w:lineRule="auto"/>
        <w:rPr>
          <w:rFonts w:ascii="Times New Roman" w:hAnsi="Times New Roman" w:cs="Times New Roman"/>
          <w:b/>
          <w:bCs/>
          <w:color w:val="000000" w:themeColor="text1"/>
          <w:shd w:val="clear" w:color="auto" w:fill="FFFFFF"/>
        </w:rPr>
      </w:pPr>
      <w:r w:rsidRPr="007420C9">
        <w:rPr>
          <w:rFonts w:ascii="Times New Roman" w:hAnsi="Times New Roman" w:cs="Times New Roman"/>
          <w:b/>
          <w:bCs/>
          <w:color w:val="000000" w:themeColor="text1"/>
          <w:shd w:val="clear" w:color="auto" w:fill="FFFFFF"/>
        </w:rPr>
        <w:lastRenderedPageBreak/>
        <w:t>Analysis of Evolutionary Trends and Current Impact</w:t>
      </w:r>
    </w:p>
    <w:p w14:paraId="1227A04A" w14:textId="77777777" w:rsidR="007420C9" w:rsidRPr="007420C9" w:rsidRDefault="007420C9" w:rsidP="007420C9">
      <w:pPr>
        <w:spacing w:line="480" w:lineRule="auto"/>
        <w:rPr>
          <w:rFonts w:ascii="Times New Roman" w:hAnsi="Times New Roman" w:cs="Times New Roman"/>
          <w:color w:val="000000" w:themeColor="text1"/>
          <w:shd w:val="clear" w:color="auto" w:fill="FFFFFF"/>
        </w:rPr>
      </w:pPr>
      <w:r w:rsidRPr="007420C9">
        <w:rPr>
          <w:rFonts w:ascii="Times New Roman" w:hAnsi="Times New Roman" w:cs="Times New Roman"/>
          <w:color w:val="000000" w:themeColor="text1"/>
          <w:shd w:val="clear" w:color="auto" w:fill="FFFFFF"/>
        </w:rPr>
        <w:t>The evolution from Sun Tzu to the Cold War reveals a clear trend: the establishment and refinement of deception. What started as just a set of tactical suggestions for a general on the field of battle became a permanent, global intelligence tool.</w:t>
      </w:r>
    </w:p>
    <w:p w14:paraId="153D0184" w14:textId="38E800F3" w:rsidR="007420C9" w:rsidRPr="007420C9" w:rsidRDefault="007420C9" w:rsidP="007420C9">
      <w:pPr>
        <w:spacing w:line="480" w:lineRule="auto"/>
        <w:rPr>
          <w:rFonts w:ascii="Times New Roman" w:hAnsi="Times New Roman" w:cs="Times New Roman"/>
          <w:color w:val="000000" w:themeColor="text1"/>
          <w:shd w:val="clear" w:color="auto" w:fill="FFFFFF"/>
        </w:rPr>
      </w:pPr>
      <w:r w:rsidRPr="007420C9">
        <w:rPr>
          <w:rFonts w:ascii="Times New Roman" w:hAnsi="Times New Roman" w:cs="Times New Roman"/>
          <w:color w:val="000000" w:themeColor="text1"/>
          <w:shd w:val="clear" w:color="auto" w:fill="FFFFFF"/>
        </w:rPr>
        <w:t xml:space="preserve">This progress has directly impacted and even shaped many of the modern adversarial strategies used to this day, especially in the realm of Information Warfare. The Cold War focused on covert influence and intelligence gathering, laying the groundwork for today’s cyber espionage and social engineering tactics. Most modern-day actors still use Sun Tzu’s Art of War as a guideline to “fight without fighting,” </w:t>
      </w:r>
      <w:r w:rsidR="00AB4F8E">
        <w:rPr>
          <w:rFonts w:ascii="Times New Roman" w:hAnsi="Times New Roman" w:cs="Times New Roman"/>
          <w:color w:val="000000" w:themeColor="text1"/>
          <w:shd w:val="clear" w:color="auto" w:fill="FFFFFF"/>
        </w:rPr>
        <w:t xml:space="preserve">[2] </w:t>
      </w:r>
      <w:r w:rsidRPr="007420C9">
        <w:rPr>
          <w:rFonts w:ascii="Times New Roman" w:hAnsi="Times New Roman" w:cs="Times New Roman"/>
          <w:color w:val="000000" w:themeColor="text1"/>
          <w:shd w:val="clear" w:color="auto" w:fill="FFFFFF"/>
        </w:rPr>
        <w:t>with the main difference being that they now do so through digital platforms and global networks.</w:t>
      </w:r>
    </w:p>
    <w:p w14:paraId="606FD521" w14:textId="77777777" w:rsidR="007420C9" w:rsidRPr="007420C9" w:rsidRDefault="007420C9" w:rsidP="007420C9">
      <w:pPr>
        <w:spacing w:line="480" w:lineRule="auto"/>
        <w:rPr>
          <w:rFonts w:ascii="Times New Roman" w:hAnsi="Times New Roman" w:cs="Times New Roman"/>
          <w:b/>
          <w:bCs/>
          <w:color w:val="000000" w:themeColor="text1"/>
          <w:shd w:val="clear" w:color="auto" w:fill="FFFFFF"/>
        </w:rPr>
      </w:pPr>
      <w:r w:rsidRPr="007420C9">
        <w:rPr>
          <w:rFonts w:ascii="Times New Roman" w:hAnsi="Times New Roman" w:cs="Times New Roman"/>
          <w:b/>
          <w:bCs/>
          <w:color w:val="000000" w:themeColor="text1"/>
          <w:shd w:val="clear" w:color="auto" w:fill="FFFFFF"/>
        </w:rPr>
        <w:t>Conclusion</w:t>
      </w:r>
    </w:p>
    <w:p w14:paraId="3D504B53" w14:textId="77777777" w:rsidR="007420C9" w:rsidRPr="007420C9" w:rsidRDefault="007420C9" w:rsidP="007420C9">
      <w:pPr>
        <w:spacing w:line="480" w:lineRule="auto"/>
        <w:rPr>
          <w:rFonts w:ascii="Times New Roman" w:hAnsi="Times New Roman" w:cs="Times New Roman"/>
          <w:color w:val="000000" w:themeColor="text1"/>
          <w:shd w:val="clear" w:color="auto" w:fill="FFFFFF"/>
        </w:rPr>
      </w:pPr>
      <w:r w:rsidRPr="007420C9">
        <w:rPr>
          <w:rFonts w:ascii="Times New Roman" w:hAnsi="Times New Roman" w:cs="Times New Roman"/>
          <w:color w:val="000000" w:themeColor="text1"/>
          <w:shd w:val="clear" w:color="auto" w:fill="FFFFFF"/>
        </w:rPr>
        <w:t>All in all, this analysis seeks to underscore the enduring relevance of ancient strategic thought in modern conflicts. Sun Tzu’s foundations, which focused on the art of deception and intelligence, provided entities in the Cold War with the philosophical framework that was later intensified through advancements in technology and institutions. Understanding these historical tactics gives us a pretty good idea that, while the tools of conflict have changed, the mindset and psychology of an adversary are still rooted in the ancient need to outthink and outmaneuver opponents.</w:t>
      </w:r>
    </w:p>
    <w:p w14:paraId="033FBDD7" w14:textId="77777777" w:rsidR="009A1392" w:rsidRDefault="009A1392" w:rsidP="007420C9">
      <w:pPr>
        <w:spacing w:line="480" w:lineRule="auto"/>
        <w:rPr>
          <w:rFonts w:ascii="Times New Roman" w:hAnsi="Times New Roman" w:cs="Times New Roman"/>
          <w:b/>
          <w:bCs/>
          <w:color w:val="000000" w:themeColor="text1"/>
          <w:shd w:val="clear" w:color="auto" w:fill="FFFFFF"/>
        </w:rPr>
      </w:pPr>
    </w:p>
    <w:p w14:paraId="67D46B42" w14:textId="77777777" w:rsidR="009A1392" w:rsidRDefault="009A1392" w:rsidP="007420C9">
      <w:pPr>
        <w:spacing w:line="480" w:lineRule="auto"/>
        <w:rPr>
          <w:rFonts w:ascii="Times New Roman" w:hAnsi="Times New Roman" w:cs="Times New Roman"/>
          <w:b/>
          <w:bCs/>
          <w:color w:val="000000" w:themeColor="text1"/>
          <w:shd w:val="clear" w:color="auto" w:fill="FFFFFF"/>
        </w:rPr>
      </w:pPr>
    </w:p>
    <w:p w14:paraId="445F39C4" w14:textId="77777777" w:rsidR="009F0914" w:rsidRDefault="009F0914" w:rsidP="007420C9">
      <w:pPr>
        <w:spacing w:line="480" w:lineRule="auto"/>
        <w:rPr>
          <w:rFonts w:ascii="Times New Roman" w:hAnsi="Times New Roman" w:cs="Times New Roman"/>
          <w:b/>
          <w:bCs/>
          <w:color w:val="000000" w:themeColor="text1"/>
          <w:shd w:val="clear" w:color="auto" w:fill="FFFFFF"/>
        </w:rPr>
      </w:pPr>
    </w:p>
    <w:p w14:paraId="0517D7FE" w14:textId="77777777" w:rsidR="009A1392" w:rsidRDefault="009A1392" w:rsidP="007420C9">
      <w:pPr>
        <w:spacing w:line="480" w:lineRule="auto"/>
        <w:rPr>
          <w:rFonts w:ascii="Times New Roman" w:hAnsi="Times New Roman" w:cs="Times New Roman"/>
          <w:b/>
          <w:bCs/>
          <w:color w:val="000000" w:themeColor="text1"/>
          <w:shd w:val="clear" w:color="auto" w:fill="FFFFFF"/>
        </w:rPr>
      </w:pPr>
    </w:p>
    <w:p w14:paraId="4C667E0D" w14:textId="5B23BD09" w:rsidR="007420C9" w:rsidRPr="009A1392" w:rsidRDefault="007420C9" w:rsidP="009A1392">
      <w:pPr>
        <w:spacing w:line="480" w:lineRule="auto"/>
        <w:jc w:val="center"/>
        <w:rPr>
          <w:rFonts w:ascii="Times New Roman" w:hAnsi="Times New Roman" w:cs="Times New Roman"/>
          <w:b/>
          <w:bCs/>
          <w:color w:val="000000" w:themeColor="text1"/>
          <w:u w:val="single"/>
          <w:shd w:val="clear" w:color="auto" w:fill="FFFFFF"/>
        </w:rPr>
      </w:pPr>
      <w:r w:rsidRPr="009A1392">
        <w:rPr>
          <w:rFonts w:ascii="Times New Roman" w:hAnsi="Times New Roman" w:cs="Times New Roman"/>
          <w:b/>
          <w:bCs/>
          <w:color w:val="000000" w:themeColor="text1"/>
          <w:u w:val="single"/>
          <w:shd w:val="clear" w:color="auto" w:fill="FFFFFF"/>
        </w:rPr>
        <w:lastRenderedPageBreak/>
        <w:t>References</w:t>
      </w:r>
    </w:p>
    <w:p w14:paraId="3AEE4CE2" w14:textId="11D6D65F" w:rsidR="00686146" w:rsidRDefault="00686146" w:rsidP="00686146">
      <w:pPr>
        <w:pStyle w:val="NormalWeb"/>
        <w:ind w:left="567" w:hanging="567"/>
        <w:rPr>
          <w:color w:val="000000"/>
        </w:rPr>
      </w:pPr>
      <w:r>
        <w:rPr>
          <w:color w:val="000000"/>
        </w:rPr>
        <w:t>[</w:t>
      </w:r>
      <w:r w:rsidR="00AB4F8E">
        <w:rPr>
          <w:color w:val="000000"/>
        </w:rPr>
        <w:t>1</w:t>
      </w:r>
      <w:r>
        <w:rPr>
          <w:color w:val="000000"/>
        </w:rPr>
        <w:t xml:space="preserve">] </w:t>
      </w:r>
      <w:r>
        <w:rPr>
          <w:i/>
          <w:iCs/>
          <w:color w:val="000000"/>
        </w:rPr>
        <w:t>The Internet Classics Archive: The Art of War by Sun Tzu</w:t>
      </w:r>
      <w:r>
        <w:rPr>
          <w:color w:val="000000"/>
        </w:rPr>
        <w:t xml:space="preserve">. The Internet Classics Archive | The Art of War by Sun Tzu. (n.d.). </w:t>
      </w:r>
      <w:hyperlink r:id="rId5" w:history="1">
        <w:r w:rsidRPr="006D0A2F">
          <w:rPr>
            <w:rStyle w:val="Hyperlink"/>
          </w:rPr>
          <w:t>https://classics.mit.edu/Tzu/artwar.html</w:t>
        </w:r>
      </w:hyperlink>
    </w:p>
    <w:p w14:paraId="0BC8E89C" w14:textId="7A84421C" w:rsidR="00AB4F8E" w:rsidRPr="00AB4F8E" w:rsidRDefault="00AB4F8E" w:rsidP="00AB4F8E">
      <w:pPr>
        <w:pStyle w:val="NormalWeb"/>
        <w:ind w:left="567" w:hanging="567"/>
        <w:rPr>
          <w:rFonts w:eastAsiaTheme="majorEastAsia"/>
          <w:color w:val="000000"/>
        </w:rPr>
      </w:pPr>
      <w:r>
        <w:rPr>
          <w:color w:val="000000"/>
        </w:rPr>
        <w:t>[</w:t>
      </w:r>
      <w:r>
        <w:rPr>
          <w:color w:val="000000"/>
        </w:rPr>
        <w:t>2</w:t>
      </w:r>
      <w:r>
        <w:rPr>
          <w:color w:val="000000"/>
        </w:rPr>
        <w:t xml:space="preserve">] (PDF) like war – the weaponization of social media, by P. W. Singer and Emerson T. Brooking. (n.d.-a). </w:t>
      </w:r>
      <w:hyperlink r:id="rId6" w:history="1">
        <w:r w:rsidRPr="006D0A2F">
          <w:rPr>
            <w:rStyle w:val="Hyperlink"/>
          </w:rPr>
          <w:t>https://</w:t>
        </w:r>
        <w:r w:rsidRPr="006D0A2F">
          <w:rPr>
            <w:rStyle w:val="Hyperlink"/>
          </w:rPr>
          <w:t>w</w:t>
        </w:r>
        <w:r w:rsidRPr="006D0A2F">
          <w:rPr>
            <w:rStyle w:val="Hyperlink"/>
          </w:rPr>
          <w:t>ww.researchgate.net/publication/335149861_Like_War_-_The_Weaponization_of_Social_Media_by_P_W_Singer_and_Emerson_T_Brooking</w:t>
        </w:r>
      </w:hyperlink>
      <w:r>
        <w:rPr>
          <w:rStyle w:val="apple-converted-space"/>
          <w:rFonts w:eastAsiaTheme="majorEastAsia"/>
          <w:color w:val="000000"/>
        </w:rPr>
        <w:t> </w:t>
      </w:r>
    </w:p>
    <w:p w14:paraId="1EC2A506" w14:textId="4AC343E4" w:rsidR="00686146" w:rsidRDefault="00686146" w:rsidP="00686146">
      <w:pPr>
        <w:pStyle w:val="NormalWeb"/>
        <w:ind w:left="567" w:hanging="567"/>
        <w:rPr>
          <w:rStyle w:val="apple-converted-space"/>
          <w:rFonts w:eastAsiaTheme="majorEastAsia"/>
          <w:color w:val="000000"/>
        </w:rPr>
      </w:pPr>
      <w:r>
        <w:rPr>
          <w:color w:val="000000"/>
        </w:rPr>
        <w:t>[</w:t>
      </w:r>
      <w:r w:rsidR="00AB4F8E">
        <w:rPr>
          <w:color w:val="000000"/>
        </w:rPr>
        <w:t>3</w:t>
      </w:r>
      <w:r>
        <w:rPr>
          <w:color w:val="000000"/>
        </w:rPr>
        <w:t xml:space="preserve">] </w:t>
      </w:r>
      <w:r>
        <w:rPr>
          <w:i/>
          <w:iCs/>
          <w:color w:val="000000"/>
        </w:rPr>
        <w:t>Sun Tzŭ on the Art of War</w:t>
      </w:r>
      <w:r>
        <w:rPr>
          <w:color w:val="000000"/>
        </w:rPr>
        <w:t xml:space="preserve">. The Art of War | Project Gutenberg. (n.d.). </w:t>
      </w:r>
      <w:hyperlink r:id="rId7" w:history="1">
        <w:r w:rsidRPr="006D0A2F">
          <w:rPr>
            <w:rStyle w:val="Hyperlink"/>
          </w:rPr>
          <w:t>https://www.gutenberg.org</w:t>
        </w:r>
        <w:r w:rsidRPr="006D0A2F">
          <w:rPr>
            <w:rStyle w:val="Hyperlink"/>
          </w:rPr>
          <w:t>/</w:t>
        </w:r>
        <w:r w:rsidRPr="006D0A2F">
          <w:rPr>
            <w:rStyle w:val="Hyperlink"/>
          </w:rPr>
          <w:t>files/132/132-h/132-h.htm</w:t>
        </w:r>
      </w:hyperlink>
      <w:r>
        <w:rPr>
          <w:rStyle w:val="apple-converted-space"/>
          <w:rFonts w:eastAsiaTheme="majorEastAsia"/>
          <w:color w:val="000000"/>
        </w:rPr>
        <w:t> </w:t>
      </w:r>
    </w:p>
    <w:p w14:paraId="3E4B895B" w14:textId="4F6B575A" w:rsidR="00686146" w:rsidRDefault="001A35EF" w:rsidP="001A35EF">
      <w:pPr>
        <w:pStyle w:val="NormalWeb"/>
        <w:ind w:left="567" w:hanging="567"/>
        <w:rPr>
          <w:rStyle w:val="apple-converted-space"/>
          <w:rFonts w:eastAsiaTheme="majorEastAsia"/>
          <w:color w:val="000000"/>
        </w:rPr>
      </w:pPr>
      <w:r>
        <w:rPr>
          <w:color w:val="000000"/>
        </w:rPr>
        <w:t>[</w:t>
      </w:r>
      <w:r w:rsidR="00AB4F8E">
        <w:rPr>
          <w:color w:val="000000"/>
        </w:rPr>
        <w:t>4</w:t>
      </w:r>
      <w:r>
        <w:rPr>
          <w:color w:val="000000"/>
        </w:rPr>
        <w:t xml:space="preserve">] </w:t>
      </w:r>
      <w:r>
        <w:rPr>
          <w:i/>
          <w:iCs/>
          <w:color w:val="000000"/>
        </w:rPr>
        <w:t>National Security Agency Releases History of Cold War Intelligence Activities</w:t>
      </w:r>
      <w:r>
        <w:rPr>
          <w:color w:val="000000"/>
        </w:rPr>
        <w:t xml:space="preserve">. National Security Agency releases history of Cold War Intelligence Activities. (n.d.). </w:t>
      </w:r>
      <w:hyperlink r:id="rId8" w:history="1">
        <w:r w:rsidRPr="006D0A2F">
          <w:rPr>
            <w:rStyle w:val="Hyperlink"/>
          </w:rPr>
          <w:t>https://nsarchive2.gwu.edu/NSAEBB/NSAEBB260/index.htm</w:t>
        </w:r>
      </w:hyperlink>
    </w:p>
    <w:p w14:paraId="63E0097F" w14:textId="77777777" w:rsidR="001A35EF" w:rsidRDefault="001A35EF" w:rsidP="001A35EF">
      <w:pPr>
        <w:pStyle w:val="NormalWeb"/>
        <w:ind w:left="567" w:hanging="567"/>
        <w:rPr>
          <w:color w:val="000000"/>
        </w:rPr>
      </w:pPr>
    </w:p>
    <w:p w14:paraId="63D2E0E3" w14:textId="77777777" w:rsidR="009A1392" w:rsidRDefault="009A1392" w:rsidP="009A1392">
      <w:pPr>
        <w:pStyle w:val="NormalWeb"/>
        <w:ind w:left="567" w:hanging="567"/>
        <w:rPr>
          <w:color w:val="000000"/>
        </w:rPr>
      </w:pPr>
    </w:p>
    <w:p w14:paraId="7BB96091" w14:textId="77777777" w:rsidR="007420C9" w:rsidRPr="007420C9" w:rsidRDefault="007420C9" w:rsidP="007420C9">
      <w:pPr>
        <w:pStyle w:val="NormalWeb"/>
        <w:ind w:left="567" w:hanging="567"/>
        <w:rPr>
          <w:color w:val="000000"/>
        </w:rPr>
      </w:pPr>
    </w:p>
    <w:sectPr w:rsidR="007420C9" w:rsidRPr="007420C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D54343"/>
    <w:multiLevelType w:val="hybridMultilevel"/>
    <w:tmpl w:val="60FE44FE"/>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4B6A6ECB"/>
    <w:multiLevelType w:val="hybridMultilevel"/>
    <w:tmpl w:val="57C0FC1A"/>
    <w:lvl w:ilvl="0" w:tplc="3886FF00">
      <w:start w:val="1"/>
      <w:numFmt w:val="decimal"/>
      <w:lvlText w:val="%1."/>
      <w:lvlJc w:val="left"/>
      <w:pPr>
        <w:ind w:left="460" w:hanging="36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553E9522">
      <w:numFmt w:val="bullet"/>
      <w:lvlText w:val="o"/>
      <w:lvlJc w:val="left"/>
      <w:pPr>
        <w:ind w:left="1180" w:hanging="360"/>
      </w:pPr>
      <w:rPr>
        <w:rFonts w:ascii="Courier New" w:eastAsia="Courier New" w:hAnsi="Courier New" w:cs="Courier New" w:hint="default"/>
        <w:b w:val="0"/>
        <w:bCs w:val="0"/>
        <w:i w:val="0"/>
        <w:iCs w:val="0"/>
        <w:spacing w:val="0"/>
        <w:w w:val="99"/>
        <w:sz w:val="20"/>
        <w:szCs w:val="20"/>
        <w:lang w:val="en-US" w:eastAsia="en-US" w:bidi="ar-SA"/>
      </w:rPr>
    </w:lvl>
    <w:lvl w:ilvl="2" w:tplc="E38E7C00">
      <w:numFmt w:val="bullet"/>
      <w:lvlText w:val="•"/>
      <w:lvlJc w:val="left"/>
      <w:pPr>
        <w:ind w:left="2113" w:hanging="360"/>
      </w:pPr>
      <w:rPr>
        <w:rFonts w:hint="default"/>
        <w:lang w:val="en-US" w:eastAsia="en-US" w:bidi="ar-SA"/>
      </w:rPr>
    </w:lvl>
    <w:lvl w:ilvl="3" w:tplc="AF9C6FA4">
      <w:numFmt w:val="bullet"/>
      <w:lvlText w:val="•"/>
      <w:lvlJc w:val="left"/>
      <w:pPr>
        <w:ind w:left="3046" w:hanging="360"/>
      </w:pPr>
      <w:rPr>
        <w:rFonts w:hint="default"/>
        <w:lang w:val="en-US" w:eastAsia="en-US" w:bidi="ar-SA"/>
      </w:rPr>
    </w:lvl>
    <w:lvl w:ilvl="4" w:tplc="7DB4E39A">
      <w:numFmt w:val="bullet"/>
      <w:lvlText w:val="•"/>
      <w:lvlJc w:val="left"/>
      <w:pPr>
        <w:ind w:left="3980" w:hanging="360"/>
      </w:pPr>
      <w:rPr>
        <w:rFonts w:hint="default"/>
        <w:lang w:val="en-US" w:eastAsia="en-US" w:bidi="ar-SA"/>
      </w:rPr>
    </w:lvl>
    <w:lvl w:ilvl="5" w:tplc="10A04B4E">
      <w:numFmt w:val="bullet"/>
      <w:lvlText w:val="•"/>
      <w:lvlJc w:val="left"/>
      <w:pPr>
        <w:ind w:left="4913" w:hanging="360"/>
      </w:pPr>
      <w:rPr>
        <w:rFonts w:hint="default"/>
        <w:lang w:val="en-US" w:eastAsia="en-US" w:bidi="ar-SA"/>
      </w:rPr>
    </w:lvl>
    <w:lvl w:ilvl="6" w:tplc="6D3C0146">
      <w:numFmt w:val="bullet"/>
      <w:lvlText w:val="•"/>
      <w:lvlJc w:val="left"/>
      <w:pPr>
        <w:ind w:left="5846" w:hanging="360"/>
      </w:pPr>
      <w:rPr>
        <w:rFonts w:hint="default"/>
        <w:lang w:val="en-US" w:eastAsia="en-US" w:bidi="ar-SA"/>
      </w:rPr>
    </w:lvl>
    <w:lvl w:ilvl="7" w:tplc="435ED4DA">
      <w:numFmt w:val="bullet"/>
      <w:lvlText w:val="•"/>
      <w:lvlJc w:val="left"/>
      <w:pPr>
        <w:ind w:left="6780" w:hanging="360"/>
      </w:pPr>
      <w:rPr>
        <w:rFonts w:hint="default"/>
        <w:lang w:val="en-US" w:eastAsia="en-US" w:bidi="ar-SA"/>
      </w:rPr>
    </w:lvl>
    <w:lvl w:ilvl="8" w:tplc="4A982EB4">
      <w:numFmt w:val="bullet"/>
      <w:lvlText w:val="•"/>
      <w:lvlJc w:val="left"/>
      <w:pPr>
        <w:ind w:left="7713" w:hanging="360"/>
      </w:pPr>
      <w:rPr>
        <w:rFonts w:hint="default"/>
        <w:lang w:val="en-US" w:eastAsia="en-US" w:bidi="ar-SA"/>
      </w:rPr>
    </w:lvl>
  </w:abstractNum>
  <w:abstractNum w:abstractNumId="2" w15:restartNumberingAfterBreak="0">
    <w:nsid w:val="544230A6"/>
    <w:multiLevelType w:val="hybridMultilevel"/>
    <w:tmpl w:val="F334C2D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605356735">
    <w:abstractNumId w:val="1"/>
  </w:num>
  <w:num w:numId="2" w16cid:durableId="1089425621">
    <w:abstractNumId w:val="2"/>
  </w:num>
  <w:num w:numId="3" w16cid:durableId="121747126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004F8"/>
    <w:rsid w:val="00040339"/>
    <w:rsid w:val="0007781C"/>
    <w:rsid w:val="001A35EF"/>
    <w:rsid w:val="001D5389"/>
    <w:rsid w:val="001F0441"/>
    <w:rsid w:val="00217613"/>
    <w:rsid w:val="003004F8"/>
    <w:rsid w:val="003251CE"/>
    <w:rsid w:val="00686146"/>
    <w:rsid w:val="007420C9"/>
    <w:rsid w:val="00745BAD"/>
    <w:rsid w:val="007844EF"/>
    <w:rsid w:val="008D55DA"/>
    <w:rsid w:val="009A1392"/>
    <w:rsid w:val="009F0914"/>
    <w:rsid w:val="00AB4F8E"/>
    <w:rsid w:val="00B26798"/>
    <w:rsid w:val="00BB32BA"/>
    <w:rsid w:val="00BE292A"/>
    <w:rsid w:val="00C4605E"/>
    <w:rsid w:val="00CD0C4C"/>
    <w:rsid w:val="00D32998"/>
    <w:rsid w:val="00DF01E5"/>
    <w:rsid w:val="00ED57CD"/>
    <w:rsid w:val="00F63A1D"/>
    <w:rsid w:val="00FD015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E31D8D"/>
  <w15:chartTrackingRefBased/>
  <w15:docId w15:val="{D606CCC3-F4F4-5147-B8A1-4790367785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004F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004F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004F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004F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004F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004F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004F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004F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004F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004F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004F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004F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004F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004F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004F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004F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004F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004F8"/>
    <w:rPr>
      <w:rFonts w:eastAsiaTheme="majorEastAsia" w:cstheme="majorBidi"/>
      <w:color w:val="272727" w:themeColor="text1" w:themeTint="D8"/>
    </w:rPr>
  </w:style>
  <w:style w:type="paragraph" w:styleId="Title">
    <w:name w:val="Title"/>
    <w:basedOn w:val="Normal"/>
    <w:next w:val="Normal"/>
    <w:link w:val="TitleChar"/>
    <w:uiPriority w:val="10"/>
    <w:qFormat/>
    <w:rsid w:val="003004F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004F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004F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004F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004F8"/>
    <w:pPr>
      <w:spacing w:before="160"/>
      <w:jc w:val="center"/>
    </w:pPr>
    <w:rPr>
      <w:i/>
      <w:iCs/>
      <w:color w:val="404040" w:themeColor="text1" w:themeTint="BF"/>
    </w:rPr>
  </w:style>
  <w:style w:type="character" w:customStyle="1" w:styleId="QuoteChar">
    <w:name w:val="Quote Char"/>
    <w:basedOn w:val="DefaultParagraphFont"/>
    <w:link w:val="Quote"/>
    <w:uiPriority w:val="29"/>
    <w:rsid w:val="003004F8"/>
    <w:rPr>
      <w:i/>
      <w:iCs/>
      <w:color w:val="404040" w:themeColor="text1" w:themeTint="BF"/>
    </w:rPr>
  </w:style>
  <w:style w:type="paragraph" w:styleId="ListParagraph">
    <w:name w:val="List Paragraph"/>
    <w:basedOn w:val="Normal"/>
    <w:uiPriority w:val="34"/>
    <w:qFormat/>
    <w:rsid w:val="003004F8"/>
    <w:pPr>
      <w:ind w:left="720"/>
      <w:contextualSpacing/>
    </w:pPr>
  </w:style>
  <w:style w:type="character" w:styleId="IntenseEmphasis">
    <w:name w:val="Intense Emphasis"/>
    <w:basedOn w:val="DefaultParagraphFont"/>
    <w:uiPriority w:val="21"/>
    <w:qFormat/>
    <w:rsid w:val="003004F8"/>
    <w:rPr>
      <w:i/>
      <w:iCs/>
      <w:color w:val="0F4761" w:themeColor="accent1" w:themeShade="BF"/>
    </w:rPr>
  </w:style>
  <w:style w:type="paragraph" w:styleId="IntenseQuote">
    <w:name w:val="Intense Quote"/>
    <w:basedOn w:val="Normal"/>
    <w:next w:val="Normal"/>
    <w:link w:val="IntenseQuoteChar"/>
    <w:uiPriority w:val="30"/>
    <w:qFormat/>
    <w:rsid w:val="003004F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004F8"/>
    <w:rPr>
      <w:i/>
      <w:iCs/>
      <w:color w:val="0F4761" w:themeColor="accent1" w:themeShade="BF"/>
    </w:rPr>
  </w:style>
  <w:style w:type="character" w:styleId="IntenseReference">
    <w:name w:val="Intense Reference"/>
    <w:basedOn w:val="DefaultParagraphFont"/>
    <w:uiPriority w:val="32"/>
    <w:qFormat/>
    <w:rsid w:val="003004F8"/>
    <w:rPr>
      <w:b/>
      <w:bCs/>
      <w:smallCaps/>
      <w:color w:val="0F4761" w:themeColor="accent1" w:themeShade="BF"/>
      <w:spacing w:val="5"/>
    </w:rPr>
  </w:style>
  <w:style w:type="character" w:customStyle="1" w:styleId="citation-111">
    <w:name w:val="citation-111"/>
    <w:basedOn w:val="DefaultParagraphFont"/>
    <w:rsid w:val="00ED57CD"/>
  </w:style>
  <w:style w:type="character" w:customStyle="1" w:styleId="apple-converted-space">
    <w:name w:val="apple-converted-space"/>
    <w:basedOn w:val="DefaultParagraphFont"/>
    <w:rsid w:val="00ED57CD"/>
  </w:style>
  <w:style w:type="character" w:customStyle="1" w:styleId="citation-110">
    <w:name w:val="citation-110"/>
    <w:basedOn w:val="DefaultParagraphFont"/>
    <w:rsid w:val="00ED57CD"/>
  </w:style>
  <w:style w:type="character" w:customStyle="1" w:styleId="citation-109">
    <w:name w:val="citation-109"/>
    <w:basedOn w:val="DefaultParagraphFont"/>
    <w:rsid w:val="00ED57CD"/>
  </w:style>
  <w:style w:type="paragraph" w:styleId="NormalWeb">
    <w:name w:val="Normal (Web)"/>
    <w:basedOn w:val="Normal"/>
    <w:uiPriority w:val="99"/>
    <w:unhideWhenUsed/>
    <w:rsid w:val="00ED57CD"/>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citation-108">
    <w:name w:val="citation-108"/>
    <w:basedOn w:val="DefaultParagraphFont"/>
    <w:rsid w:val="00ED57CD"/>
  </w:style>
  <w:style w:type="character" w:customStyle="1" w:styleId="citation-107">
    <w:name w:val="citation-107"/>
    <w:basedOn w:val="DefaultParagraphFont"/>
    <w:rsid w:val="00ED57CD"/>
  </w:style>
  <w:style w:type="character" w:customStyle="1" w:styleId="citation-106">
    <w:name w:val="citation-106"/>
    <w:basedOn w:val="DefaultParagraphFont"/>
    <w:rsid w:val="00ED57CD"/>
  </w:style>
  <w:style w:type="character" w:customStyle="1" w:styleId="citation-105">
    <w:name w:val="citation-105"/>
    <w:basedOn w:val="DefaultParagraphFont"/>
    <w:rsid w:val="00ED57CD"/>
  </w:style>
  <w:style w:type="character" w:customStyle="1" w:styleId="citation-104">
    <w:name w:val="citation-104"/>
    <w:basedOn w:val="DefaultParagraphFont"/>
    <w:rsid w:val="00ED57CD"/>
  </w:style>
  <w:style w:type="character" w:customStyle="1" w:styleId="citation-103">
    <w:name w:val="citation-103"/>
    <w:basedOn w:val="DefaultParagraphFont"/>
    <w:rsid w:val="00ED57CD"/>
  </w:style>
  <w:style w:type="character" w:customStyle="1" w:styleId="citation-102">
    <w:name w:val="citation-102"/>
    <w:basedOn w:val="DefaultParagraphFont"/>
    <w:rsid w:val="00ED57CD"/>
  </w:style>
  <w:style w:type="character" w:customStyle="1" w:styleId="citation-101">
    <w:name w:val="citation-101"/>
    <w:basedOn w:val="DefaultParagraphFont"/>
    <w:rsid w:val="00ED57CD"/>
  </w:style>
  <w:style w:type="character" w:customStyle="1" w:styleId="citation-100">
    <w:name w:val="citation-100"/>
    <w:basedOn w:val="DefaultParagraphFont"/>
    <w:rsid w:val="00ED57CD"/>
  </w:style>
  <w:style w:type="character" w:customStyle="1" w:styleId="citation-99">
    <w:name w:val="citation-99"/>
    <w:basedOn w:val="DefaultParagraphFont"/>
    <w:rsid w:val="00ED57CD"/>
  </w:style>
  <w:style w:type="character" w:customStyle="1" w:styleId="citation-98">
    <w:name w:val="citation-98"/>
    <w:basedOn w:val="DefaultParagraphFont"/>
    <w:rsid w:val="00ED57CD"/>
  </w:style>
  <w:style w:type="character" w:customStyle="1" w:styleId="citation-97">
    <w:name w:val="citation-97"/>
    <w:basedOn w:val="DefaultParagraphFont"/>
    <w:rsid w:val="00ED57CD"/>
  </w:style>
  <w:style w:type="character" w:customStyle="1" w:styleId="citation-96">
    <w:name w:val="citation-96"/>
    <w:basedOn w:val="DefaultParagraphFont"/>
    <w:rsid w:val="00ED57CD"/>
  </w:style>
  <w:style w:type="character" w:customStyle="1" w:styleId="citation-95">
    <w:name w:val="citation-95"/>
    <w:basedOn w:val="DefaultParagraphFont"/>
    <w:rsid w:val="00ED57CD"/>
  </w:style>
  <w:style w:type="character" w:customStyle="1" w:styleId="citation-94">
    <w:name w:val="citation-94"/>
    <w:basedOn w:val="DefaultParagraphFont"/>
    <w:rsid w:val="00ED57CD"/>
  </w:style>
  <w:style w:type="character" w:customStyle="1" w:styleId="citation-93">
    <w:name w:val="citation-93"/>
    <w:basedOn w:val="DefaultParagraphFont"/>
    <w:rsid w:val="00ED57CD"/>
  </w:style>
  <w:style w:type="character" w:customStyle="1" w:styleId="citation-92">
    <w:name w:val="citation-92"/>
    <w:basedOn w:val="DefaultParagraphFont"/>
    <w:rsid w:val="00ED57CD"/>
  </w:style>
  <w:style w:type="character" w:customStyle="1" w:styleId="citation-91">
    <w:name w:val="citation-91"/>
    <w:basedOn w:val="DefaultParagraphFont"/>
    <w:rsid w:val="00ED57CD"/>
  </w:style>
  <w:style w:type="character" w:customStyle="1" w:styleId="citation-90">
    <w:name w:val="citation-90"/>
    <w:basedOn w:val="DefaultParagraphFont"/>
    <w:rsid w:val="00ED57CD"/>
  </w:style>
  <w:style w:type="character" w:customStyle="1" w:styleId="citation-89">
    <w:name w:val="citation-89"/>
    <w:basedOn w:val="DefaultParagraphFont"/>
    <w:rsid w:val="00ED57CD"/>
  </w:style>
  <w:style w:type="character" w:customStyle="1" w:styleId="citation-88">
    <w:name w:val="citation-88"/>
    <w:basedOn w:val="DefaultParagraphFont"/>
    <w:rsid w:val="00ED57CD"/>
  </w:style>
  <w:style w:type="character" w:styleId="Hyperlink">
    <w:name w:val="Hyperlink"/>
    <w:basedOn w:val="DefaultParagraphFont"/>
    <w:uiPriority w:val="99"/>
    <w:unhideWhenUsed/>
    <w:rsid w:val="00ED57CD"/>
    <w:rPr>
      <w:color w:val="467886" w:themeColor="hyperlink"/>
      <w:u w:val="single"/>
    </w:rPr>
  </w:style>
  <w:style w:type="character" w:styleId="UnresolvedMention">
    <w:name w:val="Unresolved Mention"/>
    <w:basedOn w:val="DefaultParagraphFont"/>
    <w:uiPriority w:val="99"/>
    <w:semiHidden/>
    <w:unhideWhenUsed/>
    <w:rsid w:val="00ED57CD"/>
    <w:rPr>
      <w:color w:val="605E5C"/>
      <w:shd w:val="clear" w:color="auto" w:fill="E1DFDD"/>
    </w:rPr>
  </w:style>
  <w:style w:type="character" w:styleId="FollowedHyperlink">
    <w:name w:val="FollowedHyperlink"/>
    <w:basedOn w:val="DefaultParagraphFont"/>
    <w:uiPriority w:val="99"/>
    <w:semiHidden/>
    <w:unhideWhenUsed/>
    <w:rsid w:val="00AB4F8E"/>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nsarchive2.gwu.edu/NSAEBB/NSAEBB260/index.htm" TargetMode="External"/><Relationship Id="rId3" Type="http://schemas.openxmlformats.org/officeDocument/2006/relationships/settings" Target="settings.xml"/><Relationship Id="rId7" Type="http://schemas.openxmlformats.org/officeDocument/2006/relationships/hyperlink" Target="https://www.gutenberg.org/files/132/132-h/132-h.ht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researchgate.net/publication/335149861_Like_War_-_The_Weaponization_of_Social_Media_by_P_W_Singer_and_Emerson_T_Brooking" TargetMode="External"/><Relationship Id="rId5" Type="http://schemas.openxmlformats.org/officeDocument/2006/relationships/hyperlink" Target="https://classics.mit.edu/Tzu/artwar.html"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4</Pages>
  <Words>890</Words>
  <Characters>4906</Characters>
  <Application>Microsoft Office Word</Application>
  <DocSecurity>0</DocSecurity>
  <Lines>102</Lines>
  <Paragraphs>75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Dhiman, Gurumanie S</dc:creator>
  <cp:keywords/>
  <dc:description/>
  <cp:lastModifiedBy>Dhiman, Gurumanie S</cp:lastModifiedBy>
  <cp:revision>5</cp:revision>
  <dcterms:created xsi:type="dcterms:W3CDTF">2026-01-31T19:19:00Z</dcterms:created>
  <dcterms:modified xsi:type="dcterms:W3CDTF">2026-01-31T19:35:00Z</dcterms:modified>
</cp:coreProperties>
</file>