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49E9" w:rsidRPr="00C449E9" w:rsidRDefault="00C449E9" w:rsidP="00C449E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449E9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Pr="00C449E9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C449E9">
        <w:rPr>
          <w:rFonts w:ascii="Times New Roman" w:eastAsia="Times New Roman" w:hAnsi="Times New Roman" w:cs="Times New Roman"/>
          <w:b/>
          <w:bCs/>
          <w:sz w:val="24"/>
          <w:szCs w:val="24"/>
        </w:rPr>
        <w:t>AI</w:t>
      </w:r>
      <w:proofErr w:type="gramEnd"/>
      <w:r w:rsidRPr="00C449E9">
        <w:rPr>
          <w:rFonts w:ascii="Times New Roman" w:eastAsia="Times New Roman" w:hAnsi="Times New Roman" w:cs="Times New Roman"/>
          <w:b/>
          <w:bCs/>
          <w:sz w:val="24"/>
          <w:szCs w:val="24"/>
        </w:rPr>
        <w:t>-Enabled Point-of-Care Diagnostics:</w:t>
      </w:r>
      <w:r w:rsidRPr="00C449E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C449E9">
        <w:rPr>
          <w:rFonts w:ascii="Times New Roman" w:eastAsia="Times New Roman" w:hAnsi="Times New Roman" w:cs="Times New Roman"/>
          <w:sz w:val="24"/>
          <w:szCs w:val="24"/>
        </w:rPr>
        <w:t xml:space="preserve">Development of intelligent point-of-care systems that combine </w:t>
      </w:r>
      <w:r w:rsidRPr="00C449E9">
        <w:rPr>
          <w:rFonts w:ascii="Times New Roman" w:eastAsia="Times New Roman" w:hAnsi="Times New Roman" w:cs="Times New Roman"/>
          <w:bCs/>
          <w:sz w:val="24"/>
          <w:szCs w:val="24"/>
        </w:rPr>
        <w:t>biosensors, machine learning, deep learning and smartphone-based analysis</w:t>
      </w:r>
      <w:r w:rsidRPr="00C449E9">
        <w:rPr>
          <w:rFonts w:ascii="Times New Roman" w:eastAsia="Times New Roman" w:hAnsi="Times New Roman" w:cs="Times New Roman"/>
          <w:sz w:val="24"/>
          <w:szCs w:val="24"/>
        </w:rPr>
        <w:t xml:space="preserve"> for rapid biomarker quantification and clinical decision support. Research includes ML-assisted ECL/electrochemical sensing, deep-learning-based optical analysis, colorimetric diagnostics and emerging explainable and edge-AI approaches for healthcare applications. Your ACS Sensors review specifically connects ML-assisted biosensing with clinical </w:t>
      </w:r>
      <w:proofErr w:type="spellStart"/>
      <w:r w:rsidRPr="00C449E9">
        <w:rPr>
          <w:rFonts w:ascii="Times New Roman" w:eastAsia="Times New Roman" w:hAnsi="Times New Roman" w:cs="Times New Roman"/>
          <w:sz w:val="24"/>
          <w:szCs w:val="24"/>
        </w:rPr>
        <w:t>PoCT</w:t>
      </w:r>
      <w:proofErr w:type="spellEnd"/>
      <w:r w:rsidRPr="00C449E9">
        <w:rPr>
          <w:rFonts w:ascii="Times New Roman" w:eastAsia="Times New Roman" w:hAnsi="Times New Roman" w:cs="Times New Roman"/>
          <w:sz w:val="24"/>
          <w:szCs w:val="24"/>
        </w:rPr>
        <w:t xml:space="preserve"> decision-making. </w:t>
      </w:r>
    </w:p>
    <w:p w:rsidR="00C449E9" w:rsidRPr="00C449E9" w:rsidRDefault="00C449E9" w:rsidP="00C449E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49E9" w:rsidRPr="00C449E9" w:rsidRDefault="00C449E9" w:rsidP="00C449E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449E9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Pr="00C449E9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C449E9">
        <w:rPr>
          <w:rFonts w:ascii="Times New Roman" w:eastAsia="Times New Roman" w:hAnsi="Times New Roman" w:cs="Times New Roman"/>
          <w:b/>
          <w:bCs/>
          <w:sz w:val="24"/>
          <w:szCs w:val="24"/>
        </w:rPr>
        <w:t>Electrochemiluminescence</w:t>
      </w:r>
      <w:proofErr w:type="gramEnd"/>
      <w:r w:rsidRPr="00C449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Chemiluminescence Biosensing</w:t>
      </w:r>
      <w:r w:rsidRPr="00C449E9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C449E9">
        <w:rPr>
          <w:rFonts w:ascii="Times New Roman" w:eastAsia="Times New Roman" w:hAnsi="Times New Roman" w:cs="Times New Roman"/>
          <w:sz w:val="24"/>
          <w:szCs w:val="24"/>
        </w:rPr>
        <w:t xml:space="preserve"> Design of highly sensitive </w:t>
      </w:r>
      <w:r w:rsidRPr="00C449E9">
        <w:rPr>
          <w:rFonts w:ascii="Times New Roman" w:eastAsia="Times New Roman" w:hAnsi="Times New Roman" w:cs="Times New Roman"/>
          <w:bCs/>
          <w:sz w:val="24"/>
          <w:szCs w:val="24"/>
        </w:rPr>
        <w:t>ECL and CL platforms</w:t>
      </w:r>
      <w:r w:rsidRPr="00C449E9">
        <w:rPr>
          <w:rFonts w:ascii="Times New Roman" w:eastAsia="Times New Roman" w:hAnsi="Times New Roman" w:cs="Times New Roman"/>
          <w:sz w:val="24"/>
          <w:szCs w:val="24"/>
        </w:rPr>
        <w:t xml:space="preserve"> for biochemical and molecular detection using compact electrode configurations, luminescent reactions and portable imaging. The work spans glucose, lactate, dopamine, choline, cholesterol, vitamin B12, vitamin C and other clinically relevant </w:t>
      </w:r>
      <w:proofErr w:type="spellStart"/>
      <w:r w:rsidRPr="00C449E9">
        <w:rPr>
          <w:rFonts w:ascii="Times New Roman" w:eastAsia="Times New Roman" w:hAnsi="Times New Roman" w:cs="Times New Roman"/>
          <w:sz w:val="24"/>
          <w:szCs w:val="24"/>
        </w:rPr>
        <w:t>analytes</w:t>
      </w:r>
      <w:proofErr w:type="spellEnd"/>
      <w:r w:rsidRPr="00C449E9">
        <w:rPr>
          <w:rFonts w:ascii="Times New Roman" w:eastAsia="Times New Roman" w:hAnsi="Times New Roman" w:cs="Times New Roman"/>
          <w:sz w:val="24"/>
          <w:szCs w:val="24"/>
        </w:rPr>
        <w:t xml:space="preserve">, including multiplexed and simultaneous detection. Your publication record contains a substantial sequence of ECL studies using single, bipolar and multi-well configurations. </w:t>
      </w:r>
    </w:p>
    <w:p w:rsidR="00C449E9" w:rsidRPr="00C449E9" w:rsidRDefault="00C449E9" w:rsidP="00C449E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449E9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Pr="00C449E9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C449E9">
        <w:rPr>
          <w:rFonts w:ascii="Times New Roman" w:eastAsia="Times New Roman" w:hAnsi="Times New Roman" w:cs="Times New Roman"/>
          <w:b/>
          <w:bCs/>
          <w:sz w:val="24"/>
          <w:szCs w:val="24"/>
        </w:rPr>
        <w:t>Microfluidic</w:t>
      </w:r>
      <w:proofErr w:type="gramEnd"/>
      <w:r w:rsidRPr="00C449E9">
        <w:rPr>
          <w:rFonts w:ascii="Times New Roman" w:eastAsia="Times New Roman" w:hAnsi="Times New Roman" w:cs="Times New Roman"/>
          <w:b/>
          <w:bCs/>
          <w:sz w:val="24"/>
          <w:szCs w:val="24"/>
        </w:rPr>
        <w:t>, Paper-Based &amp; 3D-Printed Devices</w:t>
      </w:r>
      <w:r w:rsidRPr="00C449E9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C449E9">
        <w:rPr>
          <w:rFonts w:ascii="Times New Roman" w:eastAsia="Times New Roman" w:hAnsi="Times New Roman" w:cs="Times New Roman"/>
          <w:sz w:val="24"/>
          <w:szCs w:val="24"/>
        </w:rPr>
        <w:t xml:space="preserve"> Development of low-cost miniaturized diagnostic platforms using </w:t>
      </w:r>
      <w:r w:rsidRPr="00C449E9">
        <w:rPr>
          <w:rFonts w:ascii="Times New Roman" w:eastAsia="Times New Roman" w:hAnsi="Times New Roman" w:cs="Times New Roman"/>
          <w:bCs/>
          <w:sz w:val="24"/>
          <w:szCs w:val="24"/>
        </w:rPr>
        <w:t>microfluidics, paper substrates, wax/screen printing and additive manufacturing</w:t>
      </w:r>
      <w:r w:rsidRPr="00C449E9">
        <w:rPr>
          <w:rFonts w:ascii="Times New Roman" w:eastAsia="Times New Roman" w:hAnsi="Times New Roman" w:cs="Times New Roman"/>
          <w:sz w:val="24"/>
          <w:szCs w:val="24"/>
        </w:rPr>
        <w:t xml:space="preserve">. Research focuses on integrating sample handling, sensing, reaction chambers and readout into compact devices suitable for resource-limited and decentralized testing. Recent studies include intelligent microfluidic plasma separation, paper-based CL sensors and portable 3D-printed ECL systems. </w:t>
      </w:r>
    </w:p>
    <w:p w:rsidR="00C449E9" w:rsidRPr="00C449E9" w:rsidRDefault="00C449E9" w:rsidP="00C449E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449E9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Pr="00C449E9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C449E9">
        <w:rPr>
          <w:rFonts w:ascii="Times New Roman" w:eastAsia="Times New Roman" w:hAnsi="Times New Roman" w:cs="Times New Roman"/>
          <w:b/>
          <w:bCs/>
          <w:sz w:val="24"/>
          <w:szCs w:val="24"/>
        </w:rPr>
        <w:t>Advanced</w:t>
      </w:r>
      <w:proofErr w:type="gramEnd"/>
      <w:r w:rsidRPr="00C449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Electrodes &amp; Functional Materials for Biosensing</w:t>
      </w:r>
      <w:r w:rsidRPr="00C449E9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C449E9">
        <w:rPr>
          <w:rFonts w:ascii="Times New Roman" w:eastAsia="Times New Roman" w:hAnsi="Times New Roman" w:cs="Times New Roman"/>
          <w:sz w:val="24"/>
          <w:szCs w:val="24"/>
        </w:rPr>
        <w:t xml:space="preserve"> Exploration of functional electrode materials and scalable fabrication methods for improving sensitivity, selectivity and device miniaturization. Research includes </w:t>
      </w:r>
      <w:r w:rsidRPr="00C449E9">
        <w:rPr>
          <w:rFonts w:ascii="Times New Roman" w:eastAsia="Times New Roman" w:hAnsi="Times New Roman" w:cs="Times New Roman"/>
          <w:bCs/>
          <w:sz w:val="24"/>
          <w:szCs w:val="24"/>
        </w:rPr>
        <w:t>laser-induced graphene, laser-ablated reduced graphene oxide, carbon-thread electrodes, graphite electrodes, MWCNT–</w:t>
      </w:r>
      <w:proofErr w:type="spellStart"/>
      <w:r w:rsidRPr="00C449E9">
        <w:rPr>
          <w:rFonts w:ascii="Times New Roman" w:eastAsia="Times New Roman" w:hAnsi="Times New Roman" w:cs="Times New Roman"/>
          <w:bCs/>
          <w:sz w:val="24"/>
          <w:szCs w:val="24"/>
        </w:rPr>
        <w:t>CuO</w:t>
      </w:r>
      <w:proofErr w:type="spellEnd"/>
      <w:r w:rsidRPr="00C449E9">
        <w:rPr>
          <w:rFonts w:ascii="Times New Roman" w:eastAsia="Times New Roman" w:hAnsi="Times New Roman" w:cs="Times New Roman"/>
          <w:bCs/>
          <w:sz w:val="24"/>
          <w:szCs w:val="24"/>
        </w:rPr>
        <w:t xml:space="preserve"> structures and emerging Bio-FET materials such as graphene, </w:t>
      </w:r>
      <w:proofErr w:type="spellStart"/>
      <w:r w:rsidRPr="00C449E9">
        <w:rPr>
          <w:rFonts w:ascii="Times New Roman" w:eastAsia="Times New Roman" w:hAnsi="Times New Roman" w:cs="Times New Roman"/>
          <w:bCs/>
          <w:sz w:val="24"/>
          <w:szCs w:val="24"/>
        </w:rPr>
        <w:t>MoS</w:t>
      </w:r>
      <w:proofErr w:type="spellEnd"/>
      <w:r w:rsidRPr="00C449E9">
        <w:rPr>
          <w:rFonts w:ascii="Times New Roman" w:eastAsia="Times New Roman" w:hAnsi="Times New Roman" w:cs="Times New Roman"/>
          <w:bCs/>
          <w:sz w:val="24"/>
          <w:szCs w:val="24"/>
        </w:rPr>
        <w:t>₂ and carbon nanotubes</w:t>
      </w:r>
      <w:r w:rsidRPr="00C449E9">
        <w:rPr>
          <w:rFonts w:ascii="Times New Roman" w:eastAsia="Times New Roman" w:hAnsi="Times New Roman" w:cs="Times New Roman"/>
          <w:sz w:val="24"/>
          <w:szCs w:val="24"/>
        </w:rPr>
        <w:t xml:space="preserve">. These materials provide the interface between molecular recognition and electrical or optical signal generation. </w:t>
      </w:r>
    </w:p>
    <w:p w:rsidR="00AB679E" w:rsidRDefault="00C449E9" w:rsidP="00C449E9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449E9">
        <w:rPr>
          <w:rFonts w:ascii="Times New Roman" w:eastAsia="Times New Roman" w:hAnsi="Symbol" w:cs="Times New Roman"/>
          <w:b/>
          <w:sz w:val="24"/>
          <w:szCs w:val="24"/>
        </w:rPr>
        <w:t></w:t>
      </w:r>
      <w:r w:rsidRPr="00C449E9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C449E9">
        <w:rPr>
          <w:rFonts w:ascii="Times New Roman" w:eastAsia="Times New Roman" w:hAnsi="Times New Roman" w:cs="Times New Roman"/>
          <w:b/>
          <w:bCs/>
          <w:sz w:val="24"/>
          <w:szCs w:val="24"/>
        </w:rPr>
        <w:t>MEMS</w:t>
      </w:r>
      <w:proofErr w:type="gramEnd"/>
      <w:r w:rsidRPr="00C449E9">
        <w:rPr>
          <w:rFonts w:ascii="Times New Roman" w:eastAsia="Times New Roman" w:hAnsi="Times New Roman" w:cs="Times New Roman"/>
          <w:b/>
          <w:bCs/>
          <w:sz w:val="24"/>
          <w:szCs w:val="24"/>
        </w:rPr>
        <w:t>, Smart Energy Harvesting &amp; Microfluidic Power Systems</w:t>
      </w:r>
      <w:r w:rsidRPr="00C449E9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C449E9">
        <w:rPr>
          <w:rFonts w:ascii="Times New Roman" w:eastAsia="Times New Roman" w:hAnsi="Times New Roman" w:cs="Times New Roman"/>
          <w:sz w:val="24"/>
          <w:szCs w:val="24"/>
        </w:rPr>
        <w:t xml:space="preserve"> Research on miniaturized energy systems for autonomous and portable electronics, including </w:t>
      </w:r>
      <w:r w:rsidRPr="00C449E9">
        <w:rPr>
          <w:rFonts w:ascii="Times New Roman" w:eastAsia="Times New Roman" w:hAnsi="Times New Roman" w:cs="Times New Roman"/>
          <w:bCs/>
          <w:sz w:val="24"/>
          <w:szCs w:val="24"/>
        </w:rPr>
        <w:t>MEMS-based energy scavengers, piezoelectric structures, computational optimization and machine-learning-assisted performance prediction</w:t>
      </w:r>
      <w:r w:rsidRPr="00C449E9">
        <w:rPr>
          <w:rFonts w:ascii="Times New Roman" w:eastAsia="Times New Roman" w:hAnsi="Times New Roman" w:cs="Times New Roman"/>
          <w:sz w:val="24"/>
          <w:szCs w:val="24"/>
        </w:rPr>
        <w:t>. This direction is now extending toward paper-based microfluidic energy systems, including recent work on substrate-engineered aluminum–air fuel cells for compact and off-grid applications.</w:t>
      </w:r>
    </w:p>
    <w:p w:rsidR="00E13EB5" w:rsidRDefault="00E13EB5" w:rsidP="00C449E9">
      <w:pPr>
        <w:spacing w:line="360" w:lineRule="auto"/>
        <w:jc w:val="both"/>
      </w:pPr>
      <w:r w:rsidRPr="00E13EB5">
        <w:lastRenderedPageBreak/>
        <w:drawing>
          <wp:inline distT="0" distB="0" distL="0" distR="0" wp14:anchorId="07136207" wp14:editId="5DCC3C0A">
            <wp:extent cx="5943600" cy="1468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EB5" w:rsidRDefault="00E13EB5" w:rsidP="00C449E9">
      <w:pPr>
        <w:spacing w:line="360" w:lineRule="auto"/>
        <w:jc w:val="both"/>
      </w:pPr>
    </w:p>
    <w:p w:rsidR="00E13EB5" w:rsidRDefault="00E13EB5" w:rsidP="00C449E9">
      <w:pPr>
        <w:spacing w:line="360" w:lineRule="auto"/>
        <w:jc w:val="both"/>
      </w:pPr>
      <w:r w:rsidRPr="00E13EB5">
        <w:drawing>
          <wp:inline distT="0" distB="0" distL="0" distR="0" wp14:anchorId="77C40136" wp14:editId="3575961D">
            <wp:extent cx="5943600" cy="167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653" w:rsidRDefault="00BF5653" w:rsidP="00C449E9">
      <w:pPr>
        <w:spacing w:line="360" w:lineRule="auto"/>
        <w:jc w:val="both"/>
      </w:pPr>
    </w:p>
    <w:p w:rsidR="00BF5653" w:rsidRDefault="00BF5653" w:rsidP="00C449E9">
      <w:pPr>
        <w:spacing w:line="360" w:lineRule="auto"/>
        <w:jc w:val="both"/>
      </w:pPr>
      <w:bookmarkStart w:id="0" w:name="_GoBack"/>
      <w:bookmarkEnd w:id="0"/>
    </w:p>
    <w:p w:rsidR="00BF5653" w:rsidRDefault="00BF5653" w:rsidP="00C449E9">
      <w:pPr>
        <w:spacing w:line="360" w:lineRule="auto"/>
        <w:jc w:val="both"/>
      </w:pPr>
    </w:p>
    <w:p w:rsidR="00BF5653" w:rsidRDefault="00BF5653" w:rsidP="00C449E9">
      <w:pPr>
        <w:spacing w:line="360" w:lineRule="auto"/>
        <w:jc w:val="both"/>
      </w:pPr>
    </w:p>
    <w:p w:rsidR="00E13EB5" w:rsidRDefault="00E13EB5" w:rsidP="00C449E9">
      <w:pPr>
        <w:spacing w:line="360" w:lineRule="auto"/>
        <w:jc w:val="both"/>
      </w:pPr>
      <w:r w:rsidRPr="00E13EB5">
        <w:drawing>
          <wp:inline distT="0" distB="0" distL="0" distR="0" wp14:anchorId="07981D4B" wp14:editId="2190CDAC">
            <wp:extent cx="5943600" cy="1588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EB5" w:rsidRDefault="00E13EB5" w:rsidP="00C449E9">
      <w:pPr>
        <w:spacing w:line="360" w:lineRule="auto"/>
        <w:jc w:val="both"/>
      </w:pPr>
      <w:r w:rsidRPr="00E13EB5">
        <w:lastRenderedPageBreak/>
        <w:drawing>
          <wp:inline distT="0" distB="0" distL="0" distR="0" wp14:anchorId="2AE7E0B1" wp14:editId="406850F3">
            <wp:extent cx="5943600" cy="1678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EB5" w:rsidRDefault="00E13EB5" w:rsidP="00C449E9">
      <w:pPr>
        <w:spacing w:line="360" w:lineRule="auto"/>
        <w:jc w:val="both"/>
      </w:pPr>
      <w:r w:rsidRPr="00E13EB5">
        <w:drawing>
          <wp:inline distT="0" distB="0" distL="0" distR="0" wp14:anchorId="19E3DAF4" wp14:editId="1B4BFBEC">
            <wp:extent cx="5943600" cy="16675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EB5" w:rsidRPr="00C449E9" w:rsidRDefault="00E13EB5" w:rsidP="00C449E9">
      <w:pPr>
        <w:spacing w:line="360" w:lineRule="auto"/>
        <w:jc w:val="both"/>
      </w:pPr>
      <w:r w:rsidRPr="00E13EB5">
        <w:drawing>
          <wp:inline distT="0" distB="0" distL="0" distR="0" wp14:anchorId="2B071879" wp14:editId="33D26027">
            <wp:extent cx="5943600" cy="17265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EB5" w:rsidRPr="00C44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46F"/>
    <w:rsid w:val="0029746F"/>
    <w:rsid w:val="00343C18"/>
    <w:rsid w:val="00836B72"/>
    <w:rsid w:val="00AB679E"/>
    <w:rsid w:val="00BF5653"/>
    <w:rsid w:val="00C449E9"/>
    <w:rsid w:val="00E13EB5"/>
    <w:rsid w:val="00E61C5C"/>
    <w:rsid w:val="00F1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3ED142-2046-40A2-A0E7-B1EF58EB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449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8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 21</dc:creator>
  <cp:keywords/>
  <dc:description/>
  <cp:lastModifiedBy>HP PC 21</cp:lastModifiedBy>
  <cp:revision>4</cp:revision>
  <dcterms:created xsi:type="dcterms:W3CDTF">2026-09-01T12:57:00Z</dcterms:created>
  <dcterms:modified xsi:type="dcterms:W3CDTF">2026-09-01T13:25:00Z</dcterms:modified>
</cp:coreProperties>
</file>