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DA0F44">
      <w:r>
        <w:t>Paraphrased Text</w:t>
      </w:r>
      <w:r>
        <w:br w:type="textWrapping"/>
      </w:r>
      <w:r>
        <w:br w:type="textWrapping"/>
      </w:r>
      <w:r>
        <w:br w:type="textWrapping"/>
      </w:r>
      <w:r>
        <w:t>The research article situates KAQG within the broader domain of automated question generation. Previous methods involve data-driven models like QG-Net, which investigated the creation of educational questions from sample data.</w:t>
      </w:r>
      <w:r>
        <w:br w:type="textWrapping"/>
      </w:r>
      <w:r>
        <w:br w:type="textWrapping"/>
      </w:r>
      <w:r>
        <w:br w:type="textWrapping"/>
      </w:r>
      <w:r>
        <w:t>Changed Words</w:t>
      </w:r>
      <w:r>
        <w:br w:type="textWrapping"/>
      </w:r>
      <w:r>
        <w:t>Structural Changes</w:t>
      </w:r>
      <w:r>
        <w:br w:type="textWrapping"/>
      </w:r>
      <w:r>
        <w:t>Longest Unchanged Words</w:t>
      </w:r>
      <w:r>
        <w:br w:type="textWrapping"/>
      </w:r>
      <w:r>
        <w:t>227 Characters</w:t>
      </w:r>
      <w:r>
        <w:br w:type="textWrapping"/>
      </w:r>
      <w:r>
        <w:t>30 Words</w:t>
      </w:r>
      <w:r>
        <w:br w:type="textWrapping"/>
      </w:r>
      <w:r>
        <w:br w:type="textWrapping"/>
      </w:r>
      <w:r>
        <w:t>Statistics</w:t>
      </w:r>
    </w:p>
    <w:p w14:paraId="2216AB41"/>
    <w:p w14:paraId="36AF619C"/>
    <w:p w14:paraId="5BA6B546">
      <w:bookmarkStart w:id="0" w:name="_GoBack"/>
      <w:r>
        <w:rPr>
          <w:rFonts w:hint="default"/>
        </w:rPr>
        <w:t>The research paper places KAQG in the area of automatic question generation. Earlier methods include data‑driven models such as QG‑Net, which looked at producing questions, from examples. These methods can cut the work needed to write questions but text‑centric generation does not always show the course hierarchy or give a clear way to choose question difficulty. KAQG takes a path by using the curriculum structure as part of the retrieval and generation process.</w:t>
      </w:r>
    </w:p>
    <w:bookmarkEnd w:id="0"/>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8217E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44</Words>
  <Characters>292</Characters>
  <Lines>0</Lines>
  <Paragraphs>0</Paragraphs>
  <TotalTime>13</TotalTime>
  <ScaleCrop>false</ScaleCrop>
  <LinksUpToDate>false</LinksUpToDate>
  <CharactersWithSpaces>328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Gurunesh . M</cp:lastModifiedBy>
  <dcterms:modified xsi:type="dcterms:W3CDTF">2026-10-17T14:01:10Z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eyJoZGlkIjoiMjJjMjlkYzdmYTUzZDIyZWYwY2ZjNjQ4ZDY1Y2E3MGEiLCJ1c2VySWQiOiI1Njc2NTMyMjIzNDAifQ==</vt:lpwstr>
  </property>
  <property fmtid="{D5CDD505-2E9C-101B-9397-08002B2CF9AE}" pid="3" name="KSOProductBuildVer">
    <vt:lpwstr>1033-12.1.0.28485</vt:lpwstr>
  </property>
  <property fmtid="{D5CDD505-2E9C-101B-9397-08002B2CF9AE}" pid="4" name="ICV">
    <vt:lpwstr>5DB14B210DEA46439BBAFE43E7FB4309_12</vt:lpwstr>
  </property>
</Properties>
</file>