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iTicket (eDealTicket)</w:t>
      </w:r>
    </w:p>
    <w:p>
      <w:pPr>
        <w:jc w:val="center"/>
      </w:pPr>
      <w:r>
        <w:rPr>
          <w:color w:val="333333"/>
          <w:sz w:val="30"/>
        </w:rPr>
        <w:t>IBM AMA – Inventory &amp; Technology Evaluation Highlights</w:t>
      </w:r>
    </w:p>
    <w:p/>
    <w:p>
      <w:pPr>
        <w:jc w:val="center"/>
      </w:pPr>
      <w:r>
        <w:rPr>
          <w:i/>
          <w:color w:val="666666"/>
          <w:sz w:val="22"/>
        </w:rPr>
        <w:t>Application: edtapp.ear  (188 MB, Module v1.3)</w:t>
        <w:br/>
        <w:t>Target: IBM WebSphere Liberty on OpenShift  |  Java 21  |  Jakarta EE</w:t>
      </w:r>
    </w:p>
    <w:p>
      <w:r>
        <w:br w:type="page"/>
      </w:r>
    </w:p>
    <w:p>
      <w:pPr>
        <w:pStyle w:val="Heading1"/>
      </w:pPr>
      <w:r>
        <w:rPr>
          <w:color w:val="1F4E79"/>
        </w:rPr>
        <w:t>Part A — Application Inventory Report</w:t>
      </w:r>
    </w:p>
    <w:p>
      <w:r>
        <w:rPr>
          <w:b w:val="0"/>
          <w:i w:val="0"/>
          <w:color w:val="333333"/>
          <w:sz w:val="21"/>
        </w:rPr>
        <w:t>The AMA Inventory Report catalogues the composition of the edtapp.ear binary — module counts, component technologies, and the dependency footprint. This establishes the factual baseline for migration scoping.</w:t>
      </w:r>
    </w:p>
    <w:p>
      <w:pPr>
        <w:pStyle w:val="Heading2"/>
      </w:pPr>
      <w:r>
        <w:rPr>
          <w:color w:val="1F4E79"/>
        </w:rPr>
        <w:t>A.1 Module Composition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fill="1F4E79"/>
          </w:tcPr>
          <w:p>
            <w:r>
              <w:rPr>
                <w:b/>
                <w:color w:val="FFFFFF"/>
                <w:sz w:val="20"/>
              </w:rPr>
              <w:t>Artifact Type</w:t>
            </w:r>
          </w:p>
        </w:tc>
        <w:tc>
          <w:tcPr>
            <w:tcW w:type="dxa" w:w="1440"/>
            <w:shd w:val="clear" w:fill="1F4E79"/>
          </w:tcPr>
          <w:p>
            <w:r>
              <w:rPr>
                <w:b/>
                <w:color w:val="FFFFFF"/>
                <w:sz w:val="20"/>
              </w:rPr>
              <w:t>Count</w:t>
            </w:r>
          </w:p>
        </w:tc>
        <w:tc>
          <w:tcPr>
            <w:tcW w:type="dxa" w:w="4752"/>
            <w:shd w:val="clear" w:fill="1F4E79"/>
          </w:tcPr>
          <w:p>
            <w:r>
              <w:rPr>
                <w:b/>
                <w:color w:val="FFFFFF"/>
                <w:sz w:val="20"/>
              </w:rPr>
              <w:t>Notes</w:t>
            </w:r>
          </w:p>
        </w:tc>
      </w:tr>
      <w:tr>
        <w:tc>
          <w:tcPr>
            <w:tcW w:type="dxa" w:w="3312"/>
          </w:tcPr>
          <w:p>
            <w:r>
              <w:rPr>
                <w:sz w:val="19"/>
              </w:rPr>
              <w:t>EAR files</w:t>
            </w:r>
          </w:p>
        </w:tc>
        <w:tc>
          <w:tcPr>
            <w:tcW w:type="dxa" w:w="1440"/>
          </w:tcPr>
          <w:p>
            <w:r>
              <w:rPr>
                <w:sz w:val="19"/>
              </w:rPr>
              <w:t>1</w:t>
            </w:r>
          </w:p>
        </w:tc>
        <w:tc>
          <w:tcPr>
            <w:tcW w:type="dxa" w:w="4752"/>
          </w:tcPr>
          <w:p>
            <w:r>
              <w:rPr>
                <w:sz w:val="19"/>
              </w:rPr>
              <w:t>Single enterprise archive (edtapp.ear)</w:t>
            </w:r>
          </w:p>
        </w:tc>
      </w:tr>
      <w:tr>
        <w:tc>
          <w:tcPr>
            <w:tcW w:type="dxa" w:w="3312"/>
          </w:tcPr>
          <w:p>
            <w:r>
              <w:rPr>
                <w:sz w:val="19"/>
              </w:rPr>
              <w:t>WAR files</w:t>
            </w:r>
          </w:p>
        </w:tc>
        <w:tc>
          <w:tcPr>
            <w:tcW w:type="dxa" w:w="1440"/>
          </w:tcPr>
          <w:p>
            <w:r>
              <w:rPr>
                <w:sz w:val="19"/>
              </w:rPr>
              <w:t>1</w:t>
            </w:r>
          </w:p>
        </w:tc>
        <w:tc>
          <w:tcPr>
            <w:tcW w:type="dxa" w:w="4752"/>
          </w:tcPr>
          <w:p>
            <w:r>
              <w:rPr>
                <w:sz w:val="19"/>
              </w:rPr>
              <w:t>edtwebapp.war (web/UI layer)</w:t>
            </w:r>
          </w:p>
        </w:tc>
      </w:tr>
      <w:tr>
        <w:tc>
          <w:tcPr>
            <w:tcW w:type="dxa" w:w="3312"/>
          </w:tcPr>
          <w:p>
            <w:r>
              <w:rPr>
                <w:sz w:val="19"/>
              </w:rPr>
              <w:t>RAR files</w:t>
            </w:r>
          </w:p>
        </w:tc>
        <w:tc>
          <w:tcPr>
            <w:tcW w:type="dxa" w:w="1440"/>
          </w:tcPr>
          <w:p>
            <w:r>
              <w:rPr>
                <w:sz w:val="19"/>
              </w:rPr>
              <w:t>0</w:t>
            </w:r>
          </w:p>
        </w:tc>
        <w:tc>
          <w:tcPr>
            <w:tcW w:type="dxa" w:w="4752"/>
          </w:tcPr>
          <w:p>
            <w:r>
              <w:rPr>
                <w:sz w:val="19"/>
              </w:rPr>
              <w:t>No resource adapters</w:t>
            </w:r>
          </w:p>
        </w:tc>
      </w:tr>
      <w:tr>
        <w:tc>
          <w:tcPr>
            <w:tcW w:type="dxa" w:w="3312"/>
          </w:tcPr>
          <w:p>
            <w:r>
              <w:rPr>
                <w:sz w:val="19"/>
              </w:rPr>
              <w:t>EJB JAR files</w:t>
            </w:r>
          </w:p>
        </w:tc>
        <w:tc>
          <w:tcPr>
            <w:tcW w:type="dxa" w:w="1440"/>
          </w:tcPr>
          <w:p>
            <w:r>
              <w:rPr>
                <w:sz w:val="19"/>
              </w:rPr>
              <w:t>16</w:t>
            </w:r>
          </w:p>
        </w:tc>
        <w:tc>
          <w:tcPr>
            <w:tcW w:type="dxa" w:w="4752"/>
          </w:tcPr>
          <w:p>
            <w:r>
              <w:rPr>
                <w:sz w:val="19"/>
              </w:rPr>
              <w:t>14 MDBs + session bean / client JARs</w:t>
            </w:r>
          </w:p>
        </w:tc>
      </w:tr>
      <w:tr>
        <w:tc>
          <w:tcPr>
            <w:tcW w:type="dxa" w:w="3312"/>
          </w:tcPr>
          <w:p>
            <w:r>
              <w:rPr>
                <w:sz w:val="19"/>
              </w:rPr>
              <w:t>Utility JAR files</w:t>
            </w:r>
          </w:p>
        </w:tc>
        <w:tc>
          <w:tcPr>
            <w:tcW w:type="dxa" w:w="1440"/>
          </w:tcPr>
          <w:p>
            <w:r>
              <w:rPr>
                <w:sz w:val="19"/>
              </w:rPr>
              <w:t>157</w:t>
            </w:r>
          </w:p>
        </w:tc>
        <w:tc>
          <w:tcPr>
            <w:tcW w:type="dxa" w:w="4752"/>
          </w:tcPr>
          <w:p>
            <w:r>
              <w:rPr>
                <w:sz w:val="19"/>
              </w:rPr>
              <w:t>Large dependency surface — key cleanup burden</w:t>
            </w:r>
          </w:p>
        </w:tc>
      </w:tr>
      <w:tr>
        <w:tc>
          <w:tcPr>
            <w:tcW w:type="dxa" w:w="3312"/>
          </w:tcPr>
          <w:p>
            <w:r>
              <w:rPr>
                <w:sz w:val="19"/>
              </w:rPr>
              <w:t>Application client JAR files</w:t>
            </w:r>
          </w:p>
        </w:tc>
        <w:tc>
          <w:tcPr>
            <w:tcW w:type="dxa" w:w="1440"/>
          </w:tcPr>
          <w:p>
            <w:r>
              <w:rPr>
                <w:sz w:val="19"/>
              </w:rPr>
              <w:t>0</w:t>
            </w:r>
          </w:p>
        </w:tc>
        <w:tc>
          <w:tcPr>
            <w:tcW w:type="dxa" w:w="4752"/>
          </w:tcPr>
          <w:p>
            <w:r>
              <w:rPr>
                <w:sz w:val="19"/>
              </w:rPr>
              <w:t>None</w:t>
            </w:r>
          </w:p>
        </w:tc>
      </w:tr>
      <w:tr>
        <w:tc>
          <w:tcPr>
            <w:tcW w:type="dxa" w:w="3312"/>
          </w:tcPr>
          <w:p>
            <w:r>
              <w:rPr>
                <w:sz w:val="19"/>
              </w:rPr>
              <w:t>Module size</w:t>
            </w:r>
          </w:p>
        </w:tc>
        <w:tc>
          <w:tcPr>
            <w:tcW w:type="dxa" w:w="1440"/>
          </w:tcPr>
          <w:p>
            <w:r>
              <w:rPr>
                <w:sz w:val="19"/>
              </w:rPr>
              <w:t>188 MB</w:t>
            </w:r>
          </w:p>
        </w:tc>
        <w:tc>
          <w:tcPr>
            <w:tcW w:type="dxa" w:w="4752"/>
          </w:tcPr>
          <w:p>
            <w:r>
              <w:rPr>
                <w:sz w:val="19"/>
              </w:rPr>
              <w:t>Bloated EAR — candidate for slimming</w:t>
            </w:r>
          </w:p>
        </w:tc>
      </w:tr>
      <w:tr>
        <w:tc>
          <w:tcPr>
            <w:tcW w:type="dxa" w:w="3312"/>
          </w:tcPr>
          <w:p>
            <w:r>
              <w:rPr>
                <w:sz w:val="19"/>
              </w:rPr>
              <w:t>Spring version</w:t>
            </w:r>
          </w:p>
        </w:tc>
        <w:tc>
          <w:tcPr>
            <w:tcW w:type="dxa" w:w="1440"/>
          </w:tcPr>
          <w:p>
            <w:r>
              <w:rPr>
                <w:sz w:val="19"/>
              </w:rPr>
              <w:t>5.3.46</w:t>
            </w:r>
          </w:p>
        </w:tc>
        <w:tc>
          <w:tcPr>
            <w:tcW w:type="dxa" w:w="4752"/>
          </w:tcPr>
          <w:p>
            <w:r>
              <w:rPr>
                <w:sz w:val="19"/>
              </w:rPr>
              <w:t>Modern Spring on legacy packaging</w:t>
            </w:r>
          </w:p>
        </w:tc>
      </w:tr>
      <w:tr>
        <w:tc>
          <w:tcPr>
            <w:tcW w:type="dxa" w:w="3312"/>
          </w:tcPr>
          <w:p>
            <w:r>
              <w:rPr>
                <w:sz w:val="19"/>
              </w:rPr>
              <w:t>Spring bean schema</w:t>
            </w:r>
          </w:p>
        </w:tc>
        <w:tc>
          <w:tcPr>
            <w:tcW w:type="dxa" w:w="1440"/>
          </w:tcPr>
          <w:p>
            <w:r>
              <w:rPr>
                <w:sz w:val="19"/>
              </w:rPr>
              <w:t>2.0</w:t>
            </w:r>
          </w:p>
        </w:tc>
        <w:tc>
          <w:tcPr>
            <w:tcW w:type="dxa" w:w="4752"/>
          </w:tcPr>
          <w:p>
            <w:r>
              <w:rPr>
                <w:sz w:val="19"/>
              </w:rPr>
              <w:t>XML-based Spring configuration</w:t>
            </w:r>
          </w:p>
        </w:tc>
      </w:tr>
    </w:tbl>
    <w:p>
      <w:pPr>
        <w:pStyle w:val="Heading2"/>
      </w:pPr>
      <w:r>
        <w:rPr>
          <w:color w:val="1F4E79"/>
        </w:rPr>
        <w:t>A.2 Component Technology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fill="1F4E79"/>
          </w:tcPr>
          <w:p>
            <w:r>
              <w:rPr>
                <w:b/>
                <w:color w:val="FFFFFF"/>
                <w:sz w:val="20"/>
              </w:rPr>
              <w:t>Technology</w:t>
            </w:r>
          </w:p>
        </w:tc>
        <w:tc>
          <w:tcPr>
            <w:tcW w:type="dxa" w:w="1152"/>
            <w:shd w:val="clear" w:fill="1F4E79"/>
          </w:tcPr>
          <w:p>
            <w:r>
              <w:rPr>
                <w:b/>
                <w:color w:val="FFFFFF"/>
                <w:sz w:val="20"/>
              </w:rPr>
              <w:t>Count</w:t>
            </w:r>
          </w:p>
        </w:tc>
        <w:tc>
          <w:tcPr>
            <w:tcW w:type="dxa" w:w="5184"/>
            <w:shd w:val="clear" w:fill="1F4E79"/>
          </w:tcPr>
          <w:p>
            <w:r>
              <w:rPr>
                <w:b/>
                <w:color w:val="FFFFFF"/>
                <w:sz w:val="20"/>
              </w:rPr>
              <w:t>Migration Relevance</w:t>
            </w:r>
          </w:p>
        </w:tc>
      </w:tr>
      <w:tr>
        <w:tc>
          <w:tcPr>
            <w:tcW w:type="dxa" w:w="3168"/>
          </w:tcPr>
          <w:p>
            <w:r>
              <w:rPr>
                <w:sz w:val="19"/>
              </w:rPr>
              <w:t>Java Servlets</w:t>
            </w:r>
          </w:p>
        </w:tc>
        <w:tc>
          <w:tcPr>
            <w:tcW w:type="dxa" w:w="1152"/>
          </w:tcPr>
          <w:p>
            <w:r>
              <w:rPr>
                <w:sz w:val="19"/>
              </w:rPr>
              <w:t>9</w:t>
            </w:r>
          </w:p>
        </w:tc>
        <w:tc>
          <w:tcPr>
            <w:tcW w:type="dxa" w:w="5184"/>
          </w:tcPr>
          <w:p>
            <w:r>
              <w:rPr>
                <w:sz w:val="19"/>
              </w:rPr>
              <w:t>javax.servlet → jakarta.servlet</w:t>
            </w:r>
          </w:p>
        </w:tc>
      </w:tr>
      <w:tr>
        <w:tc>
          <w:tcPr>
            <w:tcW w:type="dxa" w:w="3168"/>
          </w:tcPr>
          <w:p>
            <w:r>
              <w:rPr>
                <w:sz w:val="19"/>
              </w:rPr>
              <w:t>JSP files</w:t>
            </w:r>
          </w:p>
        </w:tc>
        <w:tc>
          <w:tcPr>
            <w:tcW w:type="dxa" w:w="1152"/>
          </w:tcPr>
          <w:p>
            <w:r>
              <w:rPr>
                <w:sz w:val="19"/>
              </w:rPr>
              <w:t>16</w:t>
            </w:r>
          </w:p>
        </w:tc>
        <w:tc>
          <w:tcPr>
            <w:tcW w:type="dxa" w:w="5184"/>
          </w:tcPr>
          <w:p>
            <w:r>
              <w:rPr>
                <w:sz w:val="19"/>
              </w:rPr>
              <w:t>Still active; Jakarta namespace update</w:t>
            </w:r>
          </w:p>
        </w:tc>
      </w:tr>
      <w:tr>
        <w:tc>
          <w:tcPr>
            <w:tcW w:type="dxa" w:w="3168"/>
          </w:tcPr>
          <w:p>
            <w:r>
              <w:rPr>
                <w:sz w:val="19"/>
              </w:rPr>
              <w:t>JPA entities</w:t>
            </w:r>
          </w:p>
        </w:tc>
        <w:tc>
          <w:tcPr>
            <w:tcW w:type="dxa" w:w="1152"/>
          </w:tcPr>
          <w:p>
            <w:r>
              <w:rPr>
                <w:sz w:val="19"/>
              </w:rPr>
              <w:t>0</w:t>
            </w:r>
          </w:p>
        </w:tc>
        <w:tc>
          <w:tcPr>
            <w:tcW w:type="dxa" w:w="5184"/>
          </w:tcPr>
          <w:p>
            <w:r>
              <w:rPr>
                <w:sz w:val="19"/>
              </w:rPr>
              <w:t>Persistence is Hibernate HBM-based, not JPA</w:t>
            </w:r>
          </w:p>
        </w:tc>
      </w:tr>
      <w:tr>
        <w:tc>
          <w:tcPr>
            <w:tcW w:type="dxa" w:w="3168"/>
          </w:tcPr>
          <w:p>
            <w:r>
              <w:rPr>
                <w:sz w:val="19"/>
              </w:rPr>
              <w:t>BMP entity beans</w:t>
            </w:r>
          </w:p>
        </w:tc>
        <w:tc>
          <w:tcPr>
            <w:tcW w:type="dxa" w:w="1152"/>
          </w:tcPr>
          <w:p>
            <w:r>
              <w:rPr>
                <w:b/>
                <w:color w:val="2E7D32"/>
                <w:sz w:val="19"/>
              </w:rPr>
              <w:t>0</w:t>
            </w:r>
          </w:p>
        </w:tc>
        <w:tc>
          <w:tcPr>
            <w:tcW w:type="dxa" w:w="5184"/>
          </w:tcPr>
          <w:p>
            <w:r>
              <w:rPr>
                <w:sz w:val="19"/>
              </w:rPr>
              <w:t>No Entity Bean rewrite required</w:t>
            </w:r>
          </w:p>
        </w:tc>
      </w:tr>
      <w:tr>
        <w:tc>
          <w:tcPr>
            <w:tcW w:type="dxa" w:w="3168"/>
          </w:tcPr>
          <w:p>
            <w:r>
              <w:rPr>
                <w:sz w:val="19"/>
              </w:rPr>
              <w:t>CMP entity beans</w:t>
            </w:r>
          </w:p>
        </w:tc>
        <w:tc>
          <w:tcPr>
            <w:tcW w:type="dxa" w:w="1152"/>
          </w:tcPr>
          <w:p>
            <w:r>
              <w:rPr>
                <w:b/>
                <w:color w:val="2E7D32"/>
                <w:sz w:val="19"/>
              </w:rPr>
              <w:t>0</w:t>
            </w:r>
          </w:p>
        </w:tc>
        <w:tc>
          <w:tcPr>
            <w:tcW w:type="dxa" w:w="5184"/>
          </w:tcPr>
          <w:p>
            <w:r>
              <w:rPr>
                <w:sz w:val="19"/>
              </w:rPr>
              <w:t>No Entity Bean rewrite required</w:t>
            </w:r>
          </w:p>
        </w:tc>
      </w:tr>
      <w:tr>
        <w:tc>
          <w:tcPr>
            <w:tcW w:type="dxa" w:w="3168"/>
          </w:tcPr>
          <w:p>
            <w:r>
              <w:rPr>
                <w:sz w:val="19"/>
              </w:rPr>
              <w:t>Message-driven beans</w:t>
            </w:r>
          </w:p>
        </w:tc>
        <w:tc>
          <w:tcPr>
            <w:tcW w:type="dxa" w:w="1152"/>
          </w:tcPr>
          <w:p>
            <w:r>
              <w:rPr>
                <w:b/>
                <w:color w:val="B36B00"/>
                <w:sz w:val="19"/>
              </w:rPr>
              <w:t>14</w:t>
            </w:r>
          </w:p>
        </w:tc>
        <w:tc>
          <w:tcPr>
            <w:tcW w:type="dxa" w:w="5184"/>
          </w:tcPr>
          <w:p>
            <w:r>
              <w:rPr>
                <w:sz w:val="19"/>
              </w:rPr>
              <w:t>Namespace + JMS reconfiguration</w:t>
            </w:r>
          </w:p>
        </w:tc>
      </w:tr>
      <w:tr>
        <w:tc>
          <w:tcPr>
            <w:tcW w:type="dxa" w:w="3168"/>
          </w:tcPr>
          <w:p>
            <w:r>
              <w:rPr>
                <w:sz w:val="19"/>
              </w:rPr>
              <w:t>Singleton session beans</w:t>
            </w:r>
          </w:p>
        </w:tc>
        <w:tc>
          <w:tcPr>
            <w:tcW w:type="dxa" w:w="1152"/>
          </w:tcPr>
          <w:p>
            <w:r>
              <w:rPr>
                <w:sz w:val="19"/>
              </w:rPr>
              <w:t>0</w:t>
            </w:r>
          </w:p>
        </w:tc>
        <w:tc>
          <w:tcPr>
            <w:tcW w:type="dxa" w:w="5184"/>
          </w:tcPr>
          <w:p>
            <w:r>
              <w:rPr>
                <w:sz w:val="19"/>
              </w:rPr>
              <w:t>N/A</w:t>
            </w:r>
          </w:p>
        </w:tc>
      </w:tr>
      <w:tr>
        <w:tc>
          <w:tcPr>
            <w:tcW w:type="dxa" w:w="3168"/>
          </w:tcPr>
          <w:p>
            <w:r>
              <w:rPr>
                <w:sz w:val="19"/>
              </w:rPr>
              <w:t>Stateful session beans</w:t>
            </w:r>
          </w:p>
        </w:tc>
        <w:tc>
          <w:tcPr>
            <w:tcW w:type="dxa" w:w="1152"/>
          </w:tcPr>
          <w:p>
            <w:r>
              <w:rPr>
                <w:sz w:val="19"/>
              </w:rPr>
              <w:t>0</w:t>
            </w:r>
          </w:p>
        </w:tc>
        <w:tc>
          <w:tcPr>
            <w:tcW w:type="dxa" w:w="5184"/>
          </w:tcPr>
          <w:p>
            <w:r>
              <w:rPr>
                <w:sz w:val="19"/>
              </w:rPr>
              <w:t>N/A</w:t>
            </w:r>
          </w:p>
        </w:tc>
      </w:tr>
      <w:tr>
        <w:tc>
          <w:tcPr>
            <w:tcW w:type="dxa" w:w="3168"/>
          </w:tcPr>
          <w:p>
            <w:r>
              <w:rPr>
                <w:sz w:val="19"/>
              </w:rPr>
              <w:t>Stateless session beans</w:t>
            </w:r>
          </w:p>
        </w:tc>
        <w:tc>
          <w:tcPr>
            <w:tcW w:type="dxa" w:w="1152"/>
          </w:tcPr>
          <w:p>
            <w:r>
              <w:rPr>
                <w:b/>
                <w:color w:val="B36B00"/>
                <w:sz w:val="19"/>
              </w:rPr>
              <w:t>4</w:t>
            </w:r>
          </w:p>
        </w:tc>
        <w:tc>
          <w:tcPr>
            <w:tcW w:type="dxa" w:w="5184"/>
          </w:tcPr>
          <w:p>
            <w:r>
              <w:rPr>
                <w:sz w:val="19"/>
              </w:rPr>
              <w:t>Namespace change (jakarta.ejb) only</w:t>
            </w:r>
          </w:p>
        </w:tc>
      </w:tr>
      <w:tr>
        <w:tc>
          <w:tcPr>
            <w:tcW w:type="dxa" w:w="3168"/>
          </w:tcPr>
          <w:p>
            <w:r>
              <w:rPr>
                <w:sz w:val="19"/>
              </w:rPr>
              <w:t>Web Services</w:t>
            </w:r>
          </w:p>
        </w:tc>
        <w:tc>
          <w:tcPr>
            <w:tcW w:type="dxa" w:w="1152"/>
          </w:tcPr>
          <w:p>
            <w:r>
              <w:rPr>
                <w:sz w:val="19"/>
              </w:rPr>
              <w:t>293</w:t>
            </w:r>
          </w:p>
        </w:tc>
        <w:tc>
          <w:tcPr>
            <w:tcW w:type="dxa" w:w="5184"/>
          </w:tcPr>
          <w:p>
            <w:r>
              <w:rPr>
                <w:sz w:val="19"/>
              </w:rPr>
              <w:t>~266 are wlfullclient-internal; ~6 real app services</w:t>
            </w:r>
          </w:p>
        </w:tc>
      </w:tr>
      <w:tr>
        <w:tc>
          <w:tcPr>
            <w:tcW w:type="dxa" w:w="3168"/>
          </w:tcPr>
          <w:p>
            <w:r>
              <w:rPr>
                <w:sz w:val="19"/>
              </w:rPr>
              <w:t>Spring beans</w:t>
            </w:r>
          </w:p>
        </w:tc>
        <w:tc>
          <w:tcPr>
            <w:tcW w:type="dxa" w:w="1152"/>
          </w:tcPr>
          <w:p>
            <w:r>
              <w:rPr>
                <w:sz w:val="19"/>
              </w:rPr>
              <w:t>262</w:t>
            </w:r>
          </w:p>
        </w:tc>
        <w:tc>
          <w:tcPr>
            <w:tcW w:type="dxa" w:w="5184"/>
          </w:tcPr>
          <w:p>
            <w:r>
              <w:rPr>
                <w:sz w:val="19"/>
              </w:rPr>
              <w:t>Primary business-logic container — Spring-centric</w:t>
            </w:r>
          </w:p>
        </w:tc>
      </w:tr>
    </w:tbl>
    <w:p>
      <w:pPr>
        <w:pStyle w:val="Heading2"/>
      </w:pPr>
      <w:r>
        <w:rPr>
          <w:color w:val="1F4E79"/>
        </w:rPr>
        <w:t>A.3 Dependency Footprint — Flagged Issues (157 JARs)</w:t>
      </w:r>
    </w:p>
    <w:p>
      <w:r>
        <w:rPr>
          <w:b w:val="0"/>
          <w:i w:val="0"/>
          <w:color w:val="333333"/>
          <w:sz w:val="21"/>
        </w:rPr>
        <w:t>The inventory dependency tree flags each JAR against six issue categories. The most significant flagged dependencies for the Liberty / Java 21 migration are:</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val="clear" w:fill="1F4E79"/>
          </w:tcPr>
          <w:p>
            <w:r>
              <w:rPr>
                <w:b/>
                <w:color w:val="FFFFFF"/>
                <w:sz w:val="20"/>
              </w:rPr>
              <w:t>Dependency</w:t>
            </w:r>
          </w:p>
        </w:tc>
        <w:tc>
          <w:tcPr>
            <w:tcW w:type="dxa" w:w="3168"/>
            <w:shd w:val="clear" w:fill="1F4E79"/>
          </w:tcPr>
          <w:p>
            <w:r>
              <w:rPr>
                <w:b/>
                <w:color w:val="FFFFFF"/>
                <w:sz w:val="20"/>
              </w:rPr>
              <w:t>Issue Category</w:t>
            </w:r>
          </w:p>
        </w:tc>
        <w:tc>
          <w:tcPr>
            <w:tcW w:type="dxa" w:w="2736"/>
            <w:shd w:val="clear" w:fill="1F4E79"/>
          </w:tcPr>
          <w:p>
            <w:r>
              <w:rPr>
                <w:b/>
                <w:color w:val="FFFFFF"/>
                <w:sz w:val="20"/>
              </w:rPr>
              <w:t>Action Required</w:t>
            </w:r>
          </w:p>
        </w:tc>
      </w:tr>
      <w:tr>
        <w:tc>
          <w:tcPr>
            <w:tcW w:type="dxa" w:w="3600"/>
          </w:tcPr>
          <w:p>
            <w:r>
              <w:rPr>
                <w:sz w:val="19"/>
              </w:rPr>
              <w:t>wlfullclient.jar</w:t>
            </w:r>
          </w:p>
        </w:tc>
        <w:tc>
          <w:tcPr>
            <w:tcW w:type="dxa" w:w="3168"/>
          </w:tcPr>
          <w:p>
            <w:r>
              <w:rPr>
                <w:sz w:val="19"/>
              </w:rPr>
              <w:t>Duplicate + JEE + OSS + Missing deps</w:t>
            </w:r>
          </w:p>
        </w:tc>
        <w:tc>
          <w:tcPr>
            <w:tcW w:type="dxa" w:w="2736"/>
          </w:tcPr>
          <w:p>
            <w:r>
              <w:rPr>
                <w:sz w:val="19"/>
              </w:rPr>
              <w:t>Remove — WebLogic client (provides T3S)</w:t>
            </w:r>
          </w:p>
        </w:tc>
      </w:tr>
      <w:tr>
        <w:tc>
          <w:tcPr>
            <w:tcW w:type="dxa" w:w="3600"/>
          </w:tcPr>
          <w:p>
            <w:r>
              <w:rPr>
                <w:sz w:val="19"/>
              </w:rPr>
              <w:t>weblogic.jar</w:t>
            </w:r>
          </w:p>
        </w:tc>
        <w:tc>
          <w:tcPr>
            <w:tcW w:type="dxa" w:w="3168"/>
          </w:tcPr>
          <w:p>
            <w:r>
              <w:rPr>
                <w:sz w:val="19"/>
              </w:rPr>
              <w:t>WebSphere/vendor classes</w:t>
            </w:r>
          </w:p>
        </w:tc>
        <w:tc>
          <w:tcPr>
            <w:tcW w:type="dxa" w:w="2736"/>
          </w:tcPr>
          <w:p>
            <w:r>
              <w:rPr>
                <w:sz w:val="19"/>
              </w:rPr>
              <w:t>Remove — WebLogic-specific</w:t>
            </w:r>
          </w:p>
        </w:tc>
      </w:tr>
      <w:tr>
        <w:tc>
          <w:tcPr>
            <w:tcW w:type="dxa" w:w="3600"/>
          </w:tcPr>
          <w:p>
            <w:r>
              <w:rPr>
                <w:sz w:val="19"/>
              </w:rPr>
              <w:t>cglib-2.1.30.jar</w:t>
            </w:r>
          </w:p>
        </w:tc>
        <w:tc>
          <w:tcPr>
            <w:tcW w:type="dxa" w:w="3168"/>
          </w:tcPr>
          <w:p>
            <w:r>
              <w:rPr>
                <w:sz w:val="19"/>
              </w:rPr>
              <w:t>Open source conflict + Missing deps</w:t>
            </w:r>
          </w:p>
        </w:tc>
        <w:tc>
          <w:tcPr>
            <w:tcW w:type="dxa" w:w="2736"/>
          </w:tcPr>
          <w:p>
            <w:r>
              <w:rPr>
                <w:sz w:val="19"/>
              </w:rPr>
              <w:t>Replace — incompatible with Java 21</w:t>
            </w:r>
          </w:p>
        </w:tc>
      </w:tr>
      <w:tr>
        <w:tc>
          <w:tcPr>
            <w:tcW w:type="dxa" w:w="3600"/>
          </w:tcPr>
          <w:p>
            <w:r>
              <w:rPr>
                <w:sz w:val="19"/>
              </w:rPr>
              <w:t>ehcache-1.2.3.jar</w:t>
            </w:r>
          </w:p>
        </w:tc>
        <w:tc>
          <w:tcPr>
            <w:tcW w:type="dxa" w:w="3168"/>
          </w:tcPr>
          <w:p>
            <w:r>
              <w:rPr>
                <w:sz w:val="19"/>
              </w:rPr>
              <w:t>Missing dependencies</w:t>
            </w:r>
          </w:p>
        </w:tc>
        <w:tc>
          <w:tcPr>
            <w:tcW w:type="dxa" w:w="2736"/>
          </w:tcPr>
          <w:p>
            <w:r>
              <w:rPr>
                <w:sz w:val="19"/>
              </w:rPr>
              <w:t>Upgrade to ehcache 3.x (JCache)</w:t>
            </w:r>
          </w:p>
        </w:tc>
      </w:tr>
      <w:tr>
        <w:tc>
          <w:tcPr>
            <w:tcW w:type="dxa" w:w="3600"/>
          </w:tcPr>
          <w:p>
            <w:r>
              <w:rPr>
                <w:sz w:val="19"/>
              </w:rPr>
              <w:t>asm.jar / asm-attrs.jar</w:t>
            </w:r>
          </w:p>
        </w:tc>
        <w:tc>
          <w:tcPr>
            <w:tcW w:type="dxa" w:w="3168"/>
          </w:tcPr>
          <w:p>
            <w:r>
              <w:rPr>
                <w:sz w:val="19"/>
              </w:rPr>
              <w:t>OSS conflict + Missing deps</w:t>
            </w:r>
          </w:p>
        </w:tc>
        <w:tc>
          <w:tcPr>
            <w:tcW w:type="dxa" w:w="2736"/>
          </w:tcPr>
          <w:p>
            <w:r>
              <w:rPr>
                <w:sz w:val="19"/>
              </w:rPr>
              <w:t>Upgrade to ASM 9.x (Java 21 bytecode)</w:t>
            </w:r>
          </w:p>
        </w:tc>
      </w:tr>
      <w:tr>
        <w:tc>
          <w:tcPr>
            <w:tcW w:type="dxa" w:w="3600"/>
          </w:tcPr>
          <w:p>
            <w:r>
              <w:rPr>
                <w:sz w:val="19"/>
              </w:rPr>
              <w:t>jaxrpc.jar</w:t>
            </w:r>
          </w:p>
        </w:tc>
        <w:tc>
          <w:tcPr>
            <w:tcW w:type="dxa" w:w="3168"/>
          </w:tcPr>
          <w:p>
            <w:r>
              <w:rPr>
                <w:sz w:val="19"/>
              </w:rPr>
              <w:t>Duplicate + JEE classes</w:t>
            </w:r>
          </w:p>
        </w:tc>
        <w:tc>
          <w:tcPr>
            <w:tcW w:type="dxa" w:w="2736"/>
          </w:tcPr>
          <w:p>
            <w:r>
              <w:rPr>
                <w:sz w:val="19"/>
              </w:rPr>
              <w:t>Deprecated JAX-RPC — migrate to JAX-WS/RS</w:t>
            </w:r>
          </w:p>
        </w:tc>
      </w:tr>
      <w:tr>
        <w:tc>
          <w:tcPr>
            <w:tcW w:type="dxa" w:w="3600"/>
          </w:tcPr>
          <w:p>
            <w:r>
              <w:rPr>
                <w:sz w:val="19"/>
              </w:rPr>
              <w:t>hibernate-core-5.4.31.Final.jar</w:t>
            </w:r>
          </w:p>
        </w:tc>
        <w:tc>
          <w:tcPr>
            <w:tcW w:type="dxa" w:w="3168"/>
          </w:tcPr>
          <w:p>
            <w:r>
              <w:rPr>
                <w:sz w:val="19"/>
              </w:rPr>
              <w:t>Missing dependencies</w:t>
            </w:r>
          </w:p>
        </w:tc>
        <w:tc>
          <w:tcPr>
            <w:tcW w:type="dxa" w:w="2736"/>
          </w:tcPr>
          <w:p>
            <w:r>
              <w:rPr>
                <w:sz w:val="19"/>
              </w:rPr>
              <w:t>Upgrade to Hibernate 7.x (two-hop)</w:t>
            </w:r>
          </w:p>
        </w:tc>
      </w:tr>
      <w:tr>
        <w:tc>
          <w:tcPr>
            <w:tcW w:type="dxa" w:w="3600"/>
          </w:tcPr>
          <w:p>
            <w:r>
              <w:rPr>
                <w:sz w:val="19"/>
              </w:rPr>
              <w:t>javax.* API jars (ejb/jms/json/servlet/txn)</w:t>
            </w:r>
          </w:p>
        </w:tc>
        <w:tc>
          <w:tcPr>
            <w:tcW w:type="dxa" w:w="3168"/>
          </w:tcPr>
          <w:p>
            <w:r>
              <w:rPr>
                <w:sz w:val="19"/>
              </w:rPr>
              <w:t>Duplicate + JEE classes</w:t>
            </w:r>
          </w:p>
        </w:tc>
        <w:tc>
          <w:tcPr>
            <w:tcW w:type="dxa" w:w="2736"/>
          </w:tcPr>
          <w:p>
            <w:r>
              <w:rPr>
                <w:sz w:val="19"/>
              </w:rPr>
              <w:t>Migrate to jakarta.* artifacts</w:t>
            </w:r>
          </w:p>
        </w:tc>
      </w:tr>
      <w:tr>
        <w:tc>
          <w:tcPr>
            <w:tcW w:type="dxa" w:w="3600"/>
          </w:tcPr>
          <w:p>
            <w:r>
              <w:rPr>
                <w:sz w:val="19"/>
              </w:rPr>
              <w:t>jxl-2.6.3.jar</w:t>
            </w:r>
          </w:p>
        </w:tc>
        <w:tc>
          <w:tcPr>
            <w:tcW w:type="dxa" w:w="3168"/>
          </w:tcPr>
          <w:p>
            <w:r>
              <w:rPr>
                <w:sz w:val="19"/>
              </w:rPr>
              <w:t>Missing dependencies</w:t>
            </w:r>
          </w:p>
        </w:tc>
        <w:tc>
          <w:tcPr>
            <w:tcW w:type="dxa" w:w="2736"/>
          </w:tcPr>
          <w:p>
            <w:r>
              <w:rPr>
                <w:sz w:val="19"/>
              </w:rPr>
              <w:t>Replace with Apache POI (already present)</w:t>
            </w:r>
          </w:p>
        </w:tc>
      </w:tr>
    </w:tbl>
    <w:p>
      <w:pPr>
        <w:pStyle w:val="Heading2"/>
      </w:pPr>
      <w:r>
        <w:rPr>
          <w:color w:val="1F4E79"/>
        </w:rPr>
        <w:t>A.4 Inventory Inferences</w:t>
      </w:r>
    </w:p>
    <w:p>
      <w:pPr>
        <w:pStyle w:val="ListBullet"/>
      </w:pPr>
      <w:r>
        <w:rPr>
          <w:sz w:val="20"/>
        </w:rPr>
        <w:t>Zero Entity Beans (CMP/BMP) — confirms no JPA rewrite; the single largest de-risking finding.</w:t>
      </w:r>
    </w:p>
    <w:p>
      <w:pPr>
        <w:pStyle w:val="ListBullet"/>
      </w:pPr>
      <w:r>
        <w:rPr>
          <w:sz w:val="20"/>
        </w:rPr>
        <w:t>Spring-centric (262 beans) with modern Spring 5.3 — “modern code in a legacy container.”</w:t>
      </w:r>
    </w:p>
    <w:p>
      <w:pPr>
        <w:pStyle w:val="ListBullet"/>
      </w:pPr>
      <w:r>
        <w:rPr>
          <w:sz w:val="20"/>
        </w:rPr>
        <w:t>157 utility JARs and a 188 MB EAR — significant dependency cleanup and slimming needed.</w:t>
      </w:r>
    </w:p>
    <w:p>
      <w:pPr>
        <w:pStyle w:val="ListBullet"/>
      </w:pPr>
      <w:r>
        <w:rPr>
          <w:sz w:val="20"/>
        </w:rPr>
        <w:t>wlfullclient.jar / weblogic.jar are hard blockers — must be removed; they carry the T3S transport.</w:t>
      </w:r>
    </w:p>
    <w:p>
      <w:pPr>
        <w:pStyle w:val="ListBullet"/>
      </w:pPr>
      <w:r>
        <w:rPr>
          <w:sz w:val="20"/>
        </w:rPr>
        <w:t>293 web services are misleading — the vast majority are wlfullclient-internal, not app code (~6 real).</w:t>
      </w:r>
    </w:p>
    <w:p>
      <w:r>
        <w:br w:type="page"/>
      </w:r>
    </w:p>
    <w:p>
      <w:pPr>
        <w:pStyle w:val="Heading1"/>
      </w:pPr>
      <w:r>
        <w:rPr>
          <w:color w:val="1F4E79"/>
        </w:rPr>
        <w:t>Part B — Application Technology Evaluation Report</w:t>
      </w:r>
    </w:p>
    <w:p>
      <w:r>
        <w:rPr>
          <w:b w:val="0"/>
          <w:i w:val="0"/>
          <w:color w:val="333333"/>
          <w:sz w:val="21"/>
        </w:rPr>
        <w:t>The Technology Evaluation Report maps every technology the application uses against the IBM target platforms, indicating which are fully supported. This confirms Liberty feasibility and surfaces the few technologies that are NOT supported on Liberty.</w:t>
      </w:r>
    </w:p>
    <w:p>
      <w:pPr>
        <w:pStyle w:val="Heading2"/>
      </w:pPr>
      <w:r>
        <w:rPr>
          <w:color w:val="1F4E79"/>
        </w:rPr>
        <w:t>B.1 Liberty Support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4608"/>
            <w:shd w:val="clear" w:fill="1F4E79"/>
          </w:tcPr>
          <w:p>
            <w:r>
              <w:rPr>
                <w:b/>
                <w:color w:val="FFFFFF"/>
                <w:sz w:val="20"/>
              </w:rPr>
              <w:t>Technology Category</w:t>
            </w:r>
          </w:p>
        </w:tc>
        <w:tc>
          <w:tcPr>
            <w:tcW w:type="dxa" w:w="2016"/>
            <w:shd w:val="clear" w:fill="1F4E79"/>
          </w:tcPr>
          <w:p>
            <w:r>
              <w:rPr>
                <w:b/>
                <w:color w:val="FFFFFF"/>
                <w:sz w:val="20"/>
              </w:rPr>
              <w:t>Supported on Liberty?</w:t>
            </w:r>
          </w:p>
        </w:tc>
        <w:tc>
          <w:tcPr>
            <w:tcW w:type="dxa" w:w="2880"/>
            <w:shd w:val="clear" w:fill="1F4E79"/>
          </w:tcPr>
          <w:p>
            <w:r>
              <w:rPr>
                <w:b/>
                <w:color w:val="FFFFFF"/>
                <w:sz w:val="20"/>
              </w:rPr>
              <w:t>Notes</w:t>
            </w:r>
          </w:p>
        </w:tc>
      </w:tr>
      <w:tr>
        <w:tc>
          <w:tcPr>
            <w:tcW w:type="dxa" w:w="4608"/>
          </w:tcPr>
          <w:p>
            <w:r>
              <w:rPr>
                <w:sz w:val="19"/>
              </w:rPr>
              <w:t>Web Services (JAX-RS, JAX-WS, Web Svc Metadata, SAAJ)</w:t>
            </w:r>
          </w:p>
        </w:tc>
        <w:tc>
          <w:tcPr>
            <w:tcW w:type="dxa" w:w="2016"/>
          </w:tcPr>
          <w:p>
            <w:r>
              <w:rPr>
                <w:sz w:val="19"/>
              </w:rPr>
              <w:t>Yes</w:t>
            </w:r>
          </w:p>
        </w:tc>
        <w:tc>
          <w:tcPr>
            <w:tcW w:type="dxa" w:w="2880"/>
          </w:tcPr>
          <w:p>
            <w:r>
              <w:rPr>
                <w:sz w:val="19"/>
              </w:rPr>
              <w:t>Fully supported</w:t>
            </w:r>
          </w:p>
        </w:tc>
      </w:tr>
      <w:tr>
        <w:tc>
          <w:tcPr>
            <w:tcW w:type="dxa" w:w="4608"/>
          </w:tcPr>
          <w:p>
            <w:r>
              <w:rPr>
                <w:sz w:val="19"/>
              </w:rPr>
              <w:t>Web App (Servlet, WebSocket, JSF, JSP/EL, JSTL)</w:t>
            </w:r>
          </w:p>
        </w:tc>
        <w:tc>
          <w:tcPr>
            <w:tcW w:type="dxa" w:w="2016"/>
          </w:tcPr>
          <w:p>
            <w:r>
              <w:rPr>
                <w:sz w:val="19"/>
              </w:rPr>
              <w:t>Yes</w:t>
            </w:r>
          </w:p>
        </w:tc>
        <w:tc>
          <w:tcPr>
            <w:tcW w:type="dxa" w:w="2880"/>
          </w:tcPr>
          <w:p>
            <w:r>
              <w:rPr>
                <w:sz w:val="19"/>
              </w:rPr>
              <w:t>Fully supported</w:t>
            </w:r>
          </w:p>
        </w:tc>
      </w:tr>
      <w:tr>
        <w:tc>
          <w:tcPr>
            <w:tcW w:type="dxa" w:w="4608"/>
          </w:tcPr>
          <w:p>
            <w:r>
              <w:rPr>
                <w:sz w:val="19"/>
              </w:rPr>
              <w:t>CDI, Dependency Injection, Bean Validation</w:t>
            </w:r>
          </w:p>
        </w:tc>
        <w:tc>
          <w:tcPr>
            <w:tcW w:type="dxa" w:w="2016"/>
          </w:tcPr>
          <w:p>
            <w:r>
              <w:rPr>
                <w:sz w:val="19"/>
              </w:rPr>
              <w:t>Yes</w:t>
            </w:r>
          </w:p>
        </w:tc>
        <w:tc>
          <w:tcPr>
            <w:tcW w:type="dxa" w:w="2880"/>
          </w:tcPr>
          <w:p>
            <w:r>
              <w:rPr>
                <w:sz w:val="19"/>
              </w:rPr>
              <w:t>Fully supported</w:t>
            </w:r>
          </w:p>
        </w:tc>
      </w:tr>
      <w:tr>
        <w:tc>
          <w:tcPr>
            <w:tcW w:type="dxa" w:w="4608"/>
          </w:tcPr>
          <w:p>
            <w:r>
              <w:rPr>
                <w:sz w:val="19"/>
              </w:rPr>
              <w:t>EJB Home (EJB 2.x/1.x), EJB Lite, Remote EJB, EJB Timers</w:t>
            </w:r>
          </w:p>
        </w:tc>
        <w:tc>
          <w:tcPr>
            <w:tcW w:type="dxa" w:w="2016"/>
          </w:tcPr>
          <w:p>
            <w:r>
              <w:rPr>
                <w:sz w:val="19"/>
              </w:rPr>
              <w:t>Yes</w:t>
            </w:r>
          </w:p>
        </w:tc>
        <w:tc>
          <w:tcPr>
            <w:tcW w:type="dxa" w:w="2880"/>
          </w:tcPr>
          <w:p>
            <w:r>
              <w:rPr>
                <w:sz w:val="19"/>
              </w:rPr>
              <w:t>Supported — enables namespace-only EJB upgrade</w:t>
            </w:r>
          </w:p>
        </w:tc>
      </w:tr>
      <w:tr>
        <w:tc>
          <w:tcPr>
            <w:tcW w:type="dxa" w:w="4608"/>
          </w:tcPr>
          <w:p>
            <w:r>
              <w:rPr>
                <w:sz w:val="19"/>
              </w:rPr>
              <w:t>Message-Driven Beans (MDB)</w:t>
            </w:r>
          </w:p>
        </w:tc>
        <w:tc>
          <w:tcPr>
            <w:tcW w:type="dxa" w:w="2016"/>
          </w:tcPr>
          <w:p>
            <w:r>
              <w:rPr>
                <w:sz w:val="19"/>
              </w:rPr>
              <w:t>Yes</w:t>
            </w:r>
          </w:p>
        </w:tc>
        <w:tc>
          <w:tcPr>
            <w:tcW w:type="dxa" w:w="2880"/>
          </w:tcPr>
          <w:p>
            <w:r>
              <w:rPr>
                <w:sz w:val="19"/>
              </w:rPr>
              <w:t>Supported — messaging layer Liberty-compatible</w:t>
            </w:r>
          </w:p>
        </w:tc>
      </w:tr>
      <w:tr>
        <w:tc>
          <w:tcPr>
            <w:tcW w:type="dxa" w:w="4608"/>
          </w:tcPr>
          <w:p>
            <w:r>
              <w:rPr>
                <w:sz w:val="19"/>
              </w:rPr>
              <w:t>Interceptors, JCA</w:t>
            </w:r>
          </w:p>
        </w:tc>
        <w:tc>
          <w:tcPr>
            <w:tcW w:type="dxa" w:w="2016"/>
          </w:tcPr>
          <w:p>
            <w:r>
              <w:rPr>
                <w:sz w:val="19"/>
              </w:rPr>
              <w:t>Yes</w:t>
            </w:r>
          </w:p>
        </w:tc>
        <w:tc>
          <w:tcPr>
            <w:tcW w:type="dxa" w:w="2880"/>
          </w:tcPr>
          <w:p>
            <w:r>
              <w:rPr>
                <w:sz w:val="19"/>
              </w:rPr>
              <w:t>Fully supported</w:t>
            </w:r>
          </w:p>
        </w:tc>
      </w:tr>
      <w:tr>
        <w:tc>
          <w:tcPr>
            <w:tcW w:type="dxa" w:w="4608"/>
          </w:tcPr>
          <w:p>
            <w:r>
              <w:rPr>
                <w:sz w:val="19"/>
              </w:rPr>
              <w:t>Java Persistence (JPA)</w:t>
            </w:r>
          </w:p>
        </w:tc>
        <w:tc>
          <w:tcPr>
            <w:tcW w:type="dxa" w:w="2016"/>
          </w:tcPr>
          <w:p>
            <w:r>
              <w:rPr>
                <w:sz w:val="19"/>
              </w:rPr>
              <w:t>Yes</w:t>
            </w:r>
          </w:p>
        </w:tc>
        <w:tc>
          <w:tcPr>
            <w:tcW w:type="dxa" w:w="2880"/>
          </w:tcPr>
          <w:p>
            <w:r>
              <w:rPr>
                <w:sz w:val="19"/>
              </w:rPr>
              <w:t>Supported</w:t>
            </w:r>
          </w:p>
        </w:tc>
      </w:tr>
      <w:tr>
        <w:tc>
          <w:tcPr>
            <w:tcW w:type="dxa" w:w="4608"/>
          </w:tcPr>
          <w:p>
            <w:r>
              <w:rPr>
                <w:sz w:val="19"/>
              </w:rPr>
              <w:t>Java Message Service (JMS) – provided by app</w:t>
            </w:r>
          </w:p>
        </w:tc>
        <w:tc>
          <w:tcPr>
            <w:tcW w:type="dxa" w:w="2016"/>
          </w:tcPr>
          <w:p>
            <w:r>
              <w:rPr>
                <w:sz w:val="19"/>
              </w:rPr>
              <w:t>Yes</w:t>
            </w:r>
          </w:p>
        </w:tc>
        <w:tc>
          <w:tcPr>
            <w:tcW w:type="dxa" w:w="2880"/>
          </w:tcPr>
          <w:p>
            <w:r>
              <w:rPr>
                <w:sz w:val="19"/>
              </w:rPr>
              <w:t>Supported</w:t>
            </w:r>
          </w:p>
        </w:tc>
      </w:tr>
      <w:tr>
        <w:tc>
          <w:tcPr>
            <w:tcW w:type="dxa" w:w="4608"/>
          </w:tcPr>
          <w:p>
            <w:r>
              <w:rPr>
                <w:sz w:val="19"/>
              </w:rPr>
              <w:t>Java Transaction API (JTA)</w:t>
            </w:r>
          </w:p>
        </w:tc>
        <w:tc>
          <w:tcPr>
            <w:tcW w:type="dxa" w:w="2016"/>
          </w:tcPr>
          <w:p>
            <w:r>
              <w:rPr>
                <w:sz w:val="19"/>
              </w:rPr>
              <w:t>Yes</w:t>
            </w:r>
          </w:p>
        </w:tc>
        <w:tc>
          <w:tcPr>
            <w:tcW w:type="dxa" w:w="2880"/>
          </w:tcPr>
          <w:p>
            <w:r>
              <w:rPr>
                <w:sz w:val="19"/>
              </w:rPr>
              <w:t>Supported</w:t>
            </w:r>
          </w:p>
        </w:tc>
      </w:tr>
      <w:tr>
        <w:tc>
          <w:tcPr>
            <w:tcW w:type="dxa" w:w="4608"/>
          </w:tcPr>
          <w:p>
            <w:r>
              <w:rPr>
                <w:sz w:val="19"/>
              </w:rPr>
              <w:t>JavaMail</w:t>
            </w:r>
          </w:p>
        </w:tc>
        <w:tc>
          <w:tcPr>
            <w:tcW w:type="dxa" w:w="2016"/>
          </w:tcPr>
          <w:p>
            <w:r>
              <w:rPr>
                <w:sz w:val="19"/>
              </w:rPr>
              <w:t>Yes</w:t>
            </w:r>
          </w:p>
        </w:tc>
        <w:tc>
          <w:tcPr>
            <w:tcW w:type="dxa" w:w="2880"/>
          </w:tcPr>
          <w:p>
            <w:r>
              <w:rPr>
                <w:sz w:val="19"/>
              </w:rPr>
              <w:t>Supported</w:t>
            </w:r>
          </w:p>
        </w:tc>
      </w:tr>
      <w:tr>
        <w:tc>
          <w:tcPr>
            <w:tcW w:type="dxa" w:w="4608"/>
          </w:tcPr>
          <w:p>
            <w:r>
              <w:rPr>
                <w:sz w:val="19"/>
              </w:rPr>
              <w:t>JAXB, JAXP, JDBC, JMX, JAF, StAX</w:t>
            </w:r>
          </w:p>
        </w:tc>
        <w:tc>
          <w:tcPr>
            <w:tcW w:type="dxa" w:w="2016"/>
          </w:tcPr>
          <w:p>
            <w:r>
              <w:rPr>
                <w:sz w:val="19"/>
              </w:rPr>
              <w:t>Yes</w:t>
            </w:r>
          </w:p>
        </w:tc>
        <w:tc>
          <w:tcPr>
            <w:tcW w:type="dxa" w:w="2880"/>
          </w:tcPr>
          <w:p>
            <w:r>
              <w:rPr>
                <w:sz w:val="19"/>
              </w:rPr>
              <w:t>Supported</w:t>
            </w:r>
          </w:p>
        </w:tc>
      </w:tr>
      <w:tr>
        <w:tc>
          <w:tcPr>
            <w:tcW w:type="dxa" w:w="4608"/>
          </w:tcPr>
          <w:p>
            <w:r>
              <w:rPr>
                <w:sz w:val="19"/>
              </w:rPr>
              <w:t>JASPIC, JACC (security)</w:t>
            </w:r>
          </w:p>
        </w:tc>
        <w:tc>
          <w:tcPr>
            <w:tcW w:type="dxa" w:w="2016"/>
          </w:tcPr>
          <w:p>
            <w:r>
              <w:rPr>
                <w:sz w:val="19"/>
              </w:rPr>
              <w:t>Yes</w:t>
            </w:r>
          </w:p>
        </w:tc>
        <w:tc>
          <w:tcPr>
            <w:tcW w:type="dxa" w:w="2880"/>
          </w:tcPr>
          <w:p>
            <w:r>
              <w:rPr>
                <w:sz w:val="19"/>
              </w:rPr>
              <w:t>Supported</w:t>
            </w:r>
          </w:p>
        </w:tc>
      </w:tr>
      <w:tr>
        <w:tc>
          <w:tcPr>
            <w:tcW w:type="dxa" w:w="4608"/>
          </w:tcPr>
          <w:p>
            <w:r>
              <w:rPr>
                <w:sz w:val="19"/>
              </w:rPr>
              <w:t>Java EE Application Deployment</w:t>
            </w:r>
          </w:p>
        </w:tc>
        <w:tc>
          <w:tcPr>
            <w:tcW w:type="dxa" w:w="2016"/>
          </w:tcPr>
          <w:p>
            <w:r>
              <w:rPr>
                <w:b/>
                <w:color w:val="C00000"/>
                <w:sz w:val="19"/>
              </w:rPr>
              <w:t>NO</w:t>
            </w:r>
          </w:p>
        </w:tc>
        <w:tc>
          <w:tcPr>
            <w:tcW w:type="dxa" w:w="2880"/>
          </w:tcPr>
          <w:p>
            <w:r>
              <w:rPr>
                <w:sz w:val="19"/>
              </w:rPr>
              <w:t>NOT on Liberty — traditional WAS only</w:t>
            </w:r>
          </w:p>
        </w:tc>
      </w:tr>
      <w:tr>
        <w:tc>
          <w:tcPr>
            <w:tcW w:type="dxa" w:w="4608"/>
          </w:tcPr>
          <w:p>
            <w:r>
              <w:rPr>
                <w:sz w:val="19"/>
              </w:rPr>
              <w:t>J2EE Management</w:t>
            </w:r>
          </w:p>
        </w:tc>
        <w:tc>
          <w:tcPr>
            <w:tcW w:type="dxa" w:w="2016"/>
          </w:tcPr>
          <w:p>
            <w:r>
              <w:rPr>
                <w:b/>
                <w:color w:val="C00000"/>
                <w:sz w:val="19"/>
              </w:rPr>
              <w:t>NO</w:t>
            </w:r>
          </w:p>
        </w:tc>
        <w:tc>
          <w:tcPr>
            <w:tcW w:type="dxa" w:w="2880"/>
          </w:tcPr>
          <w:p>
            <w:r>
              <w:rPr>
                <w:sz w:val="19"/>
              </w:rPr>
              <w:t>NOT on Liberty — traditional WAS only</w:t>
            </w:r>
          </w:p>
        </w:tc>
      </w:tr>
    </w:tbl>
    <w:p>
      <w:pPr>
        <w:pStyle w:val="Heading2"/>
      </w:pPr>
      <w:r>
        <w:rPr>
          <w:color w:val="1F4E79"/>
        </w:rPr>
        <w:t>B.2 Critical Compatibility Gap</w:t>
      </w:r>
    </w:p>
    <w:p>
      <w:r>
        <w:rPr>
          <w:b/>
          <w:color w:val="C00000"/>
          <w:sz w:val="21"/>
        </w:rPr>
        <w:t xml:space="preserve">NOT SUPPORTED ON LIBERTY: </w:t>
      </w:r>
      <w:r>
        <w:rPr>
          <w:color w:val="333333"/>
          <w:sz w:val="21"/>
        </w:rPr>
        <w:t>Java EE Application Deployment API and J2EE Management. These are available only on WebSphere traditional. The Detailed Analysis report flagged 9,956 occurrences of the Java EE Application Deployment API — the application's usage must be investigated and remediated, as it directly blocks Liberty deployment.</w:t>
      </w:r>
    </w:p>
    <w:p>
      <w:pPr>
        <w:pStyle w:val="Heading2"/>
      </w:pPr>
      <w:r>
        <w:rPr>
          <w:color w:val="1F4E79"/>
        </w:rPr>
        <w:t>B.3 Technology Evaluation Inferences</w:t>
      </w:r>
    </w:p>
    <w:p>
      <w:pPr>
        <w:pStyle w:val="ListBullet"/>
      </w:pPr>
      <w:r>
        <w:rPr>
          <w:sz w:val="20"/>
        </w:rPr>
        <w:t>The messaging &amp; EJB layer (JMS, MDB, EJB, JPA, JTA) is fully Liberty-compatible — validating the “EJB 4.0 namespace upgrade, no rewrite” approach.</w:t>
      </w:r>
    </w:p>
    <w:p>
      <w:pPr>
        <w:pStyle w:val="ListBullet"/>
      </w:pPr>
      <w:r>
        <w:rPr>
          <w:sz w:val="20"/>
        </w:rPr>
        <w:t>All web and web-services technologies are supported — the frontend/API layer is Liberty-ready.</w:t>
      </w:r>
    </w:p>
    <w:p>
      <w:pPr>
        <w:pStyle w:val="ListBullet"/>
      </w:pPr>
      <w:r>
        <w:rPr>
          <w:sz w:val="20"/>
        </w:rPr>
        <w:t>The only genuine platform gaps are Java EE Application Deployment and J2EE Management — both traditional-WAS-only. These are the primary Liberty blockers to resolve.</w:t>
      </w:r>
    </w:p>
    <w:p>
      <w:pPr>
        <w:pStyle w:val="ListBullet"/>
      </w:pPr>
      <w:r>
        <w:rPr>
          <w:sz w:val="20"/>
        </w:rPr>
        <w:t>No blanket incompatibility — the app is fundamentally Liberty-migratable once the deployment/management API usage and vendor JARs are addressed.</w:t>
      </w:r>
    </w:p>
    <w:p>
      <w:r>
        <w:br w:type="page"/>
      </w:r>
    </w:p>
    <w:p>
      <w:pPr>
        <w:pStyle w:val="Heading1"/>
      </w:pPr>
      <w:r>
        <w:rPr>
          <w:color w:val="1F4E79"/>
        </w:rPr>
        <w:t>Consolidated Highlights</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fill="1F4E79"/>
          </w:tcPr>
          <w:p>
            <w:r>
              <w:rPr>
                <w:b/>
                <w:color w:val="FFFFFF"/>
                <w:sz w:val="20"/>
              </w:rPr>
              <w:t>Dimension</w:t>
            </w:r>
          </w:p>
        </w:tc>
        <w:tc>
          <w:tcPr>
            <w:tcW w:type="dxa" w:w="6480"/>
            <w:shd w:val="clear" w:fill="1F4E79"/>
          </w:tcPr>
          <w:p>
            <w:r>
              <w:rPr>
                <w:b/>
                <w:color w:val="FFFFFF"/>
                <w:sz w:val="20"/>
              </w:rPr>
              <w:t>Finding</w:t>
            </w:r>
          </w:p>
        </w:tc>
      </w:tr>
      <w:tr>
        <w:tc>
          <w:tcPr>
            <w:tcW w:type="dxa" w:w="2880"/>
          </w:tcPr>
          <w:p>
            <w:r>
              <w:rPr>
                <w:sz w:val="19"/>
              </w:rPr>
              <w:t>Packaging</w:t>
            </w:r>
          </w:p>
        </w:tc>
        <w:tc>
          <w:tcPr>
            <w:tcW w:type="dxa" w:w="6480"/>
          </w:tcPr>
          <w:p>
            <w:r>
              <w:rPr>
                <w:sz w:val="19"/>
              </w:rPr>
              <w:t>1 EAR (188 MB) + 1 WAR + 16 EJB JARs + 157 utility JARs</w:t>
            </w:r>
          </w:p>
        </w:tc>
      </w:tr>
      <w:tr>
        <w:tc>
          <w:tcPr>
            <w:tcW w:type="dxa" w:w="2880"/>
          </w:tcPr>
          <w:p>
            <w:r>
              <w:rPr>
                <w:sz w:val="19"/>
              </w:rPr>
              <w:t>EJB</w:t>
            </w:r>
          </w:p>
        </w:tc>
        <w:tc>
          <w:tcPr>
            <w:tcW w:type="dxa" w:w="6480"/>
          </w:tcPr>
          <w:p>
            <w:r>
              <w:rPr>
                <w:sz w:val="19"/>
              </w:rPr>
              <w:t>4 Stateless Session Beans, 14 MDBs, 0 Entity Beans (no JPA rewrite)</w:t>
            </w:r>
          </w:p>
        </w:tc>
      </w:tr>
      <w:tr>
        <w:tc>
          <w:tcPr>
            <w:tcW w:type="dxa" w:w="2880"/>
          </w:tcPr>
          <w:p>
            <w:r>
              <w:rPr>
                <w:sz w:val="19"/>
              </w:rPr>
              <w:t>Framework</w:t>
            </w:r>
          </w:p>
        </w:tc>
        <w:tc>
          <w:tcPr>
            <w:tcW w:type="dxa" w:w="6480"/>
          </w:tcPr>
          <w:p>
            <w:r>
              <w:rPr>
                <w:sz w:val="19"/>
              </w:rPr>
              <w:t>Spring 5.3.46 (262 beans), Hibernate 5.4.31 — modern code, legacy container</w:t>
            </w:r>
          </w:p>
        </w:tc>
      </w:tr>
      <w:tr>
        <w:tc>
          <w:tcPr>
            <w:tcW w:type="dxa" w:w="2880"/>
          </w:tcPr>
          <w:p>
            <w:r>
              <w:rPr>
                <w:sz w:val="19"/>
              </w:rPr>
              <w:t>Liberty Compatibility</w:t>
            </w:r>
          </w:p>
        </w:tc>
        <w:tc>
          <w:tcPr>
            <w:tcW w:type="dxa" w:w="6480"/>
          </w:tcPr>
          <w:p>
            <w:r>
              <w:rPr>
                <w:sz w:val="19"/>
              </w:rPr>
              <w:t>JMS/MDB/EJB/JPA/JTA/Web all supported</w:t>
            </w:r>
          </w:p>
        </w:tc>
      </w:tr>
      <w:tr>
        <w:tc>
          <w:tcPr>
            <w:tcW w:type="dxa" w:w="2880"/>
          </w:tcPr>
          <w:p>
            <w:r>
              <w:rPr>
                <w:sz w:val="19"/>
              </w:rPr>
              <w:t>Liberty Blockers</w:t>
            </w:r>
          </w:p>
        </w:tc>
        <w:tc>
          <w:tcPr>
            <w:tcW w:type="dxa" w:w="6480"/>
          </w:tcPr>
          <w:p>
            <w:r>
              <w:rPr>
                <w:sz w:val="19"/>
              </w:rPr>
              <w:t>Java EE Application Deployment API + J2EE Management (not on Liberty)</w:t>
            </w:r>
          </w:p>
        </w:tc>
      </w:tr>
      <w:tr>
        <w:tc>
          <w:tcPr>
            <w:tcW w:type="dxa" w:w="2880"/>
          </w:tcPr>
          <w:p>
            <w:r>
              <w:rPr>
                <w:sz w:val="19"/>
              </w:rPr>
              <w:t>Hard-remove JARs</w:t>
            </w:r>
          </w:p>
        </w:tc>
        <w:tc>
          <w:tcPr>
            <w:tcW w:type="dxa" w:w="6480"/>
          </w:tcPr>
          <w:p>
            <w:r>
              <w:rPr>
                <w:sz w:val="19"/>
              </w:rPr>
              <w:t>wlfullclient.jar, weblogic.jar (T3S/vendor coupling)</w:t>
            </w:r>
          </w:p>
        </w:tc>
      </w:tr>
      <w:tr>
        <w:tc>
          <w:tcPr>
            <w:tcW w:type="dxa" w:w="2880"/>
          </w:tcPr>
          <w:p>
            <w:r>
              <w:rPr>
                <w:sz w:val="19"/>
              </w:rPr>
              <w:t>Java 21 replacements</w:t>
            </w:r>
          </w:p>
        </w:tc>
        <w:tc>
          <w:tcPr>
            <w:tcW w:type="dxa" w:w="6480"/>
          </w:tcPr>
          <w:p>
            <w:r>
              <w:rPr>
                <w:sz w:val="19"/>
              </w:rPr>
              <w:t>cglib, ehcache, ASM, jxl, jaxrpc</w:t>
            </w:r>
          </w:p>
        </w:tc>
      </w:tr>
      <w:tr>
        <w:tc>
          <w:tcPr>
            <w:tcW w:type="dxa" w:w="2880"/>
          </w:tcPr>
          <w:p>
            <w:r>
              <w:rPr>
                <w:sz w:val="19"/>
              </w:rPr>
              <w:t>De-risking finding</w:t>
            </w:r>
          </w:p>
        </w:tc>
        <w:tc>
          <w:tcPr>
            <w:tcW w:type="dxa" w:w="6480"/>
          </w:tcPr>
          <w:p>
            <w:r>
              <w:rPr>
                <w:sz w:val="19"/>
              </w:rPr>
              <w:t>0 Entity Beans → no JPA rewrite (6–10 sprints removed)</w:t>
            </w:r>
          </w:p>
        </w:tc>
      </w:tr>
    </w:tbl>
    <w:p/>
    <w:p>
      <w:pPr>
        <w:jc w:val="center"/>
      </w:pPr>
      <w:r>
        <w:rPr>
          <w:i/>
          <w:color w:val="999999"/>
          <w:sz w:val="17"/>
        </w:rPr>
        <w:t>Prepared from IBM AMA Application Inventory Report and Application Technology Evaluation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