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6"/>
        </w:rPr>
        <w:t>iTicket (eDealTicket)</w:t>
      </w:r>
    </w:p>
    <w:p>
      <w:pPr>
        <w:jc w:val="center"/>
      </w:pPr>
      <w:r>
        <w:rPr>
          <w:color w:val="333333"/>
          <w:sz w:val="32"/>
        </w:rPr>
        <w:t>IBM AMA Migration Analysis — Key Highlights</w:t>
      </w:r>
    </w:p>
    <w:p/>
    <w:p>
      <w:pPr>
        <w:jc w:val="center"/>
      </w:pPr>
      <w:r>
        <w:rPr>
          <w:i/>
          <w:color w:val="666666"/>
          <w:sz w:val="22"/>
        </w:rPr>
        <w:t>Application: edtapp.ear   |   Target: IBM WebSphere Liberty on OpenShift</w:t>
        <w:br/>
        <w:t>Source: WebLogic, Java 8, Java EE 7   |   Scan Date: 21-Sep-2026</w:t>
      </w:r>
    </w:p>
    <w:p>
      <w:r>
        <w:br w:type="page"/>
      </w:r>
    </w:p>
    <w:p>
      <w:pPr>
        <w:pStyle w:val="Heading1"/>
      </w:pPr>
      <w:r>
        <w:rPr>
          <w:color w:val="1F4E79"/>
        </w:rPr>
        <w:t>1. Scan Overview</w:t>
      </w:r>
    </w:p>
    <w:p>
      <w:r>
        <w:rPr>
          <w:b w:val="0"/>
          <w:i w:val="0"/>
          <w:color w:val="333333"/>
          <w:sz w:val="21"/>
        </w:rPr>
        <w:t>The IBM Application Migration Assessment (AMA) scanned the deployed application binary (edtapp.ear) to identify migration issues for the move from Oracle WebLogic to IBM WebSphere Liberty on OpenShift. The scan targeted Liberty, Java 8, Jakarta EE 7, and container deployment.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fill="1F4E79"/>
          </w:tcPr>
          <w:p>
            <w:r>
              <w:rPr>
                <w:b/>
                <w:color w:val="FFFFFF"/>
                <w:sz w:val="20"/>
              </w:rPr>
              <w:t>Metric</w:t>
            </w:r>
          </w:p>
        </w:tc>
        <w:tc>
          <w:tcPr>
            <w:tcW w:type="dxa" w:w="5040"/>
            <w:shd w:val="clear" w:fill="1F4E79"/>
          </w:tcPr>
          <w:p>
            <w:r>
              <w:rPr>
                <w:b/>
                <w:color w:val="FFFFFF"/>
                <w:sz w:val="20"/>
              </w:rPr>
              <w:t>Value</w:t>
            </w:r>
          </w:p>
        </w:tc>
      </w:tr>
      <w:tr>
        <w:tc>
          <w:tcPr>
            <w:tcW w:type="dxa" w:w="4320"/>
          </w:tcPr>
          <w:p>
            <w:r>
              <w:rPr>
                <w:sz w:val="19"/>
              </w:rPr>
              <w:t>Scan Target</w:t>
            </w:r>
          </w:p>
        </w:tc>
        <w:tc>
          <w:tcPr>
            <w:tcW w:type="dxa" w:w="5040"/>
          </w:tcPr>
          <w:p>
            <w:r>
              <w:rPr>
                <w:sz w:val="19"/>
              </w:rPr>
              <w:t>edtapp.ear</w:t>
            </w:r>
          </w:p>
        </w:tc>
      </w:tr>
      <w:tr>
        <w:tc>
          <w:tcPr>
            <w:tcW w:type="dxa" w:w="4320"/>
          </w:tcPr>
          <w:p>
            <w:r>
              <w:rPr>
                <w:sz w:val="19"/>
              </w:rPr>
              <w:t>Source Platform</w:t>
            </w:r>
          </w:p>
        </w:tc>
        <w:tc>
          <w:tcPr>
            <w:tcW w:type="dxa" w:w="5040"/>
          </w:tcPr>
          <w:p>
            <w:r>
              <w:rPr>
                <w:sz w:val="19"/>
              </w:rPr>
              <w:t>WebLogic (was90), Java 8, Java EE 7</w:t>
            </w:r>
          </w:p>
        </w:tc>
      </w:tr>
      <w:tr>
        <w:tc>
          <w:tcPr>
            <w:tcW w:type="dxa" w:w="4320"/>
          </w:tcPr>
          <w:p>
            <w:r>
              <w:rPr>
                <w:sz w:val="19"/>
              </w:rPr>
              <w:t>Target Platform</w:t>
            </w:r>
          </w:p>
        </w:tc>
        <w:tc>
          <w:tcPr>
            <w:tcW w:type="dxa" w:w="5040"/>
          </w:tcPr>
          <w:p>
            <w:r>
              <w:rPr>
                <w:sz w:val="19"/>
              </w:rPr>
              <w:t>IBM WebSphere Liberty, Jakarta EE 7, Containers</w:t>
            </w:r>
          </w:p>
        </w:tc>
      </w:tr>
      <w:tr>
        <w:tc>
          <w:tcPr>
            <w:tcW w:type="dxa" w:w="4320"/>
          </w:tcPr>
          <w:p>
            <w:r>
              <w:rPr>
                <w:sz w:val="19"/>
              </w:rPr>
              <w:t>Total Rules Flagged</w:t>
            </w:r>
          </w:p>
        </w:tc>
        <w:tc>
          <w:tcPr>
            <w:tcW w:type="dxa" w:w="5040"/>
          </w:tcPr>
          <w:p>
            <w:r>
              <w:rPr>
                <w:sz w:val="19"/>
              </w:rPr>
              <w:t>32</w:t>
            </w:r>
          </w:p>
        </w:tc>
      </w:tr>
      <w:tr>
        <w:tc>
          <w:tcPr>
            <w:tcW w:type="dxa" w:w="4320"/>
          </w:tcPr>
          <w:p>
            <w:r>
              <w:rPr>
                <w:sz w:val="19"/>
              </w:rPr>
              <w:t>Total Results (occurrences)</w:t>
            </w:r>
          </w:p>
        </w:tc>
        <w:tc>
          <w:tcPr>
            <w:tcW w:type="dxa" w:w="5040"/>
          </w:tcPr>
          <w:p>
            <w:r>
              <w:rPr>
                <w:sz w:val="19"/>
              </w:rPr>
              <w:t>13,058</w:t>
            </w:r>
          </w:p>
        </w:tc>
      </w:tr>
      <w:tr>
        <w:tc>
          <w:tcPr>
            <w:tcW w:type="dxa" w:w="4320"/>
          </w:tcPr>
          <w:p>
            <w:r>
              <w:rPr>
                <w:sz w:val="19"/>
              </w:rPr>
              <w:t>Critical Rules</w:t>
            </w:r>
          </w:p>
        </w:tc>
        <w:tc>
          <w:tcPr>
            <w:tcW w:type="dxa" w:w="5040"/>
          </w:tcPr>
          <w:p>
            <w:r>
              <w:rPr>
                <w:sz w:val="19"/>
              </w:rPr>
              <w:t>5  (10,116 occurrences)</w:t>
            </w:r>
          </w:p>
        </w:tc>
      </w:tr>
      <w:tr>
        <w:tc>
          <w:tcPr>
            <w:tcW w:type="dxa" w:w="4320"/>
          </w:tcPr>
          <w:p>
            <w:r>
              <w:rPr>
                <w:sz w:val="19"/>
              </w:rPr>
              <w:t>Warning Rules</w:t>
            </w:r>
          </w:p>
        </w:tc>
        <w:tc>
          <w:tcPr>
            <w:tcW w:type="dxa" w:w="5040"/>
          </w:tcPr>
          <w:p>
            <w:r>
              <w:rPr>
                <w:sz w:val="19"/>
              </w:rPr>
              <w:t>5  (66 occurrences)</w:t>
            </w:r>
          </w:p>
        </w:tc>
      </w:tr>
      <w:tr>
        <w:tc>
          <w:tcPr>
            <w:tcW w:type="dxa" w:w="4320"/>
          </w:tcPr>
          <w:p>
            <w:r>
              <w:rPr>
                <w:sz w:val="19"/>
              </w:rPr>
              <w:t>Information Rules</w:t>
            </w:r>
          </w:p>
        </w:tc>
        <w:tc>
          <w:tcPr>
            <w:tcW w:type="dxa" w:w="5040"/>
          </w:tcPr>
          <w:p>
            <w:r>
              <w:rPr>
                <w:sz w:val="19"/>
              </w:rPr>
              <w:t>22  (2,876 occurrences)</w:t>
            </w:r>
          </w:p>
        </w:tc>
      </w:tr>
    </w:tbl>
    <w:p>
      <w:pPr>
        <w:pStyle w:val="Heading1"/>
      </w:pPr>
      <w:r>
        <w:rPr>
          <w:color w:val="1F4E79"/>
        </w:rPr>
        <w:t>2. Critical Findings</w:t>
      </w:r>
    </w:p>
    <w:p>
      <w:r>
        <w:rPr>
          <w:b w:val="0"/>
          <w:i/>
          <w:color w:val="C00000"/>
          <w:sz w:val="21"/>
        </w:rPr>
        <w:t>Critical rules indicate API removals or behavior changes that will break the application on Liberty and must be addressed.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576"/>
            <w:shd w:val="clear" w:fill="1F4E79"/>
          </w:tcPr>
          <w:p>
            <w:r>
              <w:rPr>
                <w:b/>
                <w:color w:val="FFFFFF"/>
                <w:sz w:val="20"/>
              </w:rPr>
              <w:t>#</w:t>
            </w:r>
          </w:p>
        </w:tc>
        <w:tc>
          <w:tcPr>
            <w:tcW w:type="dxa" w:w="3744"/>
            <w:shd w:val="clear" w:fill="1F4E79"/>
          </w:tcPr>
          <w:p>
            <w:r>
              <w:rPr>
                <w:b/>
                <w:color w:val="FFFFFF"/>
                <w:sz w:val="20"/>
              </w:rPr>
              <w:t>Critical Rule</w:t>
            </w:r>
          </w:p>
        </w:tc>
        <w:tc>
          <w:tcPr>
            <w:tcW w:type="dxa" w:w="1440"/>
            <w:shd w:val="clear" w:fill="1F4E79"/>
          </w:tcPr>
          <w:p>
            <w:r>
              <w:rPr>
                <w:b/>
                <w:color w:val="FFFFFF"/>
                <w:sz w:val="20"/>
              </w:rPr>
              <w:t>Occurrences</w:t>
            </w:r>
          </w:p>
        </w:tc>
        <w:tc>
          <w:tcPr>
            <w:tcW w:type="dxa" w:w="3168"/>
            <w:shd w:val="clear" w:fill="1F4E79"/>
          </w:tcPr>
          <w:p>
            <w:r>
              <w:rPr>
                <w:b/>
                <w:color w:val="FFFFFF"/>
                <w:sz w:val="20"/>
              </w:rPr>
              <w:t>Impact</w:t>
            </w:r>
          </w:p>
        </w:tc>
        <w:tc>
          <w:tcPr>
            <w:tcW w:type="dxa" w:w="1440"/>
            <w:shd w:val="clear" w:fill="1F4E79"/>
          </w:tcPr>
          <w:p>
            <w:r>
              <w:rPr>
                <w:b/>
                <w:color w:val="FFFFFF"/>
                <w:sz w:val="20"/>
              </w:rPr>
              <w:t>Auto-Fix</w:t>
            </w:r>
          </w:p>
        </w:tc>
      </w:tr>
      <w:tr>
        <w:tc>
          <w:tcPr>
            <w:tcW w:type="dxa" w:w="576"/>
          </w:tcPr>
          <w:p>
            <w:r>
              <w:rPr>
                <w:sz w:val="19"/>
              </w:rPr>
              <w:t>1</w:t>
            </w:r>
          </w:p>
        </w:tc>
        <w:tc>
          <w:tcPr>
            <w:tcW w:type="dxa" w:w="3744"/>
          </w:tcPr>
          <w:p>
            <w:r>
              <w:rPr>
                <w:sz w:val="19"/>
              </w:rPr>
              <w:t>Java EE Application Deployment API is unavailable</w:t>
            </w:r>
          </w:p>
        </w:tc>
        <w:tc>
          <w:tcPr>
            <w:tcW w:type="dxa" w:w="1440"/>
          </w:tcPr>
          <w:p>
            <w:r>
              <w:rPr>
                <w:sz w:val="19"/>
              </w:rPr>
              <w:t>9,956</w:t>
            </w:r>
          </w:p>
        </w:tc>
        <w:tc>
          <w:tcPr>
            <w:tcW w:type="dxa" w:w="3168"/>
          </w:tcPr>
          <w:p>
            <w:r>
              <w:rPr>
                <w:sz w:val="19"/>
              </w:rPr>
              <w:t>Not supported on Liberty; 98% of critical volume</w:t>
            </w:r>
          </w:p>
        </w:tc>
        <w:tc>
          <w:tcPr>
            <w:tcW w:type="dxa" w:w="1440"/>
          </w:tcPr>
          <w:p>
            <w:r>
              <w:rPr>
                <w:sz w:val="19"/>
              </w:rPr>
              <w:t>No</w:t>
            </w:r>
          </w:p>
        </w:tc>
      </w:tr>
      <w:tr>
        <w:tc>
          <w:tcPr>
            <w:tcW w:type="dxa" w:w="576"/>
          </w:tcPr>
          <w:p>
            <w:r>
              <w:rPr>
                <w:sz w:val="19"/>
              </w:rPr>
              <w:t>2</w:t>
            </w:r>
          </w:p>
        </w:tc>
        <w:tc>
          <w:tcPr>
            <w:tcW w:type="dxa" w:w="3744"/>
          </w:tcPr>
          <w:p>
            <w:r>
              <w:rPr>
                <w:sz w:val="19"/>
              </w:rPr>
              <w:t>Use the default InitialContext JNDI properties</w:t>
            </w:r>
          </w:p>
        </w:tc>
        <w:tc>
          <w:tcPr>
            <w:tcW w:type="dxa" w:w="1440"/>
          </w:tcPr>
          <w:p>
            <w:r>
              <w:rPr>
                <w:sz w:val="19"/>
              </w:rPr>
              <w:t>104</w:t>
            </w:r>
          </w:p>
        </w:tc>
        <w:tc>
          <w:tcPr>
            <w:tcW w:type="dxa" w:w="3168"/>
          </w:tcPr>
          <w:p>
            <w:r>
              <w:rPr>
                <w:sz w:val="19"/>
              </w:rPr>
              <w:t>JNDI lookup change for EJB/JMS on Liberty</w:t>
            </w:r>
          </w:p>
        </w:tc>
        <w:tc>
          <w:tcPr>
            <w:tcW w:type="dxa" w:w="1440"/>
          </w:tcPr>
          <w:p>
            <w:r>
              <w:rPr>
                <w:sz w:val="19"/>
              </w:rPr>
              <w:t>Yes (OpenRewrite)</w:t>
            </w:r>
          </w:p>
        </w:tc>
      </w:tr>
      <w:tr>
        <w:tc>
          <w:tcPr>
            <w:tcW w:type="dxa" w:w="576"/>
          </w:tcPr>
          <w:p>
            <w:r>
              <w:rPr>
                <w:sz w:val="19"/>
              </w:rPr>
              <w:t>3</w:t>
            </w:r>
          </w:p>
        </w:tc>
        <w:tc>
          <w:tcPr>
            <w:tcW w:type="dxa" w:w="3744"/>
          </w:tcPr>
          <w:p>
            <w:r>
              <w:rPr>
                <w:sz w:val="19"/>
              </w:rPr>
              <w:t>Do not use the same XmlType name across classes</w:t>
            </w:r>
          </w:p>
        </w:tc>
        <w:tc>
          <w:tcPr>
            <w:tcW w:type="dxa" w:w="1440"/>
          </w:tcPr>
          <w:p>
            <w:r>
              <w:rPr>
                <w:sz w:val="19"/>
              </w:rPr>
              <w:t>42</w:t>
            </w:r>
          </w:p>
        </w:tc>
        <w:tc>
          <w:tcPr>
            <w:tcW w:type="dxa" w:w="3168"/>
          </w:tcPr>
          <w:p>
            <w:r>
              <w:rPr>
                <w:sz w:val="19"/>
              </w:rPr>
              <w:t>JAXB / XML binding conflict</w:t>
            </w:r>
          </w:p>
        </w:tc>
        <w:tc>
          <w:tcPr>
            <w:tcW w:type="dxa" w:w="1440"/>
          </w:tcPr>
          <w:p>
            <w:r>
              <w:rPr>
                <w:sz w:val="19"/>
              </w:rPr>
              <w:t>No</w:t>
            </w:r>
          </w:p>
        </w:tc>
      </w:tr>
      <w:tr>
        <w:tc>
          <w:tcPr>
            <w:tcW w:type="dxa" w:w="576"/>
          </w:tcPr>
          <w:p>
            <w:r>
              <w:rPr>
                <w:sz w:val="19"/>
              </w:rPr>
              <w:t>4</w:t>
            </w:r>
          </w:p>
        </w:tc>
        <w:tc>
          <w:tcPr>
            <w:tcW w:type="dxa" w:w="3744"/>
          </w:tcPr>
          <w:p>
            <w:r>
              <w:rPr>
                <w:sz w:val="19"/>
              </w:rPr>
              <w:t>Review differences in WebSphere MBeans</w:t>
            </w:r>
          </w:p>
        </w:tc>
        <w:tc>
          <w:tcPr>
            <w:tcW w:type="dxa" w:w="1440"/>
          </w:tcPr>
          <w:p>
            <w:r>
              <w:rPr>
                <w:sz w:val="19"/>
              </w:rPr>
              <w:t>10</w:t>
            </w:r>
          </w:p>
        </w:tc>
        <w:tc>
          <w:tcPr>
            <w:tcW w:type="dxa" w:w="3168"/>
          </w:tcPr>
          <w:p>
            <w:r>
              <w:rPr>
                <w:sz w:val="19"/>
              </w:rPr>
              <w:t>Management / monitoring code differences</w:t>
            </w:r>
          </w:p>
        </w:tc>
        <w:tc>
          <w:tcPr>
            <w:tcW w:type="dxa" w:w="1440"/>
          </w:tcPr>
          <w:p>
            <w:r>
              <w:rPr>
                <w:sz w:val="19"/>
              </w:rPr>
              <w:t>No</w:t>
            </w:r>
          </w:p>
        </w:tc>
      </w:tr>
      <w:tr>
        <w:tc>
          <w:tcPr>
            <w:tcW w:type="dxa" w:w="576"/>
          </w:tcPr>
          <w:p>
            <w:r>
              <w:rPr>
                <w:sz w:val="19"/>
              </w:rPr>
              <w:t>5</w:t>
            </w:r>
          </w:p>
        </w:tc>
        <w:tc>
          <w:tcPr>
            <w:tcW w:type="dxa" w:w="3744"/>
          </w:tcPr>
          <w:p>
            <w:r>
              <w:rPr>
                <w:sz w:val="19"/>
              </w:rPr>
              <w:t>WebSphere Asynchronous Beans API superseded</w:t>
            </w:r>
          </w:p>
        </w:tc>
        <w:tc>
          <w:tcPr>
            <w:tcW w:type="dxa" w:w="1440"/>
          </w:tcPr>
          <w:p>
            <w:r>
              <w:rPr>
                <w:sz w:val="19"/>
              </w:rPr>
              <w:t>4</w:t>
            </w:r>
          </w:p>
        </w:tc>
        <w:tc>
          <w:tcPr>
            <w:tcW w:type="dxa" w:w="3168"/>
          </w:tcPr>
          <w:p>
            <w:r>
              <w:rPr>
                <w:sz w:val="19"/>
              </w:rPr>
              <w:t>Async processing API replacement</w:t>
            </w:r>
          </w:p>
        </w:tc>
        <w:tc>
          <w:tcPr>
            <w:tcW w:type="dxa" w:w="1440"/>
          </w:tcPr>
          <w:p>
            <w:r>
              <w:rPr>
                <w:sz w:val="19"/>
              </w:rPr>
              <w:t>No</w:t>
            </w:r>
          </w:p>
        </w:tc>
      </w:tr>
    </w:tbl>
    <w:p>
      <w:pPr>
        <w:pStyle w:val="Heading1"/>
      </w:pPr>
      <w:r>
        <w:rPr>
          <w:color w:val="1F4E79"/>
        </w:rPr>
        <w:t>3. Connectivity Profile (Integration Surface)</w:t>
      </w:r>
    </w:p>
    <w:p>
      <w:r>
        <w:rPr>
          <w:b w:val="0"/>
          <w:i w:val="0"/>
          <w:color w:val="333333"/>
          <w:sz w:val="21"/>
        </w:rPr>
        <w:t>The connectivity analysis reveals how the application integrates with databases, messaging, and remote services — key inputs for the target messaging and integration design.</w:t>
      </w:r>
    </w:p>
    <w:tbl>
      <w:tblPr>
        <w:tblStyle w:val="LightGrid-Accent1"/>
        <w:tblW w:type="auto" w:w="0"/>
        <w:jc w:val="center"/>
        <w:tblLook w:firstColumn="1" w:firstRow="1" w:lastColumn="0" w:lastRow="0" w:noHBand="0" w:noVBand="1" w:val="04A0"/>
      </w:tblPr>
      <w:tblGrid>
        <w:gridCol w:w="2880"/>
        <w:gridCol w:w="2880"/>
        <w:gridCol w:w="2880"/>
      </w:tblGrid>
      <w:tr>
        <w:tc>
          <w:tcPr>
            <w:tcW w:type="dxa" w:w="3456"/>
            <w:shd w:val="clear" w:fill="1F4E79"/>
          </w:tcPr>
          <w:p>
            <w:r>
              <w:rPr>
                <w:b/>
                <w:color w:val="FFFFFF"/>
                <w:sz w:val="20"/>
              </w:rPr>
              <w:t>Connectivity Type</w:t>
            </w:r>
          </w:p>
        </w:tc>
        <w:tc>
          <w:tcPr>
            <w:tcW w:type="dxa" w:w="1152"/>
            <w:shd w:val="clear" w:fill="1F4E79"/>
          </w:tcPr>
          <w:p>
            <w:r>
              <w:rPr>
                <w:b/>
                <w:color w:val="FFFFFF"/>
                <w:sz w:val="20"/>
              </w:rPr>
              <w:t>Count</w:t>
            </w:r>
          </w:p>
        </w:tc>
        <w:tc>
          <w:tcPr>
            <w:tcW w:type="dxa" w:w="5184"/>
            <w:shd w:val="clear" w:fill="1F4E79"/>
          </w:tcPr>
          <w:p>
            <w:r>
              <w:rPr>
                <w:b/>
                <w:color w:val="FFFFFF"/>
                <w:sz w:val="20"/>
              </w:rPr>
              <w:t>Notes</w:t>
            </w:r>
          </w:p>
        </w:tc>
      </w:tr>
      <w:tr>
        <w:tc>
          <w:tcPr>
            <w:tcW w:type="dxa" w:w="3456"/>
          </w:tcPr>
          <w:p>
            <w:r>
              <w:rPr>
                <w:sz w:val="19"/>
              </w:rPr>
              <w:t>Databases</w:t>
            </w:r>
          </w:p>
        </w:tc>
        <w:tc>
          <w:tcPr>
            <w:tcW w:type="dxa" w:w="1152"/>
          </w:tcPr>
          <w:p>
            <w:r>
              <w:rPr>
                <w:sz w:val="19"/>
              </w:rPr>
              <w:t>25</w:t>
            </w:r>
          </w:p>
        </w:tc>
        <w:tc>
          <w:tcPr>
            <w:tcW w:type="dxa" w:w="5184"/>
          </w:tcPr>
          <w:p>
            <w:r>
              <w:rPr>
                <w:sz w:val="19"/>
              </w:rPr>
              <w:t>JDBC + DB Link connectivity</w:t>
            </w:r>
          </w:p>
        </w:tc>
      </w:tr>
      <w:tr>
        <w:tc>
          <w:tcPr>
            <w:tcW w:type="dxa" w:w="3456"/>
          </w:tcPr>
          <w:p>
            <w:r>
              <w:rPr>
                <w:sz w:val="19"/>
              </w:rPr>
              <w:t>Remote EJB providers</w:t>
            </w:r>
          </w:p>
        </w:tc>
        <w:tc>
          <w:tcPr>
            <w:tcW w:type="dxa" w:w="1152"/>
          </w:tcPr>
          <w:p>
            <w:r>
              <w:rPr>
                <w:sz w:val="19"/>
              </w:rPr>
              <w:t>21</w:t>
            </w:r>
          </w:p>
        </w:tc>
        <w:tc>
          <w:tcPr>
            <w:tcW w:type="dxa" w:w="5184"/>
          </w:tcPr>
          <w:p>
            <w:r>
              <w:rPr>
                <w:sz w:val="19"/>
              </w:rPr>
              <w:t>Cross-server EJB endpoints</w:t>
            </w:r>
          </w:p>
        </w:tc>
      </w:tr>
      <w:tr>
        <w:tc>
          <w:tcPr>
            <w:tcW w:type="dxa" w:w="3456"/>
          </w:tcPr>
          <w:p>
            <w:r>
              <w:rPr>
                <w:sz w:val="19"/>
              </w:rPr>
              <w:t>Message-Driven Beans (MDB)</w:t>
            </w:r>
          </w:p>
        </w:tc>
        <w:tc>
          <w:tcPr>
            <w:tcW w:type="dxa" w:w="1152"/>
          </w:tcPr>
          <w:p>
            <w:r>
              <w:rPr>
                <w:sz w:val="19"/>
              </w:rPr>
              <w:t>17</w:t>
            </w:r>
          </w:p>
        </w:tc>
        <w:tc>
          <w:tcPr>
            <w:tcW w:type="dxa" w:w="5184"/>
          </w:tcPr>
          <w:p>
            <w:r>
              <w:rPr>
                <w:sz w:val="19"/>
              </w:rPr>
              <w:t>14 physical MDBs (some bind multiple destinations)</w:t>
            </w:r>
          </w:p>
        </w:tc>
      </w:tr>
      <w:tr>
        <w:tc>
          <w:tcPr>
            <w:tcW w:type="dxa" w:w="3456"/>
          </w:tcPr>
          <w:p>
            <w:r>
              <w:rPr>
                <w:sz w:val="19"/>
              </w:rPr>
              <w:t>Java Message Service (JMS)</w:t>
            </w:r>
          </w:p>
        </w:tc>
        <w:tc>
          <w:tcPr>
            <w:tcW w:type="dxa" w:w="1152"/>
          </w:tcPr>
          <w:p>
            <w:r>
              <w:rPr>
                <w:sz w:val="19"/>
              </w:rPr>
              <w:t>7</w:t>
            </w:r>
          </w:p>
        </w:tc>
        <w:tc>
          <w:tcPr>
            <w:tcW w:type="dxa" w:w="5184"/>
          </w:tcPr>
          <w:p>
            <w:r>
              <w:rPr>
                <w:sz w:val="19"/>
              </w:rPr>
              <w:t>Direct JMS connection points</w:t>
            </w:r>
          </w:p>
        </w:tc>
      </w:tr>
      <w:tr>
        <w:tc>
          <w:tcPr>
            <w:tcW w:type="dxa" w:w="3456"/>
          </w:tcPr>
          <w:p>
            <w:r>
              <w:rPr>
                <w:sz w:val="19"/>
              </w:rPr>
              <w:t>Remote web services</w:t>
            </w:r>
          </w:p>
        </w:tc>
        <w:tc>
          <w:tcPr>
            <w:tcW w:type="dxa" w:w="1152"/>
          </w:tcPr>
          <w:p>
            <w:r>
              <w:rPr>
                <w:sz w:val="19"/>
              </w:rPr>
              <w:t>5</w:t>
            </w:r>
          </w:p>
        </w:tc>
        <w:tc>
          <w:tcPr>
            <w:tcW w:type="dxa" w:w="5184"/>
          </w:tcPr>
          <w:p>
            <w:r>
              <w:rPr>
                <w:sz w:val="19"/>
              </w:rPr>
              <w:t>Web service consumers</w:t>
            </w:r>
          </w:p>
        </w:tc>
      </w:tr>
      <w:tr>
        <w:tc>
          <w:tcPr>
            <w:tcW w:type="dxa" w:w="3456"/>
          </w:tcPr>
          <w:p>
            <w:r>
              <w:rPr>
                <w:sz w:val="19"/>
              </w:rPr>
              <w:t>Java EE Security</w:t>
            </w:r>
          </w:p>
        </w:tc>
        <w:tc>
          <w:tcPr>
            <w:tcW w:type="dxa" w:w="1152"/>
          </w:tcPr>
          <w:p>
            <w:r>
              <w:rPr>
                <w:sz w:val="19"/>
              </w:rPr>
              <w:t>3</w:t>
            </w:r>
          </w:p>
        </w:tc>
        <w:tc>
          <w:tcPr>
            <w:tcW w:type="dxa" w:w="5184"/>
          </w:tcPr>
          <w:p>
            <w:r>
              <w:rPr>
                <w:sz w:val="19"/>
              </w:rPr>
              <w:t>Security integration</w:t>
            </w:r>
          </w:p>
        </w:tc>
      </w:tr>
      <w:tr>
        <w:tc>
          <w:tcPr>
            <w:tcW w:type="dxa" w:w="3456"/>
          </w:tcPr>
          <w:p>
            <w:r>
              <w:rPr>
                <w:sz w:val="19"/>
              </w:rPr>
              <w:t>JavaMail server</w:t>
            </w:r>
          </w:p>
        </w:tc>
        <w:tc>
          <w:tcPr>
            <w:tcW w:type="dxa" w:w="1152"/>
          </w:tcPr>
          <w:p>
            <w:r>
              <w:rPr>
                <w:sz w:val="19"/>
              </w:rPr>
              <w:t>2</w:t>
            </w:r>
          </w:p>
        </w:tc>
        <w:tc>
          <w:tcPr>
            <w:tcW w:type="dxa" w:w="5184"/>
          </w:tcPr>
          <w:p>
            <w:r>
              <w:rPr>
                <w:sz w:val="19"/>
              </w:rPr>
              <w:t>Email (maps to dead EDTEmailQueue)</w:t>
            </w:r>
          </w:p>
        </w:tc>
      </w:tr>
      <w:tr>
        <w:tc>
          <w:tcPr>
            <w:tcW w:type="dxa" w:w="3456"/>
          </w:tcPr>
          <w:p>
            <w:r>
              <w:rPr>
                <w:sz w:val="19"/>
              </w:rPr>
              <w:t>Third-party security</w:t>
            </w:r>
          </w:p>
        </w:tc>
        <w:tc>
          <w:tcPr>
            <w:tcW w:type="dxa" w:w="1152"/>
          </w:tcPr>
          <w:p>
            <w:r>
              <w:rPr>
                <w:sz w:val="19"/>
              </w:rPr>
              <w:t>1</w:t>
            </w:r>
          </w:p>
        </w:tc>
        <w:tc>
          <w:tcPr>
            <w:tcW w:type="dxa" w:w="5184"/>
          </w:tcPr>
          <w:p>
            <w:r>
              <w:rPr>
                <w:sz w:val="19"/>
              </w:rPr>
              <w:t>—</w:t>
            </w:r>
          </w:p>
        </w:tc>
      </w:tr>
      <w:tr>
        <w:tc>
          <w:tcPr>
            <w:tcW w:type="dxa" w:w="3456"/>
          </w:tcPr>
          <w:p>
            <w:r>
              <w:rPr>
                <w:sz w:val="19"/>
              </w:rPr>
              <w:t>Vendor-specific messaging</w:t>
            </w:r>
          </w:p>
        </w:tc>
        <w:tc>
          <w:tcPr>
            <w:tcW w:type="dxa" w:w="1152"/>
          </w:tcPr>
          <w:p>
            <w:r>
              <w:rPr>
                <w:sz w:val="19"/>
              </w:rPr>
              <w:t>1</w:t>
            </w:r>
          </w:p>
        </w:tc>
        <w:tc>
          <w:tcPr>
            <w:tcW w:type="dxa" w:w="5184"/>
          </w:tcPr>
          <w:p>
            <w:r>
              <w:rPr>
                <w:sz w:val="19"/>
              </w:rPr>
              <w:t>APPIA (Bloomberg) — proprietary, not standard JMS</w:t>
            </w:r>
          </w:p>
        </w:tc>
      </w:tr>
    </w:tbl>
    <w:p>
      <w:pPr>
        <w:pStyle w:val="Heading1"/>
      </w:pPr>
      <w:r>
        <w:rPr>
          <w:color w:val="1F4E79"/>
        </w:rPr>
        <w:t>4. JMS Usage Within the Application</w:t>
      </w:r>
    </w:p>
    <w:p>
      <w:r>
        <w:rPr>
          <w:b w:val="0"/>
          <w:i w:val="0"/>
          <w:color w:val="333333"/>
          <w:sz w:val="21"/>
        </w:rPr>
        <w:t>Messaging is a JMS-centric integration layer. The AMA connectivity data confirms 7 direct JMS connection points and 17 MDB references (14 physical MDBs). Key observations:</w:t>
      </w:r>
    </w:p>
    <w:p>
      <w:pPr>
        <w:pStyle w:val="ListBullet"/>
      </w:pPr>
      <w:r>
        <w:rPr>
          <w:sz w:val="20"/>
        </w:rPr>
        <w:t>wlfullclient.jar carries JMS + MDB + Remote EJB connectivity — it provides the WebLogic T3S transport for external foreign queues and cannot migrate to Liberty.</w:t>
      </w:r>
    </w:p>
    <w:p>
      <w:pPr>
        <w:pStyle w:val="ListBullet"/>
      </w:pPr>
      <w:r>
        <w:rPr>
          <w:sz w:val="20"/>
        </w:rPr>
        <w:t>APPIA (appia.jar) is classified as vendor-specific messaging — a proprietary integration path (Bloomberg), not a standard JMS queue migration.</w:t>
      </w:r>
    </w:p>
    <w:p>
      <w:pPr>
        <w:pStyle w:val="ListBullet"/>
      </w:pPr>
      <w:r>
        <w:rPr>
          <w:sz w:val="20"/>
        </w:rPr>
        <w:t>JavaMail (2) confirms email integration, consistent with the (unused) EDTEmailQueue.</w:t>
      </w:r>
    </w:p>
    <w:p>
      <w:pPr>
        <w:pStyle w:val="ListBullet"/>
      </w:pPr>
      <w:r>
        <w:rPr>
          <w:sz w:val="20"/>
        </w:rPr>
        <w:t>The messaging surface is bounded and consistent with the 15-queue disposition: 4 external foreign queues, internal-only queues, dead/legacy queues, and APPIA.</w:t>
      </w:r>
    </w:p>
    <w:p>
      <w:pPr>
        <w:pStyle w:val="Heading1"/>
      </w:pPr>
      <w:r>
        <w:rPr>
          <w:color w:val="1F4E79"/>
        </w:rPr>
        <w:t>5. Key Inferences for Design</w:t>
      </w:r>
    </w:p>
    <w:tbl>
      <w:tblPr>
        <w:tblStyle w:val="LightGrid-Accent1"/>
        <w:tblW w:type="auto" w:w="0"/>
        <w:jc w:val="center"/>
        <w:tblLook w:firstColumn="1" w:firstRow="1" w:lastColumn="0" w:lastRow="0" w:noHBand="0" w:noVBand="1" w:val="04A0"/>
      </w:tblPr>
      <w:tblGrid>
        <w:gridCol w:w="4320"/>
        <w:gridCol w:w="4320"/>
      </w:tblGrid>
      <w:tr>
        <w:tc>
          <w:tcPr>
            <w:tcW w:type="dxa" w:w="2592"/>
            <w:shd w:val="clear" w:fill="1F4E79"/>
          </w:tcPr>
          <w:p>
            <w:r>
              <w:rPr>
                <w:b/>
                <w:color w:val="FFFFFF"/>
                <w:sz w:val="20"/>
              </w:rPr>
              <w:t>Area</w:t>
            </w:r>
          </w:p>
        </w:tc>
        <w:tc>
          <w:tcPr>
            <w:tcW w:type="dxa" w:w="6768"/>
            <w:shd w:val="clear" w:fill="1F4E79"/>
          </w:tcPr>
          <w:p>
            <w:r>
              <w:rPr>
                <w:b/>
                <w:color w:val="FFFFFF"/>
                <w:sz w:val="20"/>
              </w:rPr>
              <w:t>Inference</w:t>
            </w:r>
          </w:p>
        </w:tc>
      </w:tr>
      <w:tr>
        <w:tc>
          <w:tcPr>
            <w:tcW w:type="dxa" w:w="2592"/>
          </w:tcPr>
          <w:p>
            <w:r>
              <w:rPr>
                <w:sz w:val="19"/>
              </w:rPr>
              <w:t>Java EE Deployment API</w:t>
            </w:r>
          </w:p>
        </w:tc>
        <w:tc>
          <w:tcPr>
            <w:tcW w:type="dxa" w:w="6768"/>
          </w:tcPr>
          <w:p>
            <w:r>
              <w:rPr>
                <w:sz w:val="19"/>
              </w:rPr>
              <w:t>9,956 occurrences of a JEE deployment/management API NOT supported on Liberty. #1 migration risk; requires investigation and remediation.</w:t>
            </w:r>
          </w:p>
        </w:tc>
      </w:tr>
      <w:tr>
        <w:tc>
          <w:tcPr>
            <w:tcW w:type="dxa" w:w="2592"/>
          </w:tcPr>
          <w:p>
            <w:r>
              <w:rPr>
                <w:sz w:val="19"/>
              </w:rPr>
              <w:t>T3S / External Messaging</w:t>
            </w:r>
          </w:p>
        </w:tc>
        <w:tc>
          <w:tcPr>
            <w:tcW w:type="dxa" w:w="6768"/>
          </w:tcPr>
          <w:p>
            <w:r>
              <w:rPr>
                <w:sz w:val="19"/>
              </w:rPr>
              <w:t>wlfullclient.jar (JMS+MDB+Remote EJB) confirms the T3S dependency. Cannot move to Liberty; a bridge is required for external foreign queues.</w:t>
            </w:r>
          </w:p>
        </w:tc>
      </w:tr>
      <w:tr>
        <w:tc>
          <w:tcPr>
            <w:tcW w:type="dxa" w:w="2592"/>
          </w:tcPr>
          <w:p>
            <w:r>
              <w:rPr>
                <w:sz w:val="19"/>
              </w:rPr>
              <w:t>JNDI Lookups</w:t>
            </w:r>
          </w:p>
        </w:tc>
        <w:tc>
          <w:tcPr>
            <w:tcW w:type="dxa" w:w="6768"/>
          </w:tcPr>
          <w:p>
            <w:r>
              <w:rPr>
                <w:sz w:val="19"/>
              </w:rPr>
              <w:t>104 InitialContext lookups (EJB/JMS, incl. foreign-queue aliases) need Liberty-compatible changes; automated OpenRewrite fix available.</w:t>
            </w:r>
          </w:p>
        </w:tc>
      </w:tr>
      <w:tr>
        <w:tc>
          <w:tcPr>
            <w:tcW w:type="dxa" w:w="2592"/>
          </w:tcPr>
          <w:p>
            <w:r>
              <w:rPr>
                <w:sz w:val="19"/>
              </w:rPr>
              <w:t>APPIA Integration</w:t>
            </w:r>
          </w:p>
        </w:tc>
        <w:tc>
          <w:tcPr>
            <w:tcW w:type="dxa" w:w="6768"/>
          </w:tcPr>
          <w:p>
            <w:r>
              <w:rPr>
                <w:sz w:val="19"/>
              </w:rPr>
              <w:t>Confirmed vendor-specific messaging — separate proprietary path, not a JMS queue migration.</w:t>
            </w:r>
          </w:p>
        </w:tc>
      </w:tr>
      <w:tr>
        <w:tc>
          <w:tcPr>
            <w:tcW w:type="dxa" w:w="2592"/>
          </w:tcPr>
          <w:p>
            <w:r>
              <w:rPr>
                <w:sz w:val="19"/>
              </w:rPr>
              <w:t>Entity Beans</w:t>
            </w:r>
          </w:p>
        </w:tc>
        <w:tc>
          <w:tcPr>
            <w:tcW w:type="dxa" w:w="6768"/>
          </w:tcPr>
          <w:p>
            <w:r>
              <w:rPr>
                <w:sz w:val="19"/>
              </w:rPr>
              <w:t>0 CMP / 0 BMP Entity Beans — no JPA rewrite required (confirmed in Inventory report).</w:t>
            </w:r>
          </w:p>
        </w:tc>
      </w:tr>
      <w:tr>
        <w:tc>
          <w:tcPr>
            <w:tcW w:type="dxa" w:w="2592"/>
          </w:tcPr>
          <w:p>
            <w:r>
              <w:rPr>
                <w:sz w:val="19"/>
              </w:rPr>
              <w:t>Liberty Compatibility</w:t>
            </w:r>
          </w:p>
        </w:tc>
        <w:tc>
          <w:tcPr>
            <w:tcW w:type="dxa" w:w="6768"/>
          </w:tcPr>
          <w:p>
            <w:r>
              <w:rPr>
                <w:sz w:val="19"/>
              </w:rPr>
              <w:t>JMS, MDB, EJB, JPA, JTA are all supported on Liberty — messaging &amp; EJB layer is fundamentally Liberty-compatible.</w:t>
            </w:r>
          </w:p>
        </w:tc>
      </w:tr>
    </w:tbl>
    <w:p>
      <w:pPr>
        <w:pStyle w:val="Heading1"/>
      </w:pPr>
      <w:r>
        <w:rPr>
          <w:color w:val="1F4E79"/>
        </w:rPr>
        <w:t>6. Open Risk to Track</w:t>
      </w:r>
    </w:p>
    <w:p>
      <w:r>
        <w:rPr>
          <w:b/>
          <w:color w:val="C00000"/>
          <w:sz w:val="21"/>
        </w:rPr>
        <w:t xml:space="preserve">RISK: </w:t>
      </w:r>
      <w:r>
        <w:rPr>
          <w:color w:val="333333"/>
          <w:sz w:val="21"/>
        </w:rPr>
        <w:t>The Java EE Application Deployment API (9,956 AMA occurrences) is not supported on IBM Liberty. The application's usage must be investigated to determine remediation scope, as it could materially affect migration effort. Action: review AMA “Show results” to confirm whether this is a single repeated pattern or pervasive usage.</w:t>
      </w:r>
    </w:p>
    <w:p>
      <w:pPr>
        <w:pStyle w:val="Heading1"/>
      </w:pPr>
      <w:r>
        <w:rPr>
          <w:color w:val="1F4E79"/>
        </w:rPr>
        <w:t>7. Scan Scope Note</w:t>
      </w:r>
    </w:p>
    <w:p>
      <w:r>
        <w:rPr>
          <w:b w:val="0"/>
          <w:i/>
          <w:color w:val="333333"/>
          <w:sz w:val="21"/>
        </w:rPr>
        <w:t>The AMA scan targeted Java 8 → Java 17 and Jakarta EE 7, while the actual migration target is Java 21 and Jakarta EE 10. Findings remain valid (the Java 17→21 delta is minor), but a follow-up scan targeting Java 21 / Jakarta EE 10 is recommended for completeness.</w:t>
      </w:r>
    </w:p>
    <w:p/>
    <w:p>
      <w:pPr>
        <w:pStyle w:val="Heading1"/>
      </w:pPr>
      <w:r>
        <w:rPr>
          <w:color w:val="1F4E79"/>
        </w:rPr>
        <w:t>8. Executive Summary</w:t>
      </w:r>
    </w:p>
    <w:p>
      <w:pPr>
        <w:pStyle w:val="ListBullet"/>
      </w:pPr>
      <w:r>
        <w:rPr>
          <w:sz w:val="20"/>
        </w:rPr>
        <w:t>AMA flagged 32 rules across 13,058 occurrences; 5 are Critical (10,116 occurrences).</w:t>
      </w:r>
    </w:p>
    <w:p>
      <w:pPr>
        <w:pStyle w:val="ListBullet"/>
      </w:pPr>
      <w:r>
        <w:rPr>
          <w:sz w:val="20"/>
        </w:rPr>
        <w:t>Top critical issue: Java EE Application Deployment API (9,956) — not supported on Liberty; primary migration risk.</w:t>
      </w:r>
    </w:p>
    <w:p>
      <w:pPr>
        <w:pStyle w:val="ListBullet"/>
      </w:pPr>
      <w:r>
        <w:rPr>
          <w:sz w:val="20"/>
        </w:rPr>
        <w:t>T3S / external-messaging dependency confirmed via wlfullclient.jar; a bridge is required for external foreign queues.</w:t>
      </w:r>
    </w:p>
    <w:p>
      <w:pPr>
        <w:pStyle w:val="ListBullet"/>
      </w:pPr>
      <w:r>
        <w:rPr>
          <w:sz w:val="20"/>
        </w:rPr>
        <w:t>104 InitialContext JNDI lookups need Liberty-compatible changes (automated OpenRewrite fix available).</w:t>
      </w:r>
    </w:p>
    <w:p>
      <w:pPr>
        <w:pStyle w:val="ListBullet"/>
      </w:pPr>
      <w:r>
        <w:rPr>
          <w:sz w:val="20"/>
        </w:rPr>
        <w:t>Integration surface: 25 DB, 21 Remote EJB, 17 MDB, 7 JMS, plus APPIA as vendor-specific messaging.</w:t>
      </w:r>
    </w:p>
    <w:p>
      <w:pPr>
        <w:pStyle w:val="ListBullet"/>
      </w:pPr>
      <w:r>
        <w:rPr>
          <w:sz w:val="20"/>
        </w:rPr>
        <w:t>0 Entity Beans confirmed — no JPA rewrite; JMS/MDB/EJB/JPA all supported on Liberty.</w:t>
      </w:r>
    </w:p>
    <w:p/>
    <w:p>
      <w:pPr>
        <w:jc w:val="center"/>
      </w:pPr>
      <w:r>
        <w:rPr>
          <w:i/>
          <w:color w:val="999999"/>
          <w:sz w:val="17"/>
        </w:rPr>
        <w:t>Prepared from IBM AMA Detailed Migration Analysis, Technology Evaluation, and Inventory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