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B14: API Documentation and Versioning Finalization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4320"/>
          </w:tcPr>
          <w:p>
            <w:r>
              <w:t>Ensure the API is fully documented and safe to evolve without breaking existing clients.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4320"/>
          </w:tcPr>
          <w:p>
            <w:r>
              <w:t>Complete Swagger/OpenAPI coverage for all endpoints, API versioning strategy (e.g. /v1 prefix), Deprecation policy documentation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Out of Scope</w:t>
            </w:r>
          </w:p>
        </w:tc>
        <w:tc>
          <w:tcPr>
            <w:tcW w:type="dxa" w:w="4320"/>
          </w:tcPr>
          <w:p>
            <w:r>
              <w:t>Public developer portal (future work)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Dependencies</w:t>
            </w:r>
          </w:p>
        </w:tc>
        <w:tc>
          <w:tcPr>
            <w:tcW w:type="dxa" w:w="4320"/>
          </w:tcPr>
          <w:p>
            <w:r>
              <w:t>All prior backend sprints.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4320"/>
          </w:tcPr>
          <w:p>
            <w:r>
              <w:t>Fully documented, versioned API ready for external or long-term internal consumption.</w:t>
            </w:r>
          </w:p>
        </w:tc>
      </w:tr>
    </w:tbl>
    <w:p>
      <w:pPr>
        <w:pStyle w:val="Heading1"/>
      </w:pPr>
      <w:r>
        <w:t>Detailed 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Tech Stack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Est. Duration</w:t>
            </w:r>
          </w:p>
        </w:tc>
      </w:tr>
      <w:tr>
        <w:tc>
          <w:tcPr>
            <w:tcW w:type="dxa" w:w="2160"/>
          </w:tcPr>
          <w:p>
            <w:r>
              <w:t>B14.1</w:t>
            </w:r>
          </w:p>
        </w:tc>
        <w:tc>
          <w:tcPr>
            <w:tcW w:type="dxa" w:w="2160"/>
          </w:tcPr>
          <w:p>
            <w:r>
              <w:t>Complete Swagger annotations for every endpoint and DTO</w:t>
            </w:r>
          </w:p>
        </w:tc>
        <w:tc>
          <w:tcPr>
            <w:tcW w:type="dxa" w:w="2160"/>
          </w:tcPr>
          <w:p>
            <w:r>
              <w:t>@nestjs/swagger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</w:tr>
      <w:tr>
        <w:tc>
          <w:tcPr>
            <w:tcW w:type="dxa" w:w="2160"/>
          </w:tcPr>
          <w:p>
            <w:r>
              <w:t>B14.2</w:t>
            </w:r>
          </w:p>
        </w:tc>
        <w:tc>
          <w:tcPr>
            <w:tcW w:type="dxa" w:w="2160"/>
          </w:tcPr>
          <w:p>
            <w:r>
              <w:t>Introduce API versioning (e.g. /v1 prefix)</w:t>
            </w:r>
          </w:p>
        </w:tc>
        <w:tc>
          <w:tcPr>
            <w:tcW w:type="dxa" w:w="2160"/>
          </w:tcPr>
          <w:p>
            <w:r>
              <w:t>NestJS versioning</w:t>
            </w:r>
          </w:p>
        </w:tc>
        <w:tc>
          <w:tcPr>
            <w:tcW w:type="dxa" w:w="2160"/>
          </w:tcPr>
          <w:p>
            <w:r>
              <w:t>1 day</w:t>
            </w:r>
          </w:p>
        </w:tc>
      </w:tr>
      <w:tr>
        <w:tc>
          <w:tcPr>
            <w:tcW w:type="dxa" w:w="2160"/>
          </w:tcPr>
          <w:p>
            <w:r>
              <w:t>B14.3</w:t>
            </w:r>
          </w:p>
        </w:tc>
        <w:tc>
          <w:tcPr>
            <w:tcW w:type="dxa" w:w="2160"/>
          </w:tcPr>
          <w:p>
            <w:r>
              <w:t>Write a deprecation policy and changelog process</w:t>
            </w:r>
          </w:p>
        </w:tc>
        <w:tc>
          <w:tcPr>
            <w:tcW w:type="dxa" w:w="2160"/>
          </w:tcPr>
          <w:p>
            <w:r>
              <w:t>Documentation</w:t>
            </w:r>
          </w:p>
        </w:tc>
        <w:tc>
          <w:tcPr>
            <w:tcW w:type="dxa" w:w="2160"/>
          </w:tcPr>
          <w:p>
            <w:r>
              <w:t>1 day</w:t>
            </w:r>
          </w:p>
        </w:tc>
      </w:tr>
    </w:tbl>
    <w:p>
      <w:pPr>
        <w:pStyle w:val="Heading1"/>
      </w:pPr>
      <w:r>
        <w:t>Test Cases &amp; 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Outcome</w:t>
            </w:r>
          </w:p>
        </w:tc>
      </w:tr>
      <w:tr>
        <w:tc>
          <w:tcPr>
            <w:tcW w:type="dxa" w:w="2880"/>
          </w:tcPr>
          <w:p>
            <w:r>
              <w:t>TC-B14-01</w:t>
            </w:r>
          </w:p>
        </w:tc>
        <w:tc>
          <w:tcPr>
            <w:tcW w:type="dxa" w:w="2880"/>
          </w:tcPr>
          <w:p>
            <w:r>
              <w:t>Open the Swagger UI.</w:t>
            </w:r>
          </w:p>
        </w:tc>
        <w:tc>
          <w:tcPr>
            <w:tcW w:type="dxa" w:w="2880"/>
          </w:tcPr>
          <w:p>
            <w:r>
              <w:t>Every endpoint has a description, request schema, and response schema.</w:t>
            </w:r>
          </w:p>
        </w:tc>
      </w:tr>
      <w:tr>
        <w:tc>
          <w:tcPr>
            <w:tcW w:type="dxa" w:w="2880"/>
          </w:tcPr>
          <w:p>
            <w:r>
              <w:t>TC-B14-02</w:t>
            </w:r>
          </w:p>
        </w:tc>
        <w:tc>
          <w:tcPr>
            <w:tcW w:type="dxa" w:w="2880"/>
          </w:tcPr>
          <w:p>
            <w:r>
              <w:t>Call an endpoint without a version prefix vs. with /v1.</w:t>
            </w:r>
          </w:p>
        </w:tc>
        <w:tc>
          <w:tcPr>
            <w:tcW w:type="dxa" w:w="2880"/>
          </w:tcPr>
          <w:p>
            <w:r>
              <w:t>Versioning behaves as documented (default or explicit routing).</w:t>
            </w:r>
          </w:p>
        </w:tc>
      </w:tr>
      <w:tr>
        <w:tc>
          <w:tcPr>
            <w:tcW w:type="dxa" w:w="2880"/>
          </w:tcPr>
          <w:p>
            <w:r>
              <w:t>TC-B14-03</w:t>
            </w:r>
          </w:p>
        </w:tc>
        <w:tc>
          <w:tcPr>
            <w:tcW w:type="dxa" w:w="2880"/>
          </w:tcPr>
          <w:p>
            <w:r>
              <w:t>Review the changelog after a breaking change.</w:t>
            </w:r>
          </w:p>
        </w:tc>
        <w:tc>
          <w:tcPr>
            <w:tcW w:type="dxa" w:w="2880"/>
          </w:tcPr>
          <w:p>
            <w:r>
              <w:t>The change is documented per the deprecation policy.</w:t>
            </w:r>
          </w:p>
        </w:tc>
      </w:tr>
    </w:tbl>
    <w:p>
      <w:r>
        <w:br/>
        <w:t>--- Generated for 4D Representation Platform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