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B13: Background Jobs and Queue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Move heavy, slow operations (like Gaussian import parsing) off the request/response cycle.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Job queue infrastructure, Background worker for scene import processing, Job status API for clients to poll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Real-time push notifications of job completion (future work; polling only for now)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B8 (import pipeline).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Heavy import/processing jobs run asynchronously without blocking API requests.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B13.1</w:t>
            </w:r>
          </w:p>
        </w:tc>
        <w:tc>
          <w:tcPr>
            <w:tcW w:type="dxa" w:w="2160"/>
          </w:tcPr>
          <w:p>
            <w:r>
              <w:t>Set up a job queue and worker process</w:t>
            </w:r>
          </w:p>
        </w:tc>
        <w:tc>
          <w:tcPr>
            <w:tcW w:type="dxa" w:w="2160"/>
          </w:tcPr>
          <w:p>
            <w:r>
              <w:t>BullMQ or similar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B13.2</w:t>
            </w:r>
          </w:p>
        </w:tc>
        <w:tc>
          <w:tcPr>
            <w:tcW w:type="dxa" w:w="2160"/>
          </w:tcPr>
          <w:p>
            <w:r>
              <w:t>Move scene import parsing to a background worker</w:t>
            </w:r>
          </w:p>
        </w:tc>
        <w:tc>
          <w:tcPr>
            <w:tcW w:type="dxa" w:w="2160"/>
          </w:tcPr>
          <w:p>
            <w:r>
              <w:t>BullMQ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B13.3</w:t>
            </w:r>
          </w:p>
        </w:tc>
        <w:tc>
          <w:tcPr>
            <w:tcW w:type="dxa" w:w="2160"/>
          </w:tcPr>
          <w:p>
            <w:r>
              <w:t>Expose a job status endpoint for polling</w:t>
            </w:r>
          </w:p>
        </w:tc>
        <w:tc>
          <w:tcPr>
            <w:tcW w:type="dxa" w:w="2160"/>
          </w:tcPr>
          <w:p>
            <w:r>
              <w:t>NestJS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TC-B13-01</w:t>
            </w:r>
          </w:p>
        </w:tc>
        <w:tc>
          <w:tcPr>
            <w:tcW w:type="dxa" w:w="2880"/>
          </w:tcPr>
          <w:p>
            <w:r>
              <w:t>Submit a large import job.</w:t>
            </w:r>
          </w:p>
        </w:tc>
        <w:tc>
          <w:tcPr>
            <w:tcW w:type="dxa" w:w="2880"/>
          </w:tcPr>
          <w:p>
            <w:r>
              <w:t>The API responds immediately with a job ID rather than blocking.</w:t>
            </w:r>
          </w:p>
        </w:tc>
      </w:tr>
      <w:tr>
        <w:tc>
          <w:tcPr>
            <w:tcW w:type="dxa" w:w="2880"/>
          </w:tcPr>
          <w:p>
            <w:r>
              <w:t>TC-B13-02</w:t>
            </w:r>
          </w:p>
        </w:tc>
        <w:tc>
          <w:tcPr>
            <w:tcW w:type="dxa" w:w="2880"/>
          </w:tcPr>
          <w:p>
            <w:r>
              <w:t>Poll the job status endpoint while processing.</w:t>
            </w:r>
          </w:p>
        </w:tc>
        <w:tc>
          <w:tcPr>
            <w:tcW w:type="dxa" w:w="2880"/>
          </w:tcPr>
          <w:p>
            <w:r>
              <w:t>Status updates correctly as the job progresses.</w:t>
            </w:r>
          </w:p>
        </w:tc>
      </w:tr>
      <w:tr>
        <w:tc>
          <w:tcPr>
            <w:tcW w:type="dxa" w:w="2880"/>
          </w:tcPr>
          <w:p>
            <w:r>
              <w:t>TC-B13-03</w:t>
            </w:r>
          </w:p>
        </w:tc>
        <w:tc>
          <w:tcPr>
            <w:tcW w:type="dxa" w:w="2880"/>
          </w:tcPr>
          <w:p>
            <w:r>
              <w:t>Force a job to fail.</w:t>
            </w:r>
          </w:p>
        </w:tc>
        <w:tc>
          <w:tcPr>
            <w:tcW w:type="dxa" w:w="2880"/>
          </w:tcPr>
          <w:p>
            <w:r>
              <w:t>Job status reflects failure with an error reason, and the API remains responsive.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