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Sprint B8: Asset Upload and Gaussian Model Import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Goal</w:t>
            </w:r>
          </w:p>
        </w:tc>
        <w:tc>
          <w:tcPr>
            <w:tcW w:type="dxa" w:w="4320"/>
          </w:tcPr>
          <w:p>
            <w:r>
              <w:t>Let users import pre-trained 4D Gaussian models or raw scene data into the platform.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Scope</w:t>
            </w:r>
          </w:p>
        </w:tc>
        <w:tc>
          <w:tcPr>
            <w:tcW w:type="dxa" w:w="4320"/>
          </w:tcPr>
          <w:p>
            <w:r>
              <w:t>File upload endpoint with size/type validation, Import pipeline parsing external Gaussian model formats into the internal schema, Import status/progress tracking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Out of Scope</w:t>
            </w:r>
          </w:p>
        </w:tc>
        <w:tc>
          <w:tcPr>
            <w:tcW w:type="dxa" w:w="4320"/>
          </w:tcPr>
          <w:p>
            <w:r>
              <w:t>Training or generating new Gaussian models from scratch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Dependencies</w:t>
            </w:r>
          </w:p>
        </w:tc>
        <w:tc>
          <w:tcPr>
            <w:tcW w:type="dxa" w:w="4320"/>
          </w:tcPr>
          <w:p>
            <w:r>
              <w:t>Backend Sprints B5–B6.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Deliverable</w:t>
            </w:r>
          </w:p>
        </w:tc>
        <w:tc>
          <w:tcPr>
            <w:tcW w:type="dxa" w:w="4320"/>
          </w:tcPr>
          <w:p>
            <w:r>
              <w:t>Users can upload a supported file and have it converted into a queryable scene.</w:t>
            </w:r>
          </w:p>
        </w:tc>
      </w:tr>
    </w:tbl>
    <w:p>
      <w:pPr>
        <w:pStyle w:val="Heading1"/>
      </w:pPr>
      <w:r>
        <w:t>Detailed Tasks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ID</w:t>
            </w:r>
          </w:p>
        </w:tc>
        <w:tc>
          <w:tcPr>
            <w:tcW w:type="dxa" w:w="2160"/>
          </w:tcPr>
          <w:p>
            <w:r>
              <w:rPr>
                <w:b/>
              </w:rPr>
              <w:t>Description</w:t>
            </w:r>
          </w:p>
        </w:tc>
        <w:tc>
          <w:tcPr>
            <w:tcW w:type="dxa" w:w="2160"/>
          </w:tcPr>
          <w:p>
            <w:r>
              <w:rPr>
                <w:b/>
              </w:rPr>
              <w:t>Tech Stack</w:t>
            </w:r>
          </w:p>
        </w:tc>
        <w:tc>
          <w:tcPr>
            <w:tcW w:type="dxa" w:w="2160"/>
          </w:tcPr>
          <w:p>
            <w:r>
              <w:rPr>
                <w:b/>
              </w:rPr>
              <w:t>Est. Duration</w:t>
            </w:r>
          </w:p>
        </w:tc>
      </w:tr>
      <w:tr>
        <w:tc>
          <w:tcPr>
            <w:tcW w:type="dxa" w:w="2160"/>
          </w:tcPr>
          <w:p>
            <w:r>
              <w:t>B8.1</w:t>
            </w:r>
          </w:p>
        </w:tc>
        <w:tc>
          <w:tcPr>
            <w:tcW w:type="dxa" w:w="2160"/>
          </w:tcPr>
          <w:p>
            <w:r>
              <w:t>Build file upload endpoint with size/type validation</w:t>
            </w:r>
          </w:p>
        </w:tc>
        <w:tc>
          <w:tcPr>
            <w:tcW w:type="dxa" w:w="2160"/>
          </w:tcPr>
          <w:p>
            <w:r>
              <w:t>NestJS, Multer</w:t>
            </w:r>
          </w:p>
        </w:tc>
        <w:tc>
          <w:tcPr>
            <w:tcW w:type="dxa" w:w="2160"/>
          </w:tcPr>
          <w:p>
            <w:r>
              <w:t>2 days</w:t>
            </w:r>
          </w:p>
        </w:tc>
      </w:tr>
      <w:tr>
        <w:tc>
          <w:tcPr>
            <w:tcW w:type="dxa" w:w="2160"/>
          </w:tcPr>
          <w:p>
            <w:r>
              <w:t>B8.2</w:t>
            </w:r>
          </w:p>
        </w:tc>
        <w:tc>
          <w:tcPr>
            <w:tcW w:type="dxa" w:w="2160"/>
          </w:tcPr>
          <w:p>
            <w:r>
              <w:t>Build an import pipeline that parses external Gaussian formats into the internal schema</w:t>
            </w:r>
          </w:p>
        </w:tc>
        <w:tc>
          <w:tcPr>
            <w:tcW w:type="dxa" w:w="2160"/>
          </w:tcPr>
          <w:p>
            <w:r>
              <w:t>NestJS, custom parser</w:t>
            </w:r>
          </w:p>
        </w:tc>
        <w:tc>
          <w:tcPr>
            <w:tcW w:type="dxa" w:w="2160"/>
          </w:tcPr>
          <w:p>
            <w:r>
              <w:t>4 days</w:t>
            </w:r>
          </w:p>
        </w:tc>
      </w:tr>
      <w:tr>
        <w:tc>
          <w:tcPr>
            <w:tcW w:type="dxa" w:w="2160"/>
          </w:tcPr>
          <w:p>
            <w:r>
              <w:t>B8.3</w:t>
            </w:r>
          </w:p>
        </w:tc>
        <w:tc>
          <w:tcPr>
            <w:tcW w:type="dxa" w:w="2160"/>
          </w:tcPr>
          <w:p>
            <w:r>
              <w:t>Track and expose import status/progress</w:t>
            </w:r>
          </w:p>
        </w:tc>
        <w:tc>
          <w:tcPr>
            <w:tcW w:type="dxa" w:w="2160"/>
          </w:tcPr>
          <w:p>
            <w:r>
              <w:t>Mongoose</w:t>
            </w:r>
          </w:p>
        </w:tc>
        <w:tc>
          <w:tcPr>
            <w:tcW w:type="dxa" w:w="2160"/>
          </w:tcPr>
          <w:p>
            <w:r>
              <w:t>1 day</w:t>
            </w:r>
          </w:p>
        </w:tc>
      </w:tr>
    </w:tbl>
    <w:p>
      <w:pPr>
        <w:pStyle w:val="Heading1"/>
      </w:pPr>
      <w:r>
        <w:t>Test Cases &amp; QA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Test ID</w:t>
            </w:r>
          </w:p>
        </w:tc>
        <w:tc>
          <w:tcPr>
            <w:tcW w:type="dxa" w:w="2880"/>
          </w:tcPr>
          <w:p>
            <w:r>
              <w:rPr>
                <w:b/>
              </w:rPr>
              <w:t>Scenario</w:t>
            </w:r>
          </w:p>
        </w:tc>
        <w:tc>
          <w:tcPr>
            <w:tcW w:type="dxa" w:w="2880"/>
          </w:tcPr>
          <w:p>
            <w:r>
              <w:rPr>
                <w:b/>
              </w:rPr>
              <w:t>Expected Outcome</w:t>
            </w:r>
          </w:p>
        </w:tc>
      </w:tr>
      <w:tr>
        <w:tc>
          <w:tcPr>
            <w:tcW w:type="dxa" w:w="2880"/>
          </w:tcPr>
          <w:p>
            <w:r>
              <w:t>TC-B8-01</w:t>
            </w:r>
          </w:p>
        </w:tc>
        <w:tc>
          <w:tcPr>
            <w:tcW w:type="dxa" w:w="2880"/>
          </w:tcPr>
          <w:p>
            <w:r>
              <w:t>Upload a valid supported file.</w:t>
            </w:r>
          </w:p>
        </w:tc>
        <w:tc>
          <w:tcPr>
            <w:tcW w:type="dxa" w:w="2880"/>
          </w:tcPr>
          <w:p>
            <w:r>
              <w:t>File is accepted and an import job is created.</w:t>
            </w:r>
          </w:p>
        </w:tc>
      </w:tr>
      <w:tr>
        <w:tc>
          <w:tcPr>
            <w:tcW w:type="dxa" w:w="2880"/>
          </w:tcPr>
          <w:p>
            <w:r>
              <w:t>TC-B8-02</w:t>
            </w:r>
          </w:p>
        </w:tc>
        <w:tc>
          <w:tcPr>
            <w:tcW w:type="dxa" w:w="2880"/>
          </w:tcPr>
          <w:p>
            <w:r>
              <w:t>Upload an unsupported file type or oversized file.</w:t>
            </w:r>
          </w:p>
        </w:tc>
        <w:tc>
          <w:tcPr>
            <w:tcW w:type="dxa" w:w="2880"/>
          </w:tcPr>
          <w:p>
            <w:r>
              <w:t>Request is rejected with a clear error.</w:t>
            </w:r>
          </w:p>
        </w:tc>
      </w:tr>
      <w:tr>
        <w:tc>
          <w:tcPr>
            <w:tcW w:type="dxa" w:w="2880"/>
          </w:tcPr>
          <w:p>
            <w:r>
              <w:t>TC-B8-03</w:t>
            </w:r>
          </w:p>
        </w:tc>
        <w:tc>
          <w:tcPr>
            <w:tcW w:type="dxa" w:w="2880"/>
          </w:tcPr>
          <w:p>
            <w:r>
              <w:t>Poll the import status endpoint during processing.</w:t>
            </w:r>
          </w:p>
        </w:tc>
        <w:tc>
          <w:tcPr>
            <w:tcW w:type="dxa" w:w="2880"/>
          </w:tcPr>
          <w:p>
            <w:r>
              <w:t>Status transitions correctly from pending → processing → complete/failed.</w:t>
            </w:r>
          </w:p>
        </w:tc>
      </w:tr>
    </w:tbl>
    <w:p>
      <w:r>
        <w:br/>
        <w:t>--- Generated for 4D Representation Platform ---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