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B9: Rate Limiting and API Security Hardening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Protect the API from abuse and common web vulnerabilities.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Request rate limiting per user/IP, Input sanitization review across all endpoints, Security headers and dependency audit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DDoS-scale infrastructure protection (handled at the infra/CDN layer)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API endpoints are rate-limited and hardened against common attack vectors.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B9.1</w:t>
            </w:r>
          </w:p>
        </w:tc>
        <w:tc>
          <w:tcPr>
            <w:tcW w:type="dxa" w:w="2160"/>
          </w:tcPr>
          <w:p>
            <w:r>
              <w:t>Add per-user/per-IP rate limiting</w:t>
            </w:r>
          </w:p>
        </w:tc>
        <w:tc>
          <w:tcPr>
            <w:tcW w:type="dxa" w:w="2160"/>
          </w:tcPr>
          <w:p>
            <w:r>
              <w:t>@nestjs/throttler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B9.2</w:t>
            </w:r>
          </w:p>
        </w:tc>
        <w:tc>
          <w:tcPr>
            <w:tcW w:type="dxa" w:w="2160"/>
          </w:tcPr>
          <w:p>
            <w:r>
              <w:t>Review and harden input validation/sanitization across all endpoints</w:t>
            </w:r>
          </w:p>
        </w:tc>
        <w:tc>
          <w:tcPr>
            <w:tcW w:type="dxa" w:w="2160"/>
          </w:tcPr>
          <w:p>
            <w:r>
              <w:t>class-validator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B9.3</w:t>
            </w:r>
          </w:p>
        </w:tc>
        <w:tc>
          <w:tcPr>
            <w:tcW w:type="dxa" w:w="2160"/>
          </w:tcPr>
          <w:p>
            <w:r>
              <w:t>Run a dependency/security audit and apply fixes</w:t>
            </w:r>
          </w:p>
        </w:tc>
        <w:tc>
          <w:tcPr>
            <w:tcW w:type="dxa" w:w="2160"/>
          </w:tcPr>
          <w:p>
            <w:r>
              <w:t>npm audit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TC-B9-01</w:t>
            </w:r>
          </w:p>
        </w:tc>
        <w:tc>
          <w:tcPr>
            <w:tcW w:type="dxa" w:w="2880"/>
          </w:tcPr>
          <w:p>
            <w:r>
              <w:t>Exceed the configured request rate from one client.</w:t>
            </w:r>
          </w:p>
        </w:tc>
        <w:tc>
          <w:tcPr>
            <w:tcW w:type="dxa" w:w="2880"/>
          </w:tcPr>
          <w:p>
            <w:r>
              <w:t>429 Too Many Requests is returned.</w:t>
            </w:r>
          </w:p>
        </w:tc>
      </w:tr>
      <w:tr>
        <w:tc>
          <w:tcPr>
            <w:tcW w:type="dxa" w:w="2880"/>
          </w:tcPr>
          <w:p>
            <w:r>
              <w:t>TC-B9-02</w:t>
            </w:r>
          </w:p>
        </w:tc>
        <w:tc>
          <w:tcPr>
            <w:tcW w:type="dxa" w:w="2880"/>
          </w:tcPr>
          <w:p>
            <w:r>
              <w:t>Submit a payload with injection-style input.</w:t>
            </w:r>
          </w:p>
        </w:tc>
        <w:tc>
          <w:tcPr>
            <w:tcW w:type="dxa" w:w="2880"/>
          </w:tcPr>
          <w:p>
            <w:r>
              <w:t>Input is sanitized/rejected; no injection occurs.</w:t>
            </w:r>
          </w:p>
        </w:tc>
      </w:tr>
      <w:tr>
        <w:tc>
          <w:tcPr>
            <w:tcW w:type="dxa" w:w="2880"/>
          </w:tcPr>
          <w:p>
            <w:r>
              <w:t>TC-B9-03</w:t>
            </w:r>
          </w:p>
        </w:tc>
        <w:tc>
          <w:tcPr>
            <w:tcW w:type="dxa" w:w="2880"/>
          </w:tcPr>
          <w:p>
            <w:r>
              <w:t>Run the security audit tool.</w:t>
            </w:r>
          </w:p>
        </w:tc>
        <w:tc>
          <w:tcPr>
            <w:tcW w:type="dxa" w:w="2880"/>
          </w:tcPr>
          <w:p>
            <w:r>
              <w:t>No high/critical vulnerabilities remain unresolved.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