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4"/>
          <w:szCs w:val="44"/>
        </w:rPr>
        <w:t xml:space="preserve">Technical Document</w:t>
      </w:r>
    </w:p>
    <w:p>
      <w:pPr>
        <w:pBdr>
          <w:bottom w:val="single" w:color="1F3864" w:sz="6" w:space="8"/>
        </w:pBdr>
        <w:spacing w:after="400"/>
        <w:jc w:val="center"/>
      </w:pPr>
      <w:r>
        <w:rPr>
          <w:i/>
          <w:iCs/>
          <w:color w:val="595959"/>
          <w:sz w:val="24"/>
          <w:szCs w:val="24"/>
        </w:rPr>
        <w:t xml:space="preserve">4D Representation Platform</w:t>
      </w:r>
    </w:p>
    <w:p>
      <w:pPr>
        <w:pStyle w:val="Heading1"/>
        <w:spacing w:after="160" w:before="360"/>
      </w:pPr>
      <w:r>
        <w:t xml:space="preserve">1. System Architecture</w:t>
      </w:r>
    </w:p>
    <w:p>
      <w:pPr>
        <w:spacing w:after="200"/>
      </w:pPr>
      <w:r>
        <w:t xml:space="preserve">The platform utilizes a TypeScript-first monorepo architecture combining Next.js for the frontend and NestJS for the backend. This combination provides server-side rendering, static generation, and client-side hydration within a unified routing model on the frontend, alongside a dependency-injection-based modular architecture on the backend.</w:t>
      </w:r>
    </w:p>
    <w:p>
      <w:pPr>
        <w:pStyle w:val="Heading1"/>
        <w:spacing w:after="160" w:before="360"/>
      </w:pPr>
      <w:r>
        <w:t xml:space="preserve">2. Frontend Architecture (Next.js)</w:t>
      </w:r>
    </w:p>
    <w:p>
      <w:pPr>
        <w:pStyle w:val="ListParagraph"/>
        <w:numPr>
          <w:ilvl w:val="0"/>
          <w:numId w:val="1"/>
        </w:numPr>
        <w:spacing w:after="120"/>
      </w:pPr>
      <w:r>
        <w:rPr>
          <w:b/>
          <w:bCs/>
        </w:rPr>
        <w:t xml:space="preserve">Routing: </w:t>
      </w:r>
      <w:r>
        <w:t xml:space="preserve">Next.js App Router segments routes into public and authenticated groups via route groups.</w:t>
      </w:r>
    </w:p>
    <w:p>
      <w:pPr>
        <w:pStyle w:val="ListParagraph"/>
        <w:numPr>
          <w:ilvl w:val="0"/>
          <w:numId w:val="1"/>
        </w:numPr>
        <w:spacing w:after="120"/>
      </w:pPr>
      <w:r>
        <w:rPr>
          <w:b/>
          <w:bCs/>
        </w:rPr>
        <w:t xml:space="preserve">State Management: </w:t>
      </w:r>
      <w:r>
        <w:t xml:space="preserve">Global authentication state is centralized in React Context providers. For more complex 4D interaction states, Zustand is used to manage global state with hooks, ensuring that only components dependent on state changes re-render.</w:t>
      </w:r>
    </w:p>
    <w:p>
      <w:pPr>
        <w:pStyle w:val="ListParagraph"/>
        <w:numPr>
          <w:ilvl w:val="0"/>
          <w:numId w:val="1"/>
        </w:numPr>
        <w:spacing w:after="120"/>
      </w:pPr>
      <w:r>
        <w:rPr>
          <w:b/>
          <w:bCs/>
        </w:rPr>
        <w:t xml:space="preserve">Rendering: </w:t>
      </w:r>
      <w:r>
        <w:t xml:space="preserve">The application uses React Server Components to optimize performance, bringing up the entire system with a single npm install and npm run dev command while preserving operational independence in deployment.</w:t>
      </w:r>
    </w:p>
    <w:p>
      <w:pPr>
        <w:pStyle w:val="Heading1"/>
        <w:spacing w:after="160" w:before="360"/>
      </w:pPr>
      <w:r>
        <w:t xml:space="preserve">3. Backend Architecture (NestJS)</w:t>
      </w:r>
    </w:p>
    <w:p>
      <w:pPr>
        <w:pStyle w:val="ListParagraph"/>
        <w:numPr>
          <w:ilvl w:val="0"/>
          <w:numId w:val="1"/>
        </w:numPr>
        <w:spacing w:after="120"/>
      </w:pPr>
      <w:r>
        <w:rPr>
          <w:b/>
          <w:bCs/>
        </w:rPr>
        <w:t xml:space="preserve">Modular Structure: </w:t>
      </w:r>
      <w:r>
        <w:t xml:space="preserve">The backend is structured around feature modules, each containing a controller, a service, a data transfer object (DTO), and an optional set of guards and interceptors.</w:t>
      </w:r>
    </w:p>
    <w:p>
      <w:pPr>
        <w:pStyle w:val="ListParagraph"/>
        <w:numPr>
          <w:ilvl w:val="0"/>
          <w:numId w:val="1"/>
        </w:numPr>
        <w:spacing w:after="120"/>
      </w:pPr>
      <w:r>
        <w:rPr>
          <w:b/>
          <w:bCs/>
        </w:rPr>
        <w:t xml:space="preserve">Cross-Cutting Concerns: </w:t>
      </w:r>
      <w:r>
        <w:t xml:space="preserve">Handled by global providers. A validation pipe processes all incoming requests against declarative constraints of their DTOs. An exception filter normalizes all error responses to a consistent JSON structure. An interceptor wraps all successful responses in a standard envelope.</w:t>
      </w:r>
    </w:p>
    <w:p>
      <w:pPr>
        <w:pStyle w:val="ListParagraph"/>
        <w:numPr>
          <w:ilvl w:val="0"/>
          <w:numId w:val="1"/>
        </w:numPr>
        <w:spacing w:after="120"/>
      </w:pPr>
      <w:r>
        <w:rPr>
          <w:b/>
          <w:bCs/>
        </w:rPr>
        <w:t xml:space="preserve">Authentication: </w:t>
      </w:r>
      <w:r>
        <w:t xml:space="preserve">Enforced through globally registered guards with opt-out support for endpoints that intentionally accept anonymous requests.</w:t>
      </w:r>
    </w:p>
    <w:p>
      <w:pPr>
        <w:pStyle w:val="Heading1"/>
        <w:spacing w:after="160" w:before="360"/>
      </w:pPr>
      <w:r>
        <w:t xml:space="preserve">4. Database Integration (MongoDB)</w:t>
      </w:r>
    </w:p>
    <w:p>
      <w:pPr>
        <w:pStyle w:val="ListParagraph"/>
        <w:numPr>
          <w:ilvl w:val="0"/>
          <w:numId w:val="1"/>
        </w:numPr>
        <w:spacing w:after="120"/>
      </w:pPr>
      <w:r>
        <w:rPr>
          <w:b/>
          <w:bCs/>
        </w:rPr>
        <w:t xml:space="preserve">Primary Database: </w:t>
      </w:r>
      <w:r>
        <w:t xml:space="preserve">MongoDB is used as the primary data store, offering a schema-less structure advantageous for the varied and evolving data needs of 4D scene configurations and user-generated content.</w:t>
      </w:r>
    </w:p>
    <w:p>
      <w:pPr>
        <w:pStyle w:val="ListParagraph"/>
        <w:numPr>
          <w:ilvl w:val="0"/>
          <w:numId w:val="1"/>
        </w:numPr>
        <w:spacing w:after="120"/>
      </w:pPr>
      <w:r>
        <w:rPr>
          <w:b/>
          <w:bCs/>
        </w:rPr>
        <w:t xml:space="preserve">Object Relational Mapping: </w:t>
      </w:r>
      <w:r>
        <w:t xml:space="preserve">Mongoose is used to establish connections to the database and execute queries.</w:t>
      </w:r>
    </w:p>
    <w:p>
      <w:pPr>
        <w:pStyle w:val="ListParagraph"/>
        <w:numPr>
          <w:ilvl w:val="0"/>
          <w:numId w:val="1"/>
        </w:numPr>
        <w:spacing w:after="120"/>
      </w:pPr>
      <w:r>
        <w:rPr>
          <w:b/>
          <w:bCs/>
        </w:rPr>
        <w:t xml:space="preserve">Data Access: </w:t>
      </w:r>
      <w:r>
        <w:t xml:space="preserve">The schema-less nature of MongoDB allows the system to grow organically, accommodating new 4D visualization features without database overhauls. It supports fast data retrieval, enabling real-time updates and responsiveness.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2026-09-16T06:48:11.063Z</dcterms:created>
  <dcterms:modified xsi:type="dcterms:W3CDTF">2026-09-16T06:48:11.063Z</dcterms:modified>
</cp:coreProperties>
</file>

<file path=docProps/custom.xml><?xml version="1.0" encoding="utf-8"?>
<Properties xmlns="http://schemas.openxmlformats.org/officeDocument/2006/custom-properties" xmlns:vt="http://schemas.openxmlformats.org/officeDocument/2006/docPropsVTypes"/>
</file>