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/>
          <w:b/>
          <w:color w:val="0F2C59"/>
          <w:sz w:val="56"/>
          <w:rFonts w:ascii="Calibri" w:hAnsi="Calibri"/>
        </w:rPr>
        <w:t>VigilAI</w:t>
      </w:r>
    </w:p>
    <w:p>
      <w:pPr>
        <w:spacing w:after="160" w:before="0" w:line="240" w:lineRule="auto"/>
        <w:jc w:val="center"/>
      </w:pPr>
      <w:r>
        <w:rPr>
          <w:rFonts w:ascii="Calibri" w:hAnsi="Calibri"/>
          <w:b/>
          <w:color w:val="0F2C59"/>
          <w:sz w:val="32"/>
          <w:rFonts w:ascii="Calibri" w:hAnsi="Calibri"/>
        </w:rPr>
        <w:t>Application Handbook</w:t>
      </w:r>
    </w:p>
    <w:p>
      <w:pPr>
        <w:spacing w:after="80" w:before="0" w:line="240" w:lineRule="auto"/>
        <w:jc w:val="center"/>
      </w:pPr>
      <w:r>
        <w:rPr>
          <w:rFonts w:ascii="Calibri" w:hAnsi="Calibri"/>
          <w:b w:val="0"/>
          <w:color w:val="64748B"/>
          <w:sz w:val="22"/>
          <w:rFonts w:ascii="Calibri" w:hAnsi="Calibri"/>
        </w:rPr>
        <w:t>Where · How · What · Why — features, metrics, data sources, and empty-result teaching scripts</w:t>
      </w:r>
    </w:p>
    <w:p>
      <w:pPr>
        <w:spacing w:after="240" w:before="0" w:line="240" w:lineRule="auto"/>
        <w:jc w:val="center"/>
      </w:pPr>
      <w:r>
        <w:rPr>
          <w:rFonts w:ascii="Calibri" w:hAnsi="Calibri"/>
          <w:b w:val="0"/>
          <w:color w:val="64748B"/>
          <w:sz w:val="18"/>
          <w:rFonts w:ascii="Calibri" w:hAnsi="Calibri"/>
        </w:rPr>
        <w:t>Live: https://vigil-ai-eight.vercel.app  ·  API: https://vigil-ai-api.onrender.com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6F0" w:val="clear"/>
          </w:tcPr>
          <w:p>
            <w:r/>
            <w:r>
              <w:rPr>
                <w:rFonts w:ascii="Calibri" w:hAnsi="Calibri"/>
                <w:b/>
                <w:color w:val="0F2C59"/>
                <w:sz w:val="20"/>
                <w:rFonts w:ascii="Calibri" w:hAnsi="Calibri"/>
              </w:rPr>
              <w:t>Primary markdown (diagrams + §19 empty-result scripts)</w:t>
            </w:r>
          </w:p>
          <w:p>
            <w:r>
              <w:rPr>
                <w:rFonts w:ascii="Calibri" w:hAnsi="Calibri"/>
                <w:b w:val="0"/>
                <w:color w:val="1E293B"/>
                <w:sz w:val="20"/>
                <w:rFonts w:ascii="Calibri" w:hAnsi="Calibri"/>
              </w:rPr>
              <w:t>Full mermaid architecture diagrams, metrics explanations, data-source cheat sheet, and “when you don’t see expected output” live in docs/VIGILAI_APPLICATION_HANDBOOK.md. This Word file is the shareable handout for stakeholders who prefer .docx.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1. What VigilAI is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VigilAI is an offline-first pharmacovigilance and device-vigilance platform. It ingests unstructured patient and regulatory chatter, extracts clinical entities, validates adverse events with an explainable 4-gate engine, computes disproportionality (PRR / ROR / χ² / EBGM / BCPNN), overlays analytic lenses (Remine, DDI, Pregnancy, Risk populations…), and manages signals through a GVP-shaped workflow with demo E2B / CIOMS / SAR exports.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It is</w:t>
            </w:r>
          </w:p>
        </w:tc>
        <w:tc>
          <w:tcPr>
            <w:tcW w:type="dxa" w:w="4986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It is not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Working prototype for demos &amp; KT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Validated regulatory submission system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Drugs + vaccines + devices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US-only or drug-only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Offline-capable (every network path degrades)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Dependent on paid API keys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Honest about licensed-network surrogates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 live WHO VigiBase bulk feed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2. Why it exists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Pre-market trials are small and short. Rare and late harms often appear first in conversation before structured ICSRs. VigilAI hears that chatter, codes it to MedDRA-style / ATC / GMDN concepts, decides “is this an AE?” with auditable gates, ranks associations with regulator-shaped stats, stress-tests them (remine, DDI, pregnancy, risk strata), and hands off to workflow + demo exports.</w:t>
      </w:r>
    </w:p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3. Roles &amp; login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Role</w:t>
            </w:r>
          </w:p>
        </w:tc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Account</w:t>
            </w:r>
          </w:p>
        </w:tc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Can 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Admin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admin@vigilai.dev / admin123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Everything (users, ingest, reset)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Analyst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analyst@vigilai.dev / analyst123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Analytics, review, Forge, Projects, Pathfinder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Viewer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viewer@vigilai.dev / viewer123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Read signals / lenses / exports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4. Architecture (summary)</w:t>
      </w:r>
    </w:p>
    <w:p>
      <w:pPr>
        <w:spacing w:after="120" w:before="0" w:line="240" w:lineRule="auto"/>
      </w:pPr>
      <w:r>
        <w:rPr>
          <w:rFonts w:ascii="Calibri" w:hAnsi="Calibri"/>
          <w:b/>
          <w:color w:val="0F2C59"/>
          <w:sz w:val="24"/>
          <w:rFonts w:ascii="Calibri" w:hAnsi="Calibri"/>
        </w:rPr>
        <w:t>Layers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Frontend (React + Vite hubs, ⌘K) → FastAPI + JWT → NLP / 4-gate AE → Disproportionality + analytic lenses → Lifecycle / alerts → SQLite or Neon Postgres. Optional openFDA / PubMed / DailyMed / MAUDE degrade to fixtures offline. Deploy: Vercel (UI) → Render (API) → Neon (DB).</w:t>
      </w:r>
    </w:p>
    <w:p>
      <w:pPr>
        <w:spacing w:after="120" w:before="0" w:line="240" w:lineRule="auto"/>
      </w:pPr>
      <w:r>
        <w:rPr>
          <w:rFonts w:ascii="Calibri" w:hAnsi="Calibri"/>
          <w:b/>
          <w:color w:val="0F2C59"/>
          <w:sz w:val="24"/>
          <w:rFonts w:ascii="Calibri" w:hAnsi="Calibri"/>
        </w:rPr>
        <w:t>End-to-end pipeline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Ingest → PII scrub → entities / sentiment / negation → 4-gate AE → recompute signals (PRR/ROR/χ²/EBGM/IC) → lenses (read-only overlays) → background evidence enrich → workflow → SAR / E2B / CIOMS.</w:t>
      </w:r>
    </w:p>
    <w:p>
      <w:pPr>
        <w:spacing w:after="120" w:before="0" w:line="240" w:lineRule="auto"/>
      </w:pPr>
      <w:r>
        <w:rPr>
          <w:rFonts w:ascii="Calibri" w:hAnsi="Calibri"/>
          <w:b/>
          <w:color w:val="0F2C59"/>
          <w:sz w:val="24"/>
          <w:rFonts w:ascii="Calibri" w:hAnsi="Calibri"/>
        </w:rPr>
        <w:t>Remine (competition bias)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Case-level unmasking drops whole reports mentioning a masker product, then rebuilds the 2×2. Masking ratio MR = PRR_after/PRR_before = coreporting_term × comparator_term. Only threshold-crossing (unmasked) is strongly actionable; raw PRR rises often reflect shared comparator arithmetic.</w:t>
      </w:r>
    </w:p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5. How to use (first 5 minutes)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1. Open the live app → Login (admin or analyst).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2. Confirm project in the header (General Pharmacovigilance by default).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3. Data Sources → Load PV demo pack if Remine / DDI / Register look thin.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4. Safety Signals → Detect → type warfarin or paracetamol → open a row.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5. Read Conclusions first, then the label line, then PrOACT, then DMA.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6. Safety Signals → Register → advance one lifecycle action (Looking into it).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7. Dashboard → Inspection &amp; COU → overdue SLAs + Not validated for boundaries.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8. Lenses → Risk → REM: try paracetamol + Hepatic injury (ranked) and optionally pacemaker (empty gates).</w:t>
      </w:r>
    </w:p>
    <w:p>
      <w:pPr>
        <w:spacing w:after="6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9. Optional: Lenses → Remine lab → Needs review → Run remine on warfarin / haemorrhage.</w:t>
      </w:r>
    </w:p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6. Navigation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Hub</w:t>
            </w:r>
          </w:p>
        </w:tc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Route</w:t>
            </w:r>
          </w:p>
        </w:tc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Purpose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Dashboard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/dashboard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Corpus · Ops KPIs · Inspection &amp; COU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Safety Signals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/signals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Detect · Register · Workflow · Alerts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Analytic Lenses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/lenses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Predictive · Remine · REM Risk · DDI · Pregnancy · SMQ · Class · Vaccine · Geo · vs FAERS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Evidence Explorer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/graph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Drug↔AE graph · Story · Glossary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Projects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/projects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Workspaces + keywords for Pathfinder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Source Discovery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/source-queue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Pathfinder · Manual forum URL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Data Sources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/sources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Catalog · Live stream · Networks · Agent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Data Forge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/forge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Synthetic posts (analyst+)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Users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/users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Admin only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7. How to use each feature (step by step)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Full click-by-click recipes live in the markdown handbook §7 (Dashboard, Detect, Register, Signal Detail, Workflow, Alerts, Remine, REM Risk, Predictive intel, DDI, Pregnancy, SMQ, Class, Vaccine, Geo, vs FAERS, Graph, Projects/keywords, Pathfinder, Sources, Forge, Users). Summary: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Detect: search product → open row → read Conclusions + label first.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Register: GVP IX queue — plain lifecycle buttons (Inbox → Looking into it → …).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Detail: Conclusions · PrOACT · Inspection · Triangulation · Causality · always-on PGx.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REM ranking: paracetamol + Hepatic injury shows strata; pacemaker often correctly empty.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Remine lab: filter Needs review → Run remine → judge threshold crossing, not raw PRR rise.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Inspection &amp; COU: SLA overdue + hard Not validated for boundaries (not a backlog).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Sources: Load PV demo pack once when Remine/DDI/REM look thin.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Exports: SAR / PBRER / E2B / CIOMS — demo templates only.</w:t>
      </w:r>
    </w:p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8. Feature catalog (highlights)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Feature</w:t>
            </w:r>
          </w:p>
        </w:tc>
        <w:tc>
          <w:tcPr>
            <w:tcW w:type="dxa" w:w="4986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What / Why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Detect + jump search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Ranked product→event table; type to jump (no scrolling)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Conclusions / briefing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Plain-English verdict from PRR, n, calibration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Label filter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Novel vs in-label vs boxed; Weber gate on launch noise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Register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GVP IX tracking queue + SAR/PBRER exports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4-gate AE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Product · symptom · negative sentiment · non-negated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Remine lab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Corpus-wide competition-bias screen; read-only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REM ranking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Subpopulation Risk Elevation Multiplier (gates REM≥1.5, χ²≥4)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PGx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Always-on CPIC/PharmGKB screen (actionable or clean)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PrOACT / BRAT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Benefit vs severe AE balance + eight PrOACT-URL dimensions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Inspection / COU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SLA overdue + Context of Use credibility scorecard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Lot / longitudinal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Shown only when lot cues or biologic/ATMP/late-signal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DDI / Pregnancy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Polypharmacy co-mentions · teratogen / congenital cohort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SMQ / Class / Vaccine / Geo / vs FAERS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Syndrome, ATC class, AESI, clusters, FDA divergence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Project keywords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Intent vocabulary for Pathfinder + literature narrowing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9. Signal science (cheat sheet)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Metric</w:t>
            </w:r>
          </w:p>
        </w:tc>
        <w:tc>
          <w:tcPr>
            <w:tcW w:type="dxa" w:w="4986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Meaning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PRR / ROR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Reporting rate / odds vs rest of corpus (+0.5 continuity)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χ² (Yates)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Independence on 2×2; ≥4 supports signal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EB05 / IC025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Bayesian lower bounds (MGPS / BCPNN flavored)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SDR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Composite signal of disproportionate reporting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STRONG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PRR≥2, χ²≥4, count≥3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REM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P(AE|Drug∩Subpop) / P(AE|Drug∩General); keep if REM≥1.5 &amp; χ²≥4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Remine outcomes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unmasked · co_reported · vanished · attenuated · amplified · stable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NNT / NNH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Illustrative benefit / report-derived harm proxy in PrOACT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9b. When output looks empty (not always a bug)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Full teaching scripts: markdown handbook §19. Short version for demos: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REM empty + n_exposed shown: gates held (tiny n / high baseline) — try paracetamol → Hepatic injury.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Lot / longitudinal missing: correctly not relevant (no lot cues / not biologic-ATMP).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PGx “no Level-A match”: clean screen (e.g. apixaban → haemorrhage).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Triangulation INSUFFICIENT: social loud, regulatory thin — teaching point.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Red error / endless spinner / 404 on /api/inspection: deploy or wake API — real failure.</w:t>
      </w:r>
    </w:p>
    <w:p>
      <w:pPr>
        <w:spacing w:after="4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• Detect Novel chip ≠ PrOACT — open Signal Detail for the PrOACT-URL / BRAT badge.</w:t>
      </w:r>
    </w:p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10. Project keywords — why they matter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On Projects → Create workspace, comma-separated keywords are stored on the project. They are the intent vocabulary VigilAI uses for swift retrieval: Pathfinder builds “patient forums discussing {keywords}…” and literature crawls narrow the same way. Use 3–8 terms mixing product/class, event, and community language. After saving, activate the project → Source Discovery → Run Pathfinder → Approve → Fetch.</w:t>
      </w:r>
    </w:p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11. Compiled keyword packs (copy/paste)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Pack</w:t>
            </w:r>
          </w:p>
        </w:tc>
        <w:tc>
          <w:tcPr>
            <w:tcW w:type="dxa" w:w="4986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Keywords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General PV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adverse reaction, side effect, drug safety, pharmacovigilance, patient forum, MedWatch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Anticoagulants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warfarin, rivaroxaban, apixaban, haemorrhage, bleeding, anticoagulant, INR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Psychiatry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paroxetine, sertraline, lithium, suicidal ideation, akathisia, SSRI, bipolar forum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GLP-1 / metabolic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semaglutide, Ozempic, Wegovy, pancreatitis, gastroparesis, nausea, weight loss drug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Oncology / ICI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pembrolizumab, nivolumab, checkpoint inhibitor, immune-related AE, colitis, pneumonitis, oncology forum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Pregnancy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pregnancy, congenital anomaly, birth defect, teratogen, lithium pregnancy, valproate, neural tube defect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Vaccine / AESI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myocarditis, vaccine side effects, reactogenicity, MMR, COVID-19 vaccine, VAERS, immunization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Devices · cardiac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pacemaker, coronary stent, defibrillator, lead fracture, device malfunction, MAUDE, implant forum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Devices · diabetes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insulin pump, continuous glucose monitor, CGM, overinfusion, sensor error, infusion set, diabetes device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DDI / polypharmacy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polypharmacy, drug interaction, warfarin amiodarone, serotonin syndrome, concomitant medication</w:t>
            </w:r>
          </w:p>
        </w:tc>
      </w:tr>
    </w:tbl>
    <w:p/>
    <w:p>
      <w:pPr>
        <w:spacing w:after="120" w:before="0" w:line="240" w:lineRule="auto"/>
      </w:pPr>
      <w:r>
        <w:rPr>
          <w:rFonts w:ascii="Calibri" w:hAnsi="Calibri"/>
          <w:b/>
          <w:color w:val="0F2C59"/>
          <w:sz w:val="24"/>
          <w:rFonts w:ascii="Calibri" w:hAnsi="Calibri"/>
        </w:rPr>
        <w:t>In-app Detect jump strings (corpus lookup, not Pathfinder)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Drugs: warfarin, rivaroxaban, semaglutide, paroxetine, sertraline, lithium, ibuprofen.  Vaccines: covid-19 mrna vaccine, MMR.  Devices: coronary stent, catheter, pacemaker, insulin pump, continuous glucose monitor.  Events: Haemorrhage, Fatigue, Anxiety, Device malfunction, Nausea.</w:t>
      </w:r>
    </w:p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12. Quick keyword index (find anything)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You want…</w:t>
            </w:r>
          </w:p>
        </w:tc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Search / say</w:t>
            </w:r>
          </w:p>
        </w:tc>
        <w:tc>
          <w:tcPr>
            <w:tcW w:type="dxa" w:w="3324"/>
            <w:shd w:fill="0F2C59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  <w:rFonts w:ascii="Calibri" w:hAnsi="Calibri"/>
              </w:rPr>
              <w:t>Go 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Main signal table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Detect, SDR, PRR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/signals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GVP Register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Register, PBRER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/signals?tab=register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Conclusions / PrOACT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Conclusions, PrOACT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Signal Detail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Label novel vs in-label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label filter, Novel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Signal Detail hero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PGx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CPIC, PharmGKB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Signal Detail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Inspection / COU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SLA, credibility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/dashboard?tab=governance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REM ranking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REM, risk populations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/lenses?tab=risk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Competition bias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Remine, masking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/lenses?tab=remine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Empty REM explanation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§19 empty result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Handbook §19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Demo data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PV demo pack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/sources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Export ICSR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E2B, CIOMS, SAR, PBRER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color w:val="1E293B"/>
                <w:sz w:val="18"/>
                <w:rFonts w:ascii="Calibri" w:hAnsi="Calibri"/>
              </w:rPr>
              <w:t>Detail / Register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2C59"/>
          <w:sz w:val="36"/>
          <w:rFonts w:ascii="Calibri" w:hAnsi="Calibri"/>
        </w:rPr>
        <w:t>13. Disclaimers</w:t>
      </w:r>
    </w:p>
    <w:p>
      <w:pPr>
        <w:spacing w:after="120" w:before="0" w:line="240" w:lineRule="auto"/>
      </w:pPr>
      <w:r>
        <w:rPr>
          <w:rFonts w:ascii="Calibri" w:hAnsi="Calibri"/>
          <w:b w:val="0"/>
          <w:color w:val="1E293B"/>
          <w:sz w:val="22"/>
          <w:rFonts w:ascii="Calibri" w:hAnsi="Calibri"/>
        </w:rPr>
        <w:t>Prototype; synthetic data is fictional; openFDA = US FAERS/MAUDE (plus other open feeds as wired); MedDRA coding is an open surrogate (not licensed MedDRA); E2B/CIOMS/SAR/PBRER are demo templates; PGx and PrOACT NNT/NNH are teaching surrogates; COU “Not validated for” items are permanent scope boundaries; not for clinical use.</w:t>
      </w:r>
    </w:p>
    <w:p>
      <w:pPr>
        <w:spacing w:after="0" w:before="0" w:line="240" w:lineRule="auto"/>
      </w:pPr>
      <w:r>
        <w:rPr>
          <w:rFonts w:ascii="Calibri" w:hAnsi="Calibri"/>
          <w:b w:val="0"/>
          <w:color w:val="64748B"/>
          <w:sz w:val="18"/>
          <w:rFonts w:ascii="Calibri" w:hAnsi="Calibri"/>
        </w:rPr>
        <w:t>Full diagrams, metrics, data-source cheat sheet &amp; empty-result scripts: docs/VIGILAI_APPLICATION_HANDBOOK.md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