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/>
          <w:b/>
          <w:color w:val="0F2C59"/>
          <w:sz w:val="56"/>
          <w:rFonts w:ascii="Calibri" w:hAnsi="Calibri"/>
        </w:rPr>
        <w:t>VigilAI</w:t>
      </w:r>
    </w:p>
    <w:p>
      <w:pPr>
        <w:spacing w:after="160" w:before="0" w:line="240" w:lineRule="auto"/>
        <w:jc w:val="center"/>
      </w:pPr>
      <w:r>
        <w:rPr>
          <w:rFonts w:ascii="Calibri" w:hAnsi="Calibri"/>
          <w:b/>
          <w:color w:val="0F2C59"/>
          <w:sz w:val="32"/>
          <w:rFonts w:ascii="Calibri" w:hAnsi="Calibri"/>
        </w:rPr>
        <w:t>Application Handbook</w:t>
      </w:r>
    </w:p>
    <w:p>
      <w:pPr>
        <w:spacing w:after="80" w:before="0" w:line="240" w:lineRule="auto"/>
        <w:jc w:val="center"/>
      </w:pPr>
      <w:r>
        <w:rPr>
          <w:rFonts w:ascii="Calibri" w:hAnsi="Calibri"/>
          <w:b w:val="0"/>
          <w:color w:val="64748B"/>
          <w:sz w:val="22"/>
          <w:rFonts w:ascii="Calibri" w:hAnsi="Calibri"/>
        </w:rPr>
        <w:t>Where · How · What · Why — features, architecture, and keyword packs for swift retrieval</w:t>
      </w:r>
    </w:p>
    <w:p>
      <w:pPr>
        <w:spacing w:after="240" w:before="0" w:line="240" w:lineRule="auto"/>
        <w:jc w:val="center"/>
      </w:pPr>
      <w:r>
        <w:rPr>
          <w:rFonts w:ascii="Calibri" w:hAnsi="Calibri"/>
          <w:b w:val="0"/>
          <w:color w:val="64748B"/>
          <w:sz w:val="18"/>
          <w:rFonts w:ascii="Calibri" w:hAnsi="Calibri"/>
        </w:rPr>
        <w:t>Live: https://vigil-ai-eight.vercel.app  ·  API: https://vigil-ai-api.onrender.com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EF6F0" w:val="clear"/>
          </w:tcPr>
          <w:p>
            <w:r/>
            <w:r>
              <w:rPr>
                <w:rFonts w:ascii="Calibri" w:hAnsi="Calibri"/>
                <w:b/>
                <w:color w:val="0F2C59"/>
                <w:sz w:val="20"/>
                <w:rFonts w:ascii="Calibri" w:hAnsi="Calibri"/>
              </w:rPr>
              <w:t>Primary markdown (diagrams render in GitHub / Cursor)</w:t>
            </w:r>
          </w:p>
          <w:p>
            <w:r>
              <w:rPr>
                <w:rFonts w:ascii="Calibri" w:hAnsi="Calibri"/>
                <w:b w:val="0"/>
                <w:color w:val="1E293B"/>
                <w:sz w:val="20"/>
                <w:rFonts w:ascii="Calibri" w:hAnsi="Calibri"/>
              </w:rPr>
              <w:t>Full mermaid architecture diagrams live in docs/VIGILAI_APPLICATION_HANDBOOK.md. This Word file is the shareable handout for stakeholders who prefer .docx.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1. What VigilAI is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VigilAI is an offline-first pharmacovigilance and device-vigilance platform. It ingests unstructured patient and regulatory chatter, extracts clinical entities, validates adverse events with an explainable 4-gate engine, computes disproportionality (PRR / ROR / χ² / EBGM / BCPNN), overlays analytic lenses (Remine, DDI, Pregnancy, Risk populations…), and manages signals through a GVP-shaped workflow with demo E2B / CIOMS / SAR exports.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It is</w:t>
            </w:r>
          </w:p>
        </w:tc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It is not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Working prototype for demos &amp; KT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Validated regulatory submission system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Drugs + vaccines + devices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US-only or drug-only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Offline-capable (every network path degrades)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Dependent on paid API keys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Honest about licensed-network surrogates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 live WHO VigiBase bulk feed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2. Why it exists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Pre-market trials are small and short. Rare and late harms often appear first in conversation before structured ICSRs. VigilAI hears that chatter, codes it to MedDRA-style / ATC / GMDN concepts, decides “is this an AE?” with auditable gates, ranks associations with regulator-shaped stats, stress-tests them (remine, DDI, pregnancy, risk strata), and hands off to workflow + demo exports.</w:t>
      </w:r>
    </w:p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3. Roles &amp; login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Role</w:t>
            </w:r>
          </w:p>
        </w:tc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Account</w:t>
            </w:r>
          </w:p>
        </w:tc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Can do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Admin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admin@vigilai.dev / admin123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Everything (users, ingest, reset)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Analyst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analyst@vigilai.dev / analyst123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Analytics, review, Forge, Projects, Pathfinder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Viewer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viewer@vigilai.dev / viewer123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Read signals / lenses / exports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4. Architecture (summary)</w:t>
      </w:r>
    </w:p>
    <w:p>
      <w:pPr>
        <w:spacing w:after="120" w:before="0" w:line="240" w:lineRule="auto"/>
      </w:pPr>
      <w:r>
        <w:rPr>
          <w:rFonts w:ascii="Calibri" w:hAnsi="Calibri"/>
          <w:b/>
          <w:color w:val="0F2C59"/>
          <w:sz w:val="24"/>
          <w:rFonts w:ascii="Calibri" w:hAnsi="Calibri"/>
        </w:rPr>
        <w:t>Layers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Frontend (React + Vite hubs, ⌘K) → FastAPI + JWT → NLP / 4-gate AE → Disproportionality + analytic lenses → Lifecycle / alerts → SQLite or Neon Postgres. Optional openFDA / PubMed / DailyMed / MAUDE degrade to fixtures offline. Deploy: Vercel (UI) → Render (API) → Neon (DB).</w:t>
      </w:r>
    </w:p>
    <w:p>
      <w:pPr>
        <w:spacing w:after="120" w:before="0" w:line="240" w:lineRule="auto"/>
      </w:pPr>
      <w:r>
        <w:rPr>
          <w:rFonts w:ascii="Calibri" w:hAnsi="Calibri"/>
          <w:b/>
          <w:color w:val="0F2C59"/>
          <w:sz w:val="24"/>
          <w:rFonts w:ascii="Calibri" w:hAnsi="Calibri"/>
        </w:rPr>
        <w:t>End-to-end pipeline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Ingest → PII scrub → entities / sentiment / negation → 4-gate AE → recompute signals (PRR/ROR/χ²/EBGM/IC) → lenses (read-only overlays) → background evidence enrich → workflow → SAR / E2B / CIOMS.</w:t>
      </w:r>
    </w:p>
    <w:p>
      <w:pPr>
        <w:spacing w:after="120" w:before="0" w:line="240" w:lineRule="auto"/>
      </w:pPr>
      <w:r>
        <w:rPr>
          <w:rFonts w:ascii="Calibri" w:hAnsi="Calibri"/>
          <w:b/>
          <w:color w:val="0F2C59"/>
          <w:sz w:val="24"/>
          <w:rFonts w:ascii="Calibri" w:hAnsi="Calibri"/>
        </w:rPr>
        <w:t>Remine (competition bias)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Case-level unmasking drops whole reports mentioning a masker product, then rebuilds the 2×2. Masking ratio MR = PRR_after/PRR_before = coreporting_term × comparator_term. Only threshold-crossing (unmasked) is strongly actionable; raw PRR rises often reflect shared comparator arithmetic.</w:t>
      </w:r>
    </w:p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5. How to use (first 5 minutes)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1. Open the live app → Login (admin or analyst).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2. Confirm project in the header (General Pharmacovigilance by default).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3. Data Sources → Load PV demo pack if Remine/DDI/Pregnancy look empty.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4. Safety Signals → Detect → type warfarin or semaglutide → open a row.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5. Read the plain-English briefing, then gates / DMA / remine.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6. Lenses → Remine lab → filter Needs review → Run remine.</w:t>
      </w:r>
    </w:p>
    <w:p>
      <w:pPr>
        <w:spacing w:after="6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7. Optional: Evidence Explorer graph for the same product–event.</w:t>
      </w:r>
    </w:p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6. Navigation map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Hub</w:t>
            </w:r>
          </w:p>
        </w:tc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Route</w:t>
            </w:r>
          </w:p>
        </w:tc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Purpose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Dashboard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/dashboard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Corpus metrics · Ops KPIs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Safety Signals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/signals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Detect · Workflow · Alert inbox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Analytic Lenses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/lenses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Remine · Risk · DDI · Pregnancy · SMQ · Class · Vaccine · Geo · vs FAERS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Evidence Explorer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/graph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Drug↔AE graph · Story · Glossary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Projects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/projects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Workspaces + keywords for Pathfinder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Source Discovery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/source-queue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Pathfinder · Manual forum URL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Data Sources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/sources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Catalog · Live stream · Networks · Agent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Data Forge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/forge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Synthetic posts (analyst+)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Users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/users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Admin only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7. How to use each feature (step by step)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Full click-by-click recipes for every hub live in the markdown handbook §7 (Dashboard, Detect, Signal Detail, Workflow, Alerts, Remine, Risk, DDI, Pregnancy, SMQ, Class, Vaccine, Geo, vs FAERS, Graph, Projects/keywords, Pathfinder, Sources, Forge, Users, plus a 10-minute hero script). Summary of the operating pattern: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Detect: search product → open row → read briefing first.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Remine lab: filter Needs review → Run remine → judge threshold crossing, not raw PRR rise.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Lenses (DDI/Pregnancy/SMQ/…): open tab → follow Open signal / Find in Detect.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Projects: pick a keyword pack → Create → header switcher → Pathfinder → Fill/Fetch.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Sources: Load PV demo pack once when Remine/DDI/Pregnancy look empty.</w:t>
      </w:r>
    </w:p>
    <w:p>
      <w:pPr>
        <w:spacing w:after="4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• Exports: SAR / E2B / CIOMS from Signal Detail — demo templates only.</w:t>
      </w:r>
    </w:p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8. Feature catalog (highlights)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Feature</w:t>
            </w:r>
          </w:p>
        </w:tc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What / Why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Detect + jump search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Ranked product→event table; type to jump (no scrolling)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Signal briefing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Plain-English so-what for non-technical readers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4-gate AE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Product · symptom · negative sentiment · non-negated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Remine lab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Corpus-wide competition-bias screen; read-only; searchable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Risk populations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Predict high-risk age/sex/comorbidity segments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DDI / Pregnancy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Polypharmacy co-mentions · teratogen / congenital cohort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SMQ / Class / Vaccine / Geo / vs FAERS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Syndrome, ATC class, AESI, clusters, FDA divergence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SAR / E2B / CIOMS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Demo export templates — not validated submissions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Project keywords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Intent vocabulary for Pathfinder + literature narrowing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9. Signal science (cheat sheet)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Metric</w:t>
            </w:r>
          </w:p>
        </w:tc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Meaning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PRR / ROR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Reporting rate / odds vs rest of corpus (+0.5 continuity)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χ² (Yates)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Independence on 2×2; ≥4 supports signal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EB05 / IC025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Bayesian lower bounds (MGPS / BCPNN flavored)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SDR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Composite signal of disproportionate reporting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STRONG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PRR≥2, χ²≥4, count≥3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Remine outcomes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unmasked · co_reported · vanished · attenuated · amplified · stable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10. Project keywords — why they matter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On Projects → Create workspace, comma-separated keywords are stored on the project. They are the intent vocabulary VigilAI uses for swift retrieval: Pathfinder builds “patient forums discussing {keywords}…” and literature crawls narrow the same way. Use 3–8 terms mixing product/class, event, and community language. After saving, activate the project → Source Discovery → Run Pathfinder → Approve → Fetch.</w:t>
      </w:r>
    </w:p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11. Compiled keyword packs (copy/paste)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Pack</w:t>
            </w:r>
          </w:p>
        </w:tc>
        <w:tc>
          <w:tcPr>
            <w:tcW w:type="dxa" w:w="4986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Keywords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General PV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adverse reaction, side effect, drug safety, pharmacovigilance, patient forum, MedWatch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Anticoagulants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warfarin, rivaroxaban, apixaban, haemorrhage, bleeding, anticoagulant, INR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Psychiatry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paroxetine, sertraline, lithium, suicidal ideation, akathisia, SSRI, bipolar forum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GLP-1 / metabolic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semaglutide, Ozempic, Wegovy, pancreatitis, gastroparesis, nausea, weight loss drug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Oncology / ICI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pembrolizumab, nivolumab, checkpoint inhibitor, immune-related AE, colitis, pneumonitis, oncology forum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Pregnancy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pregnancy, congenital anomaly, birth defect, teratogen, lithium pregnancy, valproate, neural tube defect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Vaccine / AESI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myocarditis, vaccine side effects, reactogenicity, MMR, COVID-19 vaccine, VAERS, immunization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Devices · cardiac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pacemaker, coronary stent, defibrillator, lead fracture, device malfunction, MAUDE, implant forum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Devices · diabetes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insulin pump, continuous glucose monitor, CGM, overinfusion, sensor error, infusion set, diabetes device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DDI / polypharmacy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polypharmacy, drug interaction, warfarin amiodarone, serotonin syndrome, concomitant medication</w:t>
            </w:r>
          </w:p>
        </w:tc>
      </w:tr>
    </w:tbl>
    <w:p/>
    <w:p>
      <w:pPr>
        <w:spacing w:after="120" w:before="0" w:line="240" w:lineRule="auto"/>
      </w:pPr>
      <w:r>
        <w:rPr>
          <w:rFonts w:ascii="Calibri" w:hAnsi="Calibri"/>
          <w:b/>
          <w:color w:val="0F2C59"/>
          <w:sz w:val="24"/>
          <w:rFonts w:ascii="Calibri" w:hAnsi="Calibri"/>
        </w:rPr>
        <w:t>In-app Detect jump strings (corpus lookup, not Pathfinder)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Drugs: warfarin, rivaroxaban, semaglutide, paroxetine, sertraline, lithium, ibuprofen.  Vaccines: covid-19 mrna vaccine, MMR.  Devices: coronary stent, catheter, pacemaker, insulin pump, continuous glucose monitor.  Events: Haemorrhage, Fatigue, Anxiety, Device malfunction, Nausea.</w:t>
      </w:r>
    </w:p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11. Quick keyword index (find anything)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You want…</w:t>
            </w:r>
          </w:p>
        </w:tc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Search / say</w:t>
            </w:r>
          </w:p>
        </w:tc>
        <w:tc>
          <w:tcPr>
            <w:tcW w:type="dxa" w:w="3324"/>
            <w:shd w:fill="0F2C59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  <w:rFonts w:ascii="Calibri" w:hAnsi="Calibri"/>
              </w:rPr>
              <w:t>Go to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Main signal table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Detect, SDR, PRR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/signals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Plain-English briefing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briefing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Signal Detail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Competition bias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Remine, masking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/lenses?tab=remine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High-risk segments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risk populations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/lenses?tab=risk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Drug interactions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DDI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/lenses?tab=ddi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Pregnancy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pregnancy, congenital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/lenses?tab=pregnancy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Demo data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PV demo pack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/sources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Narrow Pathfinder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keywords, project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/projects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Export ICSR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E2B, CIOMS, SAR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color w:val="1E293B"/>
                <w:sz w:val="18"/>
                <w:rFonts w:ascii="Calibri" w:hAnsi="Calibri"/>
              </w:rPr>
              <w:t>Signal Detail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F2C59"/>
          <w:sz w:val="36"/>
          <w:rFonts w:ascii="Calibri" w:hAnsi="Calibri"/>
        </w:rPr>
        <w:t>12. Disclaimers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1E293B"/>
          <w:sz w:val="22"/>
          <w:rFonts w:ascii="Calibri" w:hAnsi="Calibri"/>
        </w:rPr>
        <w:t>Prototype; synthetic data is fictional; openFDA = US FAERS/MAUDE (plus other open feeds as wired); MedDRA coding is an open surrogate (not licensed MedDRA); E2B/CIOMS/SAR are demo templates (not validated submissions); not for clinical use.</w:t>
      </w:r>
    </w:p>
    <w:p>
      <w:pPr>
        <w:spacing w:after="0" w:before="0" w:line="240" w:lineRule="auto"/>
      </w:pPr>
      <w:r>
        <w:rPr>
          <w:rFonts w:ascii="Calibri" w:hAnsi="Calibri"/>
          <w:b w:val="0"/>
          <w:color w:val="64748B"/>
          <w:sz w:val="18"/>
          <w:rFonts w:ascii="Calibri" w:hAnsi="Calibri"/>
        </w:rPr>
        <w:t>Full diagrams &amp; continuous updates: docs/VIGILAI_APPLICATION_HANDBOOK.md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