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/>
          <w:b/>
          <w:color w:val="0F2C59"/>
          <w:sz w:val="56"/>
          <w:rFonts w:ascii="Calibri" w:hAnsi="Calibri"/>
        </w:rPr>
        <w:t>VigilAI</w:t>
      </w:r>
    </w:p>
    <w:p>
      <w:pPr>
        <w:spacing w:after="160" w:before="0" w:line="240" w:lineRule="auto"/>
        <w:jc w:val="center"/>
      </w:pPr>
      <w:r>
        <w:rPr>
          <w:rFonts w:ascii="Calibri" w:hAnsi="Calibri"/>
          <w:b/>
          <w:color w:val="0F2C59"/>
          <w:sz w:val="32"/>
          <w:rFonts w:ascii="Calibri" w:hAnsi="Calibri"/>
        </w:rPr>
        <w:t>Application Handbook</w:t>
      </w:r>
    </w:p>
    <w:p>
      <w:pPr>
        <w:spacing w:after="80" w:before="0" w:line="240" w:lineRule="auto"/>
        <w:jc w:val="center"/>
      </w:pPr>
      <w:r>
        <w:rPr>
          <w:rFonts w:ascii="Calibri" w:hAnsi="Calibri"/>
          <w:b w:val="0"/>
          <w:color w:val="64748B"/>
          <w:sz w:val="22"/>
          <w:rFonts w:ascii="Calibri" w:hAnsi="Calibri"/>
        </w:rPr>
        <w:t>Where · How · What · Why — features, architecture, and keyword packs for swift retrieval</w:t>
      </w:r>
    </w:p>
    <w:p>
      <w:pPr>
        <w:spacing w:after="240" w:before="0" w:line="240" w:lineRule="auto"/>
        <w:jc w:val="center"/>
      </w:pPr>
      <w:r>
        <w:rPr>
          <w:rFonts w:ascii="Calibri" w:hAnsi="Calibri"/>
          <w:b w:val="0"/>
          <w:color w:val="64748B"/>
          <w:sz w:val="18"/>
          <w:rFonts w:ascii="Calibri" w:hAnsi="Calibri"/>
        </w:rPr>
        <w:t>Live: https://vigil-ai-eight.vercel.app  ·  API: https://vigil-ai-api.onrender.com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6F0" w:val="clear"/>
          </w:tcPr>
          <w:p>
            <w:r/>
            <w:r>
              <w:rPr>
                <w:rFonts w:ascii="Calibri" w:hAnsi="Calibri"/>
                <w:b/>
                <w:color w:val="0F2C59"/>
                <w:sz w:val="20"/>
                <w:rFonts w:ascii="Calibri" w:hAnsi="Calibri"/>
              </w:rPr>
              <w:t>Primary markdown (diagrams render in GitHub / Cursor)</w:t>
            </w:r>
          </w:p>
          <w:p>
            <w:r>
              <w:rPr>
                <w:rFonts w:ascii="Calibri" w:hAnsi="Calibri"/>
                <w:b w:val="0"/>
                <w:color w:val="1E293B"/>
                <w:sz w:val="20"/>
                <w:rFonts w:ascii="Calibri" w:hAnsi="Calibri"/>
              </w:rPr>
              <w:t>Full mermaid architecture diagrams live in docs/VIGILAI_APPLICATION_HANDBOOK.md. This Word file is the shareable handout for stakeholders who prefer .docx.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1. What VigilAI is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VigilAI is an offline-first pharmacovigilance and device-vigilance platform. It ingests unstructured patient and regulatory chatter, extracts clinical entities, validates adverse events with an explainable 4-gate engine, computes disproportionality (PRR / ROR / χ² / EBGM / BCPNN), overlays analytic lenses (Remine, DDI, Pregnancy, Risk populations…), and manages signals through a GVP-shaped workflow with demo E2B / CIOMS / SAR exports.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It is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It is not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Working prototype for demos &amp; KT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Validated regulatory submission system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Drugs + vaccines + devices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US-only or drug-only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Offline-capable (every network path degrades)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Dependent on paid API keys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Honest about licensed-network surrogates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 live WHO VigiBase bulk feed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2. Why it exists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Pre-market trials are small and short. Rare and late harms often appear first in conversation before structured ICSRs. VigilAI hears that chatter, codes it to MedDRA-style / ATC / GMDN concepts, decides “is this an AE?” with auditable gates, ranks associations with regulator-shaped stats, stress-tests them (remine, DDI, pregnancy, risk strata), and hands off to workflow + demo exports.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3. Roles &amp; login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Role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Account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Can 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admin@vigilai.dev / admin123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Everything (users, ingest, reset)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Analyst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analyst@vigilai.dev / analyst123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Analytics, review, Forge, Projects, Pathfinder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Viewer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viewer@vigilai.dev / viewer123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Read signals / lenses / exports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4. Architecture (summary)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Layers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Frontend (React + Vite hubs, ⌘K) → FastAPI + JWT → NLP / 4-gate AE → Disproportionality + analytic lenses → Lifecycle / alerts → SQLite or Neon Postgres. Optional openFDA / PubMed / DailyMed / MAUDE degrade to fixtures offline. Deploy: Vercel (UI) → Render (API) → Neon (DB).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End-to-end pipeline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Ingest → PII scrub → entities / sentiment / negation → 4-gate AE → recompute signals (PRR/ROR/χ²/EBGM/IC) → lenses (read-only overlays) → background evidence enrich → workflow → SAR / E2B / CIOMS.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Remine (competition bias)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Case-level unmasking drops whole reports mentioning a masker product, then rebuilds the 2×2. Masking ratio MR = PRR_after/PRR_before = coreporting_term × comparator_term. Only threshold-crossing (unmasked) is strongly actionable; raw PRR rises often reflect shared comparator arithmetic.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5. How to use (first 5 minutes)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1. Open the live app → Login (admin or analyst).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2. Confirm project in the header (General Pharmacovigilance by default).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3. Data Sources → Load PV demo pack if Remine/DDI/Pregnancy look empty.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4. Safety Signals → Detect → type warfarin or semaglutide → open a row.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5. Read the plain-English briefing, then gates / DMA / remine.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6. Lenses → Remine lab → filter Needs review → Run remine.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7. Optional: Evidence Explorer graph for the same product–event.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6. Navigation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Hub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Route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Purpose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Dashboard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/dashboard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Corpus metrics · Ops KPIs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Safety Signals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/signals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 · Workflow · Alert inbox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Analytic Lenses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 · Risk · DDI · Pregnancy · SMQ · Class · Vaccine · Geo · vs FAERS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Evidence Explorer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/graph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Drug↔AE graph · Story · Glossary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Projects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/projects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Workspaces + keywords for Pathfinder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Source Discovery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/source-queue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Pathfinder · Manual forum URL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Data Sources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Catalog · Live stream · Networks · Agent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Data Forge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/forge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Synthetic posts (analyst+)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Users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/users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 only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7. Feature catalog (highlights)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Feature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What / Why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 + jump search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Ranked product→event table; type to jump (no scrolling)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briefing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Plain-English so-what for non-technical readers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4-gate AE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Product · symptom · negative sentiment · non-negated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 lab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Corpus-wide competition-bias screen; read-only; searchable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Risk populations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Predict high-risk age/sex/comorbidity segments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DDI / Pregnancy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Polypharmacy co-mentions · teratogen / congenital cohort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SMQ / Class / Vaccine / Geo / vs FAERS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Syndrome, ATC class, AESI, clusters, FDA divergence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SAR / E2B / CIOMS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Demo export templates — not validated submissions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Project keywords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Intent vocabulary for Pathfinder + literature narrowing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8. Signal science (cheat sheet)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Metric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PRR / ROR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Reporting rate / odds vs rest of corpus (+0.5 continuity)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χ² (Yates)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Independence on 2×2; ≥4 supports signal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EB05 / IC025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Bayesian lower bounds (MGPS / BCPNN flavored)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SDR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Composite signal of disproportionate reporting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STRONG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PRR≥2, χ²≥4, count≥3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 outcomes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unmasked · co_reported · vanished · attenuated · amplified · stable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9. Project keywords — why they matter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On Projects → Create workspace, comma-separated keywords are stored on the project. They are the intent vocabulary VigilAI uses for swift retrieval: Pathfinder builds “patient forums discussing {keywords}…” and literature crawls narrow the same way. Use 3–8 terms mixing product/class, event, and community language. After saving, activate the project → Source Discovery → Run Pathfinder → Approve → Fetch.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10. Compiled keyword packs (copy/paste)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Pack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Keywords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General PV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adverse reaction, side effect, drug safety, pharmacovigilance, patient forum, MedWatch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Anticoagulants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warfarin, rivaroxaban, apixaban, haemorrhage, bleeding, anticoagulant, INR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Psychiatry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paroxetine, sertraline, lithium, suicidal ideation, akathisia, SSRI, bipolar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GLP-1 / metabolic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semaglutide, Ozempic, Wegovy, pancreatitis, gastroparesis, nausea, weight loss drug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Oncology / ICI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pembrolizumab, nivolumab, checkpoint inhibitor, immune-related AE, colitis, pneumonitis, oncology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pregnancy, congenital anomaly, birth defect, teratogen, lithium pregnancy, valproate, neural tube defect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Vaccine / AESI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myocarditis, vaccine side effects, reactogenicity, MMR, COVID-19 vaccine, VAERS, immunization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Devices · cardiac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pacemaker, coronary stent, defibrillator, lead fracture, device malfunction, MAUDE, implant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Devices · diabetes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insulin pump, continuous glucose monitor, CGM, overinfusion, sensor error, infusion set, diabetes device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DDI / polypharmacy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polypharmacy, drug interaction, warfarin amiodarone, serotonin syndrome, concomitant medication</w:t>
            </w:r>
          </w:p>
        </w:tc>
      </w:tr>
    </w:tbl>
    <w:p/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In-app Detect jump strings (corpus lookup, not Pathfinder)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Drugs: warfarin, rivaroxaban, semaglutide, paroxetine, sertraline, lithium, ibuprofen.  Vaccines: covid-19 mrna vaccine, MMR.  Devices: coronary stent, catheter, pacemaker, insulin pump, continuous glucose monitor.  Events: Haemorrhage, Fatigue, Anxiety, Device malfunction, Nausea.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11. Quick keyword index (find anything)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You want…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Search / say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Go to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Main signal table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Detect, SDR, PRR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/signals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Plain-English briefing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briefing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Detail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Competition bias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Remine, masking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/lenses?tab=remine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High-risk segments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risk populations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/lenses?tab=risk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Drug interactions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DDI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/lenses?tab=ddi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pregnancy, congenital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/lenses?tab=pregnancy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Demo data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PV demo pack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Narrow Pathfinder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keywords, project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/projects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Export ICSR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E2B, CIOMS, SAR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Detail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12. Disclaimers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Prototype; synthetic data is fictional; openFDA = US FAERS/MAUDE (plus other open feeds as wired); MedDRA coding is an open surrogate (not licensed MedDRA); E2B/CIOMS/SAR are demo templates (not validated submissions); not for clinical use.</w:t>
      </w:r>
    </w:p>
    <w:p>
      <w:pPr>
        <w:spacing w:after="0" w:before="0" w:line="240" w:lineRule="auto"/>
      </w:pPr>
      <w:r>
        <w:rPr>
          <w:rFonts w:ascii="Calibri" w:hAnsi="Calibri"/>
          <w:b w:val="0"/>
          <w:color w:val="64748B"/>
          <w:sz w:val="18"/>
          <w:rFonts w:ascii="Calibri" w:hAnsi="Calibri"/>
        </w:rPr>
        <w:t>Full diagrams &amp; continuous updates: docs/VIGILAI_APPLICATION_HANDBOOK.md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