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5AD18" w14:textId="77777777" w:rsidR="00004FF2" w:rsidRDefault="00000000">
      <w:pPr>
        <w:spacing w:after="40" w:line="240" w:lineRule="auto"/>
        <w:jc w:val="center"/>
      </w:pPr>
      <w:r>
        <w:rPr>
          <w:rFonts w:ascii="Calibri" w:hAnsi="Calibri"/>
          <w:b/>
          <w:color w:val="0F2C59"/>
          <w:sz w:val="56"/>
        </w:rPr>
        <w:t>VigilAI</w:t>
      </w:r>
    </w:p>
    <w:p w14:paraId="345E3BAD" w14:textId="77777777" w:rsidR="00004FF2" w:rsidRDefault="00000000">
      <w:pPr>
        <w:spacing w:after="160" w:line="240" w:lineRule="auto"/>
        <w:jc w:val="center"/>
      </w:pPr>
      <w:r>
        <w:rPr>
          <w:rFonts w:ascii="Calibri" w:hAnsi="Calibri"/>
          <w:b/>
          <w:color w:val="0F2C59"/>
          <w:sz w:val="32"/>
        </w:rPr>
        <w:t>Application Handbook</w:t>
      </w:r>
    </w:p>
    <w:p w14:paraId="1E241A0A" w14:textId="77777777" w:rsidR="00004FF2" w:rsidRDefault="00000000">
      <w:pPr>
        <w:spacing w:after="80" w:line="240" w:lineRule="auto"/>
        <w:jc w:val="center"/>
      </w:pPr>
      <w:r>
        <w:rPr>
          <w:rFonts w:ascii="Calibri" w:hAnsi="Calibri"/>
          <w:color w:val="64748B"/>
        </w:rPr>
        <w:t>Where · How · What · Why — features, architecture, and keyword packs for swift retrieval</w:t>
      </w:r>
    </w:p>
    <w:p w14:paraId="6A07C254" w14:textId="77777777" w:rsidR="00004FF2" w:rsidRDefault="00000000">
      <w:pPr>
        <w:spacing w:after="240" w:line="240" w:lineRule="auto"/>
        <w:jc w:val="center"/>
      </w:pPr>
      <w:r>
        <w:rPr>
          <w:rFonts w:ascii="Calibri" w:hAnsi="Calibri"/>
          <w:color w:val="64748B"/>
          <w:sz w:val="18"/>
        </w:rPr>
        <w:t>Live: https://vigil-ai-eight.vercel.app  ·  API: https://vigil-ai-api.onrender.com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004FF2" w14:paraId="4DA7843A" w14:textId="77777777">
        <w:tc>
          <w:tcPr>
            <w:tcW w:w="9972" w:type="dxa"/>
            <w:shd w:val="clear" w:color="auto" w:fill="EEF6F0"/>
          </w:tcPr>
          <w:p w14:paraId="46B70268" w14:textId="77777777" w:rsidR="00004FF2" w:rsidRDefault="00000000">
            <w:r>
              <w:rPr>
                <w:rFonts w:ascii="Calibri" w:hAnsi="Calibri"/>
                <w:b/>
                <w:color w:val="0F2C59"/>
                <w:sz w:val="20"/>
              </w:rPr>
              <w:t>Primary markdown (diagrams render in GitHub / Cursor)</w:t>
            </w:r>
          </w:p>
          <w:p w14:paraId="75E42D37" w14:textId="77777777" w:rsidR="00004FF2" w:rsidRDefault="00000000">
            <w:r>
              <w:rPr>
                <w:rFonts w:ascii="Calibri" w:hAnsi="Calibri"/>
                <w:color w:val="1E293B"/>
                <w:sz w:val="20"/>
              </w:rPr>
              <w:t>Full mermaid architecture diagrams live in docs/VIGILAI_APPLICATION_HANDBOOK.md. This Word file is the shareable handout for stakeholders who prefer .docx.</w:t>
            </w:r>
          </w:p>
        </w:tc>
      </w:tr>
    </w:tbl>
    <w:p w14:paraId="2E88789E" w14:textId="77777777" w:rsidR="00004FF2" w:rsidRDefault="00004FF2"/>
    <w:p w14:paraId="44880D2E" w14:textId="77777777" w:rsidR="00004FF2" w:rsidRDefault="00000000">
      <w:pPr>
        <w:spacing w:before="280" w:after="120"/>
      </w:pPr>
      <w:r>
        <w:rPr>
          <w:rFonts w:ascii="Calibri" w:hAnsi="Calibri"/>
          <w:b/>
          <w:color w:val="0F2C59"/>
          <w:sz w:val="36"/>
        </w:rPr>
        <w:t>1. What VigilAI is</w:t>
      </w:r>
    </w:p>
    <w:p w14:paraId="326E7800" w14:textId="77777777" w:rsidR="00004FF2" w:rsidRDefault="00000000">
      <w:pPr>
        <w:spacing w:after="120" w:line="240" w:lineRule="auto"/>
      </w:pPr>
      <w:r>
        <w:rPr>
          <w:rFonts w:ascii="Calibri" w:hAnsi="Calibri"/>
          <w:color w:val="1E293B"/>
        </w:rPr>
        <w:t>VigilAI is an offline-first pharmacovigilance and device-vigilance platform. It ingests unstructured patient and regulatory chatter, extracts clinical entities, validates adverse events with an explainable 4-gate engine, computes disproportionality (PRR / ROR / χ² / EBGM / BCPNN), overlays analytic lenses (Remine, DDI, Pregnancy, Risk populations…), and manages signals through a GVP-shaped workflow with demo E2B / CIOMS / SAR exports.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004FF2" w14:paraId="58BC9A92" w14:textId="77777777">
        <w:tc>
          <w:tcPr>
            <w:tcW w:w="4986" w:type="dxa"/>
            <w:shd w:val="clear" w:color="auto" w:fill="0F2C59"/>
          </w:tcPr>
          <w:p w14:paraId="52FE6D1E" w14:textId="77777777" w:rsidR="00004FF2" w:rsidRDefault="00000000">
            <w:r>
              <w:rPr>
                <w:rFonts w:ascii="Calibri" w:hAnsi="Calibri"/>
                <w:b/>
                <w:color w:val="FFFFFF"/>
                <w:sz w:val="18"/>
              </w:rPr>
              <w:t>It is</w:t>
            </w:r>
          </w:p>
        </w:tc>
        <w:tc>
          <w:tcPr>
            <w:tcW w:w="4986" w:type="dxa"/>
            <w:shd w:val="clear" w:color="auto" w:fill="0F2C59"/>
          </w:tcPr>
          <w:p w14:paraId="05ACFEEE" w14:textId="77777777" w:rsidR="00004FF2" w:rsidRDefault="00000000">
            <w:r>
              <w:rPr>
                <w:rFonts w:ascii="Calibri" w:hAnsi="Calibri"/>
                <w:b/>
                <w:color w:val="FFFFFF"/>
                <w:sz w:val="18"/>
              </w:rPr>
              <w:t>It is not</w:t>
            </w:r>
          </w:p>
        </w:tc>
      </w:tr>
      <w:tr w:rsidR="00004FF2" w14:paraId="347CC5F1" w14:textId="77777777">
        <w:tc>
          <w:tcPr>
            <w:tcW w:w="4986" w:type="dxa"/>
          </w:tcPr>
          <w:p w14:paraId="5682B006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Working prototype for demos &amp; KT</w:t>
            </w:r>
          </w:p>
        </w:tc>
        <w:tc>
          <w:tcPr>
            <w:tcW w:w="4986" w:type="dxa"/>
          </w:tcPr>
          <w:p w14:paraId="6EA7BFFA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Validated regulatory submission system</w:t>
            </w:r>
          </w:p>
        </w:tc>
      </w:tr>
      <w:tr w:rsidR="00004FF2" w14:paraId="5C46A144" w14:textId="77777777">
        <w:tc>
          <w:tcPr>
            <w:tcW w:w="4986" w:type="dxa"/>
          </w:tcPr>
          <w:p w14:paraId="31C28C96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Drugs + vaccines + devices</w:t>
            </w:r>
          </w:p>
        </w:tc>
        <w:tc>
          <w:tcPr>
            <w:tcW w:w="4986" w:type="dxa"/>
          </w:tcPr>
          <w:p w14:paraId="0F982EC3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US-only or drug-only</w:t>
            </w:r>
          </w:p>
        </w:tc>
      </w:tr>
      <w:tr w:rsidR="00004FF2" w14:paraId="38F44C58" w14:textId="77777777">
        <w:tc>
          <w:tcPr>
            <w:tcW w:w="4986" w:type="dxa"/>
          </w:tcPr>
          <w:p w14:paraId="1CA590E9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Offline-capable (every network path degrades)</w:t>
            </w:r>
          </w:p>
        </w:tc>
        <w:tc>
          <w:tcPr>
            <w:tcW w:w="4986" w:type="dxa"/>
          </w:tcPr>
          <w:p w14:paraId="16B50101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Dependent on paid API keys</w:t>
            </w:r>
          </w:p>
        </w:tc>
      </w:tr>
      <w:tr w:rsidR="00004FF2" w14:paraId="378D2FFF" w14:textId="77777777">
        <w:tc>
          <w:tcPr>
            <w:tcW w:w="4986" w:type="dxa"/>
          </w:tcPr>
          <w:p w14:paraId="0F21A2AA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Honest about licensed-network surrogates</w:t>
            </w:r>
          </w:p>
        </w:tc>
        <w:tc>
          <w:tcPr>
            <w:tcW w:w="4986" w:type="dxa"/>
          </w:tcPr>
          <w:p w14:paraId="186A0D4E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A live WHO VigiBase bulk feed</w:t>
            </w:r>
          </w:p>
        </w:tc>
      </w:tr>
    </w:tbl>
    <w:p w14:paraId="3E770821" w14:textId="77777777" w:rsidR="00004FF2" w:rsidRDefault="00004FF2"/>
    <w:p w14:paraId="777FA031" w14:textId="77777777" w:rsidR="00004FF2" w:rsidRDefault="00000000">
      <w:pPr>
        <w:spacing w:before="280" w:after="120"/>
      </w:pPr>
      <w:r>
        <w:rPr>
          <w:rFonts w:ascii="Calibri" w:hAnsi="Calibri"/>
          <w:b/>
          <w:color w:val="0F2C59"/>
          <w:sz w:val="36"/>
        </w:rPr>
        <w:t>2. Why it exists</w:t>
      </w:r>
    </w:p>
    <w:p w14:paraId="76317F91" w14:textId="77777777" w:rsidR="00004FF2" w:rsidRDefault="00000000">
      <w:pPr>
        <w:spacing w:after="120" w:line="240" w:lineRule="auto"/>
      </w:pPr>
      <w:r>
        <w:rPr>
          <w:rFonts w:ascii="Calibri" w:hAnsi="Calibri"/>
          <w:color w:val="1E293B"/>
        </w:rPr>
        <w:t>Pre-market trials are small and short. Rare and late harms often appear first in conversation before structured ICSRs. VigilAI hears that chatter, codes it to MedDRA-style / ATC / GMDN concepts, decides “is this an AE?” with auditable gates, ranks associations with regulator-shaped stats, stress-tests them (remine, DDI, pregnancy, risk strata), and hands off to workflow + demo exports.</w:t>
      </w:r>
    </w:p>
    <w:p w14:paraId="63F7E2F9" w14:textId="77777777" w:rsidR="00004FF2" w:rsidRDefault="00000000">
      <w:pPr>
        <w:spacing w:before="280" w:after="120"/>
      </w:pPr>
      <w:r>
        <w:rPr>
          <w:rFonts w:ascii="Calibri" w:hAnsi="Calibri"/>
          <w:b/>
          <w:color w:val="0F2C59"/>
          <w:sz w:val="36"/>
        </w:rPr>
        <w:t>3. Roles &amp; login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004FF2" w14:paraId="029B7FB0" w14:textId="77777777">
        <w:tc>
          <w:tcPr>
            <w:tcW w:w="3324" w:type="dxa"/>
            <w:shd w:val="clear" w:color="auto" w:fill="0F2C59"/>
          </w:tcPr>
          <w:p w14:paraId="37CB49B1" w14:textId="77777777" w:rsidR="00004FF2" w:rsidRDefault="00000000">
            <w:r>
              <w:rPr>
                <w:rFonts w:ascii="Calibri" w:hAnsi="Calibri"/>
                <w:b/>
                <w:color w:val="FFFFFF"/>
                <w:sz w:val="18"/>
              </w:rPr>
              <w:t>Role</w:t>
            </w:r>
          </w:p>
        </w:tc>
        <w:tc>
          <w:tcPr>
            <w:tcW w:w="3324" w:type="dxa"/>
            <w:shd w:val="clear" w:color="auto" w:fill="0F2C59"/>
          </w:tcPr>
          <w:p w14:paraId="0CD6DFF9" w14:textId="77777777" w:rsidR="00004FF2" w:rsidRDefault="00000000">
            <w:r>
              <w:rPr>
                <w:rFonts w:ascii="Calibri" w:hAnsi="Calibri"/>
                <w:b/>
                <w:color w:val="FFFFFF"/>
                <w:sz w:val="18"/>
              </w:rPr>
              <w:t>Account</w:t>
            </w:r>
          </w:p>
        </w:tc>
        <w:tc>
          <w:tcPr>
            <w:tcW w:w="3324" w:type="dxa"/>
            <w:shd w:val="clear" w:color="auto" w:fill="0F2C59"/>
          </w:tcPr>
          <w:p w14:paraId="2A5B10AD" w14:textId="77777777" w:rsidR="00004FF2" w:rsidRDefault="00000000">
            <w:r>
              <w:rPr>
                <w:rFonts w:ascii="Calibri" w:hAnsi="Calibri"/>
                <w:b/>
                <w:color w:val="FFFFFF"/>
                <w:sz w:val="18"/>
              </w:rPr>
              <w:t>Can do</w:t>
            </w:r>
          </w:p>
        </w:tc>
      </w:tr>
      <w:tr w:rsidR="00004FF2" w14:paraId="198B5667" w14:textId="77777777">
        <w:tc>
          <w:tcPr>
            <w:tcW w:w="3324" w:type="dxa"/>
          </w:tcPr>
          <w:p w14:paraId="227E3751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Admin</w:t>
            </w:r>
          </w:p>
        </w:tc>
        <w:tc>
          <w:tcPr>
            <w:tcW w:w="3324" w:type="dxa"/>
          </w:tcPr>
          <w:p w14:paraId="5F1CD0A1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admin@vigilai.dev / admin123</w:t>
            </w:r>
          </w:p>
        </w:tc>
        <w:tc>
          <w:tcPr>
            <w:tcW w:w="3324" w:type="dxa"/>
          </w:tcPr>
          <w:p w14:paraId="6F7C95CA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Everything (users, ingest, reset)</w:t>
            </w:r>
          </w:p>
        </w:tc>
      </w:tr>
      <w:tr w:rsidR="00004FF2" w14:paraId="2AC001A9" w14:textId="77777777">
        <w:tc>
          <w:tcPr>
            <w:tcW w:w="3324" w:type="dxa"/>
          </w:tcPr>
          <w:p w14:paraId="117E762D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Analyst</w:t>
            </w:r>
          </w:p>
        </w:tc>
        <w:tc>
          <w:tcPr>
            <w:tcW w:w="3324" w:type="dxa"/>
          </w:tcPr>
          <w:p w14:paraId="3B885E23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analyst@vigilai.dev / analyst123</w:t>
            </w:r>
          </w:p>
        </w:tc>
        <w:tc>
          <w:tcPr>
            <w:tcW w:w="3324" w:type="dxa"/>
          </w:tcPr>
          <w:p w14:paraId="79902A9F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Analytics, review, Forge, Projects, Pathfinder</w:t>
            </w:r>
          </w:p>
        </w:tc>
      </w:tr>
      <w:tr w:rsidR="00004FF2" w14:paraId="2E18A15B" w14:textId="77777777">
        <w:tc>
          <w:tcPr>
            <w:tcW w:w="3324" w:type="dxa"/>
          </w:tcPr>
          <w:p w14:paraId="230C7974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Viewer</w:t>
            </w:r>
          </w:p>
        </w:tc>
        <w:tc>
          <w:tcPr>
            <w:tcW w:w="3324" w:type="dxa"/>
          </w:tcPr>
          <w:p w14:paraId="309C0E70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viewer@vigilai.dev / viewer123</w:t>
            </w:r>
          </w:p>
        </w:tc>
        <w:tc>
          <w:tcPr>
            <w:tcW w:w="3324" w:type="dxa"/>
          </w:tcPr>
          <w:p w14:paraId="6DE2BA79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Read signals / lenses / exports</w:t>
            </w:r>
          </w:p>
        </w:tc>
      </w:tr>
    </w:tbl>
    <w:p w14:paraId="01F2DB08" w14:textId="77777777" w:rsidR="00004FF2" w:rsidRDefault="00004FF2"/>
    <w:p w14:paraId="5CC97382" w14:textId="77777777" w:rsidR="00004FF2" w:rsidRDefault="00000000">
      <w:pPr>
        <w:spacing w:before="280" w:after="120"/>
      </w:pPr>
      <w:r>
        <w:rPr>
          <w:rFonts w:ascii="Calibri" w:hAnsi="Calibri"/>
          <w:b/>
          <w:color w:val="0F2C59"/>
          <w:sz w:val="36"/>
        </w:rPr>
        <w:t>4. Architecture (summary)</w:t>
      </w:r>
    </w:p>
    <w:p w14:paraId="37612582" w14:textId="77777777" w:rsidR="00004FF2" w:rsidRDefault="00000000">
      <w:pPr>
        <w:spacing w:after="120" w:line="240" w:lineRule="auto"/>
      </w:pPr>
      <w:r>
        <w:rPr>
          <w:rFonts w:ascii="Calibri" w:hAnsi="Calibri"/>
          <w:b/>
          <w:color w:val="0F2C59"/>
          <w:sz w:val="24"/>
        </w:rPr>
        <w:t>Layers</w:t>
      </w:r>
    </w:p>
    <w:p w14:paraId="24E8D08F" w14:textId="77777777" w:rsidR="00004FF2" w:rsidRDefault="00000000">
      <w:pPr>
        <w:spacing w:after="120" w:line="240" w:lineRule="auto"/>
      </w:pPr>
      <w:r>
        <w:rPr>
          <w:rFonts w:ascii="Calibri" w:hAnsi="Calibri"/>
          <w:color w:val="1E293B"/>
        </w:rPr>
        <w:lastRenderedPageBreak/>
        <w:t>Frontend (React + Vite hubs, ⌘K) → FastAPI + JWT → NLP / 4-gate AE → Disproportionality + analytic lenses → Lifecycle / alerts → SQLite or Neon Postgres. Optional openFDA / PubMed / DailyMed / MAUDE degrade to fixtures offline. Deploy: Vercel (UI) → Render (API) → Neon (DB).</w:t>
      </w:r>
    </w:p>
    <w:p w14:paraId="1295B9BF" w14:textId="77777777" w:rsidR="00004FF2" w:rsidRDefault="00000000">
      <w:pPr>
        <w:spacing w:after="120" w:line="240" w:lineRule="auto"/>
      </w:pPr>
      <w:r>
        <w:rPr>
          <w:rFonts w:ascii="Calibri" w:hAnsi="Calibri"/>
          <w:b/>
          <w:color w:val="0F2C59"/>
          <w:sz w:val="24"/>
        </w:rPr>
        <w:t>End-to-end pipeline</w:t>
      </w:r>
    </w:p>
    <w:p w14:paraId="150385EB" w14:textId="77777777" w:rsidR="00004FF2" w:rsidRDefault="00000000">
      <w:pPr>
        <w:spacing w:after="120" w:line="240" w:lineRule="auto"/>
      </w:pPr>
      <w:r>
        <w:rPr>
          <w:rFonts w:ascii="Calibri" w:hAnsi="Calibri"/>
          <w:color w:val="1E293B"/>
        </w:rPr>
        <w:t>Ingest → PII scrub → entities / sentiment / negation → 4-gate AE → recompute signals (PRR/ROR/χ²/EBGM/IC) → lenses (read-only overlays) → background evidence enrich → workflow → SAR / E2B / CIOMS.</w:t>
      </w:r>
    </w:p>
    <w:p w14:paraId="43353E52" w14:textId="77777777" w:rsidR="00004FF2" w:rsidRDefault="00000000">
      <w:pPr>
        <w:spacing w:after="120" w:line="240" w:lineRule="auto"/>
      </w:pPr>
      <w:r>
        <w:rPr>
          <w:rFonts w:ascii="Calibri" w:hAnsi="Calibri"/>
          <w:b/>
          <w:color w:val="0F2C59"/>
          <w:sz w:val="24"/>
        </w:rPr>
        <w:t>Remine (competition bias)</w:t>
      </w:r>
    </w:p>
    <w:p w14:paraId="6CA4A13C" w14:textId="77777777" w:rsidR="00004FF2" w:rsidRDefault="00000000">
      <w:pPr>
        <w:spacing w:after="120" w:line="240" w:lineRule="auto"/>
      </w:pPr>
      <w:r>
        <w:rPr>
          <w:rFonts w:ascii="Calibri" w:hAnsi="Calibri"/>
          <w:color w:val="1E293B"/>
        </w:rPr>
        <w:t>Case-level unmasking drops whole reports mentioning a masker product, then rebuilds the 2×2. Masking ratio MR = PRR_after/PRR_before = coreporting_term × comparator_term. Only threshold-crossing (unmasked) is strongly actionable; raw PRR rises often reflect shared comparator arithmetic.</w:t>
      </w:r>
    </w:p>
    <w:p w14:paraId="02CA65A6" w14:textId="77777777" w:rsidR="00004FF2" w:rsidRDefault="00000000">
      <w:pPr>
        <w:spacing w:before="280" w:after="120"/>
      </w:pPr>
      <w:r>
        <w:rPr>
          <w:rFonts w:ascii="Calibri" w:hAnsi="Calibri"/>
          <w:b/>
          <w:color w:val="0F2C59"/>
          <w:sz w:val="36"/>
        </w:rPr>
        <w:t>5. How to use (first 5 minutes)</w:t>
      </w:r>
    </w:p>
    <w:p w14:paraId="29AA45AE" w14:textId="77777777" w:rsidR="00004FF2" w:rsidRDefault="00000000">
      <w:pPr>
        <w:spacing w:after="60" w:line="240" w:lineRule="auto"/>
      </w:pPr>
      <w:r>
        <w:rPr>
          <w:rFonts w:ascii="Calibri" w:hAnsi="Calibri"/>
          <w:color w:val="1E293B"/>
        </w:rPr>
        <w:t>1. Open the live app → Login (admin or analyst).</w:t>
      </w:r>
    </w:p>
    <w:p w14:paraId="043FFCC8" w14:textId="77777777" w:rsidR="00004FF2" w:rsidRDefault="00000000">
      <w:pPr>
        <w:spacing w:after="60" w:line="240" w:lineRule="auto"/>
      </w:pPr>
      <w:r>
        <w:rPr>
          <w:rFonts w:ascii="Calibri" w:hAnsi="Calibri"/>
          <w:color w:val="1E293B"/>
        </w:rPr>
        <w:t>2. Confirm project in the header (General Pharmacovigilance by default).</w:t>
      </w:r>
    </w:p>
    <w:p w14:paraId="25D14399" w14:textId="77777777" w:rsidR="00004FF2" w:rsidRDefault="00000000">
      <w:pPr>
        <w:spacing w:after="60" w:line="240" w:lineRule="auto"/>
      </w:pPr>
      <w:r>
        <w:rPr>
          <w:rFonts w:ascii="Calibri" w:hAnsi="Calibri"/>
          <w:color w:val="1E293B"/>
        </w:rPr>
        <w:t>3. Data Sources → Load PV demo pack if Remine/DDI/Pregnancy look empty.</w:t>
      </w:r>
    </w:p>
    <w:p w14:paraId="681B0E3C" w14:textId="77777777" w:rsidR="00004FF2" w:rsidRDefault="00000000">
      <w:pPr>
        <w:spacing w:after="60" w:line="240" w:lineRule="auto"/>
      </w:pPr>
      <w:r>
        <w:rPr>
          <w:rFonts w:ascii="Calibri" w:hAnsi="Calibri"/>
          <w:color w:val="1E293B"/>
        </w:rPr>
        <w:t>4. Safety Signals → Detect → type warfarin or semaglutide → open a row.</w:t>
      </w:r>
    </w:p>
    <w:p w14:paraId="70FE02D7" w14:textId="77777777" w:rsidR="00004FF2" w:rsidRDefault="00000000">
      <w:pPr>
        <w:spacing w:after="60" w:line="240" w:lineRule="auto"/>
      </w:pPr>
      <w:r>
        <w:rPr>
          <w:rFonts w:ascii="Calibri" w:hAnsi="Calibri"/>
          <w:color w:val="1E293B"/>
        </w:rPr>
        <w:t>5. Read the plain-English briefing, then gates / DMA / remine.</w:t>
      </w:r>
    </w:p>
    <w:p w14:paraId="5BBFD349" w14:textId="77777777" w:rsidR="00004FF2" w:rsidRDefault="00000000">
      <w:pPr>
        <w:spacing w:after="60" w:line="240" w:lineRule="auto"/>
      </w:pPr>
      <w:r>
        <w:rPr>
          <w:rFonts w:ascii="Calibri" w:hAnsi="Calibri"/>
          <w:color w:val="1E293B"/>
        </w:rPr>
        <w:t>6. Lenses → Remine lab → filter Needs review → Run remine.</w:t>
      </w:r>
    </w:p>
    <w:p w14:paraId="691987FC" w14:textId="77777777" w:rsidR="00004FF2" w:rsidRDefault="00000000">
      <w:pPr>
        <w:spacing w:after="60" w:line="240" w:lineRule="auto"/>
      </w:pPr>
      <w:r>
        <w:rPr>
          <w:rFonts w:ascii="Calibri" w:hAnsi="Calibri"/>
          <w:color w:val="1E293B"/>
        </w:rPr>
        <w:t>7. Optional: Evidence Explorer graph for the same product–event.</w:t>
      </w:r>
    </w:p>
    <w:p w14:paraId="1382C10A" w14:textId="77777777" w:rsidR="00004FF2" w:rsidRDefault="00000000">
      <w:pPr>
        <w:spacing w:before="280" w:after="120"/>
      </w:pPr>
      <w:r>
        <w:rPr>
          <w:rFonts w:ascii="Calibri" w:hAnsi="Calibri"/>
          <w:b/>
          <w:color w:val="0F2C59"/>
          <w:sz w:val="36"/>
        </w:rPr>
        <w:t>6. Navigation map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004FF2" w14:paraId="2A5464EC" w14:textId="77777777">
        <w:tc>
          <w:tcPr>
            <w:tcW w:w="3324" w:type="dxa"/>
            <w:shd w:val="clear" w:color="auto" w:fill="0F2C59"/>
          </w:tcPr>
          <w:p w14:paraId="1A346517" w14:textId="77777777" w:rsidR="00004FF2" w:rsidRDefault="00000000">
            <w:r>
              <w:rPr>
                <w:rFonts w:ascii="Calibri" w:hAnsi="Calibri"/>
                <w:b/>
                <w:color w:val="FFFFFF"/>
                <w:sz w:val="18"/>
              </w:rPr>
              <w:t>Hub</w:t>
            </w:r>
          </w:p>
        </w:tc>
        <w:tc>
          <w:tcPr>
            <w:tcW w:w="3324" w:type="dxa"/>
            <w:shd w:val="clear" w:color="auto" w:fill="0F2C59"/>
          </w:tcPr>
          <w:p w14:paraId="6716EFA1" w14:textId="77777777" w:rsidR="00004FF2" w:rsidRDefault="00000000">
            <w:r>
              <w:rPr>
                <w:rFonts w:ascii="Calibri" w:hAnsi="Calibri"/>
                <w:b/>
                <w:color w:val="FFFFFF"/>
                <w:sz w:val="18"/>
              </w:rPr>
              <w:t>Route</w:t>
            </w:r>
          </w:p>
        </w:tc>
        <w:tc>
          <w:tcPr>
            <w:tcW w:w="3324" w:type="dxa"/>
            <w:shd w:val="clear" w:color="auto" w:fill="0F2C59"/>
          </w:tcPr>
          <w:p w14:paraId="75F3F03E" w14:textId="77777777" w:rsidR="00004FF2" w:rsidRDefault="00000000"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 w:rsidR="00004FF2" w14:paraId="48189D2D" w14:textId="77777777">
        <w:tc>
          <w:tcPr>
            <w:tcW w:w="3324" w:type="dxa"/>
          </w:tcPr>
          <w:p w14:paraId="02B088E1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Dashboard</w:t>
            </w:r>
          </w:p>
        </w:tc>
        <w:tc>
          <w:tcPr>
            <w:tcW w:w="3324" w:type="dxa"/>
          </w:tcPr>
          <w:p w14:paraId="497FDCBB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/dashboard</w:t>
            </w:r>
          </w:p>
        </w:tc>
        <w:tc>
          <w:tcPr>
            <w:tcW w:w="3324" w:type="dxa"/>
          </w:tcPr>
          <w:p w14:paraId="4943C63B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Corpus metrics · Ops KPIs</w:t>
            </w:r>
          </w:p>
        </w:tc>
      </w:tr>
      <w:tr w:rsidR="00004FF2" w14:paraId="46AED263" w14:textId="77777777">
        <w:tc>
          <w:tcPr>
            <w:tcW w:w="3324" w:type="dxa"/>
          </w:tcPr>
          <w:p w14:paraId="735295B8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Safety Signals</w:t>
            </w:r>
          </w:p>
        </w:tc>
        <w:tc>
          <w:tcPr>
            <w:tcW w:w="3324" w:type="dxa"/>
          </w:tcPr>
          <w:p w14:paraId="4246B3E5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/signals</w:t>
            </w:r>
          </w:p>
        </w:tc>
        <w:tc>
          <w:tcPr>
            <w:tcW w:w="3324" w:type="dxa"/>
          </w:tcPr>
          <w:p w14:paraId="2D70425E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Detect · Workflow · Alert inbox</w:t>
            </w:r>
          </w:p>
        </w:tc>
      </w:tr>
      <w:tr w:rsidR="00004FF2" w14:paraId="037D2005" w14:textId="77777777">
        <w:tc>
          <w:tcPr>
            <w:tcW w:w="3324" w:type="dxa"/>
          </w:tcPr>
          <w:p w14:paraId="3BC9E952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Analytic Lenses</w:t>
            </w:r>
          </w:p>
        </w:tc>
        <w:tc>
          <w:tcPr>
            <w:tcW w:w="3324" w:type="dxa"/>
          </w:tcPr>
          <w:p w14:paraId="4C08C1F6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/lenses</w:t>
            </w:r>
          </w:p>
        </w:tc>
        <w:tc>
          <w:tcPr>
            <w:tcW w:w="3324" w:type="dxa"/>
          </w:tcPr>
          <w:p w14:paraId="0705C5AD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Remine · Risk · DDI · Pregnancy · SMQ · Class · Vaccine · Geo · vs FAERS</w:t>
            </w:r>
          </w:p>
        </w:tc>
      </w:tr>
      <w:tr w:rsidR="00004FF2" w14:paraId="79256209" w14:textId="77777777">
        <w:tc>
          <w:tcPr>
            <w:tcW w:w="3324" w:type="dxa"/>
          </w:tcPr>
          <w:p w14:paraId="72420CB2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Evidence Explorer</w:t>
            </w:r>
          </w:p>
        </w:tc>
        <w:tc>
          <w:tcPr>
            <w:tcW w:w="3324" w:type="dxa"/>
          </w:tcPr>
          <w:p w14:paraId="6AEE014C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/graph</w:t>
            </w:r>
          </w:p>
        </w:tc>
        <w:tc>
          <w:tcPr>
            <w:tcW w:w="3324" w:type="dxa"/>
          </w:tcPr>
          <w:p w14:paraId="47B4AB88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Drug↔AE graph · Story · Glossary</w:t>
            </w:r>
          </w:p>
        </w:tc>
      </w:tr>
      <w:tr w:rsidR="00004FF2" w14:paraId="6C66A749" w14:textId="77777777">
        <w:tc>
          <w:tcPr>
            <w:tcW w:w="3324" w:type="dxa"/>
          </w:tcPr>
          <w:p w14:paraId="2A2EE71C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Projects</w:t>
            </w:r>
          </w:p>
        </w:tc>
        <w:tc>
          <w:tcPr>
            <w:tcW w:w="3324" w:type="dxa"/>
          </w:tcPr>
          <w:p w14:paraId="6464F01E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/projects</w:t>
            </w:r>
          </w:p>
        </w:tc>
        <w:tc>
          <w:tcPr>
            <w:tcW w:w="3324" w:type="dxa"/>
          </w:tcPr>
          <w:p w14:paraId="0F5C8BAA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Workspaces + keywords for Pathfinder</w:t>
            </w:r>
          </w:p>
        </w:tc>
      </w:tr>
      <w:tr w:rsidR="00004FF2" w14:paraId="7F7B897A" w14:textId="77777777">
        <w:tc>
          <w:tcPr>
            <w:tcW w:w="3324" w:type="dxa"/>
          </w:tcPr>
          <w:p w14:paraId="392C9401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Source Discovery</w:t>
            </w:r>
          </w:p>
        </w:tc>
        <w:tc>
          <w:tcPr>
            <w:tcW w:w="3324" w:type="dxa"/>
          </w:tcPr>
          <w:p w14:paraId="7E36C732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/source-queue</w:t>
            </w:r>
          </w:p>
        </w:tc>
        <w:tc>
          <w:tcPr>
            <w:tcW w:w="3324" w:type="dxa"/>
          </w:tcPr>
          <w:p w14:paraId="1684CB64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Pathfinder · Manual forum URL</w:t>
            </w:r>
          </w:p>
        </w:tc>
      </w:tr>
      <w:tr w:rsidR="00004FF2" w14:paraId="02A6FA06" w14:textId="77777777">
        <w:tc>
          <w:tcPr>
            <w:tcW w:w="3324" w:type="dxa"/>
          </w:tcPr>
          <w:p w14:paraId="4155F878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Data Sources</w:t>
            </w:r>
          </w:p>
        </w:tc>
        <w:tc>
          <w:tcPr>
            <w:tcW w:w="3324" w:type="dxa"/>
          </w:tcPr>
          <w:p w14:paraId="1A29E3D8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/sources</w:t>
            </w:r>
          </w:p>
        </w:tc>
        <w:tc>
          <w:tcPr>
            <w:tcW w:w="3324" w:type="dxa"/>
          </w:tcPr>
          <w:p w14:paraId="54169D8D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Catalog · Live stream · Networks · Agent</w:t>
            </w:r>
          </w:p>
        </w:tc>
      </w:tr>
      <w:tr w:rsidR="00004FF2" w14:paraId="1292CC9D" w14:textId="77777777">
        <w:tc>
          <w:tcPr>
            <w:tcW w:w="3324" w:type="dxa"/>
          </w:tcPr>
          <w:p w14:paraId="5AD27CD0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Data Forge</w:t>
            </w:r>
          </w:p>
        </w:tc>
        <w:tc>
          <w:tcPr>
            <w:tcW w:w="3324" w:type="dxa"/>
          </w:tcPr>
          <w:p w14:paraId="580B2017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/forge</w:t>
            </w:r>
          </w:p>
        </w:tc>
        <w:tc>
          <w:tcPr>
            <w:tcW w:w="3324" w:type="dxa"/>
          </w:tcPr>
          <w:p w14:paraId="3DDAEBBF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Synthetic posts (analyst+)</w:t>
            </w:r>
          </w:p>
        </w:tc>
      </w:tr>
      <w:tr w:rsidR="00004FF2" w14:paraId="7013C5DA" w14:textId="77777777">
        <w:tc>
          <w:tcPr>
            <w:tcW w:w="3324" w:type="dxa"/>
          </w:tcPr>
          <w:p w14:paraId="24C06ECA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Users</w:t>
            </w:r>
          </w:p>
        </w:tc>
        <w:tc>
          <w:tcPr>
            <w:tcW w:w="3324" w:type="dxa"/>
          </w:tcPr>
          <w:p w14:paraId="0567075D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/users</w:t>
            </w:r>
          </w:p>
        </w:tc>
        <w:tc>
          <w:tcPr>
            <w:tcW w:w="3324" w:type="dxa"/>
          </w:tcPr>
          <w:p w14:paraId="5C92354E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Admin only</w:t>
            </w:r>
          </w:p>
        </w:tc>
      </w:tr>
    </w:tbl>
    <w:p w14:paraId="419A3834" w14:textId="77777777" w:rsidR="00004FF2" w:rsidRDefault="00004FF2"/>
    <w:p w14:paraId="546AEE0B" w14:textId="77777777" w:rsidR="00004FF2" w:rsidRDefault="00000000">
      <w:pPr>
        <w:spacing w:before="280" w:after="120"/>
      </w:pPr>
      <w:r>
        <w:rPr>
          <w:rFonts w:ascii="Calibri" w:hAnsi="Calibri"/>
          <w:b/>
          <w:color w:val="0F2C59"/>
          <w:sz w:val="36"/>
        </w:rPr>
        <w:t>7. How to use each feature (step by step)</w:t>
      </w:r>
    </w:p>
    <w:p w14:paraId="253AFCF5" w14:textId="77777777" w:rsidR="00004FF2" w:rsidRDefault="00000000">
      <w:pPr>
        <w:spacing w:after="120" w:line="240" w:lineRule="auto"/>
      </w:pPr>
      <w:r>
        <w:rPr>
          <w:rFonts w:ascii="Calibri" w:hAnsi="Calibri"/>
          <w:color w:val="1E293B"/>
        </w:rPr>
        <w:t>Full click-by-click recipes for every hub live in the markdown handbook §7 (Dashboard, Detect, Signal Detail, Workflow, Alerts, Remine, Risk, DDI, Pregnancy, SMQ, Class, Vaccine, Geo, vs FAERS, Graph, Projects/keywords, Pathfinder, Sources, Forge, Users, plus a 10-minute hero script). Summary of the operating pattern:</w:t>
      </w:r>
    </w:p>
    <w:p w14:paraId="6306F820" w14:textId="77777777" w:rsidR="00004FF2" w:rsidRDefault="00000000">
      <w:pPr>
        <w:spacing w:after="40" w:line="240" w:lineRule="auto"/>
      </w:pPr>
      <w:r>
        <w:rPr>
          <w:rFonts w:ascii="Calibri" w:hAnsi="Calibri"/>
          <w:color w:val="1E293B"/>
        </w:rPr>
        <w:t>• Detect: search product → open row → read briefing first.</w:t>
      </w:r>
    </w:p>
    <w:p w14:paraId="1D69DB83" w14:textId="77777777" w:rsidR="00004FF2" w:rsidRDefault="00000000">
      <w:pPr>
        <w:spacing w:after="40" w:line="240" w:lineRule="auto"/>
      </w:pPr>
      <w:r>
        <w:rPr>
          <w:rFonts w:ascii="Calibri" w:hAnsi="Calibri"/>
          <w:color w:val="1E293B"/>
        </w:rPr>
        <w:t>• Remine lab: filter Needs review → Run remine → judge threshold crossing, not raw PRR rise.</w:t>
      </w:r>
    </w:p>
    <w:p w14:paraId="0116FC0C" w14:textId="77777777" w:rsidR="00004FF2" w:rsidRDefault="00000000">
      <w:pPr>
        <w:spacing w:after="40" w:line="240" w:lineRule="auto"/>
      </w:pPr>
      <w:r>
        <w:rPr>
          <w:rFonts w:ascii="Calibri" w:hAnsi="Calibri"/>
          <w:color w:val="1E293B"/>
        </w:rPr>
        <w:t>• Lenses (DDI/Pregnancy/SMQ/…): open tab → follow Open signal / Find in Detect.</w:t>
      </w:r>
    </w:p>
    <w:p w14:paraId="69D00876" w14:textId="77777777" w:rsidR="00004FF2" w:rsidRDefault="00000000">
      <w:pPr>
        <w:spacing w:after="40" w:line="240" w:lineRule="auto"/>
      </w:pPr>
      <w:r>
        <w:rPr>
          <w:rFonts w:ascii="Calibri" w:hAnsi="Calibri"/>
          <w:color w:val="1E293B"/>
        </w:rPr>
        <w:t>• Projects: pick a keyword pack → Create → header switcher → Pathfinder → Fill/Fetch.</w:t>
      </w:r>
    </w:p>
    <w:p w14:paraId="6CE1883C" w14:textId="77777777" w:rsidR="00004FF2" w:rsidRDefault="00000000">
      <w:pPr>
        <w:spacing w:after="40" w:line="240" w:lineRule="auto"/>
      </w:pPr>
      <w:r>
        <w:rPr>
          <w:rFonts w:ascii="Calibri" w:hAnsi="Calibri"/>
          <w:color w:val="1E293B"/>
        </w:rPr>
        <w:t>• Sources: Load PV demo pack once when Remine/DDI/Pregnancy look empty.</w:t>
      </w:r>
    </w:p>
    <w:p w14:paraId="23344449" w14:textId="77777777" w:rsidR="00004FF2" w:rsidRDefault="00000000">
      <w:pPr>
        <w:spacing w:after="40" w:line="240" w:lineRule="auto"/>
      </w:pPr>
      <w:r>
        <w:rPr>
          <w:rFonts w:ascii="Calibri" w:hAnsi="Calibri"/>
          <w:color w:val="1E293B"/>
        </w:rPr>
        <w:t>• Exports: SAR / E2B / CIOMS from Signal Detail — demo templates only.</w:t>
      </w:r>
    </w:p>
    <w:p w14:paraId="272C59F2" w14:textId="77777777" w:rsidR="00004FF2" w:rsidRDefault="00000000">
      <w:pPr>
        <w:spacing w:before="280" w:after="120"/>
      </w:pPr>
      <w:r>
        <w:rPr>
          <w:rFonts w:ascii="Calibri" w:hAnsi="Calibri"/>
          <w:b/>
          <w:color w:val="0F2C59"/>
          <w:sz w:val="36"/>
        </w:rPr>
        <w:lastRenderedPageBreak/>
        <w:t>8. Feature catalog (highlights)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004FF2" w14:paraId="0FB750EE" w14:textId="77777777">
        <w:tc>
          <w:tcPr>
            <w:tcW w:w="4986" w:type="dxa"/>
            <w:shd w:val="clear" w:color="auto" w:fill="0F2C59"/>
          </w:tcPr>
          <w:p w14:paraId="6B835FF2" w14:textId="77777777" w:rsidR="00004FF2" w:rsidRDefault="00000000">
            <w:r>
              <w:rPr>
                <w:rFonts w:ascii="Calibri" w:hAnsi="Calibri"/>
                <w:b/>
                <w:color w:val="FFFFFF"/>
                <w:sz w:val="18"/>
              </w:rPr>
              <w:t>Feature</w:t>
            </w:r>
          </w:p>
        </w:tc>
        <w:tc>
          <w:tcPr>
            <w:tcW w:w="4986" w:type="dxa"/>
            <w:shd w:val="clear" w:color="auto" w:fill="0F2C59"/>
          </w:tcPr>
          <w:p w14:paraId="2A04A83F" w14:textId="77777777" w:rsidR="00004FF2" w:rsidRDefault="00000000">
            <w:r>
              <w:rPr>
                <w:rFonts w:ascii="Calibri" w:hAnsi="Calibri"/>
                <w:b/>
                <w:color w:val="FFFFFF"/>
                <w:sz w:val="18"/>
              </w:rPr>
              <w:t>What / Why</w:t>
            </w:r>
          </w:p>
        </w:tc>
      </w:tr>
      <w:tr w:rsidR="00004FF2" w14:paraId="7589A45D" w14:textId="77777777">
        <w:tc>
          <w:tcPr>
            <w:tcW w:w="4986" w:type="dxa"/>
          </w:tcPr>
          <w:p w14:paraId="06A87E5A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Detect + jump search</w:t>
            </w:r>
          </w:p>
        </w:tc>
        <w:tc>
          <w:tcPr>
            <w:tcW w:w="4986" w:type="dxa"/>
          </w:tcPr>
          <w:p w14:paraId="0903E58A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Ranked product→event table; type to jump (no scrolling)</w:t>
            </w:r>
          </w:p>
        </w:tc>
      </w:tr>
      <w:tr w:rsidR="00004FF2" w14:paraId="50A41893" w14:textId="77777777">
        <w:tc>
          <w:tcPr>
            <w:tcW w:w="4986" w:type="dxa"/>
          </w:tcPr>
          <w:p w14:paraId="3C737DB2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Signal briefing</w:t>
            </w:r>
          </w:p>
        </w:tc>
        <w:tc>
          <w:tcPr>
            <w:tcW w:w="4986" w:type="dxa"/>
          </w:tcPr>
          <w:p w14:paraId="35A9DD85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Plain-English so-what for non-technical readers</w:t>
            </w:r>
          </w:p>
        </w:tc>
      </w:tr>
      <w:tr w:rsidR="00004FF2" w14:paraId="6143D574" w14:textId="77777777">
        <w:tc>
          <w:tcPr>
            <w:tcW w:w="4986" w:type="dxa"/>
          </w:tcPr>
          <w:p w14:paraId="424F9066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4-gate AE</w:t>
            </w:r>
          </w:p>
        </w:tc>
        <w:tc>
          <w:tcPr>
            <w:tcW w:w="4986" w:type="dxa"/>
          </w:tcPr>
          <w:p w14:paraId="01638076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Product · symptom · negative sentiment · non-negated</w:t>
            </w:r>
          </w:p>
        </w:tc>
      </w:tr>
      <w:tr w:rsidR="00004FF2" w14:paraId="3E4F50A9" w14:textId="77777777">
        <w:tc>
          <w:tcPr>
            <w:tcW w:w="4986" w:type="dxa"/>
          </w:tcPr>
          <w:p w14:paraId="0260B1E4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Remine lab</w:t>
            </w:r>
          </w:p>
        </w:tc>
        <w:tc>
          <w:tcPr>
            <w:tcW w:w="4986" w:type="dxa"/>
          </w:tcPr>
          <w:p w14:paraId="5295223D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Corpus-wide competition-bias screen; read-only; searchable</w:t>
            </w:r>
          </w:p>
        </w:tc>
      </w:tr>
      <w:tr w:rsidR="00004FF2" w14:paraId="0DB43C2A" w14:textId="77777777">
        <w:tc>
          <w:tcPr>
            <w:tcW w:w="4986" w:type="dxa"/>
          </w:tcPr>
          <w:p w14:paraId="03D62D5A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Risk populations</w:t>
            </w:r>
          </w:p>
        </w:tc>
        <w:tc>
          <w:tcPr>
            <w:tcW w:w="4986" w:type="dxa"/>
          </w:tcPr>
          <w:p w14:paraId="4A9693E3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Predict high-risk age/sex/comorbidity segments</w:t>
            </w:r>
          </w:p>
        </w:tc>
      </w:tr>
      <w:tr w:rsidR="00004FF2" w14:paraId="25C34D63" w14:textId="77777777">
        <w:tc>
          <w:tcPr>
            <w:tcW w:w="4986" w:type="dxa"/>
          </w:tcPr>
          <w:p w14:paraId="5674E2C9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DDI / Pregnancy</w:t>
            </w:r>
          </w:p>
        </w:tc>
        <w:tc>
          <w:tcPr>
            <w:tcW w:w="4986" w:type="dxa"/>
          </w:tcPr>
          <w:p w14:paraId="5D2D1674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Polypharmacy co-mentions · teratogen / congenital cohort</w:t>
            </w:r>
          </w:p>
        </w:tc>
      </w:tr>
      <w:tr w:rsidR="00004FF2" w14:paraId="7C5F9A04" w14:textId="77777777">
        <w:tc>
          <w:tcPr>
            <w:tcW w:w="4986" w:type="dxa"/>
          </w:tcPr>
          <w:p w14:paraId="507CA25C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SMQ / Class / Vaccine / Geo / vs FAERS</w:t>
            </w:r>
          </w:p>
        </w:tc>
        <w:tc>
          <w:tcPr>
            <w:tcW w:w="4986" w:type="dxa"/>
          </w:tcPr>
          <w:p w14:paraId="586D83A1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Syndrome, ATC class, AESI, clusters, FDA divergence</w:t>
            </w:r>
          </w:p>
        </w:tc>
      </w:tr>
      <w:tr w:rsidR="00004FF2" w14:paraId="246AC994" w14:textId="77777777">
        <w:tc>
          <w:tcPr>
            <w:tcW w:w="4986" w:type="dxa"/>
          </w:tcPr>
          <w:p w14:paraId="7AA4862F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SAR / E2B / CIOMS</w:t>
            </w:r>
          </w:p>
        </w:tc>
        <w:tc>
          <w:tcPr>
            <w:tcW w:w="4986" w:type="dxa"/>
          </w:tcPr>
          <w:p w14:paraId="14BCA74C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Demo export templates — not validated submissions</w:t>
            </w:r>
          </w:p>
        </w:tc>
      </w:tr>
      <w:tr w:rsidR="00004FF2" w14:paraId="3DD58A4F" w14:textId="77777777">
        <w:tc>
          <w:tcPr>
            <w:tcW w:w="4986" w:type="dxa"/>
          </w:tcPr>
          <w:p w14:paraId="2FC40ABC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Project keywords</w:t>
            </w:r>
          </w:p>
        </w:tc>
        <w:tc>
          <w:tcPr>
            <w:tcW w:w="4986" w:type="dxa"/>
          </w:tcPr>
          <w:p w14:paraId="0EDC8B38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Intent vocabulary for Pathfinder + literature narrowing</w:t>
            </w:r>
          </w:p>
        </w:tc>
      </w:tr>
    </w:tbl>
    <w:p w14:paraId="4427BD8F" w14:textId="77777777" w:rsidR="00004FF2" w:rsidRDefault="00004FF2"/>
    <w:p w14:paraId="439FEE04" w14:textId="77777777" w:rsidR="00004FF2" w:rsidRDefault="00000000">
      <w:pPr>
        <w:spacing w:before="280" w:after="120"/>
      </w:pPr>
      <w:r>
        <w:rPr>
          <w:rFonts w:ascii="Calibri" w:hAnsi="Calibri"/>
          <w:b/>
          <w:color w:val="0F2C59"/>
          <w:sz w:val="36"/>
        </w:rPr>
        <w:t>9. Signal science (cheat sheet)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004FF2" w14:paraId="10E1280C" w14:textId="77777777">
        <w:tc>
          <w:tcPr>
            <w:tcW w:w="4986" w:type="dxa"/>
            <w:shd w:val="clear" w:color="auto" w:fill="0F2C59"/>
          </w:tcPr>
          <w:p w14:paraId="697AEBD6" w14:textId="77777777" w:rsidR="00004FF2" w:rsidRDefault="00000000"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w="4986" w:type="dxa"/>
            <w:shd w:val="clear" w:color="auto" w:fill="0F2C59"/>
          </w:tcPr>
          <w:p w14:paraId="2BB66F86" w14:textId="77777777" w:rsidR="00004FF2" w:rsidRDefault="00000000">
            <w:r>
              <w:rPr>
                <w:rFonts w:ascii="Calibri" w:hAnsi="Calibri"/>
                <w:b/>
                <w:color w:val="FFFFFF"/>
                <w:sz w:val="18"/>
              </w:rPr>
              <w:t>Meaning</w:t>
            </w:r>
          </w:p>
        </w:tc>
      </w:tr>
      <w:tr w:rsidR="00004FF2" w14:paraId="0107E643" w14:textId="77777777">
        <w:tc>
          <w:tcPr>
            <w:tcW w:w="4986" w:type="dxa"/>
          </w:tcPr>
          <w:p w14:paraId="28CA08F6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PRR / ROR</w:t>
            </w:r>
          </w:p>
        </w:tc>
        <w:tc>
          <w:tcPr>
            <w:tcW w:w="4986" w:type="dxa"/>
          </w:tcPr>
          <w:p w14:paraId="69C68C79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Reporting rate / odds vs rest of corpus (+0.5 continuity)</w:t>
            </w:r>
          </w:p>
        </w:tc>
      </w:tr>
      <w:tr w:rsidR="00004FF2" w14:paraId="65985538" w14:textId="77777777">
        <w:tc>
          <w:tcPr>
            <w:tcW w:w="4986" w:type="dxa"/>
          </w:tcPr>
          <w:p w14:paraId="271945D3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χ² (Yates)</w:t>
            </w:r>
          </w:p>
        </w:tc>
        <w:tc>
          <w:tcPr>
            <w:tcW w:w="4986" w:type="dxa"/>
          </w:tcPr>
          <w:p w14:paraId="0F986CF3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Independence on 2×2; ≥4 supports signal</w:t>
            </w:r>
          </w:p>
        </w:tc>
      </w:tr>
      <w:tr w:rsidR="00004FF2" w14:paraId="56CE602A" w14:textId="77777777">
        <w:tc>
          <w:tcPr>
            <w:tcW w:w="4986" w:type="dxa"/>
          </w:tcPr>
          <w:p w14:paraId="200A2A9D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EB05 / IC025</w:t>
            </w:r>
          </w:p>
        </w:tc>
        <w:tc>
          <w:tcPr>
            <w:tcW w:w="4986" w:type="dxa"/>
          </w:tcPr>
          <w:p w14:paraId="41117BFD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Bayesian lower bounds (MGPS / BCPNN flavored)</w:t>
            </w:r>
          </w:p>
        </w:tc>
      </w:tr>
      <w:tr w:rsidR="00004FF2" w14:paraId="342DC711" w14:textId="77777777">
        <w:tc>
          <w:tcPr>
            <w:tcW w:w="4986" w:type="dxa"/>
          </w:tcPr>
          <w:p w14:paraId="464C217F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SDR</w:t>
            </w:r>
          </w:p>
        </w:tc>
        <w:tc>
          <w:tcPr>
            <w:tcW w:w="4986" w:type="dxa"/>
          </w:tcPr>
          <w:p w14:paraId="71ADD0BD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Composite signal of disproportionate reporting</w:t>
            </w:r>
          </w:p>
        </w:tc>
      </w:tr>
      <w:tr w:rsidR="00004FF2" w14:paraId="44DE16B1" w14:textId="77777777">
        <w:tc>
          <w:tcPr>
            <w:tcW w:w="4986" w:type="dxa"/>
          </w:tcPr>
          <w:p w14:paraId="5B3A99F0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STRONG</w:t>
            </w:r>
          </w:p>
        </w:tc>
        <w:tc>
          <w:tcPr>
            <w:tcW w:w="4986" w:type="dxa"/>
          </w:tcPr>
          <w:p w14:paraId="72305FF4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PRR≥2, χ²≥4, count≥3</w:t>
            </w:r>
          </w:p>
        </w:tc>
      </w:tr>
      <w:tr w:rsidR="00004FF2" w14:paraId="14A6B06B" w14:textId="77777777">
        <w:tc>
          <w:tcPr>
            <w:tcW w:w="4986" w:type="dxa"/>
          </w:tcPr>
          <w:p w14:paraId="1719524E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Remine outcomes</w:t>
            </w:r>
          </w:p>
        </w:tc>
        <w:tc>
          <w:tcPr>
            <w:tcW w:w="4986" w:type="dxa"/>
          </w:tcPr>
          <w:p w14:paraId="4177312F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unmasked · co_reported · vanished · attenuated · amplified · stable</w:t>
            </w:r>
          </w:p>
        </w:tc>
      </w:tr>
    </w:tbl>
    <w:p w14:paraId="59CAB244" w14:textId="77777777" w:rsidR="00004FF2" w:rsidRDefault="00004FF2"/>
    <w:p w14:paraId="5025B9C9" w14:textId="77777777" w:rsidR="00004FF2" w:rsidRDefault="00000000">
      <w:pPr>
        <w:spacing w:before="280" w:after="120"/>
      </w:pPr>
      <w:r>
        <w:rPr>
          <w:rFonts w:ascii="Calibri" w:hAnsi="Calibri"/>
          <w:b/>
          <w:color w:val="0F2C59"/>
          <w:sz w:val="36"/>
        </w:rPr>
        <w:t>10. Project keywords — why they matter</w:t>
      </w:r>
    </w:p>
    <w:p w14:paraId="5255411D" w14:textId="77777777" w:rsidR="00004FF2" w:rsidRDefault="00000000">
      <w:pPr>
        <w:spacing w:after="120" w:line="240" w:lineRule="auto"/>
      </w:pPr>
      <w:r>
        <w:rPr>
          <w:rFonts w:ascii="Calibri" w:hAnsi="Calibri"/>
          <w:color w:val="1E293B"/>
        </w:rPr>
        <w:t>On Projects → Create workspace, comma-separated keywords are stored on the project. They are the intent vocabulary VigilAI uses for swift retrieval: Pathfinder builds “patient forums discussing {keywords}…” and literature crawls narrow the same way. Use 3–8 terms mixing product/class, event, and community language. After saving, activate the project → Source Discovery → Run Pathfinder → Approve → Fetch.</w:t>
      </w:r>
    </w:p>
    <w:p w14:paraId="2BAFE15C" w14:textId="77777777" w:rsidR="00004FF2" w:rsidRDefault="00000000">
      <w:pPr>
        <w:spacing w:before="280" w:after="120"/>
      </w:pPr>
      <w:r>
        <w:rPr>
          <w:rFonts w:ascii="Calibri" w:hAnsi="Calibri"/>
          <w:b/>
          <w:color w:val="0F2C59"/>
          <w:sz w:val="36"/>
        </w:rPr>
        <w:t>11. Compiled keyword packs (copy/paste)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004FF2" w14:paraId="0E4A7924" w14:textId="77777777">
        <w:tc>
          <w:tcPr>
            <w:tcW w:w="4986" w:type="dxa"/>
            <w:shd w:val="clear" w:color="auto" w:fill="0F2C59"/>
          </w:tcPr>
          <w:p w14:paraId="15654883" w14:textId="77777777" w:rsidR="00004FF2" w:rsidRDefault="00000000">
            <w:r>
              <w:rPr>
                <w:rFonts w:ascii="Calibri" w:hAnsi="Calibri"/>
                <w:b/>
                <w:color w:val="FFFFFF"/>
                <w:sz w:val="18"/>
              </w:rPr>
              <w:t>Pack</w:t>
            </w:r>
          </w:p>
        </w:tc>
        <w:tc>
          <w:tcPr>
            <w:tcW w:w="4986" w:type="dxa"/>
            <w:shd w:val="clear" w:color="auto" w:fill="0F2C59"/>
          </w:tcPr>
          <w:p w14:paraId="699B8501" w14:textId="77777777" w:rsidR="00004FF2" w:rsidRDefault="00000000">
            <w:r>
              <w:rPr>
                <w:rFonts w:ascii="Calibri" w:hAnsi="Calibri"/>
                <w:b/>
                <w:color w:val="FFFFFF"/>
                <w:sz w:val="18"/>
              </w:rPr>
              <w:t>Keywords</w:t>
            </w:r>
          </w:p>
        </w:tc>
      </w:tr>
      <w:tr w:rsidR="00004FF2" w14:paraId="68D06DB0" w14:textId="77777777">
        <w:tc>
          <w:tcPr>
            <w:tcW w:w="4986" w:type="dxa"/>
          </w:tcPr>
          <w:p w14:paraId="5A1624A1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General PV</w:t>
            </w:r>
          </w:p>
        </w:tc>
        <w:tc>
          <w:tcPr>
            <w:tcW w:w="4986" w:type="dxa"/>
          </w:tcPr>
          <w:p w14:paraId="1E882A6E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adverse reaction, side effect, drug safety, pharmacovigilance, patient forum, MedWatch</w:t>
            </w:r>
          </w:p>
        </w:tc>
      </w:tr>
      <w:tr w:rsidR="00004FF2" w14:paraId="554748A6" w14:textId="77777777">
        <w:tc>
          <w:tcPr>
            <w:tcW w:w="4986" w:type="dxa"/>
          </w:tcPr>
          <w:p w14:paraId="1F0CEDD4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Anticoagulants</w:t>
            </w:r>
          </w:p>
        </w:tc>
        <w:tc>
          <w:tcPr>
            <w:tcW w:w="4986" w:type="dxa"/>
          </w:tcPr>
          <w:p w14:paraId="4E0C9F47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warfarin, rivaroxaban, apixaban, haemorrhage, bleeding, anticoagulant, INR</w:t>
            </w:r>
          </w:p>
        </w:tc>
      </w:tr>
      <w:tr w:rsidR="00004FF2" w14:paraId="697B9475" w14:textId="77777777">
        <w:tc>
          <w:tcPr>
            <w:tcW w:w="4986" w:type="dxa"/>
          </w:tcPr>
          <w:p w14:paraId="2ABAEAB0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Psychiatry</w:t>
            </w:r>
          </w:p>
        </w:tc>
        <w:tc>
          <w:tcPr>
            <w:tcW w:w="4986" w:type="dxa"/>
          </w:tcPr>
          <w:p w14:paraId="5FCA285E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paroxetine, sertraline, lithium, suicidal ideation, akathisia, SSRI, bipolar forum</w:t>
            </w:r>
          </w:p>
        </w:tc>
      </w:tr>
      <w:tr w:rsidR="00004FF2" w14:paraId="02224899" w14:textId="77777777">
        <w:tc>
          <w:tcPr>
            <w:tcW w:w="4986" w:type="dxa"/>
          </w:tcPr>
          <w:p w14:paraId="44FB4570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GLP-1 / metabolic</w:t>
            </w:r>
          </w:p>
        </w:tc>
        <w:tc>
          <w:tcPr>
            <w:tcW w:w="4986" w:type="dxa"/>
          </w:tcPr>
          <w:p w14:paraId="76A3B9F8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semaglutide, Ozempic, Wegovy, pancreatitis, gastroparesis, nausea, weight loss drug</w:t>
            </w:r>
          </w:p>
        </w:tc>
      </w:tr>
      <w:tr w:rsidR="00004FF2" w14:paraId="6F9DA1B9" w14:textId="77777777">
        <w:tc>
          <w:tcPr>
            <w:tcW w:w="4986" w:type="dxa"/>
          </w:tcPr>
          <w:p w14:paraId="7847BF77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Oncology / ICI</w:t>
            </w:r>
          </w:p>
        </w:tc>
        <w:tc>
          <w:tcPr>
            <w:tcW w:w="4986" w:type="dxa"/>
          </w:tcPr>
          <w:p w14:paraId="738926AD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pembrolizumab, nivolumab, checkpoint inhibitor, immune-related AE, colitis, pneumonitis, oncology forum</w:t>
            </w:r>
          </w:p>
        </w:tc>
      </w:tr>
      <w:tr w:rsidR="00004FF2" w14:paraId="19A27015" w14:textId="77777777">
        <w:tc>
          <w:tcPr>
            <w:tcW w:w="4986" w:type="dxa"/>
          </w:tcPr>
          <w:p w14:paraId="0D521F2F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Pregnancy</w:t>
            </w:r>
          </w:p>
        </w:tc>
        <w:tc>
          <w:tcPr>
            <w:tcW w:w="4986" w:type="dxa"/>
          </w:tcPr>
          <w:p w14:paraId="228313FC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pregnancy, congenital anomaly, birth defect, teratogen, lithium pregnancy, valproate, neural tube defect</w:t>
            </w:r>
          </w:p>
        </w:tc>
      </w:tr>
      <w:tr w:rsidR="00004FF2" w14:paraId="11974296" w14:textId="77777777">
        <w:tc>
          <w:tcPr>
            <w:tcW w:w="4986" w:type="dxa"/>
          </w:tcPr>
          <w:p w14:paraId="07B29EB0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Vaccine / AESI</w:t>
            </w:r>
          </w:p>
        </w:tc>
        <w:tc>
          <w:tcPr>
            <w:tcW w:w="4986" w:type="dxa"/>
          </w:tcPr>
          <w:p w14:paraId="6A7E7D3B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myocarditis, vaccine side effects, reactogenicity, MMR, COVID-19 vaccine, VAERS, immunization</w:t>
            </w:r>
          </w:p>
        </w:tc>
      </w:tr>
      <w:tr w:rsidR="00004FF2" w14:paraId="18B9FC22" w14:textId="77777777">
        <w:tc>
          <w:tcPr>
            <w:tcW w:w="4986" w:type="dxa"/>
          </w:tcPr>
          <w:p w14:paraId="72E23B85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Devices · cardiac</w:t>
            </w:r>
          </w:p>
        </w:tc>
        <w:tc>
          <w:tcPr>
            <w:tcW w:w="4986" w:type="dxa"/>
          </w:tcPr>
          <w:p w14:paraId="6C126502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pacemaker, coronary stent, defibrillator, lead fracture, device malfunction, MAUDE, implant forum</w:t>
            </w:r>
          </w:p>
        </w:tc>
      </w:tr>
      <w:tr w:rsidR="00004FF2" w14:paraId="327A0646" w14:textId="77777777">
        <w:tc>
          <w:tcPr>
            <w:tcW w:w="4986" w:type="dxa"/>
          </w:tcPr>
          <w:p w14:paraId="320A6850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Devices · diabetes</w:t>
            </w:r>
          </w:p>
        </w:tc>
        <w:tc>
          <w:tcPr>
            <w:tcW w:w="4986" w:type="dxa"/>
          </w:tcPr>
          <w:p w14:paraId="5450953C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insulin pump, continuous glucose monitor, CGM, overinfusion, sensor error, infusion set, diabetes device</w:t>
            </w:r>
          </w:p>
        </w:tc>
      </w:tr>
      <w:tr w:rsidR="00004FF2" w14:paraId="076873B1" w14:textId="77777777">
        <w:tc>
          <w:tcPr>
            <w:tcW w:w="4986" w:type="dxa"/>
          </w:tcPr>
          <w:p w14:paraId="0E4F7F5A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DDI / polypharmacy</w:t>
            </w:r>
          </w:p>
        </w:tc>
        <w:tc>
          <w:tcPr>
            <w:tcW w:w="4986" w:type="dxa"/>
          </w:tcPr>
          <w:p w14:paraId="1AD563F5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 xml:space="preserve">polypharmacy, drug interaction, warfarin amiodarone, serotonin </w:t>
            </w:r>
            <w:r>
              <w:rPr>
                <w:rFonts w:ascii="Calibri" w:hAnsi="Calibri"/>
                <w:color w:val="1E293B"/>
                <w:sz w:val="18"/>
              </w:rPr>
              <w:lastRenderedPageBreak/>
              <w:t>syndrome, concomitant medication</w:t>
            </w:r>
          </w:p>
        </w:tc>
      </w:tr>
    </w:tbl>
    <w:p w14:paraId="4D2AFDEE" w14:textId="77777777" w:rsidR="00004FF2" w:rsidRDefault="00004FF2"/>
    <w:p w14:paraId="055C68E2" w14:textId="77777777" w:rsidR="00004FF2" w:rsidRDefault="00000000">
      <w:pPr>
        <w:spacing w:after="120" w:line="240" w:lineRule="auto"/>
      </w:pPr>
      <w:r>
        <w:rPr>
          <w:rFonts w:ascii="Calibri" w:hAnsi="Calibri"/>
          <w:b/>
          <w:color w:val="0F2C59"/>
          <w:sz w:val="24"/>
        </w:rPr>
        <w:t>In-app Detect jump strings (corpus lookup, not Pathfinder)</w:t>
      </w:r>
    </w:p>
    <w:p w14:paraId="45305C46" w14:textId="77777777" w:rsidR="00004FF2" w:rsidRDefault="00000000">
      <w:pPr>
        <w:spacing w:after="120" w:line="240" w:lineRule="auto"/>
      </w:pPr>
      <w:r>
        <w:rPr>
          <w:rFonts w:ascii="Calibri" w:hAnsi="Calibri"/>
          <w:color w:val="1E293B"/>
        </w:rPr>
        <w:t>Drugs: warfarin, rivaroxaban, semaglutide, paroxetine, sertraline, lithium, ibuprofen.  Vaccines: covid-19 mrna vaccine, MMR.  Devices: coronary stent, catheter, pacemaker, insulin pump, continuous glucose monitor.  Events: Haemorrhage, Fatigue, Anxiety, Device malfunction, Nausea.</w:t>
      </w:r>
    </w:p>
    <w:p w14:paraId="6B50CFC8" w14:textId="77777777" w:rsidR="00004FF2" w:rsidRDefault="00000000">
      <w:pPr>
        <w:spacing w:before="280" w:after="120"/>
      </w:pPr>
      <w:r>
        <w:rPr>
          <w:rFonts w:ascii="Calibri" w:hAnsi="Calibri"/>
          <w:b/>
          <w:color w:val="0F2C59"/>
          <w:sz w:val="36"/>
        </w:rPr>
        <w:t>11. Quick keyword index (find anything)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004FF2" w14:paraId="0027658C" w14:textId="77777777">
        <w:tc>
          <w:tcPr>
            <w:tcW w:w="3324" w:type="dxa"/>
            <w:shd w:val="clear" w:color="auto" w:fill="0F2C59"/>
          </w:tcPr>
          <w:p w14:paraId="16400A25" w14:textId="77777777" w:rsidR="00004FF2" w:rsidRDefault="00000000">
            <w:r>
              <w:rPr>
                <w:rFonts w:ascii="Calibri" w:hAnsi="Calibri"/>
                <w:b/>
                <w:color w:val="FFFFFF"/>
                <w:sz w:val="18"/>
              </w:rPr>
              <w:t>You want…</w:t>
            </w:r>
          </w:p>
        </w:tc>
        <w:tc>
          <w:tcPr>
            <w:tcW w:w="3324" w:type="dxa"/>
            <w:shd w:val="clear" w:color="auto" w:fill="0F2C59"/>
          </w:tcPr>
          <w:p w14:paraId="31D1E2DE" w14:textId="77777777" w:rsidR="00004FF2" w:rsidRDefault="00000000">
            <w:r>
              <w:rPr>
                <w:rFonts w:ascii="Calibri" w:hAnsi="Calibri"/>
                <w:b/>
                <w:color w:val="FFFFFF"/>
                <w:sz w:val="18"/>
              </w:rPr>
              <w:t>Search / say</w:t>
            </w:r>
          </w:p>
        </w:tc>
        <w:tc>
          <w:tcPr>
            <w:tcW w:w="3324" w:type="dxa"/>
            <w:shd w:val="clear" w:color="auto" w:fill="0F2C59"/>
          </w:tcPr>
          <w:p w14:paraId="5BF925AE" w14:textId="77777777" w:rsidR="00004FF2" w:rsidRDefault="00000000">
            <w:r>
              <w:rPr>
                <w:rFonts w:ascii="Calibri" w:hAnsi="Calibri"/>
                <w:b/>
                <w:color w:val="FFFFFF"/>
                <w:sz w:val="18"/>
              </w:rPr>
              <w:t>Go to</w:t>
            </w:r>
          </w:p>
        </w:tc>
      </w:tr>
      <w:tr w:rsidR="00004FF2" w14:paraId="306AE767" w14:textId="77777777">
        <w:tc>
          <w:tcPr>
            <w:tcW w:w="3324" w:type="dxa"/>
          </w:tcPr>
          <w:p w14:paraId="026F5D77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Main signal table</w:t>
            </w:r>
          </w:p>
        </w:tc>
        <w:tc>
          <w:tcPr>
            <w:tcW w:w="3324" w:type="dxa"/>
          </w:tcPr>
          <w:p w14:paraId="05615B27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Detect, SDR, PRR</w:t>
            </w:r>
          </w:p>
        </w:tc>
        <w:tc>
          <w:tcPr>
            <w:tcW w:w="3324" w:type="dxa"/>
          </w:tcPr>
          <w:p w14:paraId="02F29C82" w14:textId="49EA2B53" w:rsidR="00004FF2" w:rsidRDefault="00000000">
            <w:r>
              <w:rPr>
                <w:rFonts w:ascii="Calibri" w:hAnsi="Calibri"/>
                <w:color w:val="1E293B"/>
                <w:sz w:val="18"/>
              </w:rPr>
              <w:t>/sig</w:t>
            </w:r>
            <w:r w:rsidR="00F30119">
              <w:rPr>
                <w:rFonts w:ascii="Calibri" w:hAnsi="Calibri"/>
                <w:color w:val="1E293B"/>
                <w:sz w:val="18"/>
              </w:rPr>
              <w:t>s</w:t>
            </w:r>
            <w:r>
              <w:rPr>
                <w:rFonts w:ascii="Calibri" w:hAnsi="Calibri"/>
                <w:color w:val="1E293B"/>
                <w:sz w:val="18"/>
              </w:rPr>
              <w:t>nals</w:t>
            </w:r>
          </w:p>
        </w:tc>
      </w:tr>
      <w:tr w:rsidR="00004FF2" w14:paraId="57FEDD3E" w14:textId="77777777">
        <w:tc>
          <w:tcPr>
            <w:tcW w:w="3324" w:type="dxa"/>
          </w:tcPr>
          <w:p w14:paraId="103C3726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Plain-English briefing</w:t>
            </w:r>
          </w:p>
        </w:tc>
        <w:tc>
          <w:tcPr>
            <w:tcW w:w="3324" w:type="dxa"/>
          </w:tcPr>
          <w:p w14:paraId="711C5BAB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briefing</w:t>
            </w:r>
          </w:p>
        </w:tc>
        <w:tc>
          <w:tcPr>
            <w:tcW w:w="3324" w:type="dxa"/>
          </w:tcPr>
          <w:p w14:paraId="67F5B3C8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Signal Detail</w:t>
            </w:r>
          </w:p>
        </w:tc>
      </w:tr>
      <w:tr w:rsidR="00004FF2" w14:paraId="23B008D5" w14:textId="77777777">
        <w:tc>
          <w:tcPr>
            <w:tcW w:w="3324" w:type="dxa"/>
          </w:tcPr>
          <w:p w14:paraId="677A6857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Competition bias</w:t>
            </w:r>
          </w:p>
        </w:tc>
        <w:tc>
          <w:tcPr>
            <w:tcW w:w="3324" w:type="dxa"/>
          </w:tcPr>
          <w:p w14:paraId="5E01C31F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Remine, masking</w:t>
            </w:r>
          </w:p>
        </w:tc>
        <w:tc>
          <w:tcPr>
            <w:tcW w:w="3324" w:type="dxa"/>
          </w:tcPr>
          <w:p w14:paraId="04A75D39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/lenses?tab=remine</w:t>
            </w:r>
          </w:p>
        </w:tc>
      </w:tr>
      <w:tr w:rsidR="00004FF2" w14:paraId="0D209731" w14:textId="77777777">
        <w:tc>
          <w:tcPr>
            <w:tcW w:w="3324" w:type="dxa"/>
          </w:tcPr>
          <w:p w14:paraId="334FA4E7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High-risk segments</w:t>
            </w:r>
          </w:p>
        </w:tc>
        <w:tc>
          <w:tcPr>
            <w:tcW w:w="3324" w:type="dxa"/>
          </w:tcPr>
          <w:p w14:paraId="1175FD60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risk populations</w:t>
            </w:r>
          </w:p>
        </w:tc>
        <w:tc>
          <w:tcPr>
            <w:tcW w:w="3324" w:type="dxa"/>
          </w:tcPr>
          <w:p w14:paraId="7685FBFA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/lenses?tab=risk</w:t>
            </w:r>
          </w:p>
        </w:tc>
      </w:tr>
      <w:tr w:rsidR="00004FF2" w14:paraId="316E00D0" w14:textId="77777777">
        <w:tc>
          <w:tcPr>
            <w:tcW w:w="3324" w:type="dxa"/>
          </w:tcPr>
          <w:p w14:paraId="3654DF89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Drug interactions</w:t>
            </w:r>
          </w:p>
        </w:tc>
        <w:tc>
          <w:tcPr>
            <w:tcW w:w="3324" w:type="dxa"/>
          </w:tcPr>
          <w:p w14:paraId="71104F1A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DDI</w:t>
            </w:r>
          </w:p>
        </w:tc>
        <w:tc>
          <w:tcPr>
            <w:tcW w:w="3324" w:type="dxa"/>
          </w:tcPr>
          <w:p w14:paraId="19B78B77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/lenses?tab=ddi</w:t>
            </w:r>
          </w:p>
        </w:tc>
      </w:tr>
      <w:tr w:rsidR="00004FF2" w14:paraId="27950686" w14:textId="77777777">
        <w:tc>
          <w:tcPr>
            <w:tcW w:w="3324" w:type="dxa"/>
          </w:tcPr>
          <w:p w14:paraId="64220852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Pregnancy</w:t>
            </w:r>
          </w:p>
        </w:tc>
        <w:tc>
          <w:tcPr>
            <w:tcW w:w="3324" w:type="dxa"/>
          </w:tcPr>
          <w:p w14:paraId="08A62D0D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pregnancy, congenital</w:t>
            </w:r>
          </w:p>
        </w:tc>
        <w:tc>
          <w:tcPr>
            <w:tcW w:w="3324" w:type="dxa"/>
          </w:tcPr>
          <w:p w14:paraId="6A1AF77B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/lenses?tab=pregnancy</w:t>
            </w:r>
          </w:p>
        </w:tc>
      </w:tr>
      <w:tr w:rsidR="00004FF2" w14:paraId="3248BFDB" w14:textId="77777777">
        <w:tc>
          <w:tcPr>
            <w:tcW w:w="3324" w:type="dxa"/>
          </w:tcPr>
          <w:p w14:paraId="1B27F82E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Demo data</w:t>
            </w:r>
          </w:p>
        </w:tc>
        <w:tc>
          <w:tcPr>
            <w:tcW w:w="3324" w:type="dxa"/>
          </w:tcPr>
          <w:p w14:paraId="6768CAB6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PV demo pack</w:t>
            </w:r>
          </w:p>
        </w:tc>
        <w:tc>
          <w:tcPr>
            <w:tcW w:w="3324" w:type="dxa"/>
          </w:tcPr>
          <w:p w14:paraId="3A358554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/sources</w:t>
            </w:r>
          </w:p>
        </w:tc>
      </w:tr>
      <w:tr w:rsidR="00004FF2" w14:paraId="4FD4F39C" w14:textId="77777777">
        <w:tc>
          <w:tcPr>
            <w:tcW w:w="3324" w:type="dxa"/>
          </w:tcPr>
          <w:p w14:paraId="2BF51452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Narrow Pathfinder</w:t>
            </w:r>
          </w:p>
        </w:tc>
        <w:tc>
          <w:tcPr>
            <w:tcW w:w="3324" w:type="dxa"/>
          </w:tcPr>
          <w:p w14:paraId="74194682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keywords, project</w:t>
            </w:r>
          </w:p>
        </w:tc>
        <w:tc>
          <w:tcPr>
            <w:tcW w:w="3324" w:type="dxa"/>
          </w:tcPr>
          <w:p w14:paraId="08B2D653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/projects</w:t>
            </w:r>
          </w:p>
        </w:tc>
      </w:tr>
      <w:tr w:rsidR="00004FF2" w14:paraId="475232B3" w14:textId="77777777">
        <w:tc>
          <w:tcPr>
            <w:tcW w:w="3324" w:type="dxa"/>
          </w:tcPr>
          <w:p w14:paraId="3792901F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Export ICSR</w:t>
            </w:r>
          </w:p>
        </w:tc>
        <w:tc>
          <w:tcPr>
            <w:tcW w:w="3324" w:type="dxa"/>
          </w:tcPr>
          <w:p w14:paraId="0CAFD70C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E2B, CIOMS, SAR</w:t>
            </w:r>
          </w:p>
        </w:tc>
        <w:tc>
          <w:tcPr>
            <w:tcW w:w="3324" w:type="dxa"/>
          </w:tcPr>
          <w:p w14:paraId="50D99C68" w14:textId="77777777" w:rsidR="00004FF2" w:rsidRDefault="00000000">
            <w:r>
              <w:rPr>
                <w:rFonts w:ascii="Calibri" w:hAnsi="Calibri"/>
                <w:color w:val="1E293B"/>
                <w:sz w:val="18"/>
              </w:rPr>
              <w:t>Signal Detail</w:t>
            </w:r>
          </w:p>
        </w:tc>
      </w:tr>
    </w:tbl>
    <w:p w14:paraId="376FCC9A" w14:textId="77777777" w:rsidR="00004FF2" w:rsidRDefault="00004FF2"/>
    <w:p w14:paraId="57090609" w14:textId="77777777" w:rsidR="00004FF2" w:rsidRDefault="00000000">
      <w:pPr>
        <w:spacing w:before="280" w:after="120"/>
      </w:pPr>
      <w:r>
        <w:rPr>
          <w:rFonts w:ascii="Calibri" w:hAnsi="Calibri"/>
          <w:b/>
          <w:color w:val="0F2C59"/>
          <w:sz w:val="36"/>
        </w:rPr>
        <w:t>12. Disclaimers</w:t>
      </w:r>
    </w:p>
    <w:p w14:paraId="10397C29" w14:textId="77777777" w:rsidR="00004FF2" w:rsidRDefault="00000000">
      <w:pPr>
        <w:spacing w:after="120" w:line="240" w:lineRule="auto"/>
      </w:pPr>
      <w:r>
        <w:rPr>
          <w:rFonts w:ascii="Calibri" w:hAnsi="Calibri"/>
          <w:color w:val="1E293B"/>
        </w:rPr>
        <w:t>Prototype; synthetic data is fictional; openFDA = US FAERS/MAUDE (plus other open feeds as wired); MedDRA coding is an open surrogate (not licensed MedDRA); E2B/CIOMS/SAR are demo templates (not validated submissions); not for clinical use.</w:t>
      </w:r>
    </w:p>
    <w:p w14:paraId="085CF229" w14:textId="77777777" w:rsidR="00004FF2" w:rsidRDefault="00000000">
      <w:pPr>
        <w:spacing w:after="0" w:line="240" w:lineRule="auto"/>
      </w:pPr>
      <w:r>
        <w:rPr>
          <w:rFonts w:ascii="Calibri" w:hAnsi="Calibri"/>
          <w:color w:val="64748B"/>
          <w:sz w:val="18"/>
        </w:rPr>
        <w:t>Full diagrams &amp; continuous updates: docs/VIGILAI_APPLICATION_HANDBOOK.md</w:t>
      </w:r>
    </w:p>
    <w:sectPr w:rsidR="00004FF2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995773">
    <w:abstractNumId w:val="8"/>
  </w:num>
  <w:num w:numId="2" w16cid:durableId="1177039819">
    <w:abstractNumId w:val="6"/>
  </w:num>
  <w:num w:numId="3" w16cid:durableId="7876655">
    <w:abstractNumId w:val="5"/>
  </w:num>
  <w:num w:numId="4" w16cid:durableId="1865510945">
    <w:abstractNumId w:val="4"/>
  </w:num>
  <w:num w:numId="5" w16cid:durableId="1740132453">
    <w:abstractNumId w:val="7"/>
  </w:num>
  <w:num w:numId="6" w16cid:durableId="904412150">
    <w:abstractNumId w:val="3"/>
  </w:num>
  <w:num w:numId="7" w16cid:durableId="1562331561">
    <w:abstractNumId w:val="2"/>
  </w:num>
  <w:num w:numId="8" w16cid:durableId="622468672">
    <w:abstractNumId w:val="1"/>
  </w:num>
  <w:num w:numId="9" w16cid:durableId="952829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FF2"/>
    <w:rsid w:val="00034616"/>
    <w:rsid w:val="0006063C"/>
    <w:rsid w:val="0015074B"/>
    <w:rsid w:val="0029639D"/>
    <w:rsid w:val="00326F90"/>
    <w:rsid w:val="00681DF0"/>
    <w:rsid w:val="00AA1D8D"/>
    <w:rsid w:val="00B47730"/>
    <w:rsid w:val="00CB0664"/>
    <w:rsid w:val="00F301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0AA519"/>
  <w14:defaultImageDpi w14:val="300"/>
  <w15:docId w15:val="{741EECC9-44F9-430A-91DF-DFEAE2263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621</TotalTime>
  <Pages>1</Pages>
  <Words>1252</Words>
  <Characters>7137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Guru raja</cp:lastModifiedBy>
  <cp:revision>3</cp:revision>
  <dcterms:created xsi:type="dcterms:W3CDTF">2013-12-23T23:15:00Z</dcterms:created>
  <dcterms:modified xsi:type="dcterms:W3CDTF">2026-08-06T16:38:00Z</dcterms:modified>
  <cp:category/>
</cp:coreProperties>
</file>