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b/>
          <w:bCs/>
          <w:color w:val="1F3864"/>
          <w:sz w:val="40"/>
          <w:szCs w:val="40"/>
        </w:rPr>
        <w:t xml:space="preserve">THREAT INTELLIGENCE SHARING PLATFORM</w:t>
      </w:r>
    </w:p>
    <w:p>
      <w:pPr>
        <w:spacing w:after="60"/>
        <w:jc w:val="center"/>
      </w:pPr>
      <w:r>
        <w:rPr>
          <w:color w:val="2E75B6"/>
          <w:sz w:val="28"/>
          <w:szCs w:val="28"/>
        </w:rPr>
        <w:t xml:space="preserve">Data Sharing Agreement Templates &amp; Governance Framework</w:t>
      </w:r>
    </w:p>
    <w:p>
      <w:pPr>
        <w:spacing w:after="60"/>
        <w:jc w:val="center"/>
      </w:pPr>
      <w:r>
        <w:rPr>
          <w:color w:val="666666"/>
          <w:sz w:val="20"/>
          <w:szCs w:val="20"/>
        </w:rPr>
        <w:t xml:space="preserve">Deliverable 2 of 8  |  Gururaj Seethuru  |  BIA Bengaluru  |  May 2026</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Document 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Sharing Agreement Template (DSA v1.0)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Author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Gururaj Seethuru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Institution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Boston Institute of Analytics (BIA), Bengaluru</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Effective From</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Upon mutual execution by participating organizations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Review Cycle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Annual or upon material platform change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Governing Law</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Applicable data protection regulations (GDPR / IT Act 2000)</w:t>
            </w:r>
          </w:p>
        </w:tc>
      </w:tr>
    </w:tbl>
    <w:p>
      <w:pPr>
        <w:spacing w:after="160"/>
      </w:pPr>
      <w:r>
        <w:t xml:space="preserve"/>
      </w:r>
    </w:p>
    <w:p>
      <w:r>
        <w:br w:type="page"/>
      </w:r>
    </w:p>
    <w:p>
      <w:pPr>
        <w:pStyle w:val="Heading1"/>
      </w:pPr>
      <w:r>
        <w:rPr>
          <w:b/>
          <w:bCs/>
          <w:color w:val="1F3864"/>
        </w:rPr>
        <w:t xml:space="preserve">1. Introduction &amp; Purpose</w:t>
      </w:r>
    </w:p>
    <w:p>
      <w:pPr>
        <w:spacing w:after="120"/>
      </w:pPr>
      <w:r>
        <w:rPr>
          <w:sz w:val="22"/>
          <w:szCs w:val="22"/>
        </w:rPr>
        <w:t xml:space="preserve">This Data Sharing Agreement (DSA) governs the terms under which member organizations exchange Cyber Threat Intelligence (CTI) data through the Threat Intelligence Sharing Platform (TISP). The Agreement establishes the legal, operational, and ethical framework for responsible threat data sharing.</w:t>
      </w:r>
    </w:p>
    <w:p>
      <w:pPr>
        <w:spacing w:after="120"/>
      </w:pPr>
      <w:r>
        <w:rPr>
          <w:sz w:val="22"/>
          <w:szCs w:val="22"/>
        </w:rPr>
        <w:t xml:space="preserve">All organizations seeking platform access must execute this Agreement prior to onboarding. The DSA applies to all data submitted to, accessed from, or processed by the TISP infrastructure.</w:t>
      </w:r>
    </w:p>
    <w:p>
      <w:pPr>
        <w:spacing w:after="160"/>
      </w:pPr>
      <w:r>
        <w:t xml:space="preserve"/>
      </w:r>
    </w:p>
    <w:p>
      <w:pPr>
        <w:pStyle w:val="Heading2"/>
      </w:pPr>
      <w:r>
        <w:rPr>
          <w:b/>
          <w:bCs/>
          <w:color w:val="2E75B6"/>
        </w:rPr>
        <w:t xml:space="preserve">2.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Threat Intelligence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Processed information about threats, threat actors, TTPs, and indicators of compromise (IOCs)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IOC</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Indicator of Compromise — observable artifact (IP, domain, hash, URL) linked to malicious activity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TLP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Traffic Light Protocol — data classification system (WHITE, GREEN, AMBER, RED) governing redistribution rights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Participating Organization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Any legal entity that has executed this DSA and been granted platform access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Platform Operator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entity responsible for operating and maintaining the TISP infrastructure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Personal Data</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Any information relating to an identified or identifiable natural person, per GDPR Article 4(1)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STIX</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Structured Threat Information Expression — standard JSON format for CTI objects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TAXII</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Trusted Automated eXchange of Intelligence Information — protocol for CTI transport</w:t>
            </w:r>
          </w:p>
        </w:tc>
      </w:tr>
    </w:tbl>
    <w:p>
      <w:pPr>
        <w:spacing w:after="160"/>
      </w:pPr>
      <w:r>
        <w:t xml:space="preserve"/>
      </w:r>
    </w:p>
    <w:p>
      <w:pPr>
        <w:pStyle w:val="Heading2"/>
      </w:pPr>
      <w:r>
        <w:rPr>
          <w:b/>
          <w:bCs/>
          <w:color w:val="2E75B6"/>
        </w:rPr>
        <w:t xml:space="preserve">3. Data Sharing Agreement — Full Template</w:t>
      </w:r>
    </w:p>
    <w:p>
      <w:pPr>
        <w:spacing w:after="120"/>
      </w:pPr>
      <w:r>
        <w:rPr>
          <w:sz w:val="22"/>
          <w:szCs w:val="22"/>
        </w:rPr>
        <w:t xml:space="preserve">The following template constitutes the binding agreement between participating organizations. Fields in [BRACKETS] are to be completed at time of execution.</w:t>
      </w:r>
    </w:p>
    <w:p>
      <w:pPr>
        <w:spacing w:after="160"/>
      </w:pPr>
      <w:r>
        <w:t xml:space="preserve"/>
      </w:r>
    </w:p>
    <w:p>
      <w:pPr>
        <w:pBdr>
          <w:left w:val="single" w:color="2E75B6" w:sz="12" w:space="8"/>
        </w:pBdr>
        <w:spacing w:after="100" w:before="200"/>
      </w:pPr>
      <w:r>
        <w:rPr>
          <w:b/>
          <w:bCs/>
          <w:color w:val="1F3864"/>
          <w:sz w:val="24"/>
          <w:szCs w:val="24"/>
        </w:rPr>
        <w:t xml:space="preserve">Clause 1: Parties</w:t>
      </w:r>
    </w:p>
    <w:p>
      <w:pPr>
        <w:spacing w:after="120"/>
      </w:pPr>
      <w:r>
        <w:rPr>
          <w:sz w:val="22"/>
          <w:szCs w:val="22"/>
        </w:rPr>
        <w:t xml:space="preserve">This Agreement is entered into between:</w:t>
      </w:r>
    </w:p>
    <w:p>
      <w:pPr>
        <w:pStyle w:val="ListParagraph"/>
        <w:numPr>
          <w:ilvl w:val="0"/>
          <w:numId w:val="2"/>
        </w:numPr>
        <w:spacing w:after="80"/>
      </w:pPr>
      <w:r>
        <w:rPr>
          <w:b w:val="false"/>
          <w:bCs w:val="false"/>
          <w:sz w:val="22"/>
          <w:szCs w:val="22"/>
        </w:rPr>
        <w:t xml:space="preserve">Organization A (Data Provider): [Full Legal Name], [Registration Number], [Address]</w:t>
      </w:r>
    </w:p>
    <w:p>
      <w:pPr>
        <w:pStyle w:val="ListParagraph"/>
        <w:numPr>
          <w:ilvl w:val="0"/>
          <w:numId w:val="2"/>
        </w:numPr>
        <w:spacing w:after="80"/>
      </w:pPr>
      <w:r>
        <w:rPr>
          <w:b w:val="false"/>
          <w:bCs w:val="false"/>
          <w:sz w:val="22"/>
          <w:szCs w:val="22"/>
        </w:rPr>
        <w:t xml:space="preserve">Organization B (Data Recipient): [Full Legal Name], [Registration Number], [Address]</w:t>
      </w:r>
    </w:p>
    <w:p>
      <w:pPr>
        <w:pStyle w:val="ListParagraph"/>
        <w:numPr>
          <w:ilvl w:val="0"/>
          <w:numId w:val="2"/>
        </w:numPr>
        <w:spacing w:after="80"/>
      </w:pPr>
      <w:r>
        <w:rPr>
          <w:b w:val="false"/>
          <w:bCs w:val="false"/>
          <w:sz w:val="22"/>
          <w:szCs w:val="22"/>
        </w:rPr>
        <w:t xml:space="preserve">Platform Operator: [Operator Name], responsible for TISP infrastructure</w:t>
      </w:r>
    </w:p>
    <w:p>
      <w:pPr>
        <w:spacing w:after="120"/>
      </w:pPr>
      <w:r>
        <w:rPr>
          <w:sz w:val="22"/>
          <w:szCs w:val="22"/>
        </w:rPr>
        <w:t xml:space="preserve">Collectively referred to as 'the Parties.'</w:t>
      </w:r>
    </w:p>
    <w:p>
      <w:pPr>
        <w:spacing w:after="160"/>
      </w:pPr>
      <w:r>
        <w:t xml:space="preserve"/>
      </w:r>
    </w:p>
    <w:p>
      <w:pPr>
        <w:pBdr>
          <w:left w:val="single" w:color="2E75B6" w:sz="12" w:space="8"/>
        </w:pBdr>
        <w:spacing w:after="100" w:before="200"/>
      </w:pPr>
      <w:r>
        <w:rPr>
          <w:b/>
          <w:bCs/>
          <w:color w:val="1F3864"/>
          <w:sz w:val="24"/>
          <w:szCs w:val="24"/>
        </w:rPr>
        <w:t xml:space="preserve">Clause 2: Purpose &amp; Scope</w:t>
      </w:r>
    </w:p>
    <w:p>
      <w:pPr>
        <w:spacing w:after="120"/>
      </w:pPr>
      <w:r>
        <w:rPr>
          <w:sz w:val="22"/>
          <w:szCs w:val="22"/>
        </w:rPr>
        <w:t xml:space="preserve">The purpose of this Agreement is to facilitate the sharing of Cyber Threat Intelligence data exclusively for defensive cybersecurity operations. Permitted activities include:</w:t>
      </w:r>
    </w:p>
    <w:p>
      <w:pPr>
        <w:pStyle w:val="ListParagraph"/>
        <w:numPr>
          <w:ilvl w:val="0"/>
          <w:numId w:val="2"/>
        </w:numPr>
        <w:spacing w:after="80"/>
      </w:pPr>
      <w:r>
        <w:rPr>
          <w:b w:val="false"/>
          <w:bCs w:val="false"/>
          <w:sz w:val="22"/>
          <w:szCs w:val="22"/>
        </w:rPr>
        <w:t xml:space="preserve">Threat detection, analysis, and hunting activities</w:t>
      </w:r>
    </w:p>
    <w:p>
      <w:pPr>
        <w:pStyle w:val="ListParagraph"/>
        <w:numPr>
          <w:ilvl w:val="0"/>
          <w:numId w:val="2"/>
        </w:numPr>
        <w:spacing w:after="80"/>
      </w:pPr>
      <w:r>
        <w:rPr>
          <w:b w:val="false"/>
          <w:bCs w:val="false"/>
          <w:sz w:val="22"/>
          <w:szCs w:val="22"/>
        </w:rPr>
        <w:t xml:space="preserve">Incident response and containment operations</w:t>
      </w:r>
    </w:p>
    <w:p>
      <w:pPr>
        <w:pStyle w:val="ListParagraph"/>
        <w:numPr>
          <w:ilvl w:val="0"/>
          <w:numId w:val="2"/>
        </w:numPr>
        <w:spacing w:after="80"/>
      </w:pPr>
      <w:r>
        <w:rPr>
          <w:b w:val="false"/>
          <w:bCs w:val="false"/>
          <w:sz w:val="22"/>
          <w:szCs w:val="22"/>
        </w:rPr>
        <w:t xml:space="preserve">Security tool enrichment (SIEM, IDS/IPS, SOAR)</w:t>
      </w:r>
    </w:p>
    <w:p>
      <w:pPr>
        <w:pStyle w:val="ListParagraph"/>
        <w:numPr>
          <w:ilvl w:val="0"/>
          <w:numId w:val="2"/>
        </w:numPr>
        <w:spacing w:after="80"/>
      </w:pPr>
      <w:r>
        <w:rPr>
          <w:b w:val="false"/>
          <w:bCs w:val="false"/>
          <w:sz w:val="22"/>
          <w:szCs w:val="22"/>
        </w:rPr>
        <w:t xml:space="preserve">Collaborative investigation of threat actor campaigns</w:t>
      </w:r>
    </w:p>
    <w:p>
      <w:pPr>
        <w:spacing w:after="120"/>
      </w:pPr>
      <w:r>
        <w:rPr>
          <w:sz w:val="22"/>
          <w:szCs w:val="22"/>
        </w:rPr>
        <w:t xml:space="preserve">Prohibited uses: commercial exploitation of shared data, intelligence commoditization, public disclosure without TLP authorization, and law enforcement use without explicit consent.</w:t>
      </w:r>
    </w:p>
    <w:p>
      <w:pPr>
        <w:spacing w:after="160"/>
      </w:pPr>
      <w:r>
        <w:t xml:space="preserve"/>
      </w:r>
    </w:p>
    <w:p>
      <w:pPr>
        <w:pBdr>
          <w:left w:val="single" w:color="2E75B6" w:sz="12" w:space="8"/>
        </w:pBdr>
        <w:spacing w:after="100" w:before="200"/>
      </w:pPr>
      <w:r>
        <w:rPr>
          <w:b/>
          <w:bCs/>
          <w:color w:val="1F3864"/>
          <w:sz w:val="24"/>
          <w:szCs w:val="24"/>
        </w:rPr>
        <w:t xml:space="preserve">Clause 3: Data Classification — TLP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600"/>
        <w:gridCol w:w="2200"/>
        <w:gridCol w:w="31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TLP Level</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Color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Audience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Redistribution Rules</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Examples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TLP:WHITE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White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Unlimited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restrictions; public disclosure permitted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Generic threat advisories, CVE information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TLP:GREEN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Green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Community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Share within sector/community; no public posting</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OSINT-derived IOCs, general TTPs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TLP:AMBER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Limited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Share only with member organizations on need-to-know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Campaign IOCs, attribution data</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TLP:AMBER+STRICT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Amber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Recipients Only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No further sharing; named recipients only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Sensitive victim data, active operations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TLP:RED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Named Recipients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sharing whatsoever; verbal briefings only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Zero-day exploits, critical infrastructure threats</w:t>
            </w:r>
          </w:p>
        </w:tc>
      </w:tr>
    </w:tbl>
    <w:p>
      <w:pPr>
        <w:spacing w:after="120"/>
      </w:pPr>
      <w:r>
        <w:rPr>
          <w:sz w:val="22"/>
          <w:szCs w:val="22"/>
        </w:rPr>
        <w:t xml:space="preserve">Default classification for new submissions: TLP:AMBER. Submitters must actively downgrade to TLP:GREEN or TLP:WHITE if broader sharing is intended.</w:t>
      </w:r>
    </w:p>
    <w:p>
      <w:pPr>
        <w:spacing w:after="160"/>
      </w:pPr>
      <w:r>
        <w:t xml:space="preserve"/>
      </w:r>
    </w:p>
    <w:p>
      <w:pPr>
        <w:pBdr>
          <w:left w:val="single" w:color="2E75B6" w:sz="12" w:space="8"/>
        </w:pBdr>
        <w:spacing w:after="100" w:before="200"/>
      </w:pPr>
      <w:r>
        <w:rPr>
          <w:b/>
          <w:bCs/>
          <w:color w:val="1F3864"/>
          <w:sz w:val="24"/>
          <w:szCs w:val="24"/>
        </w:rPr>
        <w:t xml:space="preserve">Clause 4: Data Quality &amp; Submission Standards</w:t>
      </w:r>
    </w:p>
    <w:p>
      <w:pPr>
        <w:pStyle w:val="ListParagraph"/>
        <w:numPr>
          <w:ilvl w:val="0"/>
          <w:numId w:val="2"/>
        </w:numPr>
        <w:spacing w:after="80"/>
      </w:pPr>
      <w:r>
        <w:rPr>
          <w:b w:val="false"/>
          <w:bCs w:val="false"/>
          <w:sz w:val="22"/>
          <w:szCs w:val="22"/>
        </w:rPr>
        <w:t xml:space="preserve">All IOCs must be submitted in STIX 2.1 format or via MISP's attribute submission interface</w:t>
      </w:r>
    </w:p>
    <w:p>
      <w:pPr>
        <w:pStyle w:val="ListParagraph"/>
        <w:numPr>
          <w:ilvl w:val="0"/>
          <w:numId w:val="2"/>
        </w:numPr>
        <w:spacing w:after="80"/>
      </w:pPr>
      <w:r>
        <w:rPr>
          <w:b w:val="false"/>
          <w:bCs w:val="false"/>
          <w:sz w:val="22"/>
          <w:szCs w:val="22"/>
        </w:rPr>
        <w:t xml:space="preserve">Submitters must assign accurate Threat Level (High/Medium/Low/Undefined) and Analysis state (Initial/Ongoing/Completed)</w:t>
      </w:r>
    </w:p>
    <w:p>
      <w:pPr>
        <w:pStyle w:val="ListParagraph"/>
        <w:numPr>
          <w:ilvl w:val="0"/>
          <w:numId w:val="2"/>
        </w:numPr>
        <w:spacing w:after="80"/>
      </w:pPr>
      <w:r>
        <w:rPr>
          <w:b w:val="false"/>
          <w:bCs w:val="false"/>
          <w:sz w:val="22"/>
          <w:szCs w:val="22"/>
        </w:rPr>
        <w:t xml:space="preserve">Duplicate submissions are automatically detected; updates must reference original event ID</w:t>
      </w:r>
    </w:p>
    <w:p>
      <w:pPr>
        <w:pStyle w:val="ListParagraph"/>
        <w:numPr>
          <w:ilvl w:val="0"/>
          <w:numId w:val="2"/>
        </w:numPr>
        <w:spacing w:after="80"/>
      </w:pPr>
      <w:r>
        <w:rPr>
          <w:b w:val="false"/>
          <w:bCs w:val="false"/>
          <w:sz w:val="22"/>
          <w:szCs w:val="22"/>
        </w:rPr>
        <w:t xml:space="preserve">YARA rules must be syntactically valid and tested prior to submission</w:t>
      </w:r>
    </w:p>
    <w:p>
      <w:pPr>
        <w:pStyle w:val="ListParagraph"/>
        <w:numPr>
          <w:ilvl w:val="0"/>
          <w:numId w:val="2"/>
        </w:numPr>
        <w:spacing w:after="80"/>
      </w:pPr>
      <w:r>
        <w:rPr>
          <w:b w:val="false"/>
          <w:bCs w:val="false"/>
          <w:sz w:val="22"/>
          <w:szCs w:val="22"/>
        </w:rPr>
        <w:t xml:space="preserve">Personal data (victim PII) must be anonymized before submission per Clause 7</w:t>
      </w:r>
    </w:p>
    <w:p>
      <w:pPr>
        <w:pStyle w:val="ListParagraph"/>
        <w:numPr>
          <w:ilvl w:val="0"/>
          <w:numId w:val="2"/>
        </w:numPr>
        <w:spacing w:after="80"/>
      </w:pPr>
      <w:r>
        <w:rPr>
          <w:b w:val="false"/>
          <w:bCs w:val="false"/>
          <w:sz w:val="22"/>
          <w:szCs w:val="22"/>
        </w:rPr>
        <w:t xml:space="preserve">False positive IOCs must be retracted within 24 hours of identification</w:t>
      </w:r>
    </w:p>
    <w:p>
      <w:pPr>
        <w:spacing w:after="160"/>
      </w:pPr>
      <w:r>
        <w:t xml:space="preserve"/>
      </w:r>
    </w:p>
    <w:p>
      <w:pPr>
        <w:pBdr>
          <w:left w:val="single" w:color="2E75B6" w:sz="12" w:space="8"/>
        </w:pBdr>
        <w:spacing w:after="100" w:before="200"/>
      </w:pPr>
      <w:r>
        <w:rPr>
          <w:b/>
          <w:bCs/>
          <w:color w:val="1F3864"/>
          <w:sz w:val="24"/>
          <w:szCs w:val="24"/>
        </w:rPr>
        <w:t xml:space="preserve">Clause 5: Data Minimisation &amp; Privacy</w:t>
      </w:r>
    </w:p>
    <w:p>
      <w:pPr>
        <w:pStyle w:val="ListParagraph"/>
        <w:numPr>
          <w:ilvl w:val="0"/>
          <w:numId w:val="2"/>
        </w:numPr>
        <w:spacing w:after="80"/>
      </w:pPr>
      <w:r>
        <w:rPr>
          <w:b w:val="false"/>
          <w:bCs w:val="false"/>
          <w:sz w:val="22"/>
          <w:szCs w:val="22"/>
        </w:rPr>
        <w:t xml:space="preserve">Submit only the minimum necessary data to convey the threat intelligence value</w:t>
      </w:r>
    </w:p>
    <w:p>
      <w:pPr>
        <w:pStyle w:val="ListParagraph"/>
        <w:numPr>
          <w:ilvl w:val="0"/>
          <w:numId w:val="2"/>
        </w:numPr>
        <w:spacing w:after="80"/>
      </w:pPr>
      <w:r>
        <w:rPr>
          <w:b w:val="false"/>
          <w:bCs w:val="false"/>
          <w:sz w:val="22"/>
          <w:szCs w:val="22"/>
        </w:rPr>
        <w:t xml:space="preserve">IP addresses associated with individuals must be treated as personal data under GDPR</w:t>
      </w:r>
    </w:p>
    <w:p>
      <w:pPr>
        <w:pStyle w:val="ListParagraph"/>
        <w:numPr>
          <w:ilvl w:val="0"/>
          <w:numId w:val="2"/>
        </w:numPr>
        <w:spacing w:after="80"/>
      </w:pPr>
      <w:r>
        <w:rPr>
          <w:b w:val="false"/>
          <w:bCs w:val="false"/>
          <w:sz w:val="22"/>
          <w:szCs w:val="22"/>
        </w:rPr>
        <w:t xml:space="preserve">Victim organization names must be anonymized using sector-based labels (e.g., 'Financial-IN-01')</w:t>
      </w:r>
    </w:p>
    <w:p>
      <w:pPr>
        <w:pStyle w:val="ListParagraph"/>
        <w:numPr>
          <w:ilvl w:val="0"/>
          <w:numId w:val="2"/>
        </w:numPr>
        <w:spacing w:after="80"/>
      </w:pPr>
      <w:r>
        <w:rPr>
          <w:b w:val="false"/>
          <w:bCs w:val="false"/>
          <w:sz w:val="22"/>
          <w:szCs w:val="22"/>
        </w:rPr>
        <w:t xml:space="preserve">Email addresses found in phishing artifacts must be hashed (SHA256) before submission</w:t>
      </w:r>
    </w:p>
    <w:p>
      <w:pPr>
        <w:pStyle w:val="ListParagraph"/>
        <w:numPr>
          <w:ilvl w:val="0"/>
          <w:numId w:val="2"/>
        </w:numPr>
        <w:spacing w:after="80"/>
      </w:pPr>
      <w:r>
        <w:rPr>
          <w:b w:val="false"/>
          <w:bCs w:val="false"/>
          <w:sz w:val="22"/>
          <w:szCs w:val="22"/>
        </w:rPr>
        <w:t xml:space="preserve">Network captures (PCAPs) must be scrubbed of unrelated traffic and personal communications</w:t>
      </w:r>
    </w:p>
    <w:p>
      <w:pPr>
        <w:spacing w:after="160"/>
      </w:pPr>
      <w:r>
        <w:t xml:space="preserve"/>
      </w:r>
    </w:p>
    <w:p>
      <w:pPr>
        <w:pBdr>
          <w:left w:val="single" w:color="2E75B6" w:sz="12" w:space="8"/>
        </w:pBdr>
        <w:spacing w:after="100" w:before="200"/>
      </w:pPr>
      <w:r>
        <w:rPr>
          <w:b/>
          <w:bCs/>
          <w:color w:val="1F3864"/>
          <w:sz w:val="24"/>
          <w:szCs w:val="24"/>
        </w:rPr>
        <w:t xml:space="preserve">Clause 6: Data Retention &amp; Deletion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Data Category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Retention Period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Deletion Method</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Right to Erasure SLA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 IOCs (TLP:AMBER/RED)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 months from submission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Soft delete → hard purge after 30 days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72 hours upon written request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TLP:WHITE/GREEN events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36 months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Soft delete; archived after 24 months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72 hours upon written request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Audit logs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 months (regulatory minimum)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Automated purge via Logstash ILM policy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applicable — regulatory hold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User account data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Duration of membership + 90 days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Account deactivation → purge on exit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Immediate deactivation; 30-day purge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Backup copies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90 days offsite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Encrypted backup expiry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 days after primary deletion</w:t>
            </w:r>
          </w:p>
        </w:tc>
      </w:tr>
    </w:tbl>
    <w:p>
      <w:pPr>
        <w:spacing w:after="160"/>
      </w:pPr>
      <w:r>
        <w:t xml:space="preserve"/>
      </w:r>
    </w:p>
    <w:p>
      <w:pPr>
        <w:pBdr>
          <w:left w:val="single" w:color="2E75B6" w:sz="12" w:space="8"/>
        </w:pBdr>
        <w:spacing w:after="100" w:before="200"/>
      </w:pPr>
      <w:r>
        <w:rPr>
          <w:b/>
          <w:bCs/>
          <w:color w:val="1F3864"/>
          <w:sz w:val="24"/>
          <w:szCs w:val="24"/>
        </w:rPr>
        <w:t xml:space="preserve">Clause 7: Liability &amp; Indemnification</w:t>
      </w:r>
    </w:p>
    <w:p>
      <w:pPr>
        <w:pStyle w:val="ListParagraph"/>
        <w:numPr>
          <w:ilvl w:val="0"/>
          <w:numId w:val="2"/>
        </w:numPr>
        <w:spacing w:after="80"/>
      </w:pPr>
      <w:r>
        <w:rPr>
          <w:b w:val="false"/>
          <w:bCs w:val="false"/>
          <w:sz w:val="22"/>
          <w:szCs w:val="22"/>
        </w:rPr>
        <w:t xml:space="preserve">The Platform Operator makes no warranty regarding the accuracy, completeness, or timeliness of shared intelligence</w:t>
      </w:r>
    </w:p>
    <w:p>
      <w:pPr>
        <w:pStyle w:val="ListParagraph"/>
        <w:numPr>
          <w:ilvl w:val="0"/>
          <w:numId w:val="2"/>
        </w:numPr>
        <w:spacing w:after="80"/>
      </w:pPr>
      <w:r>
        <w:rPr>
          <w:b w:val="false"/>
          <w:bCs w:val="false"/>
          <w:sz w:val="22"/>
          <w:szCs w:val="22"/>
        </w:rPr>
        <w:t xml:space="preserve">Participating organizations act in good faith and are not liable for damages arising from intelligence reliance by other parties</w:t>
      </w:r>
    </w:p>
    <w:p>
      <w:pPr>
        <w:pStyle w:val="ListParagraph"/>
        <w:numPr>
          <w:ilvl w:val="0"/>
          <w:numId w:val="2"/>
        </w:numPr>
        <w:spacing w:after="80"/>
      </w:pPr>
      <w:r>
        <w:rPr>
          <w:b w:val="false"/>
          <w:bCs w:val="false"/>
          <w:sz w:val="22"/>
          <w:szCs w:val="22"/>
        </w:rPr>
        <w:t xml:space="preserve">Each organization indemnifies the Platform Operator against claims arising from their own non-compliant data submissions</w:t>
      </w:r>
    </w:p>
    <w:p>
      <w:pPr>
        <w:pStyle w:val="ListParagraph"/>
        <w:numPr>
          <w:ilvl w:val="0"/>
          <w:numId w:val="2"/>
        </w:numPr>
        <w:spacing w:after="80"/>
      </w:pPr>
      <w:r>
        <w:rPr>
          <w:b w:val="false"/>
          <w:bCs w:val="false"/>
          <w:sz w:val="22"/>
          <w:szCs w:val="22"/>
        </w:rPr>
        <w:t xml:space="preserve">False attribution data submitted in bad faith may result in immediate termination and legal action</w:t>
      </w:r>
    </w:p>
    <w:p>
      <w:pPr>
        <w:spacing w:after="160"/>
      </w:pPr>
      <w:r>
        <w:t xml:space="preserve"/>
      </w:r>
    </w:p>
    <w:p>
      <w:pPr>
        <w:pBdr>
          <w:left w:val="single" w:color="2E75B6" w:sz="12" w:space="8"/>
        </w:pBdr>
        <w:spacing w:after="100" w:before="200"/>
      </w:pPr>
      <w:r>
        <w:rPr>
          <w:b/>
          <w:bCs/>
          <w:color w:val="1F3864"/>
          <w:sz w:val="24"/>
          <w:szCs w:val="24"/>
        </w:rPr>
        <w:t xml:space="preserve">Clause 8: Termination</w:t>
      </w:r>
    </w:p>
    <w:p>
      <w:pPr>
        <w:pStyle w:val="ListParagraph"/>
        <w:numPr>
          <w:ilvl w:val="0"/>
          <w:numId w:val="2"/>
        </w:numPr>
        <w:spacing w:after="80"/>
      </w:pPr>
      <w:r>
        <w:rPr>
          <w:b w:val="false"/>
          <w:bCs w:val="false"/>
          <w:sz w:val="22"/>
          <w:szCs w:val="22"/>
        </w:rPr>
        <w:t xml:space="preserve">Either party may terminate this Agreement with 30 days written notice to the Platform Operator</w:t>
      </w:r>
    </w:p>
    <w:p>
      <w:pPr>
        <w:pStyle w:val="ListParagraph"/>
        <w:numPr>
          <w:ilvl w:val="0"/>
          <w:numId w:val="2"/>
        </w:numPr>
        <w:spacing w:after="80"/>
      </w:pPr>
      <w:r>
        <w:rPr>
          <w:b w:val="false"/>
          <w:bCs w:val="false"/>
          <w:sz w:val="22"/>
          <w:szCs w:val="22"/>
        </w:rPr>
        <w:t xml:space="preserve">The Platform Operator may immediately terminate access upon breach of this Agreement</w:t>
      </w:r>
    </w:p>
    <w:p>
      <w:pPr>
        <w:pStyle w:val="ListParagraph"/>
        <w:numPr>
          <w:ilvl w:val="0"/>
          <w:numId w:val="2"/>
        </w:numPr>
        <w:spacing w:after="80"/>
      </w:pPr>
      <w:r>
        <w:rPr>
          <w:b w:val="false"/>
          <w:bCs w:val="false"/>
          <w:sz w:val="22"/>
          <w:szCs w:val="22"/>
        </w:rPr>
        <w:t xml:space="preserve">Upon termination: the departing organization's data is purged within 30 days; submitted intelligence remains (anonymized) unless erasure is requested</w:t>
      </w:r>
    </w:p>
    <w:p>
      <w:pPr>
        <w:pStyle w:val="ListParagraph"/>
        <w:numPr>
          <w:ilvl w:val="0"/>
          <w:numId w:val="2"/>
        </w:numPr>
        <w:spacing w:after="80"/>
      </w:pPr>
      <w:r>
        <w:rPr>
          <w:b w:val="false"/>
          <w:bCs w:val="false"/>
          <w:sz w:val="22"/>
          <w:szCs w:val="22"/>
        </w:rPr>
        <w:t xml:space="preserve">Obligations under Clauses 4, 5, 6, and 7 survive termination</w:t>
      </w:r>
    </w:p>
    <w:p>
      <w:pPr>
        <w:spacing w:after="160"/>
      </w:pPr>
      <w:r>
        <w:t xml:space="preserve"/>
      </w:r>
    </w:p>
    <w:p>
      <w:pPr>
        <w:pBdr>
          <w:left w:val="single" w:color="2E75B6" w:sz="12" w:space="8"/>
        </w:pBdr>
        <w:spacing w:after="100" w:before="200"/>
      </w:pPr>
      <w:r>
        <w:rPr>
          <w:b/>
          <w:bCs/>
          <w:color w:val="1F3864"/>
          <w:sz w:val="24"/>
          <w:szCs w:val="24"/>
        </w:rPr>
        <w:t xml:space="preserve">Clause 9: Governing Law &amp; Dispute Resolution</w:t>
      </w:r>
    </w:p>
    <w:p>
      <w:pPr>
        <w:pStyle w:val="ListParagraph"/>
        <w:numPr>
          <w:ilvl w:val="0"/>
          <w:numId w:val="2"/>
        </w:numPr>
        <w:spacing w:after="80"/>
      </w:pPr>
      <w:r>
        <w:rPr>
          <w:b w:val="false"/>
          <w:bCs w:val="false"/>
          <w:sz w:val="22"/>
          <w:szCs w:val="22"/>
        </w:rPr>
        <w:t xml:space="preserve">This Agreement is governed by applicable data protection law in the jurisdiction of the Platform Operator</w:t>
      </w:r>
    </w:p>
    <w:p>
      <w:pPr>
        <w:pStyle w:val="ListParagraph"/>
        <w:numPr>
          <w:ilvl w:val="0"/>
          <w:numId w:val="2"/>
        </w:numPr>
        <w:spacing w:after="80"/>
      </w:pPr>
      <w:r>
        <w:rPr>
          <w:b w:val="false"/>
          <w:bCs w:val="false"/>
          <w:sz w:val="22"/>
          <w:szCs w:val="22"/>
        </w:rPr>
        <w:t xml:space="preserve">Disputes shall be resolved by good-faith negotiation within 30 days, followed by binding arbitration if unresolved</w:t>
      </w:r>
    </w:p>
    <w:p>
      <w:pPr>
        <w:pStyle w:val="ListParagraph"/>
        <w:numPr>
          <w:ilvl w:val="0"/>
          <w:numId w:val="2"/>
        </w:numPr>
        <w:spacing w:after="80"/>
      </w:pPr>
      <w:r>
        <w:rPr>
          <w:b w:val="false"/>
          <w:bCs w:val="false"/>
          <w:sz w:val="22"/>
          <w:szCs w:val="22"/>
        </w:rPr>
        <w:t xml:space="preserve">GDPR-specific disputes may be escalated to the relevant Data Protection Authority</w:t>
      </w:r>
    </w:p>
    <w:p>
      <w:pPr>
        <w:spacing w:after="160"/>
      </w:pPr>
      <w:r>
        <w:t xml:space="preserve"/>
      </w:r>
    </w:p>
    <w:p>
      <w:pPr>
        <w:pBdr>
          <w:left w:val="single" w:color="2E75B6" w:sz="12" w:space="8"/>
        </w:pBdr>
        <w:spacing w:after="100" w:before="200"/>
      </w:pPr>
      <w:r>
        <w:rPr>
          <w:b/>
          <w:bCs/>
          <w:color w:val="1F3864"/>
          <w:sz w:val="24"/>
          <w:szCs w:val="24"/>
        </w:rPr>
        <w:t xml:space="preserve">Clause 10: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Field</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Organization A</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Organization 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Organization Name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Legal Name]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Legal Name]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Authorized Signatory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[Name &amp; Title]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[Name &amp; Title]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Signature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_____________________</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_____________________</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Date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[DD/MM/YYYY]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[DD/MM/YYYY]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Contact Email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[security@org-a.com]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[security@org-b.com]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Platform Account ID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[MISP Org UUID]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[MISP Org UUID]</w:t>
            </w:r>
          </w:p>
        </w:tc>
      </w:tr>
    </w:tbl>
    <w:p>
      <w:pPr>
        <w:spacing w:after="160"/>
      </w:pPr>
      <w:r>
        <w:t xml:space="preserve"/>
      </w:r>
    </w:p>
    <w:p>
      <w:r>
        <w:br w:type="page"/>
      </w:r>
    </w:p>
    <w:p>
      <w:pPr>
        <w:pStyle w:val="Heading1"/>
      </w:pPr>
      <w:r>
        <w:rPr>
          <w:b/>
          <w:bCs/>
          <w:color w:val="1F3864"/>
        </w:rPr>
        <w:t xml:space="preserve">4. Trust Model Configuration</w:t>
      </w:r>
    </w:p>
    <w:p>
      <w:pPr>
        <w:spacing w:after="120"/>
      </w:pPr>
      <w:r>
        <w:rPr>
          <w:sz w:val="22"/>
          <w:szCs w:val="22"/>
        </w:rPr>
        <w:t xml:space="preserve">MISP implements a three-tier progressive trust model that governs data sharing permissions between organizations: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Trust Level</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Eligibility Criteria</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Sharing Rights</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Upgrade Process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Community Trust (Tier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New member; DSA signed; verified 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View own org events; TLP:WHITE feeds only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Automatic on account creation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Verified Contributor (Tier 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3+ validated IOC submissions; no false positives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TLP:GREEN cross-community sharing enabled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Platform Admin review → manual upgrade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Trusted Partner (Tier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Bilateral agreement signed; Tier 2 for 60+ days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TLP:AMBER cross-organization exchange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Signed addendum + Admin approval</w:t>
            </w:r>
          </w:p>
        </w:tc>
      </w:tr>
    </w:tbl>
    <w:p>
      <w:pPr>
        <w:spacing w:after="160"/>
      </w:pPr>
      <w:r>
        <w:t xml:space="preserve"/>
      </w:r>
    </w:p>
    <w:p>
      <w:pPr>
        <w:pStyle w:val="Heading2"/>
      </w:pPr>
      <w:r>
        <w:rPr>
          <w:b/>
          <w:bCs/>
          <w:color w:val="2E75B6"/>
        </w:rPr>
        <w:t xml:space="preserve">5. Privacy Policy Template</w:t>
      </w:r>
    </w:p>
    <w:p>
      <w:pPr>
        <w:spacing w:after="120"/>
      </w:pPr>
      <w:r>
        <w:rPr>
          <w:sz w:val="22"/>
          <w:szCs w:val="22"/>
        </w:rPr>
        <w:t xml:space="preserve">The following Privacy Policy applies to all personal data processed through the TISP platform:</w:t>
      </w:r>
    </w:p>
    <w:p>
      <w:pPr>
        <w:pStyle w:val="ListParagraph"/>
        <w:numPr>
          <w:ilvl w:val="0"/>
          <w:numId w:val="2"/>
        </w:numPr>
        <w:spacing w:after="80"/>
      </w:pPr>
      <w:r>
        <w:rPr>
          <w:b w:val="false"/>
          <w:bCs w:val="false"/>
          <w:sz w:val="22"/>
          <w:szCs w:val="22"/>
        </w:rPr>
        <w:t xml:space="preserve">Data Controller: [Platform Operator Name and DPO contact]</w:t>
      </w:r>
    </w:p>
    <w:p>
      <w:pPr>
        <w:pStyle w:val="ListParagraph"/>
        <w:numPr>
          <w:ilvl w:val="0"/>
          <w:numId w:val="2"/>
        </w:numPr>
        <w:spacing w:after="80"/>
      </w:pPr>
      <w:r>
        <w:rPr>
          <w:b w:val="false"/>
          <w:bCs w:val="false"/>
          <w:sz w:val="22"/>
          <w:szCs w:val="22"/>
        </w:rPr>
        <w:t xml:space="preserve">Lawful Basis: Article 6(1)(f) GDPR — Legitimate Interest (cybersecurity threat prevention)</w:t>
      </w:r>
    </w:p>
    <w:p>
      <w:pPr>
        <w:pStyle w:val="ListParagraph"/>
        <w:numPr>
          <w:ilvl w:val="0"/>
          <w:numId w:val="2"/>
        </w:numPr>
        <w:spacing w:after="80"/>
      </w:pPr>
      <w:r>
        <w:rPr>
          <w:b w:val="false"/>
          <w:bCs w:val="false"/>
          <w:sz w:val="22"/>
          <w:szCs w:val="22"/>
        </w:rPr>
        <w:t xml:space="preserve">Data Categories: Network identifiers (IPs, domains), file hashes, threat actor attributions</w:t>
      </w:r>
    </w:p>
    <w:p>
      <w:pPr>
        <w:pStyle w:val="ListParagraph"/>
        <w:numPr>
          <w:ilvl w:val="0"/>
          <w:numId w:val="2"/>
        </w:numPr>
        <w:spacing w:after="80"/>
      </w:pPr>
      <w:r>
        <w:rPr>
          <w:b w:val="false"/>
          <w:bCs w:val="false"/>
          <w:sz w:val="22"/>
          <w:szCs w:val="22"/>
        </w:rPr>
        <w:t xml:space="preserve">Transfers: Data shared only within DSA-bound member organizations; no third-country transfers without adequacy decision</w:t>
      </w:r>
    </w:p>
    <w:p>
      <w:pPr>
        <w:pStyle w:val="ListParagraph"/>
        <w:numPr>
          <w:ilvl w:val="0"/>
          <w:numId w:val="2"/>
        </w:numPr>
        <w:spacing w:after="80"/>
      </w:pPr>
      <w:r>
        <w:rPr>
          <w:b w:val="false"/>
          <w:bCs w:val="false"/>
          <w:sz w:val="22"/>
          <w:szCs w:val="22"/>
        </w:rPr>
        <w:t xml:space="preserve">Individual Rights: Access, rectification, erasure, restriction — submit requests to [dpo@operator.com]</w:t>
      </w:r>
    </w:p>
    <w:p>
      <w:pPr>
        <w:pStyle w:val="ListParagraph"/>
        <w:numPr>
          <w:ilvl w:val="0"/>
          <w:numId w:val="2"/>
        </w:numPr>
        <w:spacing w:after="80"/>
      </w:pPr>
      <w:r>
        <w:rPr>
          <w:b w:val="false"/>
          <w:bCs w:val="false"/>
          <w:sz w:val="22"/>
          <w:szCs w:val="22"/>
        </w:rPr>
        <w:t xml:space="preserve">Retention: As specified in Clause 6 of the DSA</w:t>
      </w:r>
    </w:p>
    <w:p>
      <w:pPr>
        <w:pStyle w:val="ListParagraph"/>
        <w:numPr>
          <w:ilvl w:val="0"/>
          <w:numId w:val="2"/>
        </w:numPr>
        <w:spacing w:after="80"/>
      </w:pPr>
      <w:r>
        <w:rPr>
          <w:b w:val="false"/>
          <w:bCs w:val="false"/>
          <w:sz w:val="22"/>
          <w:szCs w:val="22"/>
        </w:rPr>
        <w:t xml:space="preserve">Complaints: May be lodged with the relevant Data Protection Authority</w:t>
      </w:r>
    </w:p>
    <w:p>
      <w:pPr>
        <w:spacing w:after="160"/>
      </w:pPr>
      <w:r>
        <w:t xml:space="preserve"/>
      </w:r>
    </w:p>
    <w:p>
      <w:pPr>
        <w:pStyle w:val="Heading2"/>
      </w:pPr>
      <w:r>
        <w:rPr>
          <w:b/>
          <w:bCs/>
          <w:color w:val="2E75B6"/>
        </w:rPr>
        <w:t xml:space="preserve">6. Governance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29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Governance Body</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Members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Meeting Frequency</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Decision Scope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Platform Steering Committee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Platform Admin + Senior Analyst + CISO representatives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Quarterly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Policy changes, platform upgrades, new member admission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Trust &amp; Verification Board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Platform Admin + 2 Trusted Partners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Monthly or as needed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Trust level upgrades, dispute resolution, DSA amendments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Incident Response Team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SOC Engineers + Platform Admin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 hoc (incident-driven)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Security incident response, data breach notification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Compliance Review Group</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CISO + Platform Admin + Legal (if applicable)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Semi-annual</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GDPR, ISO 27001, NIST CSF compliance audits</w:t>
            </w:r>
          </w:p>
        </w:tc>
      </w:tr>
    </w:tbl>
    <w:p>
      <w:pPr>
        <w:spacing w:after="160"/>
      </w:pPr>
      <w:r>
        <w:t xml:space="preserve"/>
      </w:r>
    </w:p>
    <w:p>
      <w:r>
        <w:br w:type="page"/>
      </w:r>
    </w:p>
    <w:p>
      <w:pPr>
        <w:spacing w:before="400"/>
        <w:jc w:val="center"/>
      </w:pPr>
      <w:r>
        <w:rPr>
          <w:i/>
          <w:iCs/>
          <w:color w:val="888888"/>
          <w:sz w:val="18"/>
          <w:szCs w:val="18"/>
        </w:rPr>
        <w:t xml:space="preserve">Confidential — For Academic Submission Only</w:t>
      </w:r>
    </w:p>
    <w:p>
      <w:pPr>
        <w:jc w:val="center"/>
      </w:pPr>
      <w:r>
        <w:rPr>
          <w:color w:val="888888"/>
          <w:sz w:val="18"/>
          <w:szCs w:val="18"/>
        </w:rPr>
        <w:t xml:space="preserve">Boston Institute of Analytics  |  Spinnaker Analytics  |  May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color w:val="888888"/>
        <w:sz w:val="18"/>
        <w:szCs w:val="18"/>
      </w:rPr>
      <w:t xml:space="preserve">Confidential — Academic Submission Only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b/>
        <w:bCs/>
        <w:color w:val="1F3864"/>
        <w:sz w:val="20"/>
        <w:szCs w:val="20"/>
      </w:rPr>
      <w:t xml:space="preserve">TISP — Data Sharing Agreement Templates &amp; Governance Framework</w:t>
    </w:r>
    <w:r>
      <w:rPr>
        <w:color w:val="666666"/>
        <w:sz w:val="18"/>
        <w:szCs w:val="18"/>
      </w:rPr>
      <w:t xml:space="preserve">		Gururaj Seethuru  |  BIA Bengaluru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sz w:val="32"/>
      <w:szCs w:val="32"/>
    </w:rPr>
  </w:style>
  <w:style w:type="paragraph" w:styleId="Heading2">
    <w:name w:val="Heading 2"/>
    <w:basedOn w:val="Normal"/>
    <w:next w:val="Normal"/>
    <w:qFormat/>
    <w:pPr>
      <w:spacing w:after="120" w:before="200"/>
      <w:outlineLvl w:val="1"/>
    </w:pPr>
    <w:rPr>
      <w:rFonts w:ascii="Calibri" w:cs="Calibri" w:eastAsia="Calibri" w:hAnsi="Calibri"/>
      <w:b/>
      <w:bCs/>
      <w:sz w:val="26"/>
      <w:szCs w:val="26"/>
    </w:rPr>
  </w:style>
  <w:style w:type="paragraph" w:styleId="Heading3">
    <w:name w:val="Heading 3"/>
    <w:basedOn w:val="Normal"/>
    <w:next w:val="Normal"/>
    <w:qFormat/>
    <w:pPr>
      <w:spacing w:after="80" w:before="16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2026-04-22T06:47:58.545Z</dcterms:created>
  <dcterms:modified xsi:type="dcterms:W3CDTF">2026-04-22T06:47:58.545Z</dcterms:modified>
</cp:coreProperties>
</file>

<file path=docProps/custom.xml><?xml version="1.0" encoding="utf-8"?>
<Properties xmlns="http://schemas.openxmlformats.org/officeDocument/2006/custom-properties" xmlns:vt="http://schemas.openxmlformats.org/officeDocument/2006/docPropsVTypes"/>
</file>