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b/>
          <w:bCs/>
          <w:color w:val="1F3864"/>
          <w:sz w:val="40"/>
          <w:szCs w:val="40"/>
        </w:rPr>
        <w:t xml:space="preserve">THREAT INTELLIGENCE SHARING PLATFORM</w:t>
      </w:r>
    </w:p>
    <w:p>
      <w:pPr>
        <w:spacing w:after="60"/>
        <w:jc w:val="center"/>
      </w:pPr>
      <w:r>
        <w:rPr>
          <w:color w:val="2E75B6"/>
          <w:sz w:val="28"/>
          <w:szCs w:val="28"/>
        </w:rPr>
        <w:t xml:space="preserve">Configuration Guides: RBAC, STIX/TAXII, Encryption &amp; Anonymisation</w:t>
      </w:r>
    </w:p>
    <w:p>
      <w:pPr>
        <w:spacing w:after="60"/>
        <w:jc w:val="center"/>
      </w:pPr>
      <w:r>
        <w:rPr>
          <w:color w:val="666666"/>
          <w:sz w:val="20"/>
          <w:szCs w:val="20"/>
        </w:rPr>
        <w:t xml:space="preserve">Deliverable 3 of 8  |  Gururaj Seethuru  |  BIA Bengaluru  |  May 2026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Gururaj Seethuru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Institution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Boston Institute of Analytics (BIA), Bengaluru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 Scope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RBAC Setup | STIX/TAXII 2.1 Integration | AES-256 Encryption | Data Anonymisation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 Stack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MISP 2.4 + OpenCTI 6 + Keycloak 24 + Nginx (TLS 1.3)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Submission 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04 May 2026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</w:rPr>
        <w:t xml:space="preserve">Part 1: RBAC Configuration Guide</w:t>
      </w:r>
    </w:p>
    <w:p>
      <w:pPr>
        <w:spacing w:after="120"/>
      </w:pPr>
      <w:r>
        <w:rPr>
          <w:sz w:val="22"/>
          <w:szCs w:val="22"/>
        </w:rPr>
        <w:t xml:space="preserve">Role-Based Access Control (RBAC) is enforced at three layers: Keycloak (identity level), MISP (event/sharing level), and OpenCTI (entity/object level). This guide documents the complete setup procedure.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1.1 Keycloak RBAC Setup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Step 1: Create TISP Realm in Keycloak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Log in to Keycloak Admin Console: https://&lt;domain&gt;:8180/admin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Click 'Create Realm' → Name: tisp-realm → Enable → Create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Navigate to Realm Settings → set Display Name: 'TISP Platform'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Set Token Settings: Access Token Lifespan: 1 hour; Refresh Token: 8 hours</w:t>
      </w:r>
    </w:p>
    <w:p>
      <w:pPr>
        <w:spacing w:after="160"/>
      </w:pPr>
      <w:r>
        <w:t xml:space="preserve"/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Step 2: Configure TISP Client Application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Client ID: tisp-misp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Client Protocol: openid-connect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Access Type: confidential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Valid Redirect URIs: https://&lt;domain&gt;/misp/*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Web Origins: https://&lt;domain&gt;</w:t>
      </w:r>
    </w:p>
    <w:p>
      <w:pPr>
        <w:spacing w:after="160"/>
      </w:pPr>
      <w:r>
        <w:t xml:space="preserve"/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Step 3: Create Platform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1500"/>
        <w:gridCol w:w="34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Keycloak 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MISP 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OpenCTI Role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Permissions Summary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Guest / Read-Only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tisp-guest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Read-only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Connector User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TLP:WHITE events; no submissions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tisp-analyst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Normal User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Analyst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Submit IOCs; view TLP:AMBER own-org events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Senior Analyst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tisp-senior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Publisher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Advanced Analyst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Publish events; YARA submission; enrichment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Threat Intel Lead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tisp-lead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Publisher + Tagger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Lead Analyst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Approve events; manage feeds; org-wide visibility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SOC Engineer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tisp-soc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Normal User + Feed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SOC Analyst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Feed config; TheHive case access; STIX/TAXII pull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 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tisp-admin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MISP 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 Admin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admin minus audit log deletion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CISO / Executive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tisp-ciso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Read-only (all orgs)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Executive Reader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 access; compliance reports only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Step 4: Enable MFA Enforcement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Keycloak Admin → Authentication → Flows → Browser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OTP Form execution after Username/Password → set to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OTP Policy: Algorithm SHA-1 | Digits: 6 | Period: 30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Supported: Google Authenticator, Authy, Microsoft Authenticator, FIDO2 hardware keys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Apply MFA to: All roles with Analyst tier and above (exclude Guest)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1.2 MISP RBAC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Navigate to MISP Admin → List Roles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Create roles matching the matrix above; configure permissions per role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Key permissions to configure: perm_add (submit events), perm_publish (publish events), perm_sync (feed sync), perm_admin (admin access)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Navigate to Admin → Add Organization — create org entry for each member institution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Assign users to organizations and roles via Admin → List Users → Edit 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Configure Sharing Groups: Admin → Sharing Groups → Add → add org members per TLP tier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1.3 OpenCTI RBAC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OpenCTI → Settings → Security → Roles — verify roles sync from Keycloak OIDC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Configure Capabilities per role: Knowledge (read/write/delete), Connectors,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Groups: create groups mirroring MISP organizations; assign users to groups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Marking Definitions: Configure TLP:WHITE, TLP:GREEN, TLP:AMBER, TLP:RED objects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Map Keycloak roles to OpenCTI roles via OIDC claim mapping in connector config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</w:rPr>
        <w:t xml:space="preserve">Part 2: STIX/TAXII 2.1 Integration Guide</w:t>
      </w:r>
    </w:p>
    <w:p>
      <w:pPr>
        <w:spacing w:after="120"/>
      </w:pPr>
      <w:r>
        <w:rPr>
          <w:sz w:val="22"/>
          <w:szCs w:val="22"/>
        </w:rPr>
        <w:t xml:space="preserve">The TISP uses STIX 2.1 as the canonical data format and TAXII 2.1 as the transport protocol for sharing threat intelligence with external platforms and between internal components.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2.1 Enable MISP TAXII 2.1 Server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Step 1: Activate TAXII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MISP Admin → Server Settings &amp; Maintenance → Plugin Settings → TAXII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Set Plugin.TAXII_enable: true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Set Plugin.TAXII_url: https://&lt;domain&gt;/taxii2/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Set Plugin.TAXII_authkey: &lt;generate 64-char hex string&gt;</w:t>
      </w:r>
    </w:p>
    <w:p>
      <w:pPr>
        <w:spacing w:after="160"/>
      </w:pPr>
      <w:r>
        <w:t xml:space="preserve"/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Step 2: Create TAXII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900"/>
        <w:gridCol w:w="32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Collection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Mapped MISP Sharing Group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 Policy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Publish Frequency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tisp-tlp-white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Organizations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Anonymous read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 minutes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tisp-tlp-green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Verified Contributors (Tier 2+)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Bearer token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 minutes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tisp-tlp-amber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Trusted Partners (Tier 3)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Bearer token + IP allowlist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 minutes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tisp-high-severity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Tier 2+ members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Bearer token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minutes (real-time)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tisp-yara-rules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SOC Engineers + Analysts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Bearer token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minutes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Step 3: Configure OpenCTI TAXII Client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OpenCTI connector environment variables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CONNECTOR_TAXII2_URL=https://&lt;domain&gt;/taxii2/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CONNECTOR_TAXII2_COLLECTION=tisp-tlp-amber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CONNECTOR_TAXII2_AUTH_TYPE=bearer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CONNECTOR_TAXII2_AUTH_TOKEN=&lt;misp_authkey&gt;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CONNECTOR_TAXII2_INTERVAL=15  # minutes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2.2 STIX 2.1 Object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MISP Attribute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STIX 2.1 Object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STIX Property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ip-dst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indicator + network-traffic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pattern: [ipv4-addr:value]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'[ipv4-addr:value = "1.2.3.4"]'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indicator + domain-name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pattern: [domain-name:value]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'[domain-name:value = "evil.com"]'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md5 / sha256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indicator + 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pattern: [file:hashes.MD5]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'[file:hashes.MD5 = "abc..."]'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indicator + 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pattern: [url:value]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'[url:value = "http://mal.co/x"]'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malware-sample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malware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name, is_family, labels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malware object with sample_refs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yara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indicator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pattern_type: yara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pattern field contains raw YARA rule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vulnerability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vulnerability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name, external_references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CVE ID in external_references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threat-actor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threat-actor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name, aliases, goals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Mapped from MISP galaxy tags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</w:rPr>
        <w:t xml:space="preserve">Part 3: Encryption Configuration Guide</w:t>
      </w:r>
    </w:p>
    <w:p>
      <w:pPr>
        <w:spacing w:after="120"/>
      </w:pPr>
      <w:r>
        <w:rPr>
          <w:sz w:val="22"/>
          <w:szCs w:val="22"/>
        </w:rPr>
        <w:t xml:space="preserve">The TISP implements defense-in-depth encryption covering data at rest, data in transit, backup archives, and inter-service communications.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3.1 TLS 1.3 Configuration (Nginx)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/etc/nginx/conf.d/tisp-ssl.conf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ssl_protocols TLSv1.2 TLSv1.3;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ssl_ciphers ECDHE-ECDSA-AES256-GCM-SHA384:ECDHE-RSA-AES256-GCM-SHA384:ECDHE-ECDSA-CHACHA20-POLY1305;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ssl_prefer_server_ciphers off;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ssl_session_cache shared:SSL:10m;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ssl_session_timeout 1d;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ssl_stapling on;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ssl_stapling_verify on;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add_header Strict-Transport-Security "max-age=63072000; includeSubDomains; preload" always;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add_header X-Frame-Options DENY;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add_header X-Content-Type-Options nosniff;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3.2 MySQL AES-256 Encryption at Rest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/etc/mysql/conf.d/encryption.cnf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[mysqld]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innodb_encrypt_tables = ON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innodb_encrypt_log = ON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innodb_encryption_threads = 4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innodb_default_encryption_key_id = 1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plugin_load_add = file_key_management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file_key_management_filename = /etc/mysql/encryption/keyfile.enc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3.3 Encryption Layer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200"/>
        <w:gridCol w:w="18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at Rest — MySQL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InnoDB AES-256-GCM tablespace encryption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256-bit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MISP tables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file_key_management plugin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at Rest — Files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LUKS2 / AES-256 on Docker volume 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256-bit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MISP files, OpenCTI objects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LUKS keyfile in secure vault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at Rest — Object Store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MinIO SSE-S3 (AES-256)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256-bit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MISP exports, OpenCTI files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MinIO KMS (internal)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in Transit — External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TLS 1.3 (Nginx)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256-bit ECDHE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Browser → Platform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Let's Encrypt / Certbot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in Transit — Internal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TLS 1.2 min on all inter-service calls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128/256-bit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network services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Self-signed per-service cert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Backup Archives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GnuPG AES-256 symmetric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256-bit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Daily backup sets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Offline passphrase in vault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</w:rPr>
        <w:t xml:space="preserve">Part 4: Data Anonymisation Procedures</w:t>
      </w:r>
    </w:p>
    <w:p>
      <w:pPr>
        <w:spacing w:after="120"/>
      </w:pPr>
      <w:r>
        <w:rPr>
          <w:sz w:val="22"/>
          <w:szCs w:val="22"/>
        </w:rPr>
        <w:t xml:space="preserve">Anonymisation is applied to all threat intelligence data before it is shared at TLP:GREEN level or above with external organizations. The following procedures are implemented in sequence.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4.1 MISP Warninglist Filtering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Navigate to MISP → Sync → Warninglists → Update Warninglists (pull official list set)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Enable: 'List of known CIDR ranges (private)', 'List of known domains that are not malicious', 'Second level domains belong to hosting companies'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MISP automatically flags matching attributes with a warning; flagged attributes excluded from TAXII exports by default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Review flagged events weekly: MISP → Search Attributes → filter warninglist:true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4.2 Logstash PII Scrubbing Pipeline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/etc/logstash/conf.d/10-pii-filter.conf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filter {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mutate {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gsub =&gt; [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"message", "[a-zA-Z0-9._%+-]+@[a-zA-Z0-9.-]+\.[a-zA-Z]{2,}", "[EMAIL_REDACTED]",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"message", "\b(\d{3}[-.]?){2}\d{4}\b", "[PHONE_REDACTED]"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]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fingerprint {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source =&gt; ["src_ip"]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target =&gt; "src_ip_hash"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method =&gt; "SHA256"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key =&gt; "${HASH_SALT}"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4.3 Victim Organisation Anonymisation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Original Identifier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Anonymised Label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Mapping Rule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Registry Location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acme-bank.com (Financial)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Financial-IN-01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Sector + Country + Sequential 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 Admin encrypted registry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healthcorp.in (Healthcare)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Healthcare-IN-01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Sector + Country + Sequential 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 Admin encrypted registry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govt.agency.in (Government)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Government-IN-01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Sector + Country + Sequential 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 Admin encrypted registry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Mapping registry maintained by Platform Admin in encrypted spreadsheet (VeraCrypt container)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Reverse mapping available only to Trusted Partners under NDA for incident response purposes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Automated anonymisation script: python scripts/anonymise_org.py --event-id &lt;ID&gt; --sector &lt;SECTOR&gt; --country &lt;CC&gt;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4.4 Analyst Identity Masking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MISP configuration: set 'anonymise_submitter' flag in Site Settings → set to 'Organization' level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Contributor usernames replaced with organization-level attribution in all exported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Keycloak user audit logs retained internally but excluded from all external data exports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API keys associated with person (not role) — rotated on personnel change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spacing w:before="400"/>
        <w:jc w:val="center"/>
      </w:pPr>
      <w:r>
        <w:rPr>
          <w:i/>
          <w:iCs/>
          <w:color w:val="888888"/>
          <w:sz w:val="18"/>
          <w:szCs w:val="18"/>
        </w:rPr>
        <w:t xml:space="preserve">Confidential — For Academic Submission Only</w:t>
      </w:r>
    </w:p>
    <w:p>
      <w:pPr>
        <w:jc w:val="center"/>
      </w:pPr>
      <w:r>
        <w:rPr>
          <w:color w:val="888888"/>
          <w:sz w:val="18"/>
          <w:szCs w:val="18"/>
        </w:rPr>
        <w:t xml:space="preserve">Boston Institute of Analytics  |  Spinnaker Analytics  |  May 2026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color w:val="888888"/>
        <w:sz w:val="18"/>
        <w:szCs w:val="18"/>
      </w:rPr>
      <w:t xml:space="preserve">Confidential — Academic Submission Only  |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b/>
        <w:bCs/>
        <w:color w:val="1F3864"/>
        <w:sz w:val="20"/>
        <w:szCs w:val="20"/>
      </w:rPr>
      <w:t xml:space="preserve">TISP — Configuration Guides: RBAC, STIX/TAXII, Encryption &amp; Anonymisation</w:t>
    </w:r>
    <w:r>
      <w:rPr>
        <w:color w:val="666666"/>
        <w:sz w:val="18"/>
        <w:szCs w:val="18"/>
      </w:rPr>
      <w:t xml:space="preserve">		Gururaj Seethuru  |  BIA Bengaluru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2026-04-22T06:49:43.450Z</dcterms:created>
  <dcterms:modified xsi:type="dcterms:W3CDTF">2026-04-22T06:49:43.451Z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