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2"/>
          <w:szCs w:val="22"/>
        </w:rPr>
        <w:t xml:space="preserve"/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0D3B66"/>
          <w:sz w:val="56"/>
          <w:szCs w:val="56"/>
        </w:rPr>
        <w:t xml:space="preserve">THREAT INTELLIGENCE SHARING PLATFORM</w:t>
      </w:r>
    </w:p>
    <w:p>
      <w:pPr>
        <w:spacing w:after="480" w:before="120"/>
        <w:jc w:val="center"/>
      </w:pPr>
      <w:r>
        <w:rPr>
          <w:rFonts w:ascii="Calibri" w:cs="Calibri" w:eastAsia="Calibri" w:hAnsi="Calibri"/>
          <w:i/>
          <w:iCs/>
          <w:color w:val="546E7A"/>
          <w:sz w:val="28"/>
          <w:szCs w:val="28"/>
        </w:rPr>
        <w:t xml:space="preserve">Implementing Security Measures within a Scalable, Multi-Organization CTI Ecosystem</w:t>
      </w:r>
    </w:p>
    <w:p>
      <w:pPr>
        <w:pBdr>
          <w:bottom w:val="single" w:color="0077CC" w:sz="12"/>
        </w:pBdr>
        <w:spacing w:after="240" w:before="0"/>
        <w:jc w:val="center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Gururaj Seethuru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Boston Institute of Analytics (BIA), Bengaluru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20"/>
                <w:szCs w:val="20"/>
              </w:rPr>
              <w:t xml:space="preserve">Programme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Master-Diploma in Cyber Security &amp; Ethical Hacking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Implementing Security Measures within a Threat Intelligence Sharing 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20"/>
                <w:szCs w:val="20"/>
              </w:rPr>
              <w:t xml:space="preserve">Submitted 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Spinnaker Analytics / BIA Academics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04 May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20"/>
                <w:szCs w:val="20"/>
              </w:rPr>
              <w:t xml:space="preserve">Platform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MISP 2.4 + OpenCTI 6 + TheHive 5 + ELK 8 + Keycloak 24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1. Executive Summary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This document presents the complete architecture, implementation, security controls, and compliance framework for the Threat Intelligence Sharing Platform (TISP) — a scalable, open-source cyber threat intelligence (CTI) ecosystem designed for multi-organization information sharing.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platform integrates MISP (Malware Information Sharing Platform) as the primary IOC sharing layer with OpenCTI as the advanced graph-correlation engine. Supporting infrastructure includes TheHive for incident response, the ELK Stack for monitoring and analytics, Keycloak for identity management, and STIX/TAXII 2.1 for industry-standard data exchange.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All components are deployed via Docker Compose, enabling reproducible, production-ready infrastructure. The platform is fully aligned with GDPR, ISO 27001 Annex A, and the NIST Cybersecurity Framework.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Key Outcomes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Deployed scalable MISP + OpenCTI dual-platform architecture on Docker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Configured RBAC with seven role tiers across both platforms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Integrated STIX/TAXII 2.1 feed interoperability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Applied AES-256 at-rest encryption and TLS 1.3 in-transit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Enabled MFA via Keycloak SSO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Connected TheHive incident management with bidirectional MISP event 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Deployed ELK reporting dashboards for threat trend visualization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Mapped 18 controls across GDPR, ISO 27001, and NIST CSF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2. Platform Architecture &amp; Design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2.1 Architecture Overview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TISP follows a modular, microservices-based architecture where each component performs a distinct function while communicating over encrypted internal Docker networks. The high-level topology consists of four logical layers: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Ingestion Layer: MISP receives IOCs, YARA rules, malware samples, and structured threat data from analysts and automated feeds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Correlation Layer: OpenCTI consumes MISP STIX2 exports and enriches them with entity relationships, attack pattern mapping, and actor attribution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Integration Layer: STIX/TAXII 2.1 endpoints, TheHive connector, and Wazuh/SIEM bridges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Visibility Layer: ELK Stack (Elasticsearch + Logstash + Kibana) for monitoring, audit logging, and dashboard reporting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2.2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 Stack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Primary IOC sharing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443 (HTTPS)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PHP / MySQL / Redis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OpenCTI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Graph-based correlation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8080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Node.js / Elasticsearch / MinIO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TheHive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Incident response &amp; case mgmt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9000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Scala / Cassandra / Elasticsearch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Cortex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Automated analysis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9001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Python / Docker workers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ELK 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Logging, search, dashboards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5601 (Kibana)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Java / Elasticsearch / Logstash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Keycloak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SSO, MFA, RBAC identity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8180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Java / PostgreSQL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Nginx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TLS termination, reverse proxy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80 / 443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 / OpenSSL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MinIO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Object storage for OpenCTI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9000 (API)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Go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Relational DB for Keycloak / OpenCTI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5432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PostgreSQL 16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2.3 Data Flow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standard data flow follows this sequence: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Analyst or automated feed submits threat data (IOC, malware hash, YARA rule) to MISP via web UI or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MISP validates, normalises, and stores the event; assigns TLP marking and RBAC visibility tags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MISP exports the event as STIX 2.1 JSON via the built-in TAXII 2.1 server endpoint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OpenCTI STIX2 connector ingests the data, builds entity graph (threat actor → TTPs → indicators)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Correlation rules detect patterns; high-severity findings trigger alerts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TheHive receives alert via connector and opens a case for incident response workflow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All platform events are shipped to Logstash → Elasticsearch → visualised in Kibana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3. Data Sharing Agreements &amp; Governance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3.1 Data Sharing Agreement (DSA) Framework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All organizations participating in the TISP must execute a Data Sharing Agreement prior to accessing any platform data. The DSA establishes the legal and operational basis for intelligence exchange.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3.2 DSA Core Clauses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Purpose &amp;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CTI sharing for mutual defence; no commercial use of shared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Data 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TLP:WHITE, TLP:GREEN, TLP:AMBER, TLP:RED; default TLP:AMBER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Permitted 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Defensive operations, threat hunting, incident response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Redistribution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Restricted to TLP level; TLP:RED = no redistribution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Data Minimisation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Submit only minimum necessary IOC context; PII must be anonymised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Retention &amp; Deletion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Events retained 24 months; right-to-erasure request honoured within 72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Liability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Platform operator not liable for intelligence accuracy; good-faith sharing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Termination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30-day notice; departing org data purged on exit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3.3 Trust Models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MISP implements a three-tier trust model for data source credibility: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Community Trust: Default for new members; events visible within organisation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Verified Contributor: Elevated after three validated IOC submissions; TLP:GREEN sharing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Trusted Partner: Bilateral agreement signed; TLP:AMBER cross-organisation sharing permitted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3.4 RBAC Configuration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Role-Based Access Control is enforced at both the MISP and OpenCTI layers, with Keycloak as the unified identity provider. The RBAC matrix (see TISP_Tracker_2025.xlsx — RBAC Matrix sheet) defines seven roles: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Guest / Read-Only: View public events and reports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Analyst: Submit IOCs and malware samples; view restricted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Senior Analyst: Full submission rights including YARA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Threat Intel Lead: Approve and publish events; manage feeds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SOC Engineer: Feed configuration; response workflow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Platform Admin: Full administrative control except audit log deletion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CISO / Executive: Read-only dashboards; compliance reports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4. Data Collection &amp; Automated Analysis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4.1 Supported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Submission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STIX Object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IP Address (IPv4/IPv6)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Plain text / CIDR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MISP UI /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indicator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Domain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FQDN 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MISP UI /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domain-name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File Hash (MD5/SHA1/SHA256)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Hex 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MISP UI / API / Cortex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URL / URI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RFC-3986 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MISP UI /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Malware Sample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Binary (encrypted ZIP)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MISP UI / SFTP 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malware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YARA Rule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.yar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MISP YARA 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indicator (pattern)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Network PCAP snippet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.pcap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TheHive observable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network-traffic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CVE Reference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CVE-YYYY-NNNNN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MISP or OpenCTI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vulnerability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4.2 Automated Analysis Engine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Cortex (by StrangeBee) acts as the automated analysis orchestrator, providing analyser workers that process submitted observables: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VirusTotal Analyser: Hash and URL reputation lookup via VT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AbuseIPDB Analyser: IP reputation and geolocation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MISP Feeds Analyser: Cross-reference against configured OSINT feeds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YARA Scanner: Match file samples against YARA rules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MaxMind GeoIP: Enrich IP observables with ASN and geolocation data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4.3 Data Normalisation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All incoming data is normalised to STIX 2.1 JSON format before ingestion into OpenCTI. MISP's built-in STIX2 exporter handles attribute-to-object mapping. Logstash pipelines apply additional normalisation for ELK ingestion, including field renaming, GeoIP enrichment, and timestamp standardisation.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5. Standards Compliance &amp; Interoperability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5.1 STIX/TAXII 2.1 Configuration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MISP ships with a built-in TAXII 2.1 server accessible at /taxii2/ under the platform's HTTPS endpoint. Configuration steps: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Enable the TAXII server module in MISP Server Settings → Plugins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Create TAXII collections mapped to MISP sharing groups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Configure client authentication (API key or OAuth2 via Keycloak)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Set collection publish frequency (default: 15-minute polling interval)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Register OpenCTI as a TAXII client in its connector configuration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5.2 SIEM Integration (Wazuh / Elastic SIEM)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Wazuh → MISP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wazuh-misp connector (Python)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Wazuh alerts → MISP events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Maps Wazuh rule IDs to MISP categories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MISP → Elastic SIEM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Elastic MISP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MISP events → ECS fields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Requires Elastic Fleet agent on MISP host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OpenCTI → Splunk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OpenCTI Splunk connector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STIX bundles → Splunk KV 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Optional; Splunk ES correlation 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TheHive → Cortex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Native REST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Bidirectional case + analysis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Built-in; no extra config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5.3 IDS/IPS Integration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MISP can export IOCs in Snort/Suricata rule format via the export module. Generated rules can be automatically deployed to Suricata sensors via an n8n automation workflow that polls MISP for new high-severity events on a 30-minute schedule and pushes updated rules via SSH.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6. Security &amp; Privacy Controls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6.1 Encryption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Data at Rest —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AES-256-GCM (MySQL InnoDB tablespace encryption)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All MISP tables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Data at Rest —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LUKS2 / AES-256 on Docker volume 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MISP files, OpenCTI objects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Data at Rest — Object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MinIO Server-Side Encryption (SSE-S3, AES-256)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MISP exports, OpenCTI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Data in Transit — External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TLS 1.3 (Nginx; ECDHE-RSA-AES256-GCM-SHA384)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Browser → 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Data in Transit — Internal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TLS 1.2 minimum on all inter-service API calls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Services within Docker network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Backup Encryption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GnuPG AES-256 symmetric encryption on backup archives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Daily backup sets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6.2 Data Anonymisation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Sensitive identifiers are anonymised before any TLP:GREEN or higher event is published to external organisations: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MISP Warninglist filtering: Known private IP ranges, internal domains removed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Analyst identity masking: Contributor usernames replaced with organisation-level attribution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Personal data scrubbing: Logstash PII filter removes email addresses and phone numbers from free-text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Victim organisation anonymisation: Domain/IP replaced with sector label (e.g., 'Financial-IN-01') for TLP:WHITE exports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6.3 Network Security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Docker Compose network segmentation creates isolated bridge networks: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frontend-net: Nginx ↔ MISP, Nginx ↔ OpenCTI, Nginx ↔ Kibana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backend-net: MISP ↔ MySQL ↔ Redis; OpenCTI ↔ Elasticsearch ↔ MinIO ↔ 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ir-net: TheHive ↔ Cortex ↔ Elasticsearch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identity-net: Keycloak ↔ PostgreSQL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All inter-service communication uses container hostnames on internal Docker DNS. No database or cache ports are exposed to the host network.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7. Authentication &amp; Authorization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7.1 Keycloak SSO Architecture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Keycloak 24 serves as the centralized identity provider (IdP) for the entire TISP ecosystem. All platform components authenticate against Keycloak using OpenID Connect (OIDC) / OAuth 2.0 flows.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7.2 MFA Configuration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Multi-Factor Authentication is mandatory for all accounts with the Analyst role or above. Keycloak is configured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OTP Policy: TOTP (Time-based One-Time Password) using SHA-1 / 6-digit code / 30-second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Supported Authenticators: Google Authenticator, Authy, Microsoft Authenticator, hardware FIDO2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MFA Enforcement: Authentication flow requires OTP after username/password; Grace period: 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Recovery: Admin-initiated account reset; no self-service recovery (reduces social engineering risk)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7.3 API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 TTL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MISP REST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Bearer token (per-user API key)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No expiry (rotatable)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Rotate on role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OpenCTI GraphQL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JWT (Keycloak OIDC)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1 hour access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Refresh token: 8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TheHive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Bearer API key or OIDC 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Per-session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Service accounts use static API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Kibana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OIDC via Keycloak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Session-based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Elastic security realm configured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TAXII 2.1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HTTP Basic or Bearer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Token: 24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Client cert auth optional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8. Integration &amp; Collaboration Tools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8.1 TheHive — Incident Response Integration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TheHive 5 is deployed as the TISP's incident response platform. A bidirectional connector between MISP and TheHive enables: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MISP → TheHive: High-severity MISP events (ThreatLevel:High, published) automatically create TheHive alerts via the misp2thehive connector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TheHive → MISP: Case observables tagged with 'misp-export' are pushed back to MISP as sightings and new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Case templates: Pre-configured templates for Phishing, Ransomware, APT Activity, Data Exfiltration, and DDoS response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8.2 n8n Automation Workflows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n8n orchestrates cross-platform automation workflows: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MISP High-Severity Alert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MISP webhook (new published event, ThreatLevel:High)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Create TheHive alert → post Slack notification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IOC Enrichment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New MISP attribute added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Trigger Cortex analysers → write enrichment 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TAXII Feed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Cron: every 15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Poll external TAXII sources → ingest into MISP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IDS Rule Push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MISP event with 'ids' flag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Export Suricata rules → push to sensors via SSH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Daily Digest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Cron: 07:00 IST daily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Query MISP API → generate PDF summary → email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8.3 Collaboration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MISP Discussion Threads: Per-event comment threads for analyst collaboration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OpenCTI Workspaces: Shared analyst workspaces with pinned entities and investigation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TheHive Tasks: Case task assignment with SLA tracking and analyst workload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Slack/Teams Integration: Critical alert notifications via n8n webhook channels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9. Monitoring &amp; Reporting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9.1 Kibana Dashboard Suite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Five pre-configured Kibana dashboards are deployed for the TISP: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Refresh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Threat Overview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IOC count by type, TLP distribution, top contributing orgs, trend sparklines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IOC Feed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IOC creation rate, top malware families, YARA hit rate, source reliability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Sharing Activity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Events published/day, cross-org sharing volume, TAXII pull 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Incident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TheHive case status, MTTR by severity, analyst workload, escalation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1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Security Audit 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Login events, MFA failures, API key usage, anomaly score 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1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9.2 Anomaly Detection &amp; Alerting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Kibana alerting rules are configured for the following anomalous conditions: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Unusual API access volume: More than 500 API calls from a single user within 10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Off-hours access: Platform login between 22:00–06:00 IST for non-service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Failed MFA attempts: Three consecutive TOTP failures triggers account lock + Slack 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Mass event modification: More than 20 events modified in 5 minutes by a single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Cross-organisation data leak risk: TLP:RED data access by non-authorized role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10. Compliance &amp; Regulatory Alignment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10.1 GDPR Compliance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TISP processes threat intelligence data that may contain personal data (IP addresses attributable to individuals, email addresses in phishing reports). The following GDPR controls are implemented: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Lawful Basis: Legitimate interest (Article 6(1)(f)) — cybersecurity threat detection and prevention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Privacy by Design: Anonymisation pipeline removes PII before cross-organisation sharing (Article 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Data Minimisation: Only minimum necessary attributes included in published events (Article 5(1)(c))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Right to Erasure: Event hard-delete API available to data owners; 72-hour SLA (Article 17)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Security of Processing: AES-256, TLS 1.3, MFA controls in place (Article 32)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10.2 ISO 27001 Alignment</w:t>
      </w:r>
    </w:p>
    <w:p>
      <w:pPr>
        <w:spacing w:after="80" w:before="80" w:line="30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Key Annex A control mappings are documented in the Compliance Mapping sheet of TISP_Tracker_2025.xlsx. Summary of covered domains: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A.5 Information security policies — DSA governance 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A.8 Asset management — OpenCTI entity graph as threat asset inventory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A.9 Access control — Keycloak RBAC + MFA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A.10 Cryptography — AES-256 + TLS 1.3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A.12 Operations security — ELK audit logging, backup procedures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A.13 Communications security — Docker network segmentation, TLS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A.16 Incident management — TheHive IR integration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10.3 NIST CSF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CSF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Platform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Identify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ID.AM Asset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OpenCTI entity graph; MISP tag taxonomy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Identify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ID.GV Governance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DSA framework; RBAC policy documents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Protect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PR.AC Access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Keycloak SSO; RBAC; MFA; API key rotation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Protect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PR.DS Data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AES-256; TLS 1.3; anonymisation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Detect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DE.CM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ELK audit dashboards; anomaly alert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Respond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RS.AN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TheHive + Cortex automated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Recover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RC.RP Recovery Planning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Backup procedures; DR runbook (in progress)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11. User Training Guide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11.1 First Login &amp; MFA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Navigate to https://&lt;platform-domain&gt; and click 'Sign In with SSO'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Enter your credentials on the Keycloak login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On first login, you will be prompted to configure TOTP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Open Google Authenticator / Authy on your mobile device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Scan the QR code displayed on screen to register the TISP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Enter the 6-digit OTP to verify setup; save backup codes in a password manager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11.2 Submitting a Threat Event (MISP)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Log in to MISP at https://&lt;platform-domain&gt;/misp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Click 'Add Event' → fill in: Date, Distribution (TLP level), Threat Level, Analysis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Add attributes: Click 'Add Attribute' → select category (e.g., Network Activity) → type (ip-dst) → value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For malware samples: Click 'Add Attachment' → upload encrypted ZIP (password: 'infected')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For YARA rules: Navigate to Event → Modules → YARA → upload .yar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Click 'Publish Event' to share with the configured distribution group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11.3 Searching &amp; Exporting Intelligence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Search: Use MISP's search bar with attribute filters (type:ip-dst, value:1.2.3.4, tags:tlp:amber)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STIX Export: Event → Download → 'STIX 2.0' to get machine-readable JSON bundle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CSV Export: Event → Download → 'CSV (all attributes)' for spreadsheet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OpenCTI Investigation: Navigate to OpenCTI dashboard → search entity → explore relationships graph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11.4 Incident Response Workflow (TheHive)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Receive alert notification (email / Slack) with TheHive case link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Open TheHive case → review observables (IPs, hashes, domains) imported from MISP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Click 'Analyze' on any observable to trigger Cortex automated analysis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Add tasks: 'Containment', 'Eradication', 'Recovery' — assign team members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Update case status and severity as investigation progresses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On closure: tag MISP event with 'sighting' and update confidence level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720"/>
      </w:pPr>
      <w:r>
        <w:rPr>
          <w:rFonts w:ascii="Calibri" w:cs="Calibri" w:eastAsia="Calibri" w:hAnsi="Calibri"/>
          <w:i/>
          <w:iCs/>
          <w:color w:val="455A64"/>
          <w:sz w:val="20"/>
          <w:szCs w:val="20"/>
        </w:rPr>
        <w:t xml:space="preserve">ℹ  For technical support or platform issues, contact the Platform Admin. For training queries, raise a TheHive task under the 'Platform Training' case template.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12. Deployment Guide (Quick Reference)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12.1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Ubuntu 22.04 / 24.04 LTS host (minimum: 16 GB RAM, 8 vCPU, 500 GB SSD)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Docker Engine 26+ and Docker Compose 2.27+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NVIDIA GPU optional (for Cortex ML analysers)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Domain name with A record pointing to host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SSL certificate (Let's Encrypt via Certbot recommended)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12.2 Deployment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Clone the TISP repository: git clone https://github.com/&lt;org&gt;/tisp.git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Copy environment template: cp .env.example .env; edit with platform domain and secrets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Generate self-signed certs for dev or provision Let's Encrypt for production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Start the stack: docker compose up -d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Run post-install script: bash scripts/post_install.sh — creates default RBAC roles and admin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Import Kibana dashboards: bash scripts/import_dashboards.sh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Configure Keycloak realm: import realm-export.json via Keycloak admin console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Verify all services: docker compose ps — all services should show 'healthy'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077CC"/>
          <w:sz w:val="26"/>
          <w:szCs w:val="26"/>
        </w:rPr>
        <w:t xml:space="preserve">12.3 Health Check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Health Check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MISP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https://&lt;domain&gt;/misp/servers/serverSettings.json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HTTP 200 + 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OpenCTI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http://opencti:8080/health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HTTP 200 {status: 'ok'}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TheHive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http://thehive:9000/api/status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HTTP 200 {status: 'OK'}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Elasticsearch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http://elasticsearch:9200/_cluster/health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HTTP 200 {status: 'green'}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Keycloak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http://keycloak:8080/health/ready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HTTP 200 {status: 'UP'}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MISP Project. (2024). MISP Platform Documentation. https://www.misp-project.org/documentation/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OpenCTI. (2024). OpenCTI Platform Documentation. https://docs.opencti.io/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StrangeBee. (2024). TheHive 5 Documentation. https://docs.strangebee.com/thehive/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OASIS Open. (2021). STIX 2.1 Specification. https://docs.oasis-open.org/cti/stix/v2.1/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OASIS Open. (2021). TAXII 2.1 Specification. https://docs.oasis-open.org/cti/taxii/v2.1/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NIST. (2018). Framework for Improving Critical Infrastructure Cybersecurity (CSF v1.1). https://www.nist.gov/cyberframework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ISO/IEC. (2022). ISO/IEC 27001:2022 Information Security Management Systems.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European Parliament. (2018). General Data Protection Regulation (GDPR) — Regulation (EU) 2016/679.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Keycloak. (2024). Server Administration Guide. https://www.keycloak.org/documentation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Elastic. (2024). Elastic Stack 8.x Documentation. https://www.elastic.co/guide/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7CC" w:sz="4" w:space="1"/>
      </w:pBdr>
    </w:pPr>
    <w:r>
      <w:rPr>
        <w:rFonts w:ascii="Calibri" w:cs="Calibri" w:eastAsia="Calibri" w:hAnsi="Calibri"/>
        <w:color w:val="546E7A"/>
        <w:sz w:val="18"/>
        <w:szCs w:val="18"/>
      </w:rPr>
      <w:t xml:space="preserve">Confidential — For Academic Submission Only   |   Page </w:t>
    </w:r>
    <w:fldSimple w:instr="PAGE">
      <w:r>
        <w:rPr>
          <w:rFonts w:ascii="Calibri" w:cs="Calibri" w:eastAsia="Calibri" w:hAnsi="Calibri"/>
          <w:b/>
          <w:bCs/>
          <w:color w:val="0D3B66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7CC" w:sz="4" w:space="1"/>
      </w:pBdr>
    </w:pPr>
    <w:r>
      <w:rPr>
        <w:rFonts w:ascii="Calibri" w:cs="Calibri" w:eastAsia="Calibri" w:hAnsi="Calibri"/>
        <w:b/>
        <w:bCs/>
        <w:color w:val="0D3B66"/>
        <w:sz w:val="18"/>
        <w:szCs w:val="18"/>
      </w:rPr>
      <w:t xml:space="preserve">THREAT INTELLIGENCE SHARING PLATFORM</w:t>
    </w:r>
    <w:r>
      <w:rPr>
        <w:rFonts w:ascii="Calibri" w:cs="Calibri" w:eastAsia="Calibri" w:hAnsi="Calibri"/>
        <w:color w:val="546E7A"/>
        <w:sz w:val="18"/>
        <w:szCs w:val="18"/>
      </w:rPr>
      <w:t xml:space="preserve">   |   Gururaj Seethuru   |   BIA Bengaluru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7CC" w:sz="6" w:space="1"/>
      </w:pBdr>
      <w:spacing w:after="200" w:before="400"/>
      <w:outlineLvl w:val="0"/>
    </w:pPr>
    <w:rPr>
      <w:rFonts w:ascii="Calibri" w:cs="Calibri" w:eastAsia="Calibri" w:hAnsi="Calibri"/>
      <w:b/>
      <w:bCs/>
      <w:color w:val="0D3B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0077C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546E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2026-04-19T11:02:39.168Z</dcterms:created>
  <dcterms:modified xsi:type="dcterms:W3CDTF">2026-04-19T11:02:39.170Z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