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ffffff"/>
                <w:sz w:val="20"/>
                <w:szCs w:val="20"/>
                <w:highlight w:val="white"/>
                <w:rtl w:val="0"/>
              </w:rPr>
              <w:t xml:space="preserve">SWTID1741146877</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Crypto currency </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Team Leader </w:t>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Esha A</w:t>
            </w:r>
          </w:p>
        </w:tc>
      </w:tr>
      <w:tr>
        <w:trPr>
          <w:cantSplit w:val="0"/>
          <w:tblHeader w:val="0"/>
        </w:trP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Team Member 1</w:t>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Kiruthika G</w:t>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Team Member 2</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Aarthi G</w:t>
            </w:r>
          </w:p>
        </w:tc>
      </w:tr>
      <w:tr>
        <w:trPr>
          <w:cantSplit w:val="0"/>
          <w:tblHeader w:val="0"/>
        </w:trP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Team Member 3</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Guruvarshini J</w:t>
            </w:r>
          </w:p>
        </w:tc>
      </w:tr>
    </w:tbl>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7">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