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Finite State Machine Design for a PLC Controlled Pneumatic Milling Training Model</w:t>
      </w:r>
    </w:p>
    <w:p>
      <w:pPr>
        <w:spacing w:after="160"/>
        <w:jc w:val="center"/>
      </w:pPr>
      <w:r>
        <w:t>Preliminary paper 1  |  Control architecture and verification specification</w:t>
      </w:r>
    </w:p>
    <w:p>
      <w:pPr>
        <w:spacing w:after="280"/>
        <w:jc w:val="center"/>
      </w:pPr>
      <w:r>
        <w:t>Author: [Student name]  |  Department: [Department]  |  Institution: [University]</w:t>
      </w:r>
    </w:p>
    <w:p>
      <w:pPr>
        <w:pStyle w:val="Heading1"/>
      </w:pPr>
      <w:r>
        <w:t>Abstract</w:t>
      </w:r>
    </w:p>
    <w:p>
      <w:r>
        <w:t>This paper specifies a programmable logic controller (PLC) sequence for a conceptual pneumatic milling training model. A pneumatic cylinder clamps an abstract workpiece, another provides a short guided feed movement, and an independently powered motor drives a spindle. The contribution is a finite state machine with explicit input conditions, output commands, timeouts and fault recovery rules. The proposed normal path consists of Idle, Clamp, SpinUp, Advance, Retract, SpinDown, Release and Complete, with a latched Fault path from each active phase. Logical tags and invariant based test cases make the design inspectable before a physical apparatus exists. The work is a controller specification and verification plan, not an implemented machine or proof of machinery safety. Physical validation would require selected parts, a machine specific risk assessment, dry runs and measured reaction times.</w:t>
      </w:r>
    </w:p>
    <w:p>
      <w:r>
        <w:t>Keywords: programmable logic controller; finite state machine; pneumatic actuator; milling model; interlock; fault handling.</w:t>
      </w:r>
    </w:p>
    <w:p>
      <w:pPr>
        <w:pStyle w:val="Heading1"/>
      </w:pPr>
      <w:r>
        <w:t>1 Introduction</w:t>
      </w:r>
    </w:p>
    <w:p>
      <w:r>
        <w:t>An instructional milling model can demonstrate how sensors, logic and actuators form an automatic sequence. Milling combines workpiece location, spindle rotation and feed motion. These functions must occur in an ordered way: feeding before secure clamping or before the spindle reaches its intended condition is an invalid state. A controller that simply energizes outputs for preset intervals cannot tell whether a mechanical step has completed. Using observed conditions for state transitions makes the intended behavior easier to test.</w:t>
      </w:r>
    </w:p>
    <w:p>
      <w:r>
        <w:t>The model considered here is deliberately limited. A pneumatic cylinder is suitable for illustrating clamping and a binary guided feed, while a separate motor provides spindle rotation. The proposed system is an educational control cell. Its binary end position sensing cannot demonstrate tool path accuracy or dimensional tolerance, and no material removal has been tested. A real cutting machine would require a structural design, known forces, tool selection, workholding calculations and protective measures beyond the control sequence.</w:t>
      </w:r>
    </w:p>
    <w:p>
      <w:r>
        <w:t>The research question is how to describe a normal cycle and its abnormal transitions precisely enough that a PLC program and a test suite can be derived from the same specification. IEC 61131-3:2025 identifies structured text, ladder diagram and function block diagram as PLC programming languages [1]. This paper describes behavior in language independent terms, then gives representative structured text style control rules. The vendor, terminal addresses and physical component selection remain open.</w:t>
      </w:r>
    </w:p>
    <w:p>
      <w:pPr>
        <w:pStyle w:val="Heading1"/>
      </w:pPr>
      <w:r>
        <w:t>2 System architecture and assumptions</w:t>
      </w:r>
    </w:p>
    <w:p>
      <w:r>
        <w:t>The proposed plant has a clamp actuator with open and closed end indications, a guided feed actuator with home and forward indications, a spindle drive with running and stopped feedback, a pressure permissive, and an enclosure guard indication. The operator supplies Start, Stop and Reset requests. The PLC commands clamp extension and release, feed extension and return, and spindle enable. An annunciator indicates a latched fault. Each signal is a logical name rather than a confirmed physical terminal.</w:t>
      </w:r>
    </w:p>
    <w:p>
      <w:pPr>
        <w:keepNext/>
        <w:jc w:val="center"/>
      </w:pPr>
      <w:r>
        <w:drawing>
          <wp:inline xmlns:a="http://schemas.openxmlformats.org/drawingml/2006/main" xmlns:pic="http://schemas.openxmlformats.org/drawingml/2006/picture">
            <wp:extent cx="5486400" cy="1463040"/>
            <wp:docPr id="1" name="Picture 1"/>
            <wp:cNvGraphicFramePr>
              <a:graphicFrameLocks noChangeAspect="1"/>
            </wp:cNvGraphicFramePr>
            <a:graphic>
              <a:graphicData uri="http://schemas.openxmlformats.org/drawingml/2006/picture">
                <pic:pic>
                  <pic:nvPicPr>
                    <pic:cNvPr id="0" name="control_architecture.png"/>
                    <pic:cNvPicPr/>
                  </pic:nvPicPr>
                  <pic:blipFill>
                    <a:blip r:embed="rId10"/>
                    <a:stretch>
                      <a:fillRect/>
                    </a:stretch>
                  </pic:blipFill>
                  <pic:spPr>
                    <a:xfrm>
                      <a:off x="0" y="0"/>
                      <a:ext cx="5486400" cy="1463040"/>
                    </a:xfrm>
                    <a:prstGeom prst="rect"/>
                  </pic:spPr>
                </pic:pic>
              </a:graphicData>
            </a:graphic>
          </wp:inline>
        </w:drawing>
      </w:r>
    </w:p>
    <w:p>
      <w:pPr>
        <w:spacing w:after="180"/>
        <w:jc w:val="center"/>
      </w:pPr>
      <w:r>
        <w:rPr>
          <w:i/>
          <w:sz w:val="18"/>
        </w:rPr>
        <w:t>Figure 1. Functional boundary of the proposed training cell.</w:t>
      </w:r>
    </w:p>
    <w:p>
      <w:r>
        <w:t>The PLC receives sensor states, selects one operating state and computes outputs for that state. Input validity matters: a ClampClosed switch confirms the chosen sensing location, but does not establish that the workpiece resists an unknown cutting load. Similarly, a drive run bit may not independently establish shaft speed. The resulting design must preserve the difference between a logical confirmation and a measured mechanical condition.</w:t>
      </w:r>
    </w:p>
    <w:p>
      <w:r>
        <w:t>For an illustrative force check, a 32 mm bore at 0.50 MPa gauge pressure produces a theoretical extension force pπD²/4 of about 402 N. A 50% conceptual allowance leaves about 201 N for preliminary reasoning. The value is not a verified clamping force at the tool. Losses, fixture geometry and cutting loads must be determined for any physical apparatus. Festo documentation distinguishes theoretical cylinder force from practical sizing allowance [2].</w:t>
      </w:r>
    </w:p>
    <w:p>
      <w:r>
        <w:br w:type="page"/>
      </w:r>
    </w:p>
    <w:p>
      <w:pPr>
        <w:pStyle w:val="Heading1"/>
      </w:pPr>
      <w:r>
        <w:t>3 Finite state controller</w:t>
      </w:r>
    </w:p>
    <w:p>
      <w:pPr>
        <w:pStyle w:val="Heading2"/>
      </w:pPr>
      <w:r>
        <w:t>3.1 State path and transition rules</w:t>
      </w:r>
    </w:p>
    <w:p>
      <w:pPr>
        <w:keepNext/>
        <w:jc w:val="center"/>
      </w:pPr>
      <w:r>
        <w:drawing>
          <wp:inline xmlns:a="http://schemas.openxmlformats.org/drawingml/2006/main" xmlns:pic="http://schemas.openxmlformats.org/drawingml/2006/picture">
            <wp:extent cx="5486400" cy="2133600"/>
            <wp:docPr id="2" name="Picture 2"/>
            <wp:cNvGraphicFramePr>
              <a:graphicFrameLocks noChangeAspect="1"/>
            </wp:cNvGraphicFramePr>
            <a:graphic>
              <a:graphicData uri="http://schemas.openxmlformats.org/drawingml/2006/picture">
                <pic:pic>
                  <pic:nvPicPr>
                    <pic:cNvPr id="0" name="control_states.png"/>
                    <pic:cNvPicPr/>
                  </pic:nvPicPr>
                  <pic:blipFill>
                    <a:blip r:embed="rId11"/>
                    <a:stretch>
                      <a:fillRect/>
                    </a:stretch>
                  </pic:blipFill>
                  <pic:spPr>
                    <a:xfrm>
                      <a:off x="0" y="0"/>
                      <a:ext cx="5486400" cy="2133600"/>
                    </a:xfrm>
                    <a:prstGeom prst="rect"/>
                  </pic:spPr>
                </pic:pic>
              </a:graphicData>
            </a:graphic>
          </wp:inline>
        </w:drawing>
      </w:r>
    </w:p>
    <w:p>
      <w:pPr>
        <w:spacing w:after="180"/>
        <w:jc w:val="center"/>
      </w:pPr>
      <w:r>
        <w:rPr>
          <w:i/>
          <w:sz w:val="18"/>
        </w:rPr>
        <w:t>Figure 2. Nominal state order. An active state can also enter Fault.</w:t>
      </w:r>
    </w:p>
    <w:tbl>
      <w:tblPr>
        <w:tblStyle w:val="TableGrid"/>
        <w:tblW w:type="auto" w:w="0"/>
        <w:jc w:val="center"/>
        <w:tblLayout w:type="fixed"/>
        <w:tblLook w:firstColumn="1" w:firstRow="1" w:lastColumn="0" w:lastRow="0" w:noHBand="0" w:noVBand="1" w:val="04A0"/>
      </w:tblPr>
      <w:tblGrid>
        <w:gridCol w:w="1512"/>
        <w:gridCol w:w="3168"/>
        <w:gridCol w:w="4781"/>
      </w:tblGrid>
      <w:tr>
        <w:trPr>
          <w:tblHeader w:val="true"/>
          <w:cantSplit/>
        </w:trPr>
        <w:tc>
          <w:tcPr>
            <w:tcW w:type="dxa" w:w="1512"/>
            <w:vAlign w:val="center"/>
          </w:tcPr>
          <w:p>
            <w:pPr>
              <w:spacing w:after="40" w:line="252" w:lineRule="auto"/>
            </w:pPr>
            <w:r>
              <w:rPr>
                <w:b/>
                <w:sz w:val="18"/>
              </w:rPr>
              <w:t>State</w:t>
            </w:r>
          </w:p>
        </w:tc>
        <w:tc>
          <w:tcPr>
            <w:tcW w:type="dxa" w:w="3168"/>
            <w:vAlign w:val="center"/>
          </w:tcPr>
          <w:p>
            <w:pPr>
              <w:spacing w:after="40" w:line="252" w:lineRule="auto"/>
            </w:pPr>
            <w:r>
              <w:rPr>
                <w:b/>
                <w:sz w:val="18"/>
              </w:rPr>
              <w:t>Command</w:t>
            </w:r>
          </w:p>
        </w:tc>
        <w:tc>
          <w:tcPr>
            <w:tcW w:type="dxa" w:w="4781"/>
            <w:vAlign w:val="center"/>
          </w:tcPr>
          <w:p>
            <w:pPr>
              <w:spacing w:after="40" w:line="252" w:lineRule="auto"/>
            </w:pPr>
            <w:r>
              <w:rPr>
                <w:b/>
                <w:sz w:val="18"/>
              </w:rPr>
              <w:t>Condition to advance</w:t>
            </w:r>
          </w:p>
        </w:tc>
      </w:tr>
      <w:tr>
        <w:trPr>
          <w:cantSplit/>
        </w:trPr>
        <w:tc>
          <w:tcPr>
            <w:tcW w:type="dxa" w:w="1512"/>
            <w:vAlign w:val="center"/>
          </w:tcPr>
          <w:p>
            <w:pPr>
              <w:spacing w:after="40" w:line="252" w:lineRule="auto"/>
            </w:pPr>
            <w:r>
              <w:rPr>
                <w:sz w:val="18"/>
              </w:rPr>
              <w:t>Idle</w:t>
            </w:r>
          </w:p>
        </w:tc>
        <w:tc>
          <w:tcPr>
            <w:tcW w:type="dxa" w:w="3168"/>
            <w:vAlign w:val="center"/>
          </w:tcPr>
          <w:p>
            <w:pPr>
              <w:spacing w:after="40" w:line="252" w:lineRule="auto"/>
            </w:pPr>
            <w:r>
              <w:rPr>
                <w:sz w:val="18"/>
              </w:rPr>
              <w:t>All motion outputs off</w:t>
            </w:r>
          </w:p>
        </w:tc>
        <w:tc>
          <w:tcPr>
            <w:tcW w:type="dxa" w:w="4781"/>
            <w:vAlign w:val="center"/>
          </w:tcPr>
          <w:p>
            <w:pPr>
              <w:spacing w:after="40" w:line="252" w:lineRule="auto"/>
            </w:pPr>
            <w:r>
              <w:rPr>
                <w:sz w:val="18"/>
              </w:rPr>
              <w:t>Fresh Start and all permissives true</w:t>
            </w:r>
          </w:p>
        </w:tc>
      </w:tr>
      <w:tr>
        <w:trPr>
          <w:cantSplit/>
        </w:trPr>
        <w:tc>
          <w:tcPr>
            <w:tcW w:type="dxa" w:w="1512"/>
            <w:vAlign w:val="center"/>
          </w:tcPr>
          <w:p>
            <w:pPr>
              <w:spacing w:after="40" w:line="252" w:lineRule="auto"/>
            </w:pPr>
            <w:r>
              <w:rPr>
                <w:sz w:val="18"/>
              </w:rPr>
              <w:t>Clamp</w:t>
            </w:r>
          </w:p>
        </w:tc>
        <w:tc>
          <w:tcPr>
            <w:tcW w:type="dxa" w:w="3168"/>
            <w:vAlign w:val="center"/>
          </w:tcPr>
          <w:p>
            <w:pPr>
              <w:spacing w:after="40" w:line="252" w:lineRule="auto"/>
            </w:pPr>
            <w:r>
              <w:rPr>
                <w:sz w:val="18"/>
              </w:rPr>
              <w:t>ClampExtend</w:t>
            </w:r>
          </w:p>
        </w:tc>
        <w:tc>
          <w:tcPr>
            <w:tcW w:type="dxa" w:w="4781"/>
            <w:vAlign w:val="center"/>
          </w:tcPr>
          <w:p>
            <w:pPr>
              <w:spacing w:after="40" w:line="252" w:lineRule="auto"/>
            </w:pPr>
            <w:r>
              <w:rPr>
                <w:sz w:val="18"/>
              </w:rPr>
              <w:t>ClampClosed accepted</w:t>
            </w:r>
          </w:p>
        </w:tc>
      </w:tr>
      <w:tr>
        <w:trPr>
          <w:cantSplit/>
        </w:trPr>
        <w:tc>
          <w:tcPr>
            <w:tcW w:type="dxa" w:w="1512"/>
            <w:vAlign w:val="center"/>
          </w:tcPr>
          <w:p>
            <w:pPr>
              <w:spacing w:after="40" w:line="252" w:lineRule="auto"/>
            </w:pPr>
            <w:r>
              <w:rPr>
                <w:sz w:val="18"/>
              </w:rPr>
              <w:t>SpinUp</w:t>
            </w:r>
          </w:p>
        </w:tc>
        <w:tc>
          <w:tcPr>
            <w:tcW w:type="dxa" w:w="3168"/>
            <w:vAlign w:val="center"/>
          </w:tcPr>
          <w:p>
            <w:pPr>
              <w:spacing w:after="40" w:line="252" w:lineRule="auto"/>
            </w:pPr>
            <w:r>
              <w:rPr>
                <w:sz w:val="18"/>
              </w:rPr>
              <w:t>SpindleEnable</w:t>
            </w:r>
          </w:p>
        </w:tc>
        <w:tc>
          <w:tcPr>
            <w:tcW w:type="dxa" w:w="4781"/>
            <w:vAlign w:val="center"/>
          </w:tcPr>
          <w:p>
            <w:pPr>
              <w:spacing w:after="40" w:line="252" w:lineRule="auto"/>
            </w:pPr>
            <w:r>
              <w:rPr>
                <w:sz w:val="18"/>
              </w:rPr>
              <w:t>SpindleRunning accepted</w:t>
            </w:r>
          </w:p>
        </w:tc>
      </w:tr>
      <w:tr>
        <w:trPr>
          <w:cantSplit/>
        </w:trPr>
        <w:tc>
          <w:tcPr>
            <w:tcW w:type="dxa" w:w="1512"/>
            <w:vAlign w:val="center"/>
          </w:tcPr>
          <w:p>
            <w:pPr>
              <w:spacing w:after="40" w:line="252" w:lineRule="auto"/>
            </w:pPr>
            <w:r>
              <w:rPr>
                <w:sz w:val="18"/>
              </w:rPr>
              <w:t>Advance</w:t>
            </w:r>
          </w:p>
        </w:tc>
        <w:tc>
          <w:tcPr>
            <w:tcW w:type="dxa" w:w="3168"/>
            <w:vAlign w:val="center"/>
          </w:tcPr>
          <w:p>
            <w:pPr>
              <w:spacing w:after="40" w:line="252" w:lineRule="auto"/>
            </w:pPr>
            <w:r>
              <w:rPr>
                <w:sz w:val="18"/>
              </w:rPr>
              <w:t>SpindleEnable and FeedExtend</w:t>
            </w:r>
          </w:p>
        </w:tc>
        <w:tc>
          <w:tcPr>
            <w:tcW w:type="dxa" w:w="4781"/>
            <w:vAlign w:val="center"/>
          </w:tcPr>
          <w:p>
            <w:pPr>
              <w:spacing w:after="40" w:line="252" w:lineRule="auto"/>
            </w:pPr>
            <w:r>
              <w:rPr>
                <w:sz w:val="18"/>
              </w:rPr>
              <w:t>FeedForward accepted</w:t>
            </w:r>
          </w:p>
        </w:tc>
      </w:tr>
      <w:tr>
        <w:trPr>
          <w:cantSplit/>
        </w:trPr>
        <w:tc>
          <w:tcPr>
            <w:tcW w:type="dxa" w:w="1512"/>
            <w:vAlign w:val="center"/>
          </w:tcPr>
          <w:p>
            <w:pPr>
              <w:spacing w:after="40" w:line="252" w:lineRule="auto"/>
            </w:pPr>
            <w:r>
              <w:rPr>
                <w:sz w:val="18"/>
              </w:rPr>
              <w:t>Retract</w:t>
            </w:r>
          </w:p>
        </w:tc>
        <w:tc>
          <w:tcPr>
            <w:tcW w:type="dxa" w:w="3168"/>
            <w:vAlign w:val="center"/>
          </w:tcPr>
          <w:p>
            <w:pPr>
              <w:spacing w:after="40" w:line="252" w:lineRule="auto"/>
            </w:pPr>
            <w:r>
              <w:rPr>
                <w:sz w:val="18"/>
              </w:rPr>
              <w:t>SpindleEnable and FeedRetract</w:t>
            </w:r>
          </w:p>
        </w:tc>
        <w:tc>
          <w:tcPr>
            <w:tcW w:type="dxa" w:w="4781"/>
            <w:vAlign w:val="center"/>
          </w:tcPr>
          <w:p>
            <w:pPr>
              <w:spacing w:after="40" w:line="252" w:lineRule="auto"/>
            </w:pPr>
            <w:r>
              <w:rPr>
                <w:sz w:val="18"/>
              </w:rPr>
              <w:t>FeedHome accepted</w:t>
            </w:r>
          </w:p>
        </w:tc>
      </w:tr>
      <w:tr>
        <w:trPr>
          <w:cantSplit/>
        </w:trPr>
        <w:tc>
          <w:tcPr>
            <w:tcW w:type="dxa" w:w="1512"/>
            <w:vAlign w:val="center"/>
          </w:tcPr>
          <w:p>
            <w:pPr>
              <w:spacing w:after="40" w:line="252" w:lineRule="auto"/>
            </w:pPr>
            <w:r>
              <w:rPr>
                <w:sz w:val="18"/>
              </w:rPr>
              <w:t>SpinDown</w:t>
            </w:r>
          </w:p>
        </w:tc>
        <w:tc>
          <w:tcPr>
            <w:tcW w:type="dxa" w:w="3168"/>
            <w:vAlign w:val="center"/>
          </w:tcPr>
          <w:p>
            <w:pPr>
              <w:spacing w:after="40" w:line="252" w:lineRule="auto"/>
            </w:pPr>
            <w:r>
              <w:rPr>
                <w:sz w:val="18"/>
              </w:rPr>
              <w:t>Spindle output off</w:t>
            </w:r>
          </w:p>
        </w:tc>
        <w:tc>
          <w:tcPr>
            <w:tcW w:type="dxa" w:w="4781"/>
            <w:vAlign w:val="center"/>
          </w:tcPr>
          <w:p>
            <w:pPr>
              <w:spacing w:after="40" w:line="252" w:lineRule="auto"/>
            </w:pPr>
            <w:r>
              <w:rPr>
                <w:sz w:val="18"/>
              </w:rPr>
              <w:t>SpindleStopped accepted</w:t>
            </w:r>
          </w:p>
        </w:tc>
      </w:tr>
      <w:tr>
        <w:trPr>
          <w:cantSplit/>
        </w:trPr>
        <w:tc>
          <w:tcPr>
            <w:tcW w:type="dxa" w:w="1512"/>
            <w:vAlign w:val="center"/>
          </w:tcPr>
          <w:p>
            <w:pPr>
              <w:spacing w:after="40" w:line="252" w:lineRule="auto"/>
            </w:pPr>
            <w:r>
              <w:rPr>
                <w:sz w:val="18"/>
              </w:rPr>
              <w:t>Release</w:t>
            </w:r>
          </w:p>
        </w:tc>
        <w:tc>
          <w:tcPr>
            <w:tcW w:type="dxa" w:w="3168"/>
            <w:vAlign w:val="center"/>
          </w:tcPr>
          <w:p>
            <w:pPr>
              <w:spacing w:after="40" w:line="252" w:lineRule="auto"/>
            </w:pPr>
            <w:r>
              <w:rPr>
                <w:sz w:val="18"/>
              </w:rPr>
              <w:t>ClampRetract</w:t>
            </w:r>
          </w:p>
        </w:tc>
        <w:tc>
          <w:tcPr>
            <w:tcW w:type="dxa" w:w="4781"/>
            <w:vAlign w:val="center"/>
          </w:tcPr>
          <w:p>
            <w:pPr>
              <w:spacing w:after="40" w:line="252" w:lineRule="auto"/>
            </w:pPr>
            <w:r>
              <w:rPr>
                <w:sz w:val="18"/>
              </w:rPr>
              <w:t>ClampOpen accepted</w:t>
            </w:r>
          </w:p>
        </w:tc>
      </w:tr>
      <w:tr>
        <w:trPr>
          <w:cantSplit/>
        </w:trPr>
        <w:tc>
          <w:tcPr>
            <w:tcW w:type="dxa" w:w="1512"/>
            <w:vAlign w:val="center"/>
          </w:tcPr>
          <w:p>
            <w:pPr>
              <w:spacing w:after="40" w:line="252" w:lineRule="auto"/>
            </w:pPr>
            <w:r>
              <w:rPr>
                <w:sz w:val="18"/>
              </w:rPr>
              <w:t>Complete</w:t>
            </w:r>
          </w:p>
        </w:tc>
        <w:tc>
          <w:tcPr>
            <w:tcW w:type="dxa" w:w="3168"/>
            <w:vAlign w:val="center"/>
          </w:tcPr>
          <w:p>
            <w:pPr>
              <w:spacing w:after="40" w:line="252" w:lineRule="auto"/>
            </w:pPr>
            <w:r>
              <w:rPr>
                <w:sz w:val="18"/>
              </w:rPr>
              <w:t>Increment complete counter once</w:t>
            </w:r>
          </w:p>
        </w:tc>
        <w:tc>
          <w:tcPr>
            <w:tcW w:type="dxa" w:w="4781"/>
            <w:vAlign w:val="center"/>
          </w:tcPr>
          <w:p>
            <w:pPr>
              <w:spacing w:after="40" w:line="252" w:lineRule="auto"/>
            </w:pPr>
            <w:r>
              <w:rPr>
                <w:sz w:val="18"/>
              </w:rPr>
              <w:t>Return to Idle</w:t>
            </w:r>
          </w:p>
        </w:tc>
      </w:tr>
    </w:tbl>
    <w:p/>
    <w:p>
      <w:pPr>
        <w:spacing w:after="160"/>
        <w:jc w:val="center"/>
      </w:pPr>
      <w:r>
        <w:rPr>
          <w:i/>
          <w:sz w:val="18"/>
        </w:rPr>
        <w:t>Table 1. Controller state contract for the proposed normal cycle.</w:t>
      </w:r>
    </w:p>
    <w:p>
      <w:r>
        <w:t>Table 1 is the normal path contract. A state owns its command outputs; on every controller evaluation, outputs should be assigned from the selected state rather than allowed to retain stale values. A timeout or invalid global condition interrupts progress and selects Fault. The transition from Advance to Retract requires particular care: a feed end input and a pressure failure observed together should resolve to the fault path according to a stated priority rule.</w:t>
      </w:r>
    </w:p>
    <w:p>
      <w:pPr>
        <w:pStyle w:val="Heading2"/>
      </w:pPr>
      <w:r>
        <w:t>3.2 Preconditions and invariants</w:t>
      </w:r>
    </w:p>
    <w:p>
      <w:r>
        <w:t>A start is accepted only when the guard is closed, supply pressure is adequate, the feed is home, the clamp is open, the spindle is stopped and no fault is latched. Start is edge triggered, so a button held through completion cannot begin another cycle. The central software invariant is: FeedExtend implies GuardClosed, PressureOK, ClampClosed and SpindleRunning. Another invariant is that the clamp cannot be released until a trustworthy spindle stopped condition has been observed. These are intended program properties, not claims that the actual mechanism has met a safety performance level.</w:t>
      </w:r>
    </w:p>
    <w:p>
      <w:r>
        <w:t>Opposite end indications on the same actuator must also be interpreted consistently. Simultaneous ClampOpen and ClampClosed is treated as a sensor contradiction unless the final mechanism makes overlap physically possible. During movement, neither end indication may be true. A timeout then bounds the interval in which the controller waits for confirmation. Timer values cannot be selected from this paper alone: they require measured actuator and motor response times on the selected hardware.</w:t>
      </w:r>
    </w:p>
    <w:p>
      <w:pPr>
        <w:pStyle w:val="Heading2"/>
      </w:pPr>
      <w:r>
        <w:t>3.3 Fault handling and recovery</w:t>
      </w:r>
    </w:p>
    <w:p>
      <w:r>
        <w:t>Fault causes include pressure loss, guard opening, contradictory indications, loss of a required confirmation, and movement deadlines. A fault is latched even after the input that caused it returns to normal. Reset requires a new operator action and a verified recoverable plant condition. Restoring pressure or closing a guard should not resume feed motion automatically. A power restart should also avoid silently continuing an interrupted cycle.</w:t>
      </w:r>
    </w:p>
    <w:p>
      <w:r>
        <w:t>Turning a PLC output off does not necessarily remove mechanical energy. A detented valve may retain a port state, stored air may move a cylinder, and a spindle may coast. OSHA identifies milling among hazardous cutting actions [3]. ISO 13849-1:2023 concerns the design of safety related control system parts [4]. A built machine would need a separate, machine specific safety analysis and validation of the complete protective function. The ordinary PLC sequence described in this paper is only one element of that eventual design.</w:t>
      </w:r>
    </w:p>
    <w:p>
      <w:pPr>
        <w:pStyle w:val="Heading1"/>
      </w:pPr>
      <w:r>
        <w:t>4 Verification method</w:t>
      </w:r>
    </w:p>
    <w:p>
      <w:r>
        <w:t>Verification begins with a traceable requirements list. Each input, output and transition is assigned a test identifier. A test harness sets an initial state, presents timed input events, records the chosen state and output snapshot, then compares the trace against expected behavior. Successful completion tests check the normal order and one count increment. Negative tests assert a missing confirmation, an open guard, a low pressure condition or contradictory sensors, then check that feed and spindle commands are inhibited as intended.</w:t>
      </w:r>
    </w:p>
    <w:p>
      <w:r>
        <w:t>Examples of boundary tests include sensor arrival immediately before and after a deadline, Stop pressed in the same scan as FeedForward, and Start held through a controller restart. This matters because an apparently correct nominal cycle can leave priority and reset defects undiscovered. Transition coverage should include every normal edge and each specified state to Fault edge. A formal record should distinguish a case that has been designed from a case actually executed and passed on a PLC simulator or physical controller.</w:t>
      </w:r>
    </w:p>
    <w:p>
      <w:r>
        <w:t>When hardware exists, commissioning should first verify wiring and input polarity with motive power isolated. Dry cycles should be logged without a cutting operation. The record needs program version, parameter settings, event timestamps and observed output responses. The installed guard, electrical isolation, spindle stopping and pneumatic energy release must be evaluated under a documented safety procedure. No such physical commissioning result is reported in this paper.</w:t>
      </w:r>
    </w:p>
    <w:p>
      <w:pPr>
        <w:pStyle w:val="Heading1"/>
      </w:pPr>
      <w:r>
        <w:t>5 Discussion and limitations</w:t>
      </w:r>
    </w:p>
    <w:p>
      <w:r>
        <w:t>A finite state machine improves the clarity of sequencing because each command has a local context and each exceptional condition can have a defined reaction. It does not resolve mechanical uncertainties. An end switch may activate with no workpiece present, and a short pneumatic feed may vary in speed as supply pressure or load changes. The proposed design has no measured spindle stopping time, tool force, part quality or certified safety architecture. These gaps constrain what a software simulation could prove.</w:t>
      </w:r>
    </w:p>
    <w:p>
      <w:r>
        <w:t>The next development stage should select a PLC and actuator components, define the physical layout and risk assessment, and implement the state rules in an actual vendor project. A scan level test harness can then verify logical invariants, followed by safely executed dry tests. Only after the physical system is characterized should a cutting study estimate dimensional accuracy or productive capacity.</w:t>
      </w:r>
    </w:p>
    <w:p>
      <w:pPr>
        <w:pStyle w:val="Heading1"/>
      </w:pPr>
      <w:r>
        <w:t>6 Conclusion</w:t>
      </w:r>
    </w:p>
    <w:p>
      <w:r>
        <w:t>The paper provides a reviewable control specification for a PLC governed pneumatic milling training cell. Its main outputs are an architecture, state contract, software invariants and a fault oriented test plan. They support implementation and verification but do not constitute a tested physical milling machine. The related simulation and cost study is presented separately in the second preliminary paper.</w:t>
      </w:r>
    </w:p>
    <w:p>
      <w:pPr>
        <w:pStyle w:val="Heading1"/>
      </w:pPr>
      <w:r>
        <w:t>References</w:t>
      </w:r>
    </w:p>
    <w:p>
      <w:r>
        <w:t>[1] International Electrotechnical Commission, IEC 61131-3:2025, Programmable controllers, Part 3: Programming languages. https://webstore.iec.ch/en/publication/68533</w:t>
      </w:r>
    </w:p>
    <w:p>
      <w:r>
        <w:t>[2] Festo, Standards based cylinders DNC, ISO 15552, technical documentation. https://www.festo.com/media/catalog/202856_documentation.pdf</w:t>
      </w:r>
    </w:p>
    <w:p>
      <w:r>
        <w:t>[3] Occupational Safety and Health Administration, Machine Guarding eTool. https://www.osha.gov/etools/machine-guarding</w:t>
      </w:r>
    </w:p>
    <w:p>
      <w:r>
        <w:t>[4] International Organization for Standardization, ISO 13849-1:2023, Safety of machinery, Safety related parts of control systems, Part 1. https://www.iso.org/standard/73481.html</w:t>
      </w:r>
    </w:p>
    <w:sectPr w:rsidR="00FC693F" w:rsidRPr="0006063C" w:rsidSect="00034616">
      <w:footerReference w:type="default" r:id="rId9"/>
      <w:pgSz w:w="12240" w:h="15840"/>
      <w:pgMar w:top="1123" w:right="1224" w:bottom="1008" w:left="133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Finite State Machine Design for a PLC Controlled Pneumatic Milling Training Model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2" w:lineRule="auto" w:after="120"/>
    </w:pPr>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00"/>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Times New Roman" w:hAnsi="Times New Roman"/>
      <w:b/>
      <w:bCs/>
      <w:color w:val="000000"/>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00" w:line="240" w:lineRule="auto" w:before="220"/>
      <w:contextualSpacing/>
    </w:pPr>
    <w:rPr>
      <w:rFonts w:asciiTheme="majorHAnsi" w:eastAsiaTheme="majorEastAsia" w:hAnsiTheme="majorHAnsi" w:cstheme="majorBidi" w:ascii="Times New Roman" w:hAnsi="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