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Simulation and Economic Sensitivity Analysis of a PLC Controlled Pneumatic Milling Model</w:t>
      </w:r>
    </w:p>
    <w:p>
      <w:pPr>
        <w:spacing w:after="160"/>
        <w:jc w:val="center"/>
      </w:pPr>
      <w:r>
        <w:t>Preliminary paper 2  |  Reproducible numerical experiment and cost scenario</w:t>
      </w:r>
    </w:p>
    <w:p>
      <w:pPr>
        <w:spacing w:after="280"/>
        <w:jc w:val="center"/>
      </w:pPr>
      <w:r>
        <w:t>Author: [Student name]  |  Department: [Department]  |  Institution: [University]</w:t>
      </w:r>
    </w:p>
    <w:p>
      <w:pPr>
        <w:pStyle w:val="Heading1"/>
      </w:pPr>
      <w:r>
        <w:t>Abstract</w:t>
      </w:r>
    </w:p>
    <w:p>
      <w:r>
        <w:t>This paper examines a proposed PLC controlled pneumatic milling training model using a reproducible discrete event simulation and an illustrative economic calculation. The conceptual cell clamps a training workpiece, starts a separate spindle, advances and retracts a short pneumatic feed, stops the spindle and releases the clamp. A fixed random seed generates 300 attempts in each of three scenarios: nominal pressure, wider pressure variation and scheduled fault injection. Nominal trials all completed, with a mean simulated cycle of 10.271 s and sample standard deviation of 0.509 s. The pressure variation scenario completed 279 attempts; the injected fault scenario completed 275. These statistics are generated outcomes of declared assumptions and are not measurements from hardware. At hypothetical utilization and cost inputs, a narrow simple payback is 1.85 years, but the conclusion depends strongly on unverified labor saving. The study demonstrates a transparent analysis method while identifying the measurements needed before physical or investment claims are possible.</w:t>
      </w:r>
    </w:p>
    <w:p>
      <w:r>
        <w:t>Keywords: discrete event simulation; pneumatic system; PLC; cycle time; sensitivity analysis; economic efficiency.</w:t>
      </w:r>
    </w:p>
    <w:p>
      <w:pPr>
        <w:pStyle w:val="Heading1"/>
      </w:pPr>
      <w:r>
        <w:t>1 Introduction</w:t>
      </w:r>
    </w:p>
    <w:p>
      <w:r>
        <w:t>A numerical experiment can help organize what needs to be measured when a proposed machine has not yet been built. The milling model specified in the companion control design paper consists of pneumatic clamping and guided feed, plus an independently powered spindle. The PLC controls their order using sensor confirmation. Its conceptual normal path is clamp, spindle startup, approach, feed, return, spindle stop and release. This paper asks how a simple model of pressure and segment timing changes completed cycle time and rejected attempts.</w:t>
      </w:r>
    </w:p>
    <w:p>
      <w:r>
        <w:t>The controller is treated as a state based PLC design whose eventual program could use the languages specified by IEC 61131-3 [3]. The numerical experiment represents the plant timing and attempt classification; it is not a scan by scan execution of a compiled PLC program. This boundary matters when interpreting fault results.</w:t>
      </w:r>
    </w:p>
    <w:p>
      <w:r>
        <w:t>The second question is economic. A faster sequence may reduce operator handling, but a nominal cycle time alone does not show that labor can be redeployed or that capital is justified. Accordingly, the economic section expresses annual net benefit as a function of assumed cycle rate, annual hours, seconds of genuine labor time saved, labor value and incremental electricity. All cost inputs are hypothetical. The method makes an investment threshold visible without presenting a procurement recommendation.</w:t>
      </w:r>
    </w:p>
    <w:p>
      <w:pPr>
        <w:pStyle w:val="Heading1"/>
      </w:pPr>
      <w:r>
        <w:t>2 Numerical model and data generation</w:t>
      </w:r>
    </w:p>
    <w:p>
      <w:pPr>
        <w:pStyle w:val="Heading2"/>
      </w:pPr>
      <w:r>
        <w:t>2.1 States and timing inputs</w:t>
      </w:r>
    </w:p>
    <w:p>
      <w:r>
        <w:t>The simulator represents one attempt as seven successive time segments with assumed mean durations of 1.10, 1.35, 1.75, 2.90, 1.45, 0.90 and 0.80 s for clamp, spindle confirmation, approach, feed advance, feed return, spindle stop and clamp release. Their nominal means sum to 10.25 s. Each segment receives an independent normal random draw with a standard deviation between 0.09 and 0.24 s and a lower bound of 0.15 s. These timings are chosen to illustrate a model and have not been obtained from a real machine.</w:t>
      </w:r>
    </w:p>
    <w:p>
      <w:r>
        <w:t>Gauge pressure is sampled around 0.50 MPa. Nominal pressure standard deviation is 0.028 MPa; in the variation case it increases to 0.075 MPa. A lower bound of 0.28 MPa prevents negative or implausibly small simulation inputs. Clamp, feed advance and feed return durations are multiplied by the ratio of nominal 0.50 MPa to drawn pressure. This inverse relationship is a simplifying assumption, not a validated pneumatic equation. Real movement depends on valve flow, tubing, load, cushion settings and dynamic pressure.</w:t>
      </w:r>
    </w:p>
    <w:p>
      <w:pPr>
        <w:pStyle w:val="Heading2"/>
      </w:pPr>
      <w:r>
        <w:t>2.2 Scenario and rejection rules</w:t>
      </w:r>
    </w:p>
    <w:tbl>
      <w:tblPr>
        <w:tblStyle w:val="TableGrid"/>
        <w:tblW w:type="auto" w:w="0"/>
        <w:jc w:val="center"/>
        <w:tblLayout w:type="fixed"/>
        <w:tblLook w:firstColumn="1" w:firstRow="1" w:lastColumn="0" w:lastRow="0" w:noHBand="0" w:noVBand="1" w:val="04A0"/>
      </w:tblPr>
      <w:tblGrid>
        <w:gridCol w:w="2088"/>
        <w:gridCol w:w="2232"/>
        <w:gridCol w:w="1080"/>
        <w:gridCol w:w="4061"/>
      </w:tblGrid>
      <w:tr>
        <w:trPr>
          <w:tblHeader w:val="true"/>
          <w:cantSplit/>
        </w:trPr>
        <w:tc>
          <w:tcPr>
            <w:tcW w:type="dxa" w:w="2088"/>
            <w:vAlign w:val="center"/>
          </w:tcPr>
          <w:p>
            <w:pPr>
              <w:spacing w:after="40" w:line="252" w:lineRule="auto"/>
            </w:pPr>
            <w:r>
              <w:rPr>
                <w:b/>
                <w:sz w:val="18"/>
              </w:rPr>
              <w:t>Scenario</w:t>
            </w:r>
          </w:p>
        </w:tc>
        <w:tc>
          <w:tcPr>
            <w:tcW w:type="dxa" w:w="2232"/>
            <w:vAlign w:val="center"/>
          </w:tcPr>
          <w:p>
            <w:pPr>
              <w:spacing w:after="40" w:line="252" w:lineRule="auto"/>
            </w:pPr>
            <w:r>
              <w:rPr>
                <w:b/>
                <w:sz w:val="18"/>
              </w:rPr>
              <w:t>Pressure spread MPa</w:t>
            </w:r>
          </w:p>
        </w:tc>
        <w:tc>
          <w:tcPr>
            <w:tcW w:type="dxa" w:w="1080"/>
            <w:vAlign w:val="center"/>
          </w:tcPr>
          <w:p>
            <w:pPr>
              <w:spacing w:after="40" w:line="252" w:lineRule="auto"/>
            </w:pPr>
            <w:r>
              <w:rPr>
                <w:b/>
                <w:sz w:val="18"/>
              </w:rPr>
              <w:t>Attempts</w:t>
            </w:r>
          </w:p>
        </w:tc>
        <w:tc>
          <w:tcPr>
            <w:tcW w:type="dxa" w:w="4061"/>
            <w:vAlign w:val="center"/>
          </w:tcPr>
          <w:p>
            <w:pPr>
              <w:spacing w:after="40" w:line="252" w:lineRule="auto"/>
            </w:pPr>
            <w:r>
              <w:rPr>
                <w:b/>
                <w:sz w:val="18"/>
              </w:rPr>
              <w:t>Scheduled injection</w:t>
            </w:r>
          </w:p>
        </w:tc>
      </w:tr>
      <w:tr>
        <w:trPr>
          <w:cantSplit/>
        </w:trPr>
        <w:tc>
          <w:tcPr>
            <w:tcW w:type="dxa" w:w="2088"/>
            <w:vAlign w:val="center"/>
          </w:tcPr>
          <w:p>
            <w:pPr>
              <w:spacing w:after="40" w:line="252" w:lineRule="auto"/>
            </w:pPr>
            <w:r>
              <w:rPr>
                <w:sz w:val="18"/>
              </w:rPr>
              <w:t>Nominal</w:t>
            </w:r>
          </w:p>
        </w:tc>
        <w:tc>
          <w:tcPr>
            <w:tcW w:type="dxa" w:w="2232"/>
            <w:vAlign w:val="center"/>
          </w:tcPr>
          <w:p>
            <w:pPr>
              <w:spacing w:after="40" w:line="252" w:lineRule="auto"/>
            </w:pPr>
            <w:r>
              <w:rPr>
                <w:sz w:val="18"/>
              </w:rPr>
              <w:t>0.028</w:t>
            </w:r>
          </w:p>
        </w:tc>
        <w:tc>
          <w:tcPr>
            <w:tcW w:type="dxa" w:w="1080"/>
            <w:vAlign w:val="center"/>
          </w:tcPr>
          <w:p>
            <w:pPr>
              <w:spacing w:after="40" w:line="252" w:lineRule="auto"/>
            </w:pPr>
            <w:r>
              <w:rPr>
                <w:sz w:val="18"/>
              </w:rPr>
              <w:t>300</w:t>
            </w:r>
          </w:p>
        </w:tc>
        <w:tc>
          <w:tcPr>
            <w:tcW w:type="dxa" w:w="4061"/>
            <w:vAlign w:val="center"/>
          </w:tcPr>
          <w:p>
            <w:pPr>
              <w:spacing w:after="40" w:line="252" w:lineRule="auto"/>
            </w:pPr>
            <w:r>
              <w:rPr>
                <w:sz w:val="18"/>
              </w:rPr>
              <w:t>None</w:t>
            </w:r>
          </w:p>
        </w:tc>
      </w:tr>
      <w:tr>
        <w:trPr>
          <w:cantSplit/>
        </w:trPr>
        <w:tc>
          <w:tcPr>
            <w:tcW w:type="dxa" w:w="2088"/>
            <w:vAlign w:val="center"/>
          </w:tcPr>
          <w:p>
            <w:pPr>
              <w:spacing w:after="40" w:line="252" w:lineRule="auto"/>
            </w:pPr>
            <w:r>
              <w:rPr>
                <w:sz w:val="18"/>
              </w:rPr>
              <w:t>Pressure variation</w:t>
            </w:r>
          </w:p>
        </w:tc>
        <w:tc>
          <w:tcPr>
            <w:tcW w:type="dxa" w:w="2232"/>
            <w:vAlign w:val="center"/>
          </w:tcPr>
          <w:p>
            <w:pPr>
              <w:spacing w:after="40" w:line="252" w:lineRule="auto"/>
            </w:pPr>
            <w:r>
              <w:rPr>
                <w:sz w:val="18"/>
              </w:rPr>
              <w:t>0.075</w:t>
            </w:r>
          </w:p>
        </w:tc>
        <w:tc>
          <w:tcPr>
            <w:tcW w:type="dxa" w:w="1080"/>
            <w:vAlign w:val="center"/>
          </w:tcPr>
          <w:p>
            <w:pPr>
              <w:spacing w:after="40" w:line="252" w:lineRule="auto"/>
            </w:pPr>
            <w:r>
              <w:rPr>
                <w:sz w:val="18"/>
              </w:rPr>
              <w:t>300</w:t>
            </w:r>
          </w:p>
        </w:tc>
        <w:tc>
          <w:tcPr>
            <w:tcW w:type="dxa" w:w="4061"/>
            <w:vAlign w:val="center"/>
          </w:tcPr>
          <w:p>
            <w:pPr>
              <w:spacing w:after="40" w:line="252" w:lineRule="auto"/>
            </w:pPr>
            <w:r>
              <w:rPr>
                <w:sz w:val="18"/>
              </w:rPr>
              <w:t>None</w:t>
            </w:r>
          </w:p>
        </w:tc>
      </w:tr>
      <w:tr>
        <w:trPr>
          <w:cantSplit/>
        </w:trPr>
        <w:tc>
          <w:tcPr>
            <w:tcW w:type="dxa" w:w="2088"/>
            <w:vAlign w:val="center"/>
          </w:tcPr>
          <w:p>
            <w:pPr>
              <w:spacing w:after="40" w:line="252" w:lineRule="auto"/>
            </w:pPr>
            <w:r>
              <w:rPr>
                <w:sz w:val="18"/>
              </w:rPr>
              <w:t>Injected faults</w:t>
            </w:r>
          </w:p>
        </w:tc>
        <w:tc>
          <w:tcPr>
            <w:tcW w:type="dxa" w:w="2232"/>
            <w:vAlign w:val="center"/>
          </w:tcPr>
          <w:p>
            <w:pPr>
              <w:spacing w:after="40" w:line="252" w:lineRule="auto"/>
            </w:pPr>
            <w:r>
              <w:rPr>
                <w:sz w:val="18"/>
              </w:rPr>
              <w:t>0.028</w:t>
            </w:r>
          </w:p>
        </w:tc>
        <w:tc>
          <w:tcPr>
            <w:tcW w:type="dxa" w:w="1080"/>
            <w:vAlign w:val="center"/>
          </w:tcPr>
          <w:p>
            <w:pPr>
              <w:spacing w:after="40" w:line="252" w:lineRule="auto"/>
            </w:pPr>
            <w:r>
              <w:rPr>
                <w:sz w:val="18"/>
              </w:rPr>
              <w:t>300</w:t>
            </w:r>
          </w:p>
        </w:tc>
        <w:tc>
          <w:tcPr>
            <w:tcW w:type="dxa" w:w="4061"/>
            <w:vAlign w:val="center"/>
          </w:tcPr>
          <w:p>
            <w:pPr>
              <w:spacing w:after="40" w:line="252" w:lineRule="auto"/>
            </w:pPr>
            <w:r>
              <w:rPr>
                <w:sz w:val="18"/>
              </w:rPr>
              <w:t>Every twelfth attempt</w:t>
            </w:r>
          </w:p>
        </w:tc>
      </w:tr>
    </w:tbl>
    <w:p/>
    <w:p>
      <w:pPr>
        <w:spacing w:after="160"/>
        <w:jc w:val="center"/>
      </w:pPr>
      <w:r>
        <w:rPr>
          <w:i/>
          <w:sz w:val="18"/>
        </w:rPr>
        <w:t>Table 1. Inputs to the three simulation scenarios.</w:t>
      </w:r>
    </w:p>
    <w:p>
      <w:r>
        <w:t>An attempt with sampled pressure below the illustrative 0.38 MPa threshold is classified as a pressure fault. In the third scenario every twelfth attempt receives one of four rotating labels: guard open, clamp switch stuck, feed timeout or low pressure. A faulted attempt receives an arbitrary early elapsed value and is excluded from completed cycle statistics. The model does not resolve time dependent fault reaction, spindle coast or cylinder stopping distance. There are 900 attempts in total, generated with the fixed seed 20260916.</w:t>
      </w:r>
    </w:p>
    <w:p>
      <w:r>
        <w:t>A complete record contains scenario, trial number, pressure in bar, elapsed seconds, completion status, fault label, clamp duration and feed duration. The summary mean is calculated from complete cycles only, while completion and fault counts include all attempts. Excluding interrupted attempts from productive cycle time prevents a short failure from appearing as a fast completed part. It also creates selection: a scenario with more rejected low pressure draws can have an apparently similar successful cycle mean. Both outcomes must therefore be read together.</w:t>
      </w:r>
    </w:p>
    <w:p>
      <w:pPr>
        <w:pStyle w:val="Heading1"/>
      </w:pPr>
      <w:r>
        <w:t>3 Simulation results</w:t>
      </w:r>
    </w:p>
    <w:tbl>
      <w:tblPr>
        <w:tblStyle w:val="TableGrid"/>
        <w:tblW w:type="auto" w:w="0"/>
        <w:jc w:val="center"/>
        <w:tblLayout w:type="fixed"/>
        <w:tblLook w:firstColumn="1" w:firstRow="1" w:lastColumn="0" w:lastRow="0" w:noHBand="0" w:noVBand="1" w:val="04A0"/>
      </w:tblPr>
      <w:tblGrid>
        <w:gridCol w:w="2376"/>
        <w:gridCol w:w="1757"/>
        <w:gridCol w:w="1512"/>
        <w:gridCol w:w="1440"/>
        <w:gridCol w:w="2376"/>
      </w:tblGrid>
      <w:tr>
        <w:trPr>
          <w:tblHeader w:val="true"/>
          <w:cantSplit/>
        </w:trPr>
        <w:tc>
          <w:tcPr>
            <w:tcW w:type="dxa" w:w="2376"/>
            <w:vAlign w:val="center"/>
          </w:tcPr>
          <w:p>
            <w:pPr>
              <w:spacing w:after="40" w:line="252" w:lineRule="auto"/>
            </w:pPr>
            <w:r>
              <w:rPr>
                <w:b/>
                <w:sz w:val="18"/>
              </w:rPr>
              <w:t>Scenario</w:t>
            </w:r>
          </w:p>
        </w:tc>
        <w:tc>
          <w:tcPr>
            <w:tcW w:type="dxa" w:w="1757"/>
            <w:vAlign w:val="center"/>
          </w:tcPr>
          <w:p>
            <w:pPr>
              <w:spacing w:after="40" w:line="252" w:lineRule="auto"/>
            </w:pPr>
            <w:r>
              <w:rPr>
                <w:b/>
                <w:sz w:val="18"/>
              </w:rPr>
              <w:t>Complete / 300</w:t>
            </w:r>
          </w:p>
        </w:tc>
        <w:tc>
          <w:tcPr>
            <w:tcW w:type="dxa" w:w="1512"/>
            <w:vAlign w:val="center"/>
          </w:tcPr>
          <w:p>
            <w:pPr>
              <w:spacing w:after="40" w:line="252" w:lineRule="auto"/>
            </w:pPr>
            <w:r>
              <w:rPr>
                <w:b/>
                <w:sz w:val="18"/>
              </w:rPr>
              <w:t>Mean s</w:t>
            </w:r>
          </w:p>
        </w:tc>
        <w:tc>
          <w:tcPr>
            <w:tcW w:type="dxa" w:w="1440"/>
            <w:vAlign w:val="center"/>
          </w:tcPr>
          <w:p>
            <w:pPr>
              <w:spacing w:after="40" w:line="252" w:lineRule="auto"/>
            </w:pPr>
            <w:r>
              <w:rPr>
                <w:b/>
                <w:sz w:val="18"/>
              </w:rPr>
              <w:t>SD s</w:t>
            </w:r>
          </w:p>
        </w:tc>
        <w:tc>
          <w:tcPr>
            <w:tcW w:type="dxa" w:w="2376"/>
            <w:vAlign w:val="center"/>
          </w:tcPr>
          <w:p>
            <w:pPr>
              <w:spacing w:after="40" w:line="252" w:lineRule="auto"/>
            </w:pPr>
            <w:r>
              <w:rPr>
                <w:b/>
                <w:sz w:val="18"/>
              </w:rPr>
              <w:t>95th pct s</w:t>
            </w:r>
          </w:p>
        </w:tc>
      </w:tr>
      <w:tr>
        <w:trPr>
          <w:cantSplit/>
        </w:trPr>
        <w:tc>
          <w:tcPr>
            <w:tcW w:type="dxa" w:w="2376"/>
            <w:vAlign w:val="center"/>
          </w:tcPr>
          <w:p>
            <w:pPr>
              <w:spacing w:after="40" w:line="252" w:lineRule="auto"/>
            </w:pPr>
            <w:r>
              <w:rPr>
                <w:sz w:val="18"/>
              </w:rPr>
              <w:t>Nominal</w:t>
            </w:r>
          </w:p>
        </w:tc>
        <w:tc>
          <w:tcPr>
            <w:tcW w:type="dxa" w:w="1757"/>
            <w:vAlign w:val="center"/>
          </w:tcPr>
          <w:p>
            <w:pPr>
              <w:spacing w:after="40" w:line="252" w:lineRule="auto"/>
            </w:pPr>
            <w:r>
              <w:rPr>
                <w:sz w:val="18"/>
              </w:rPr>
              <w:t>300</w:t>
            </w:r>
          </w:p>
        </w:tc>
        <w:tc>
          <w:tcPr>
            <w:tcW w:type="dxa" w:w="1512"/>
            <w:vAlign w:val="center"/>
          </w:tcPr>
          <w:p>
            <w:pPr>
              <w:spacing w:after="40" w:line="252" w:lineRule="auto"/>
            </w:pPr>
            <w:r>
              <w:rPr>
                <w:sz w:val="18"/>
              </w:rPr>
              <w:t>10.271</w:t>
            </w:r>
          </w:p>
        </w:tc>
        <w:tc>
          <w:tcPr>
            <w:tcW w:type="dxa" w:w="1440"/>
            <w:vAlign w:val="center"/>
          </w:tcPr>
          <w:p>
            <w:pPr>
              <w:spacing w:after="40" w:line="252" w:lineRule="auto"/>
            </w:pPr>
            <w:r>
              <w:rPr>
                <w:sz w:val="18"/>
              </w:rPr>
              <w:t>0.509</w:t>
            </w:r>
          </w:p>
        </w:tc>
        <w:tc>
          <w:tcPr>
            <w:tcW w:type="dxa" w:w="2376"/>
            <w:vAlign w:val="center"/>
          </w:tcPr>
          <w:p>
            <w:pPr>
              <w:spacing w:after="40" w:line="252" w:lineRule="auto"/>
            </w:pPr>
            <w:r>
              <w:rPr>
                <w:sz w:val="18"/>
              </w:rPr>
              <w:t>11.158</w:t>
            </w:r>
          </w:p>
        </w:tc>
      </w:tr>
      <w:tr>
        <w:trPr>
          <w:cantSplit/>
        </w:trPr>
        <w:tc>
          <w:tcPr>
            <w:tcW w:type="dxa" w:w="2376"/>
            <w:vAlign w:val="center"/>
          </w:tcPr>
          <w:p>
            <w:pPr>
              <w:spacing w:after="40" w:line="252" w:lineRule="auto"/>
            </w:pPr>
            <w:r>
              <w:rPr>
                <w:sz w:val="18"/>
              </w:rPr>
              <w:t>Pressure variation</w:t>
            </w:r>
          </w:p>
        </w:tc>
        <w:tc>
          <w:tcPr>
            <w:tcW w:type="dxa" w:w="1757"/>
            <w:vAlign w:val="center"/>
          </w:tcPr>
          <w:p>
            <w:pPr>
              <w:spacing w:after="40" w:line="252" w:lineRule="auto"/>
            </w:pPr>
            <w:r>
              <w:rPr>
                <w:sz w:val="18"/>
              </w:rPr>
              <w:t>279</w:t>
            </w:r>
          </w:p>
        </w:tc>
        <w:tc>
          <w:tcPr>
            <w:tcW w:type="dxa" w:w="1512"/>
            <w:vAlign w:val="center"/>
          </w:tcPr>
          <w:p>
            <w:pPr>
              <w:spacing w:after="40" w:line="252" w:lineRule="auto"/>
            </w:pPr>
            <w:r>
              <w:rPr>
                <w:sz w:val="18"/>
              </w:rPr>
              <w:t>10.248</w:t>
            </w:r>
          </w:p>
        </w:tc>
        <w:tc>
          <w:tcPr>
            <w:tcW w:type="dxa" w:w="1440"/>
            <w:vAlign w:val="center"/>
          </w:tcPr>
          <w:p>
            <w:pPr>
              <w:spacing w:after="40" w:line="252" w:lineRule="auto"/>
            </w:pPr>
            <w:r>
              <w:rPr>
                <w:sz w:val="18"/>
              </w:rPr>
              <w:t>0.806</w:t>
            </w:r>
          </w:p>
        </w:tc>
        <w:tc>
          <w:tcPr>
            <w:tcW w:type="dxa" w:w="2376"/>
            <w:vAlign w:val="center"/>
          </w:tcPr>
          <w:p>
            <w:pPr>
              <w:spacing w:after="40" w:line="252" w:lineRule="auto"/>
            </w:pPr>
            <w:r>
              <w:rPr>
                <w:sz w:val="18"/>
              </w:rPr>
              <w:t>11.678</w:t>
            </w:r>
          </w:p>
        </w:tc>
      </w:tr>
      <w:tr>
        <w:trPr>
          <w:cantSplit/>
        </w:trPr>
        <w:tc>
          <w:tcPr>
            <w:tcW w:type="dxa" w:w="2376"/>
            <w:vAlign w:val="center"/>
          </w:tcPr>
          <w:p>
            <w:pPr>
              <w:spacing w:after="40" w:line="252" w:lineRule="auto"/>
            </w:pPr>
            <w:r>
              <w:rPr>
                <w:sz w:val="18"/>
              </w:rPr>
              <w:t>Injected faults</w:t>
            </w:r>
          </w:p>
        </w:tc>
        <w:tc>
          <w:tcPr>
            <w:tcW w:type="dxa" w:w="1757"/>
            <w:vAlign w:val="center"/>
          </w:tcPr>
          <w:p>
            <w:pPr>
              <w:spacing w:after="40" w:line="252" w:lineRule="auto"/>
            </w:pPr>
            <w:r>
              <w:rPr>
                <w:sz w:val="18"/>
              </w:rPr>
              <w:t>275</w:t>
            </w:r>
          </w:p>
        </w:tc>
        <w:tc>
          <w:tcPr>
            <w:tcW w:type="dxa" w:w="1512"/>
            <w:vAlign w:val="center"/>
          </w:tcPr>
          <w:p>
            <w:pPr>
              <w:spacing w:after="40" w:line="252" w:lineRule="auto"/>
            </w:pPr>
            <w:r>
              <w:rPr>
                <w:sz w:val="18"/>
              </w:rPr>
              <w:t>10.271</w:t>
            </w:r>
          </w:p>
        </w:tc>
        <w:tc>
          <w:tcPr>
            <w:tcW w:type="dxa" w:w="1440"/>
            <w:vAlign w:val="center"/>
          </w:tcPr>
          <w:p>
            <w:pPr>
              <w:spacing w:after="40" w:line="252" w:lineRule="auto"/>
            </w:pPr>
            <w:r>
              <w:rPr>
                <w:sz w:val="18"/>
              </w:rPr>
              <w:t>0.545</w:t>
            </w:r>
          </w:p>
        </w:tc>
        <w:tc>
          <w:tcPr>
            <w:tcW w:type="dxa" w:w="2376"/>
            <w:vAlign w:val="center"/>
          </w:tcPr>
          <w:p>
            <w:pPr>
              <w:spacing w:after="40" w:line="252" w:lineRule="auto"/>
            </w:pPr>
            <w:r>
              <w:rPr>
                <w:sz w:val="18"/>
              </w:rPr>
              <w:t>11.189</w:t>
            </w:r>
          </w:p>
        </w:tc>
      </w:tr>
    </w:tbl>
    <w:p/>
    <w:p>
      <w:pPr>
        <w:spacing w:after="160"/>
        <w:jc w:val="center"/>
      </w:pPr>
      <w:r>
        <w:rPr>
          <w:i/>
          <w:sz w:val="18"/>
        </w:rPr>
        <w:t>Table 2. Statistics for completed simulated cycles; faults remain in attempt counts.</w:t>
      </w:r>
    </w:p>
    <w:p>
      <w:r>
        <w:t>Table 2 reports values from the seeded model, rounded for display. The nominal 95% Student t interval for its simulated mean is 10.213–10.329 s. The corresponding intervals are 10.153–10.343 s for the pressure variation case and 10.206–10.336 s for the injected fault case. These intervals describe sampling variability under the chosen generator; they do not include uncertainty about whether its timing distributions reflect a physical machine.</w:t>
      </w:r>
    </w:p>
    <w:p>
      <w:pPr>
        <w:keepNext/>
        <w:jc w:val="center"/>
      </w:pPr>
      <w:r>
        <w:drawing>
          <wp:inline xmlns:a="http://schemas.openxmlformats.org/drawingml/2006/main" xmlns:pic="http://schemas.openxmlformats.org/drawingml/2006/picture">
            <wp:extent cx="5394960" cy="1918208"/>
            <wp:docPr id="1" name="Picture 1"/>
            <wp:cNvGraphicFramePr>
              <a:graphicFrameLocks noChangeAspect="1"/>
            </wp:cNvGraphicFramePr>
            <a:graphic>
              <a:graphicData uri="http://schemas.openxmlformats.org/drawingml/2006/picture">
                <pic:pic>
                  <pic:nvPicPr>
                    <pic:cNvPr id="0" name="simulation.png"/>
                    <pic:cNvPicPr/>
                  </pic:nvPicPr>
                  <pic:blipFill>
                    <a:blip r:embed="rId10"/>
                    <a:stretch>
                      <a:fillRect/>
                    </a:stretch>
                  </pic:blipFill>
                  <pic:spPr>
                    <a:xfrm>
                      <a:off x="0" y="0"/>
                      <a:ext cx="5394960" cy="1918208"/>
                    </a:xfrm>
                    <a:prstGeom prst="rect"/>
                  </pic:spPr>
                </pic:pic>
              </a:graphicData>
            </a:graphic>
          </wp:inline>
        </w:drawing>
      </w:r>
    </w:p>
    <w:p>
      <w:pPr>
        <w:spacing w:after="180"/>
        <w:jc w:val="center"/>
      </w:pPr>
      <w:r>
        <w:rPr>
          <w:i/>
          <w:sz w:val="18"/>
        </w:rPr>
        <w:t>Figure 1. Completed cycle time distributions and means generated by the model.</w:t>
      </w:r>
    </w:p>
    <w:p>
      <w:r>
        <w:t>The wider pressure case has a completed cycle standard deviation about 1.58 times the nominal value and 21 rejected attempts. Its successful mean remains close to nominal because a low pressure attempt below threshold is removed from the completed set. The injected fault case records 25 rejections and 275 completions. The injected failures are scheduled test stimuli, not an estimate of naturally occurring failure frequency. No statistical comparison here establishes a real world performance difference.</w:t>
      </w:r>
    </w:p>
    <w:p>
      <w:r>
        <w:t>The model cannot report the number of acceptable machined parts because it contains no cutter geometry, material response, part dimensions or quality measurement. Its reciprocal mean of about 350 nominal model cycles per hour omits loading, unloading, fault recovery, inspection and pauses. This is an idealized sequence rate, not demonstrated shop throughput. The primary result is the traceable relationship between assumptions, trial outcomes and displayed statistics.</w:t>
      </w:r>
    </w:p>
    <w:p>
      <w:pPr>
        <w:pStyle w:val="Heading1"/>
      </w:pPr>
      <w:r>
        <w:t>4 Economic sensitivity analysis</w:t>
      </w:r>
    </w:p>
    <w:p>
      <w:pPr>
        <w:pStyle w:val="Heading2"/>
      </w:pPr>
      <w:r>
        <w:t>4.1 Base case formula</w:t>
      </w:r>
    </w:p>
    <w:p>
      <w:r>
        <w:t>Let N be annual productive cycles, t be genuine labor seconds saved per cycle, w be labor value per hour, e be incremental electricity in kWh per cycle, c be price per kWh and K be initial investment. Narrow annual net benefit is B = N(tw/3600 − ec). Simple payback is K/B only when B is positive. The calculation excludes maintenance, taxes, financing, quality effects, safety engineering and discounted cash flow. It also assumes that saved seconds translate into economic value.</w:t>
      </w:r>
    </w:p>
    <w:tbl>
      <w:tblPr>
        <w:tblStyle w:val="TableGrid"/>
        <w:tblW w:type="auto" w:w="0"/>
        <w:jc w:val="center"/>
        <w:tblLayout w:type="fixed"/>
        <w:tblLook w:firstColumn="1" w:firstRow="1" w:lastColumn="0" w:lastRow="0" w:noHBand="0" w:noVBand="1" w:val="04A0"/>
      </w:tblPr>
      <w:tblGrid>
        <w:gridCol w:w="2909"/>
        <w:gridCol w:w="3139"/>
        <w:gridCol w:w="3413"/>
      </w:tblGrid>
      <w:tr>
        <w:trPr>
          <w:tblHeader w:val="true"/>
          <w:cantSplit/>
        </w:trPr>
        <w:tc>
          <w:tcPr>
            <w:tcW w:type="dxa" w:w="2909"/>
            <w:vAlign w:val="center"/>
          </w:tcPr>
          <w:p>
            <w:pPr>
              <w:spacing w:after="40" w:line="252" w:lineRule="auto"/>
            </w:pPr>
            <w:r>
              <w:rPr>
                <w:b/>
                <w:sz w:val="18"/>
              </w:rPr>
              <w:t>Assumption</w:t>
            </w:r>
          </w:p>
        </w:tc>
        <w:tc>
          <w:tcPr>
            <w:tcW w:type="dxa" w:w="3139"/>
            <w:vAlign w:val="center"/>
          </w:tcPr>
          <w:p>
            <w:pPr>
              <w:spacing w:after="40" w:line="252" w:lineRule="auto"/>
            </w:pPr>
            <w:r>
              <w:rPr>
                <w:b/>
                <w:sz w:val="18"/>
              </w:rPr>
              <w:t>Illustrative value</w:t>
            </w:r>
          </w:p>
        </w:tc>
        <w:tc>
          <w:tcPr>
            <w:tcW w:type="dxa" w:w="3413"/>
            <w:vAlign w:val="center"/>
          </w:tcPr>
          <w:p>
            <w:pPr>
              <w:spacing w:after="40" w:line="252" w:lineRule="auto"/>
            </w:pPr>
            <w:r>
              <w:rPr>
                <w:b/>
                <w:sz w:val="18"/>
              </w:rPr>
              <w:t>Status</w:t>
            </w:r>
          </w:p>
        </w:tc>
      </w:tr>
      <w:tr>
        <w:trPr>
          <w:cantSplit/>
        </w:trPr>
        <w:tc>
          <w:tcPr>
            <w:tcW w:type="dxa" w:w="2909"/>
            <w:vAlign w:val="center"/>
          </w:tcPr>
          <w:p>
            <w:pPr>
              <w:spacing w:after="40" w:line="252" w:lineRule="auto"/>
            </w:pPr>
            <w:r>
              <w:rPr>
                <w:sz w:val="18"/>
              </w:rPr>
              <w:t>Investment K</w:t>
            </w:r>
          </w:p>
        </w:tc>
        <w:tc>
          <w:tcPr>
            <w:tcW w:type="dxa" w:w="3139"/>
            <w:vAlign w:val="center"/>
          </w:tcPr>
          <w:p>
            <w:pPr>
              <w:spacing w:after="40" w:line="252" w:lineRule="auto"/>
            </w:pPr>
            <w:r>
              <w:rPr>
                <w:sz w:val="18"/>
              </w:rPr>
              <w:t>USD 2,950</w:t>
            </w:r>
          </w:p>
        </w:tc>
        <w:tc>
          <w:tcPr>
            <w:tcW w:type="dxa" w:w="3413"/>
            <w:vAlign w:val="center"/>
          </w:tcPr>
          <w:p>
            <w:pPr>
              <w:spacing w:after="40" w:line="252" w:lineRule="auto"/>
            </w:pPr>
            <w:r>
              <w:rPr>
                <w:sz w:val="18"/>
              </w:rPr>
              <w:t>Concept budget, not a quotation</w:t>
            </w:r>
          </w:p>
        </w:tc>
      </w:tr>
      <w:tr>
        <w:trPr>
          <w:cantSplit/>
        </w:trPr>
        <w:tc>
          <w:tcPr>
            <w:tcW w:type="dxa" w:w="2909"/>
            <w:vAlign w:val="center"/>
          </w:tcPr>
          <w:p>
            <w:pPr>
              <w:spacing w:after="40" w:line="252" w:lineRule="auto"/>
            </w:pPr>
            <w:r>
              <w:rPr>
                <w:sz w:val="18"/>
              </w:rPr>
              <w:t>Annual use</w:t>
            </w:r>
          </w:p>
        </w:tc>
        <w:tc>
          <w:tcPr>
            <w:tcW w:type="dxa" w:w="3139"/>
            <w:vAlign w:val="center"/>
          </w:tcPr>
          <w:p>
            <w:pPr>
              <w:spacing w:after="40" w:line="252" w:lineRule="auto"/>
            </w:pPr>
            <w:r>
              <w:rPr>
                <w:sz w:val="18"/>
              </w:rPr>
              <w:t>150 cycles/h × 800 h</w:t>
            </w:r>
          </w:p>
        </w:tc>
        <w:tc>
          <w:tcPr>
            <w:tcW w:type="dxa" w:w="3413"/>
            <w:vAlign w:val="center"/>
          </w:tcPr>
          <w:p>
            <w:pPr>
              <w:spacing w:after="40" w:line="252" w:lineRule="auto"/>
            </w:pPr>
            <w:r>
              <w:rPr>
                <w:sz w:val="18"/>
              </w:rPr>
              <w:t>Not observed</w:t>
            </w:r>
          </w:p>
        </w:tc>
      </w:tr>
      <w:tr>
        <w:trPr>
          <w:cantSplit/>
        </w:trPr>
        <w:tc>
          <w:tcPr>
            <w:tcW w:type="dxa" w:w="2909"/>
            <w:vAlign w:val="center"/>
          </w:tcPr>
          <w:p>
            <w:pPr>
              <w:spacing w:after="40" w:line="252" w:lineRule="auto"/>
            </w:pPr>
            <w:r>
              <w:rPr>
                <w:sz w:val="18"/>
              </w:rPr>
              <w:t>Labor time saved t</w:t>
            </w:r>
          </w:p>
        </w:tc>
        <w:tc>
          <w:tcPr>
            <w:tcW w:type="dxa" w:w="3139"/>
            <w:vAlign w:val="center"/>
          </w:tcPr>
          <w:p>
            <w:pPr>
              <w:spacing w:after="40" w:line="252" w:lineRule="auto"/>
            </w:pPr>
            <w:r>
              <w:rPr>
                <w:sz w:val="18"/>
              </w:rPr>
              <w:t>2.0 s per cycle</w:t>
            </w:r>
          </w:p>
        </w:tc>
        <w:tc>
          <w:tcPr>
            <w:tcW w:type="dxa" w:w="3413"/>
            <w:vAlign w:val="center"/>
          </w:tcPr>
          <w:p>
            <w:pPr>
              <w:spacing w:after="40" w:line="252" w:lineRule="auto"/>
            </w:pPr>
            <w:r>
              <w:rPr>
                <w:sz w:val="18"/>
              </w:rPr>
              <w:t>No manual baseline trial</w:t>
            </w:r>
          </w:p>
        </w:tc>
      </w:tr>
      <w:tr>
        <w:trPr>
          <w:cantSplit/>
        </w:trPr>
        <w:tc>
          <w:tcPr>
            <w:tcW w:type="dxa" w:w="2909"/>
            <w:vAlign w:val="center"/>
          </w:tcPr>
          <w:p>
            <w:pPr>
              <w:spacing w:after="40" w:line="252" w:lineRule="auto"/>
            </w:pPr>
            <w:r>
              <w:rPr>
                <w:sz w:val="18"/>
              </w:rPr>
              <w:t>Labor value w</w:t>
            </w:r>
          </w:p>
        </w:tc>
        <w:tc>
          <w:tcPr>
            <w:tcW w:type="dxa" w:w="3139"/>
            <w:vAlign w:val="center"/>
          </w:tcPr>
          <w:p>
            <w:pPr>
              <w:spacing w:after="40" w:line="252" w:lineRule="auto"/>
            </w:pPr>
            <w:r>
              <w:rPr>
                <w:sz w:val="18"/>
              </w:rPr>
              <w:t>USD 24/h</w:t>
            </w:r>
          </w:p>
        </w:tc>
        <w:tc>
          <w:tcPr>
            <w:tcW w:type="dxa" w:w="3413"/>
            <w:vAlign w:val="center"/>
          </w:tcPr>
          <w:p>
            <w:pPr>
              <w:spacing w:after="40" w:line="252" w:lineRule="auto"/>
            </w:pPr>
            <w:r>
              <w:rPr>
                <w:sz w:val="18"/>
              </w:rPr>
              <w:t>Assumed</w:t>
            </w:r>
          </w:p>
        </w:tc>
      </w:tr>
      <w:tr>
        <w:trPr>
          <w:cantSplit/>
        </w:trPr>
        <w:tc>
          <w:tcPr>
            <w:tcW w:type="dxa" w:w="2909"/>
            <w:vAlign w:val="center"/>
          </w:tcPr>
          <w:p>
            <w:pPr>
              <w:spacing w:after="40" w:line="252" w:lineRule="auto"/>
            </w:pPr>
            <w:r>
              <w:rPr>
                <w:sz w:val="18"/>
              </w:rPr>
              <w:t>Incremental energy e</w:t>
            </w:r>
          </w:p>
        </w:tc>
        <w:tc>
          <w:tcPr>
            <w:tcW w:type="dxa" w:w="3139"/>
            <w:vAlign w:val="center"/>
          </w:tcPr>
          <w:p>
            <w:pPr>
              <w:spacing w:after="40" w:line="252" w:lineRule="auto"/>
            </w:pPr>
            <w:r>
              <w:rPr>
                <w:sz w:val="18"/>
              </w:rPr>
              <w:t>0.0002 kWh/cycle</w:t>
            </w:r>
          </w:p>
        </w:tc>
        <w:tc>
          <w:tcPr>
            <w:tcW w:type="dxa" w:w="3413"/>
            <w:vAlign w:val="center"/>
          </w:tcPr>
          <w:p>
            <w:pPr>
              <w:spacing w:after="40" w:line="252" w:lineRule="auto"/>
            </w:pPr>
            <w:r>
              <w:rPr>
                <w:sz w:val="18"/>
              </w:rPr>
              <w:t>Not compressor measured</w:t>
            </w:r>
          </w:p>
        </w:tc>
      </w:tr>
      <w:tr>
        <w:trPr>
          <w:cantSplit/>
        </w:trPr>
        <w:tc>
          <w:tcPr>
            <w:tcW w:type="dxa" w:w="2909"/>
            <w:vAlign w:val="center"/>
          </w:tcPr>
          <w:p>
            <w:pPr>
              <w:spacing w:after="40" w:line="252" w:lineRule="auto"/>
            </w:pPr>
            <w:r>
              <w:rPr>
                <w:sz w:val="18"/>
              </w:rPr>
              <w:t>Electricity c</w:t>
            </w:r>
          </w:p>
        </w:tc>
        <w:tc>
          <w:tcPr>
            <w:tcW w:type="dxa" w:w="3139"/>
            <w:vAlign w:val="center"/>
          </w:tcPr>
          <w:p>
            <w:pPr>
              <w:spacing w:after="40" w:line="252" w:lineRule="auto"/>
            </w:pPr>
            <w:r>
              <w:rPr>
                <w:sz w:val="18"/>
              </w:rPr>
              <w:t>USD 0.18/kWh</w:t>
            </w:r>
          </w:p>
        </w:tc>
        <w:tc>
          <w:tcPr>
            <w:tcW w:type="dxa" w:w="3413"/>
            <w:vAlign w:val="center"/>
          </w:tcPr>
          <w:p>
            <w:pPr>
              <w:spacing w:after="40" w:line="252" w:lineRule="auto"/>
            </w:pPr>
            <w:r>
              <w:rPr>
                <w:sz w:val="18"/>
              </w:rPr>
              <w:t>Assumed</w:t>
            </w:r>
          </w:p>
        </w:tc>
      </w:tr>
    </w:tbl>
    <w:p/>
    <w:p>
      <w:pPr>
        <w:spacing w:after="160"/>
        <w:jc w:val="center"/>
      </w:pPr>
      <w:r>
        <w:rPr>
          <w:i/>
          <w:sz w:val="18"/>
        </w:rPr>
        <w:t>Table 3. Illustrative economic inputs; none is a measured project value.</w:t>
      </w:r>
    </w:p>
    <w:p>
      <w:r>
        <w:t>At 120,000 illustrative productive cycles annually, the assumed saved time equals 66.7 labor hours, valued at USD 1,600. Incremental energy is 24 kWh annually, valued at USD 4.32. The narrow net amount is USD 1,595.68, giving a simple payback of about 1.85 years. These arithmetic outputs should not be interpreted as evidence that a real installation would recover its cost. Neither the operator time saving nor the marginal compressor electricity has been measured.</w:t>
      </w:r>
    </w:p>
    <w:p>
      <w:pPr>
        <w:pStyle w:val="Heading2"/>
      </w:pPr>
      <w:r>
        <w:t>4.2 Sensitivity and break even</w:t>
      </w:r>
    </w:p>
    <w:p>
      <w:pPr>
        <w:keepNext/>
        <w:jc w:val="center"/>
      </w:pPr>
      <w:r>
        <w:drawing>
          <wp:inline xmlns:a="http://schemas.openxmlformats.org/drawingml/2006/main" xmlns:pic="http://schemas.openxmlformats.org/drawingml/2006/picture">
            <wp:extent cx="5394960" cy="2427732"/>
            <wp:docPr id="2" name="Picture 2"/>
            <wp:cNvGraphicFramePr>
              <a:graphicFrameLocks noChangeAspect="1"/>
            </wp:cNvGraphicFramePr>
            <a:graphic>
              <a:graphicData uri="http://schemas.openxmlformats.org/drawingml/2006/picture">
                <pic:pic>
                  <pic:nvPicPr>
                    <pic:cNvPr id="0" name="sensitivity.png"/>
                    <pic:cNvPicPr/>
                  </pic:nvPicPr>
                  <pic:blipFill>
                    <a:blip r:embed="rId11"/>
                    <a:stretch>
                      <a:fillRect/>
                    </a:stretch>
                  </pic:blipFill>
                  <pic:spPr>
                    <a:xfrm>
                      <a:off x="0" y="0"/>
                      <a:ext cx="5394960" cy="2427732"/>
                    </a:xfrm>
                    <a:prstGeom prst="rect"/>
                  </pic:spPr>
                </pic:pic>
              </a:graphicData>
            </a:graphic>
          </wp:inline>
        </w:drawing>
      </w:r>
    </w:p>
    <w:p>
      <w:pPr>
        <w:spacing w:after="180"/>
        <w:jc w:val="center"/>
      </w:pPr>
      <w:r>
        <w:rPr>
          <w:i/>
          <w:sz w:val="18"/>
        </w:rPr>
        <w:t>Figure 2. Modeled annual net benefit at varying time saved and cycle rates.</w:t>
      </w:r>
    </w:p>
    <w:p>
      <w:r>
        <w:t>The figure holds annual operating time at 800 h and other assumptions fixed while varying cycle rate and seconds saved. The net benefit is nearly linear in each of those variables under this simple equation. The line at USD 2,950 identifies the investment amount, not an annual cost. Crossing it corresponds to a simple payback below one year under the narrow assumptions. Some combinations in the graph may be impractical because operator loading, guard closure or quality inspection could cap actual production.</w:t>
      </w:r>
    </w:p>
    <w:p>
      <w:r>
        <w:t>For a two year simple payback target, the required time saving is t = (3600/w)[K/(2N) + ec]. At the base case inputs it is approximately 1.85 seconds per cycle. The hypothetical two seconds is only slightly above that threshold, even before maintenance and other excluded costs are included. An actual time study is therefore more important to the investment conclusion than numerical precision in the simulated cycle mean. A complete business case would also measure availability and cost per good part.</w:t>
      </w:r>
    </w:p>
    <w:p>
      <w:pPr>
        <w:pStyle w:val="Heading1"/>
      </w:pPr>
      <w:r>
        <w:t>5 Limitations and required physical study</w:t>
      </w:r>
    </w:p>
    <w:p>
      <w:r>
        <w:t>Pressure is treated as one value for an attempt; pressure transients in the cylinder chambers are not modeled. Movement times are drawn independently, despite possible correlations from shared supply and temperature. The attempt model classifies faults, but it does not execute actual PLC scan logic or verify the behavior of electrical outputs. It cannot certify guards or demonstrate workholding force. Vendor cylinder guidance can support component calculations, but the selected geometry and operating conditions still need validation [1,2].</w:t>
      </w:r>
    </w:p>
    <w:p>
      <w:r>
        <w:t>A future physical protocol should record pressure near actuators, PLC command edges, sensor arrival edges, spindle stop behavior, operator handling time and compressor power. It should compare observed cycles with a defined manual or existing automated baseline and retain all rejected attempts. If material removal is introduced, the study also needs tool, material, feed, depth of cut, dimensional inspection, reject rate and protective design. No such measurements are represented by the simulated charts in this paper.</w:t>
      </w:r>
    </w:p>
    <w:p>
      <w:pPr>
        <w:pStyle w:val="Heading1"/>
      </w:pPr>
      <w:r>
        <w:t>6 Conclusion</w:t>
      </w:r>
    </w:p>
    <w:p>
      <w:r>
        <w:t>The numerical experiment produces a repeatable illustration of timing variation and fault accounting for the proposed training model. Its pressure variation case broadens completed cycle times and increases rejections under declared assumptions. The illustrative economics make the payback highly dependent on genuine labor time saved. The model and calculations are suitable for planning measurements and discussing control design, while physical and financial claims remain open until actual apparatus and operating data are supplied.</w:t>
      </w:r>
    </w:p>
    <w:p>
      <w:pPr>
        <w:pStyle w:val="Heading1"/>
      </w:pPr>
      <w:r>
        <w:t>References</w:t>
      </w:r>
    </w:p>
    <w:p>
      <w:r>
        <w:t>[1] Festo, Air consumption of cylinders, calculation guidance. https://www.festo.com/ie/en/s/air-consumption</w:t>
      </w:r>
    </w:p>
    <w:p>
      <w:r>
        <w:t>[2] Festo, Standards based cylinders DNC, ISO 15552, technical documentation. https://www.festo.com/media/catalog/202856_documentation.pdf</w:t>
      </w:r>
    </w:p>
    <w:p>
      <w:r>
        <w:t>[3] International Electrotechnical Commission, IEC 61131-3:2025, Programmable controllers, Part 3. https://webstore.iec.ch/en/publication/68533</w:t>
      </w:r>
    </w:p>
    <w:sectPr w:rsidR="00FC693F" w:rsidRPr="0006063C" w:rsidSect="00034616">
      <w:footerReference w:type="default" r:id="rId9"/>
      <w:pgSz w:w="12240" w:h="15840"/>
      <w:pgMar w:top="1123" w:right="1224" w:bottom="1008" w:left="133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Simulation and Economic Sensitivity Analysis of a PLC Controlled Pneumatic Milling Model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2" w:lineRule="auto"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Times New Roman" w:hAnsi="Times New Roman"/>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2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