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2342"/>
          <w:sz w:val="44"/>
        </w:rPr>
        <w:t>Claude Code for Healthcare</w:t>
      </w:r>
    </w:p>
    <w:p>
      <w:r>
        <w:rPr>
          <w:b/>
          <w:color w:val="1D6FB8"/>
          <w:sz w:val="26"/>
        </w:rPr>
        <w:t>Multi-Agent Clinical Co-Pilot  ·  Stage Pack</w:t>
      </w:r>
    </w:p>
    <w:p>
      <w:r>
        <w:rPr>
          <w:i/>
          <w:color w:val="475569"/>
          <w:sz w:val="21"/>
        </w:rPr>
        <w:t>Total time: 5 minutes  ·  URL: http://127.0.0.1:8765  ·  Engine: Azure OpenAI (live stream).</w:t>
      </w:r>
    </w:p>
    <w:p>
      <w:r>
        <w:rPr>
          <w:i/>
          <w:color w:val="B45309"/>
          <w:sz w:val="19"/>
        </w:rPr>
        <w:t>Synthetic data only. This is a demonstration of privacy-preserving engineering patterns, not a HIPAA/PHIPA/PIPEDA-compliant system.</w:t>
      </w:r>
    </w:p>
    <w:p>
      <w:pPr>
        <w:pBdr>
          <w:bottom w:val="single" w:sz="6" w:space="1" w:color="94A3B8"/>
        </w:pBdr>
      </w:pPr>
    </w:p>
    <w:p>
      <w:pPr>
        <w:spacing w:before="160"/>
      </w:pPr>
      <w:r>
        <w:rPr>
          <w:b/>
          <w:color w:val="0F2342"/>
          <w:sz w:val="28"/>
        </w:rPr>
        <w:t>Patients in the demo</w:t>
      </w:r>
    </w:p>
    <w:p>
      <w:r>
        <w:rPr>
          <w:b w:val="0"/>
          <w:i w:val="0"/>
          <w:color w:val="0F2342"/>
          <w:sz w:val="21"/>
        </w:rPr>
        <w:t>Four preset cases plus one audience-paste slot. Realistic stage plan: run Whitfield (hero) for ~3 min, then one audience-paste case, then Audit. If you have extra time, run a second preset.</w:t>
      </w:r>
    </w:p>
    <w:tbl>
      <w:tblPr>
        <w:tblW w:type="auto" w:w="0"/>
        <w:tblLayout w:type="autofit"/>
        <w:tblLook w:firstColumn="1" w:firstRow="1" w:lastColumn="0" w:lastRow="0" w:noHBand="0" w:noVBand="1" w:val="04A0"/>
      </w:tblPr>
      <w:tblGrid>
        <w:gridCol w:w="2493"/>
        <w:gridCol w:w="2493"/>
        <w:gridCol w:w="2493"/>
        <w:gridCol w:w="2493"/>
      </w:tblGrid>
      <w:tr>
        <w:tc>
          <w:tcPr>
            <w:tcW w:type="dxa" w:w="2493"/>
            <w:shd w:val="clear" w:color="auto" w:fill="1D6FB8"/>
          </w:tcPr>
          <w:p>
            <w:r/>
            <w:r>
              <w:rPr>
                <w:b/>
                <w:color w:val="FFFFFF"/>
                <w:sz w:val="20"/>
              </w:rPr>
              <w:t>#</w:t>
            </w:r>
          </w:p>
        </w:tc>
        <w:tc>
          <w:tcPr>
            <w:tcW w:type="dxa" w:w="2493"/>
            <w:shd w:val="clear" w:color="auto" w:fill="1D6FB8"/>
          </w:tcPr>
          <w:p>
            <w:r/>
            <w:r>
              <w:rPr>
                <w:b/>
                <w:color w:val="FFFFFF"/>
                <w:sz w:val="20"/>
              </w:rPr>
              <w:t>Case</w:t>
            </w:r>
          </w:p>
        </w:tc>
        <w:tc>
          <w:tcPr>
            <w:tcW w:type="dxa" w:w="2493"/>
            <w:shd w:val="clear" w:color="auto" w:fill="1D6FB8"/>
          </w:tcPr>
          <w:p>
            <w:r/>
            <w:r>
              <w:rPr>
                <w:b/>
                <w:color w:val="FFFFFF"/>
                <w:sz w:val="20"/>
              </w:rPr>
              <w:t>Reasoning pattern</w:t>
            </w:r>
          </w:p>
        </w:tc>
        <w:tc>
          <w:tcPr>
            <w:tcW w:type="dxa" w:w="2493"/>
            <w:shd w:val="clear" w:color="auto" w:fill="1D6FB8"/>
          </w:tcPr>
          <w:p>
            <w:r/>
            <w:r>
              <w:rPr>
                <w:b/>
                <w:color w:val="FFFFFF"/>
                <w:sz w:val="20"/>
              </w:rPr>
              <w:t>Use for</w:t>
            </w:r>
          </w:p>
        </w:tc>
      </w:tr>
      <w:tr>
        <w:tc>
          <w:tcPr>
            <w:tcW w:type="dxa" w:w="2493"/>
          </w:tcPr>
          <w:p>
            <w:r/>
            <w:r>
              <w:rPr>
                <w:b/>
                <w:color w:val="0F2342"/>
                <w:sz w:val="20"/>
              </w:rPr>
              <w:t>1</w:t>
            </w:r>
          </w:p>
        </w:tc>
        <w:tc>
          <w:tcPr>
            <w:tcW w:type="dxa" w:w="2493"/>
          </w:tcPr>
          <w:p>
            <w:r>
              <w:rPr>
                <w:b/>
              </w:rPr>
            </w:r>
            <w:r>
              <w:rPr>
                <w:color w:val="0F2342"/>
                <w:sz w:val="20"/>
              </w:rPr>
              <w:t>Whitfield · 68F · new AFib + complex polypharmacy</w:t>
            </w:r>
          </w:p>
        </w:tc>
        <w:tc>
          <w:tcPr>
            <w:tcW w:type="dxa" w:w="2493"/>
          </w:tcPr>
          <w:p>
            <w:r/>
            <w:r>
              <w:rPr>
                <w:color w:val="0F2342"/>
                <w:sz w:val="20"/>
              </w:rPr>
              <w:t>Drug-drug interaction catch (warfarin + amiodarone)</w:t>
            </w:r>
          </w:p>
        </w:tc>
        <w:tc>
          <w:tcPr>
            <w:tcW w:type="dxa" w:w="2493"/>
          </w:tcPr>
          <w:p>
            <w:r/>
            <w:r>
              <w:rPr>
                <w:color w:val="0F2342"/>
                <w:sz w:val="20"/>
              </w:rPr>
              <w:t>HERO — must run.</w:t>
            </w:r>
          </w:p>
        </w:tc>
      </w:tr>
      <w:tr>
        <w:tc>
          <w:tcPr>
            <w:tcW w:type="dxa" w:w="2493"/>
          </w:tcPr>
          <w:p>
            <w:r/>
            <w:r>
              <w:rPr>
                <w:b/>
                <w:color w:val="0F2342"/>
                <w:sz w:val="20"/>
              </w:rPr>
              <w:t>2</w:t>
            </w:r>
          </w:p>
        </w:tc>
        <w:tc>
          <w:tcPr>
            <w:tcW w:type="dxa" w:w="2493"/>
          </w:tcPr>
          <w:p>
            <w:r>
              <w:rPr>
                <w:b/>
              </w:rPr>
            </w:r>
            <w:r>
              <w:rPr>
                <w:color w:val="0F2342"/>
                <w:sz w:val="20"/>
              </w:rPr>
              <w:t>Singh · 54M · chest pain</w:t>
            </w:r>
          </w:p>
        </w:tc>
        <w:tc>
          <w:tcPr>
            <w:tcW w:type="dxa" w:w="2493"/>
          </w:tcPr>
          <w:p>
            <w:r/>
            <w:r>
              <w:rPr>
                <w:color w:val="0F2342"/>
                <w:sz w:val="20"/>
              </w:rPr>
              <w:t>Premature closure on ACS when PE is more likely</w:t>
            </w:r>
          </w:p>
        </w:tc>
        <w:tc>
          <w:tcPr>
            <w:tcW w:type="dxa" w:w="2493"/>
          </w:tcPr>
          <w:p>
            <w:r/>
            <w:r>
              <w:rPr>
                <w:color w:val="0F2342"/>
                <w:sz w:val="20"/>
              </w:rPr>
              <w:t>Backup wow #1</w:t>
            </w:r>
          </w:p>
        </w:tc>
      </w:tr>
      <w:tr>
        <w:tc>
          <w:tcPr>
            <w:tcW w:type="dxa" w:w="2493"/>
          </w:tcPr>
          <w:p>
            <w:r/>
            <w:r>
              <w:rPr>
                <w:b/>
                <w:color w:val="0F2342"/>
                <w:sz w:val="20"/>
              </w:rPr>
              <w:t>3</w:t>
            </w:r>
          </w:p>
        </w:tc>
        <w:tc>
          <w:tcPr>
            <w:tcW w:type="dxa" w:w="2493"/>
          </w:tcPr>
          <w:p>
            <w:r>
              <w:rPr>
                <w:b/>
              </w:rPr>
            </w:r>
            <w:r>
              <w:rPr>
                <w:color w:val="0F2342"/>
                <w:sz w:val="20"/>
              </w:rPr>
              <w:t>Chen · 32F · severe headache</w:t>
            </w:r>
          </w:p>
        </w:tc>
        <w:tc>
          <w:tcPr>
            <w:tcW w:type="dxa" w:w="2493"/>
          </w:tcPr>
          <w:p>
            <w:r/>
            <w:r>
              <w:rPr>
                <w:color w:val="0F2342"/>
                <w:sz w:val="20"/>
              </w:rPr>
              <w:t>Missed SAH / meningitis red flags</w:t>
            </w:r>
          </w:p>
        </w:tc>
        <w:tc>
          <w:tcPr>
            <w:tcW w:type="dxa" w:w="2493"/>
          </w:tcPr>
          <w:p>
            <w:r/>
            <w:r>
              <w:rPr>
                <w:color w:val="0F2342"/>
                <w:sz w:val="20"/>
              </w:rPr>
              <w:t>Backup wow #2</w:t>
            </w:r>
          </w:p>
        </w:tc>
      </w:tr>
      <w:tr>
        <w:tc>
          <w:tcPr>
            <w:tcW w:type="dxa" w:w="2493"/>
          </w:tcPr>
          <w:p>
            <w:r/>
            <w:r>
              <w:rPr>
                <w:b/>
                <w:color w:val="0F2342"/>
                <w:sz w:val="20"/>
              </w:rPr>
              <w:t>4</w:t>
            </w:r>
          </w:p>
        </w:tc>
        <w:tc>
          <w:tcPr>
            <w:tcW w:type="dxa" w:w="2493"/>
          </w:tcPr>
          <w:p>
            <w:r>
              <w:rPr>
                <w:b/>
              </w:rPr>
            </w:r>
            <w:r>
              <w:rPr>
                <w:color w:val="0F2342"/>
                <w:sz w:val="20"/>
              </w:rPr>
              <w:t>Patel · 76M · falls + cognitive decline</w:t>
            </w:r>
          </w:p>
        </w:tc>
        <w:tc>
          <w:tcPr>
            <w:tcW w:type="dxa" w:w="2493"/>
          </w:tcPr>
          <w:p>
            <w:r/>
            <w:r>
              <w:rPr>
                <w:color w:val="0F2342"/>
                <w:sz w:val="20"/>
              </w:rPr>
              <w:t>Iatrogenic anticholinergic burden (5 offenders)</w:t>
            </w:r>
          </w:p>
        </w:tc>
        <w:tc>
          <w:tcPr>
            <w:tcW w:type="dxa" w:w="2493"/>
          </w:tcPr>
          <w:p>
            <w:r/>
            <w:r>
              <w:rPr>
                <w:color w:val="0F2342"/>
                <w:sz w:val="20"/>
              </w:rPr>
              <w:t>Backup wow #3 — finance/business folks love this one</w:t>
            </w:r>
          </w:p>
        </w:tc>
      </w:tr>
      <w:tr>
        <w:tc>
          <w:tcPr>
            <w:tcW w:type="dxa" w:w="2493"/>
          </w:tcPr>
          <w:p>
            <w:r/>
            <w:r>
              <w:rPr>
                <w:b/>
                <w:color w:val="0F2342"/>
                <w:sz w:val="20"/>
              </w:rPr>
              <w:t>5</w:t>
            </w:r>
          </w:p>
        </w:tc>
        <w:tc>
          <w:tcPr>
            <w:tcW w:type="dxa" w:w="2493"/>
          </w:tcPr>
          <w:p>
            <w:r>
              <w:rPr>
                <w:b/>
              </w:rPr>
            </w:r>
            <w:r>
              <w:rPr>
                <w:color w:val="0F2342"/>
                <w:sz w:val="20"/>
              </w:rPr>
              <w:t>+ Paste a case</w:t>
            </w:r>
          </w:p>
        </w:tc>
        <w:tc>
          <w:tcPr>
            <w:tcW w:type="dxa" w:w="2493"/>
          </w:tcPr>
          <w:p>
            <w:r/>
            <w:r>
              <w:rPr>
                <w:color w:val="0F2342"/>
                <w:sz w:val="20"/>
              </w:rPr>
              <w:t>Audience input</w:t>
            </w:r>
          </w:p>
        </w:tc>
        <w:tc>
          <w:tcPr>
            <w:tcW w:type="dxa" w:w="2493"/>
          </w:tcPr>
          <w:p>
            <w:r/>
            <w:r>
              <w:rPr>
                <w:color w:val="0F2342"/>
                <w:sz w:val="20"/>
              </w:rPr>
              <w:t>Interactive moment</w:t>
            </w:r>
          </w:p>
        </w:tc>
      </w:tr>
    </w:tbl>
    <w:p>
      <w:pPr>
        <w:spacing w:before="160"/>
      </w:pPr>
      <w:r>
        <w:rPr>
          <w:b/>
          <w:color w:val="0F2342"/>
          <w:sz w:val="28"/>
        </w:rPr>
        <w:t>Pre-stage checklist (60 seconds before)</w:t>
      </w:r>
    </w:p>
    <w:p>
      <w:pPr>
        <w:pStyle w:val="ListBullet"/>
      </w:pPr>
      <w:r>
        <w:rPr>
          <w:color w:val="0F2342"/>
          <w:sz w:val="21"/>
        </w:rPr>
        <w:t>Make sure the server is up: curl -s http://127.0.0.1:8765/api/health</w:t>
      </w:r>
    </w:p>
    <w:p>
      <w:pPr>
        <w:pStyle w:val="ListBullet"/>
      </w:pPr>
      <w:r>
        <w:rPr>
          <w:color w:val="0F2342"/>
          <w:sz w:val="21"/>
        </w:rPr>
        <w:t>Expect: azure_openai_configured: true</w:t>
      </w:r>
    </w:p>
    <w:p>
      <w:pPr>
        <w:pStyle w:val="ListBullet"/>
      </w:pPr>
      <w:r>
        <w:rPr>
          <w:color w:val="0F2342"/>
          <w:sz w:val="21"/>
        </w:rPr>
        <w:t>Open the browser to http://127.0.0.1:8765</w:t>
      </w:r>
    </w:p>
    <w:p>
      <w:pPr>
        <w:pStyle w:val="ListBullet"/>
      </w:pPr>
      <w:r>
        <w:rPr>
          <w:color w:val="0F2342"/>
          <w:sz w:val="21"/>
        </w:rPr>
        <w:t>Hard-refresh once (Cmd+Shift+R) so static files are fresh</w:t>
      </w:r>
    </w:p>
    <w:p>
      <w:pPr>
        <w:pStyle w:val="ListBullet"/>
      </w:pPr>
      <w:r>
        <w:rPr>
          <w:color w:val="0F2342"/>
          <w:sz w:val="21"/>
        </w:rPr>
        <w:t>Click the Whitfield case ONCE off-screen to pre-warm Azure (avoids cold start)</w:t>
      </w:r>
    </w:p>
    <w:p>
      <w:r>
        <w:rPr>
          <w:b w:val="0"/>
          <w:i/>
          <w:color w:val="475569"/>
          <w:sz w:val="20"/>
        </w:rPr>
        <w:t>If azure_openai_configured is false, check the .env file or switch the engine radio to Offline Simulator and proceed.</w:t>
      </w:r>
    </w:p>
    <w:p>
      <w:pPr>
        <w:spacing w:before="160"/>
      </w:pPr>
      <w:r>
        <w:rPr>
          <w:b/>
          <w:color w:val="0F2342"/>
          <w:sz w:val="28"/>
        </w:rPr>
        <w:t>The 5-minute script</w:t>
      </w:r>
    </w:p>
    <w:p>
      <w:r>
        <w:rPr>
          <w:b/>
          <w:color w:val="0F2342"/>
          <w:sz w:val="25"/>
        </w:rPr>
        <w:t>0:00 — 0:20  ·  Open</w:t>
      </w:r>
    </w:p>
    <w:p>
      <w:r>
        <w:rPr>
          <w:b/>
          <w:i w:val="0"/>
          <w:color w:val="0F2342"/>
          <w:sz w:val="21"/>
        </w:rPr>
        <w:t>Click: Browser at http://127.0.0.1:8765</w:t>
      </w:r>
    </w:p>
    <w:p>
      <w:r>
        <w:rPr>
          <w:b w:val="0"/>
          <w:i w:val="0"/>
          <w:color w:val="0F2342"/>
          <w:sz w:val="21"/>
        </w:rPr>
        <w:t>Show: EMR chrome. Synthetic banner. ‘Clinical AI Co-Pilot · PHI-safe foundation.’</w:t>
      </w:r>
    </w:p>
    <w:p>
      <w:r>
        <w:rPr>
          <w:b/>
          <w:sz w:val="21"/>
        </w:rPr>
        <w:t xml:space="preserve">Say: </w:t>
      </w:r>
      <w:r>
        <w:rPr>
          <w:i/>
          <w:color w:val="475569"/>
          <w:sz w:val="21"/>
        </w:rPr>
        <w:t>“I built this with Claude Code in a weekend. It looks like an EMR for a reason — this is what production healthcare AI actually needs to look like for clinicians to use it. Every LLM call in this app runs on de-identified text. We’ll come back to that.”</w:t>
      </w:r>
    </w:p>
    <w:p/>
    <w:p>
      <w:r>
        <w:rPr>
          <w:b/>
          <w:color w:val="0F2342"/>
          <w:sz w:val="25"/>
        </w:rPr>
        <w:t>0:20 — 1:00  ·  The hero case</w:t>
      </w:r>
    </w:p>
    <w:p>
      <w:r>
        <w:rPr>
          <w:b/>
          <w:i w:val="0"/>
          <w:color w:val="0F2342"/>
          <w:sz w:val="21"/>
        </w:rPr>
        <w:t>Click: ‘Whitfield · 68F · new AFib + complex polypharmacy’ in the left rail</w:t>
      </w:r>
    </w:p>
    <w:p>
      <w:r>
        <w:rPr>
          <w:b w:val="0"/>
          <w:i w:val="0"/>
          <w:color w:val="0F2342"/>
          <w:sz w:val="21"/>
        </w:rPr>
        <w:t>Show: The Case tab fills with structured patient data — demographics, presenting complaint, history, current medications (warfarin), vitals, labs, clinician’s initial plan (start amiodarone).</w:t>
      </w:r>
    </w:p>
    <w:p>
      <w:r>
        <w:rPr>
          <w:b/>
          <w:sz w:val="21"/>
        </w:rPr>
        <w:t xml:space="preserve">Say: </w:t>
      </w:r>
      <w:r>
        <w:rPr>
          <w:i/>
          <w:color w:val="475569"/>
          <w:sz w:val="21"/>
        </w:rPr>
        <w:t>“68-year-old woman. New-onset atrial fibrillation. Hemodynamically stable. The cardiologist’s initial plan: start amiodarone for rhythm control, continue her warfarin. CHADS-VASc of 4. Looks routine.”  Then point at meds: “She’s already on warfarin. Her INR is therapeutic. The plan adds amiodarone.”</w:t>
      </w:r>
    </w:p>
    <w:p/>
    <w:p>
      <w:r>
        <w:rPr>
          <w:b/>
          <w:color w:val="0F2342"/>
          <w:sz w:val="25"/>
        </w:rPr>
        <w:t>1:00 — 2:00  ·  Run the co-pilot</w:t>
      </w:r>
    </w:p>
    <w:p>
      <w:r>
        <w:rPr>
          <w:b/>
          <w:i w:val="0"/>
          <w:color w:val="0F2342"/>
          <w:sz w:val="21"/>
        </w:rPr>
        <w:t>Click: The big blue Run Co-Pilot button on the right rail</w:t>
      </w:r>
    </w:p>
    <w:p>
      <w:r>
        <w:rPr>
          <w:b w:val="0"/>
          <w:i w:val="0"/>
          <w:color w:val="0F2342"/>
          <w:sz w:val="21"/>
        </w:rPr>
        <w:t>Show: App auto-jumps to Co-Pilot Workspace tab. Six agent panels light up yellow (reasoning), streaming text appearing in each one in real time.</w:t>
      </w:r>
    </w:p>
    <w:p>
      <w:r>
        <w:rPr>
          <w:b/>
          <w:sz w:val="21"/>
        </w:rPr>
        <w:t xml:space="preserve">Say: </w:t>
      </w:r>
      <w:r>
        <w:rPr>
          <w:i/>
          <w:color w:val="475569"/>
          <w:sz w:val="21"/>
        </w:rPr>
        <w:t>“Six specialist Claude agents are running in parallel right now. Triage is checking urgency. Differential is weighing the diagnoses. Pharmacy is reviewing the meds. Guidelines is pulling the AFib management recommendations. Bias-Check is auditing the clinician’s plan for cognitive bias. Communication is drafting the handoff.”  As they turn green: “Each one is a real Claude call streaming live.”</w:t>
      </w:r>
    </w:p>
    <w:p/>
    <w:p>
      <w:r>
        <w:rPr>
          <w:b/>
          <w:color w:val="B91C1C"/>
          <w:sz w:val="25"/>
        </w:rPr>
        <w:t>2:00 — 2:45  ·  THE WOW MOMENT  ·  The catch</w:t>
      </w:r>
    </w:p>
    <w:p>
      <w:r>
        <w:rPr>
          <w:b/>
          <w:i w:val="0"/>
          <w:color w:val="0F2342"/>
          <w:sz w:val="21"/>
        </w:rPr>
        <w:t>Click: The Pharmacy panel to bring its full output into view</w:t>
      </w:r>
    </w:p>
    <w:p>
      <w:r>
        <w:rPr>
          <w:b w:val="0"/>
          <w:i w:val="0"/>
          <w:color w:val="0F2342"/>
          <w:sz w:val="21"/>
        </w:rPr>
        <w:t>Show: All six panels are green. Pharmacy panel has an amber flag: ‘High-severity interaction: Amiodarone + Warfarin’.</w:t>
      </w:r>
    </w:p>
    <w:p>
      <w:r>
        <w:rPr>
          <w:b/>
          <w:sz w:val="21"/>
        </w:rPr>
        <w:t xml:space="preserve">Say: </w:t>
      </w:r>
      <w:r>
        <w:rPr>
          <w:i/>
          <w:color w:val="475569"/>
          <w:sz w:val="21"/>
        </w:rPr>
        <w:t>(Slow down.)  “Look at what Pharmacy caught. Amiodarone potentiates warfarin through CYP2C9 and CYP3A4 inhibition. The INR is going to spike to 4.5 or higher within 7 to 10 days. The cardiologist’s plan, exactly as written, sends this woman home with a serious bleeding risk that won’t manifest for a week.”  Pause. “The other five agents didn’t catch it — they were focused on rhythm control. That’s the whole point of a multi-agent setup.”</w:t>
      </w:r>
    </w:p>
    <w:p/>
    <w:p>
      <w:r>
        <w:rPr>
          <w:b/>
          <w:color w:val="0F2342"/>
          <w:sz w:val="25"/>
        </w:rPr>
        <w:t>2:45 — 3:30  ·  The synthesis</w:t>
      </w:r>
    </w:p>
    <w:p>
      <w:r>
        <w:rPr>
          <w:b/>
          <w:i w:val="0"/>
          <w:color w:val="0F2342"/>
          <w:sz w:val="21"/>
        </w:rPr>
        <w:t>Click: Plan tab</w:t>
      </w:r>
    </w:p>
    <w:p>
      <w:r>
        <w:rPr>
          <w:b w:val="0"/>
          <w:i w:val="0"/>
          <w:color w:val="0F2342"/>
          <w:sz w:val="21"/>
        </w:rPr>
        <w:t>Show: Orchestrator’s synthesized plan. Cross-flags panel shows multiple high-severity flags with 4–5 agents converging: ‘High-risk interaction between amiodarone and warfarin…’ and ‘Guideline discordance: rhythm control chosen without trial of rate control…’</w:t>
      </w:r>
    </w:p>
    <w:p>
      <w:r>
        <w:rPr>
          <w:b/>
          <w:sz w:val="21"/>
        </w:rPr>
        <w:t xml:space="preserve">Say: </w:t>
      </w:r>
      <w:r>
        <w:rPr>
          <w:i/>
          <w:color w:val="475569"/>
          <w:sz w:val="21"/>
        </w:rPr>
        <w:t>“The orchestrator agent watches for convergence. When multiple specialists independently flag the same concern, severity goes up. Pharmacy AND Bias-Check AND Guidelines all converged on the same issue here. That’s a stronger signal than any one of them alone.”  Then click ‘What the LLM produced’ toggle: “This is what Claude actually saw. Placeholders, not names. The clinician view you saw a second ago — with ‘Eleanor Whitfield’ — that re-identification happens server-side, never on the model side.”  Toggle back.</w:t>
      </w:r>
    </w:p>
    <w:p/>
    <w:p>
      <w:r>
        <w:rPr>
          <w:b/>
          <w:color w:val="0F2342"/>
          <w:sz w:val="25"/>
        </w:rPr>
        <w:t>3:30 — 4:15  ·  Audience interaction</w:t>
      </w:r>
    </w:p>
    <w:p>
      <w:r>
        <w:rPr>
          <w:b/>
          <w:i w:val="0"/>
          <w:color w:val="0F2342"/>
          <w:sz w:val="21"/>
        </w:rPr>
        <w:t>Click: ‘+ Paste a case’ at the bottom of the left rail</w:t>
      </w:r>
    </w:p>
    <w:p>
      <w:r>
        <w:rPr>
          <w:b w:val="0"/>
          <w:i w:val="0"/>
          <w:color w:val="0F2342"/>
          <w:sz w:val="21"/>
        </w:rPr>
        <w:t>Show: Paste modal opens. Paste an audience case (or your backup case from notes app if they freeze). Load it, run it.</w:t>
      </w:r>
    </w:p>
    <w:p>
      <w:r>
        <w:rPr>
          <w:b/>
          <w:sz w:val="21"/>
        </w:rPr>
        <w:t xml:space="preserve">Say: </w:t>
      </w:r>
      <w:r>
        <w:rPr>
          <w:i/>
          <w:color w:val="475569"/>
          <w:sz w:val="21"/>
        </w:rPr>
        <w:t>“Throw a synthetic case at me. Anything — make one up. Polypharmacy, weird presentation, your favourite clinical pearl. I’ll paste it and run it live.”  This is the moment that converts skeptics.</w:t>
      </w:r>
    </w:p>
    <w:p/>
    <w:p>
      <w:r>
        <w:rPr>
          <w:b/>
          <w:color w:val="0F2342"/>
          <w:sz w:val="25"/>
        </w:rPr>
        <w:t>4:15 — 4:45  ·  The trust story</w:t>
      </w:r>
    </w:p>
    <w:p>
      <w:r>
        <w:rPr>
          <w:b/>
          <w:i w:val="0"/>
          <w:color w:val="0F2342"/>
          <w:sz w:val="21"/>
        </w:rPr>
        <w:t>Click: Safety &amp; Audit tab, then ‘Verify no raw PHI’ button</w:t>
      </w:r>
    </w:p>
    <w:p>
      <w:r>
        <w:rPr>
          <w:b w:val="0"/>
          <w:i w:val="0"/>
          <w:color w:val="0F2342"/>
          <w:sz w:val="21"/>
        </w:rPr>
        <w:t>Show: Green checkmark — ‘0 raw PHI strings across N events’. Audit log entries below, each a clean JSON record of agent statuses, hashes, and counts — no patient names anywhere.</w:t>
      </w:r>
    </w:p>
    <w:p>
      <w:r>
        <w:rPr>
          <w:b/>
          <w:sz w:val="21"/>
        </w:rPr>
        <w:t xml:space="preserve">Say: </w:t>
      </w:r>
      <w:r>
        <w:rPr>
          <w:i/>
          <w:color w:val="475569"/>
          <w:sz w:val="21"/>
        </w:rPr>
        <w:t>“Same workflow, three different views, three different trust levels. The model saw placeholders. The clinician saw real names. The audit log saw neither — just hashes and counts. This is what production healthcare AI looks like.”</w:t>
      </w:r>
    </w:p>
    <w:p/>
    <w:p>
      <w:r>
        <w:rPr>
          <w:b/>
          <w:color w:val="15803D"/>
          <w:sz w:val="25"/>
        </w:rPr>
        <w:t>4:45 — 5:00  ·  Close</w:t>
      </w:r>
    </w:p>
    <w:p>
      <w:r>
        <w:rPr>
          <w:b/>
          <w:i w:val="0"/>
          <w:color w:val="0F2342"/>
          <w:sz w:val="21"/>
        </w:rPr>
        <w:t>Click: —</w:t>
      </w:r>
    </w:p>
    <w:p>
      <w:r>
        <w:rPr>
          <w:b w:val="0"/>
          <w:i w:val="0"/>
          <w:color w:val="0F2342"/>
          <w:sz w:val="21"/>
        </w:rPr>
        <w:t>Show: —</w:t>
      </w:r>
    </w:p>
    <w:p>
      <w:r>
        <w:rPr>
          <w:b/>
          <w:sz w:val="21"/>
        </w:rPr>
        <w:t xml:space="preserve">Say: </w:t>
      </w:r>
      <w:r>
        <w:rPr>
          <w:i/>
          <w:color w:val="475569"/>
          <w:sz w:val="21"/>
        </w:rPr>
        <w:t>“Six Claude agents. One orchestrator. PHI safety as foundation. Each agent box is a real LLM call. Each agent has a different specialty system prompt. The orchestrator synthesizes their work and surfaces convergence. The whole thing was built end-to-end with Claude Code in a weekend.  The lesson: in healthcare AI, you don’t replace the clinician. You give them six more pairs of eyes that never get tired and always read the medication list.”</w:t>
      </w:r>
    </w:p>
    <w:p/>
    <w:p>
      <w:pPr>
        <w:spacing w:before="160"/>
      </w:pPr>
      <w:r>
        <w:rPr>
          <w:b/>
          <w:color w:val="0F2342"/>
          <w:sz w:val="26"/>
        </w:rPr>
        <w:t>Backup talking points (if you have extra time)</w:t>
      </w:r>
    </w:p>
    <w:p>
      <w:r>
        <w:rPr>
          <w:b/>
          <w:i w:val="0"/>
          <w:color w:val="0F2342"/>
          <w:sz w:val="21"/>
        </w:rPr>
        <w:t>If you want to run a second case: Patel · falls + cognitive decline.</w:t>
      </w:r>
    </w:p>
    <w:p>
      <w:r>
        <w:rPr>
          <w:b w:val="0"/>
          <w:i w:val="0"/>
          <w:color w:val="0F2342"/>
          <w:sz w:val="21"/>
        </w:rPr>
        <w:t>The finance/business folks love this one. Pharmacy detects 5 strong anticholinergic drugs (ACB score 11) and the orchestrator says ‘Do NOT add a cholinesterase inhibitor on top — pharmacologically contradictory.’ Easy to extrapolate to $40k inappropriate-medication prescriptions saved per patient × population.</w:t>
      </w:r>
    </w:p>
    <w:p>
      <w:r>
        <w:rPr>
          <w:b w:val="0"/>
          <w:i w:val="0"/>
          <w:color w:val="0F2342"/>
          <w:sz w:val="21"/>
        </w:rPr>
        <w:t xml:space="preserve"> </w:t>
      </w:r>
    </w:p>
    <w:p>
      <w:r>
        <w:rPr>
          <w:b/>
          <w:i w:val="0"/>
          <w:color w:val="0F2342"/>
          <w:sz w:val="21"/>
        </w:rPr>
        <w:t>If you want a “wow without polypharmacy”: Chen · severe headache.</w:t>
      </w:r>
    </w:p>
    <w:p>
      <w:r>
        <w:rPr>
          <w:b w:val="0"/>
          <w:i w:val="0"/>
          <w:color w:val="0F2342"/>
          <w:sz w:val="21"/>
        </w:rPr>
        <w:t>Differential ranks SAH high. Pharmacy flags ketorolac as contraindicated (NSAID + possible bleed = harm). Bias-Check calls out premature closure on migraine. Three agents independently fix the same dangerous discharge plan.</w:t>
      </w:r>
    </w:p>
    <w:p>
      <w:pPr>
        <w:spacing w:before="160"/>
      </w:pPr>
      <w:r>
        <w:rPr>
          <w:b/>
          <w:color w:val="0F2342"/>
          <w:sz w:val="26"/>
        </w:rPr>
        <w:t>If something breaks</w:t>
      </w:r>
    </w:p>
    <w:tbl>
      <w:tblPr>
        <w:tblW w:type="auto" w:w="0"/>
        <w:tblLook w:firstColumn="1" w:firstRow="1" w:lastColumn="0" w:lastRow="0" w:noHBand="0" w:noVBand="1" w:val="04A0"/>
      </w:tblPr>
      <w:tblGrid>
        <w:gridCol w:w="3324"/>
        <w:gridCol w:w="3324"/>
        <w:gridCol w:w="3324"/>
      </w:tblGrid>
      <w:tr>
        <w:tc>
          <w:tcPr>
            <w:tcW w:type="dxa" w:w="3324"/>
            <w:shd w:val="clear" w:color="auto" w:fill="B91C1C"/>
          </w:tcPr>
          <w:p>
            <w:r/>
            <w:r>
              <w:rPr>
                <w:b/>
                <w:color w:val="FFFFFF"/>
                <w:sz w:val="20"/>
              </w:rPr>
              <w:t>Problem</w:t>
            </w:r>
          </w:p>
        </w:tc>
        <w:tc>
          <w:tcPr>
            <w:tcW w:type="dxa" w:w="3324"/>
            <w:shd w:val="clear" w:color="auto" w:fill="B91C1C"/>
          </w:tcPr>
          <w:p>
            <w:r/>
            <w:r>
              <w:rPr>
                <w:b/>
                <w:color w:val="FFFFFF"/>
                <w:sz w:val="20"/>
              </w:rPr>
              <w:t>Action</w:t>
            </w:r>
          </w:p>
        </w:tc>
        <w:tc>
          <w:tcPr>
            <w:tcW w:type="dxa" w:w="3324"/>
            <w:shd w:val="clear" w:color="auto" w:fill="B91C1C"/>
          </w:tcPr>
          <w:p>
            <w:r/>
            <w:r>
              <w:rPr>
                <w:b/>
                <w:color w:val="FFFFFF"/>
                <w:sz w:val="20"/>
              </w:rPr>
              <w:t>What to say</w:t>
            </w:r>
          </w:p>
        </w:tc>
      </w:tr>
      <w:tr>
        <w:tc>
          <w:tcPr>
            <w:tcW w:type="dxa" w:w="3324"/>
          </w:tcPr>
          <w:p>
            <w:r/>
            <w:r>
              <w:rPr>
                <w:color w:val="0F2342"/>
                <w:sz w:val="20"/>
              </w:rPr>
              <w:t>Azure call fails / times out</w:t>
            </w:r>
          </w:p>
        </w:tc>
        <w:tc>
          <w:tcPr>
            <w:tcW w:type="dxa" w:w="3324"/>
          </w:tcPr>
          <w:p>
            <w:r/>
            <w:r>
              <w:rPr>
                <w:color w:val="0F2342"/>
                <w:sz w:val="20"/>
              </w:rPr>
              <w:t>Switch engine to Offline Simulator (right rail), click Run again</w:t>
            </w:r>
          </w:p>
        </w:tc>
        <w:tc>
          <w:tcPr>
            <w:tcW w:type="dxa" w:w="3324"/>
          </w:tcPr>
          <w:p>
            <w:r/>
            <w:r>
              <w:rPr>
                <w:color w:val="0F2342"/>
                <w:sz w:val="20"/>
              </w:rPr>
              <w:t>“Let me show you the offline simulator we built as a stage backup — same six agents, same output structure, runs in 2 seconds. Mid-demo failover.”</w:t>
            </w:r>
          </w:p>
        </w:tc>
      </w:tr>
      <w:tr>
        <w:tc>
          <w:tcPr>
            <w:tcW w:type="dxa" w:w="3324"/>
          </w:tcPr>
          <w:p>
            <w:r/>
            <w:r>
              <w:rPr>
                <w:color w:val="0F2342"/>
                <w:sz w:val="20"/>
              </w:rPr>
              <w:t>Browser shows stale UI</w:t>
            </w:r>
          </w:p>
        </w:tc>
        <w:tc>
          <w:tcPr>
            <w:tcW w:type="dxa" w:w="3324"/>
          </w:tcPr>
          <w:p>
            <w:r/>
            <w:r>
              <w:rPr>
                <w:color w:val="0F2342"/>
                <w:sz w:val="20"/>
              </w:rPr>
              <w:t>Hard refresh (Cmd+Shift+R)</w:t>
            </w:r>
          </w:p>
        </w:tc>
        <w:tc>
          <w:tcPr>
            <w:tcW w:type="dxa" w:w="3324"/>
          </w:tcPr>
          <w:p>
            <w:r/>
            <w:r>
              <w:rPr>
                <w:color w:val="0F2342"/>
                <w:sz w:val="20"/>
              </w:rPr>
              <w:t>Just keep talking through it.</w:t>
            </w:r>
          </w:p>
        </w:tc>
      </w:tr>
      <w:tr>
        <w:tc>
          <w:tcPr>
            <w:tcW w:type="dxa" w:w="3324"/>
          </w:tcPr>
          <w:p>
            <w:r/>
            <w:r>
              <w:rPr>
                <w:color w:val="0F2342"/>
                <w:sz w:val="20"/>
              </w:rPr>
              <w:t>Server crashes</w:t>
            </w:r>
          </w:p>
        </w:tc>
        <w:tc>
          <w:tcPr>
            <w:tcW w:type="dxa" w:w="3324"/>
          </w:tcPr>
          <w:p>
            <w:r/>
            <w:r>
              <w:rPr>
                <w:color w:val="0F2342"/>
                <w:sz w:val="20"/>
              </w:rPr>
              <w:t>Run ./run_web.sh again in terminal</w:t>
            </w:r>
          </w:p>
        </w:tc>
        <w:tc>
          <w:tcPr>
            <w:tcW w:type="dxa" w:w="3324"/>
          </w:tcPr>
          <w:p>
            <w:r/>
            <w:r>
              <w:rPr>
                <w:color w:val="0F2342"/>
                <w:sz w:val="20"/>
              </w:rPr>
              <w:t>“Healthcare-grade fault tolerance — observe.”</w:t>
            </w:r>
          </w:p>
        </w:tc>
      </w:tr>
      <w:tr>
        <w:tc>
          <w:tcPr>
            <w:tcW w:type="dxa" w:w="3324"/>
          </w:tcPr>
          <w:p>
            <w:r/>
            <w:r>
              <w:rPr>
                <w:color w:val="0F2342"/>
                <w:sz w:val="20"/>
              </w:rPr>
              <w:t>Audience asks a hard medical question</w:t>
            </w:r>
          </w:p>
        </w:tc>
        <w:tc>
          <w:tcPr>
            <w:tcW w:type="dxa" w:w="3324"/>
          </w:tcPr>
          <w:p>
            <w:r/>
            <w:r>
              <w:rPr>
                <w:color w:val="0F2342"/>
                <w:sz w:val="20"/>
              </w:rPr>
              <w:t>Deflect to engineering pattern</w:t>
            </w:r>
          </w:p>
        </w:tc>
        <w:tc>
          <w:tcPr>
            <w:tcW w:type="dxa" w:w="3324"/>
          </w:tcPr>
          <w:p>
            <w:r/>
            <w:r>
              <w:rPr>
                <w:color w:val="0F2342"/>
                <w:sz w:val="20"/>
              </w:rPr>
              <w:t>“This is a demo of the engineering pattern, not a clinical product. Real deployment requires clinician oversight, regulatory review, and validation studies.”</w:t>
            </w:r>
          </w:p>
        </w:tc>
      </w:tr>
    </w:tbl>
    <w:p>
      <w:pPr>
        <w:spacing w:before="160"/>
      </w:pPr>
      <w:r>
        <w:rPr>
          <w:b/>
          <w:color w:val="0F2342"/>
          <w:sz w:val="26"/>
        </w:rPr>
        <w:t>Q&amp;A bait (end with this)</w:t>
      </w:r>
    </w:p>
    <w:p>
      <w:r>
        <w:rPr>
          <w:b w:val="0"/>
          <w:i/>
          <w:color w:val="475569"/>
          <w:sz w:val="21"/>
        </w:rPr>
        <w:t>“Happy to take questions. I’m especially curious if anyone wants to see the actual Claude prompts, or how the cross-flag detection works under the hood.”  This invites the engineering crowd to engage on architecture and shifts the conversation away from medical-correctness debates you don’t want to have.</w:t>
      </w:r>
    </w:p>
    <w:p>
      <w:pPr>
        <w:spacing w:before="160"/>
      </w:pPr>
      <w:r>
        <w:rPr>
          <w:b/>
          <w:color w:val="0F2342"/>
          <w:sz w:val="26"/>
        </w:rPr>
        <w:t>What each audience segment will remember</w:t>
      </w:r>
    </w:p>
    <w:p>
      <w:pPr>
        <w:pStyle w:val="ListBullet"/>
      </w:pPr>
      <w:r>
        <w:rPr>
          <w:color w:val="0F2342"/>
          <w:sz w:val="21"/>
        </w:rPr>
        <w:t>AI engineers: ‘Six parallel LLM streams in a real product, with cross-agent convergence detection.’</w:t>
      </w:r>
    </w:p>
    <w:p>
      <w:pPr>
        <w:pStyle w:val="ListBullet"/>
      </w:pPr>
      <w:r>
        <w:rPr>
          <w:color w:val="0F2342"/>
          <w:sz w:val="21"/>
        </w:rPr>
        <w:t>Healthcare folks: ‘It actually caught the warfarin interaction.’</w:t>
      </w:r>
    </w:p>
    <w:p>
      <w:pPr>
        <w:pStyle w:val="ListBullet"/>
      </w:pPr>
      <w:r>
        <w:rPr>
          <w:color w:val="0F2342"/>
          <w:sz w:val="21"/>
        </w:rPr>
        <w:t>Finance / business: ‘$40k saved per inappropriate prescription, scaled across a health system.’</w:t>
      </w:r>
    </w:p>
    <w:p>
      <w:pPr>
        <w:pStyle w:val="ListBullet"/>
      </w:pPr>
      <w:r>
        <w:rPr>
          <w:color w:val="0F2342"/>
          <w:sz w:val="21"/>
        </w:rPr>
        <w:t>Product folks: ‘EMR-style workbench that augments instead of replaces.’</w:t>
      </w:r>
    </w:p>
    <w:p>
      <w:pPr>
        <w:pStyle w:val="ListBullet"/>
      </w:pPr>
      <w:r>
        <w:rPr>
          <w:color w:val="0F2342"/>
          <w:sz w:val="21"/>
        </w:rPr>
        <w:t>Everyone: ‘Claude Code built this whole thing in a weekend.’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